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BC" w:rsidRPr="003408A6" w:rsidRDefault="003034BC" w:rsidP="000A2125">
      <w:pPr>
        <w:pStyle w:val="ListParagraph"/>
        <w:spacing w:before="240" w:after="60" w:line="360" w:lineRule="auto"/>
        <w:ind w:left="0"/>
        <w:rPr>
          <w:rFonts w:cs="Arial"/>
          <w:szCs w:val="22"/>
        </w:rPr>
      </w:pPr>
      <w:bookmarkStart w:id="0" w:name="_Toc292439100"/>
      <w:bookmarkStart w:id="1" w:name="_GoBack"/>
      <w:bookmarkEnd w:id="1"/>
    </w:p>
    <w:p w:rsidR="00873278" w:rsidRDefault="00CE7692" w:rsidP="00873278">
      <w:pPr>
        <w:pStyle w:val="BodyText"/>
        <w:spacing w:after="1920"/>
        <w:ind w:left="1440"/>
        <w:jc w:val="right"/>
        <w:rPr>
          <w:lang w:val="en-AU"/>
        </w:rPr>
      </w:pPr>
      <w:r w:rsidRPr="003408A6">
        <w:rPr>
          <w:noProof/>
          <w:lang w:val="en-AU" w:eastAsia="en-AU"/>
        </w:rPr>
        <w:drawing>
          <wp:inline distT="0" distB="0" distL="0" distR="0" wp14:anchorId="6CA91E43" wp14:editId="2EFAE827">
            <wp:extent cx="2743200" cy="1086485"/>
            <wp:effectExtent l="0" t="0" r="0" b="0"/>
            <wp:docPr id="6" name="Picture 6" descr="NCIRS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IRS 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086485"/>
                    </a:xfrm>
                    <a:prstGeom prst="rect">
                      <a:avLst/>
                    </a:prstGeom>
                    <a:noFill/>
                    <a:ln>
                      <a:noFill/>
                    </a:ln>
                  </pic:spPr>
                </pic:pic>
              </a:graphicData>
            </a:graphic>
          </wp:inline>
        </w:drawing>
      </w:r>
    </w:p>
    <w:p w:rsidR="00CE7692" w:rsidRPr="003408A6" w:rsidRDefault="00873278" w:rsidP="00873278">
      <w:pPr>
        <w:pStyle w:val="BodyText"/>
        <w:spacing w:after="3720"/>
        <w:ind w:left="1440" w:hanging="2291"/>
        <w:jc w:val="right"/>
      </w:pPr>
      <w:r w:rsidRPr="003408A6">
        <w:rPr>
          <w:noProof/>
          <w:lang w:val="en-AU" w:eastAsia="en-AU"/>
        </w:rPr>
        <mc:AlternateContent>
          <mc:Choice Requires="wps">
            <w:drawing>
              <wp:inline distT="0" distB="0" distL="0" distR="0" wp14:anchorId="59A51226" wp14:editId="2CB62528">
                <wp:extent cx="7569642" cy="2971800"/>
                <wp:effectExtent l="0" t="0" r="1270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642" cy="2971800"/>
                        </a:xfrm>
                        <a:prstGeom prst="rect">
                          <a:avLst/>
                        </a:prstGeom>
                        <a:solidFill>
                          <a:srgbClr val="333333"/>
                        </a:solidFill>
                        <a:ln w="9525">
                          <a:solidFill>
                            <a:srgbClr val="333333"/>
                          </a:solidFill>
                          <a:miter lim="800000"/>
                          <a:headEnd/>
                          <a:tailEnd/>
                        </a:ln>
                      </wps:spPr>
                      <wps:txbx>
                        <w:txbxContent>
                          <w:p w:rsidR="006F06C9" w:rsidRPr="007C6421" w:rsidRDefault="006F06C9" w:rsidP="00873278">
                            <w:pPr>
                              <w:pStyle w:val="Coverpagebannerfont"/>
                              <w:spacing w:before="240"/>
                              <w:rPr>
                                <w:sz w:val="56"/>
                                <w:szCs w:val="56"/>
                              </w:rPr>
                            </w:pPr>
                            <w:r w:rsidRPr="007C6421">
                              <w:rPr>
                                <w:sz w:val="56"/>
                                <w:szCs w:val="56"/>
                              </w:rPr>
                              <w:t>Evaluation of the National</w:t>
                            </w:r>
                          </w:p>
                          <w:p w:rsidR="006F06C9" w:rsidRPr="007C6421" w:rsidRDefault="006F06C9" w:rsidP="00873278">
                            <w:pPr>
                              <w:pStyle w:val="Coverpagebannerfont"/>
                              <w:spacing w:before="240"/>
                              <w:rPr>
                                <w:sz w:val="56"/>
                                <w:szCs w:val="56"/>
                              </w:rPr>
                            </w:pPr>
                            <w:r w:rsidRPr="007C6421">
                              <w:rPr>
                                <w:sz w:val="56"/>
                                <w:szCs w:val="56"/>
                              </w:rPr>
                              <w:t>Human Papillomavirus</w:t>
                            </w:r>
                          </w:p>
                          <w:p w:rsidR="006F06C9" w:rsidRPr="007C6421" w:rsidRDefault="006F06C9" w:rsidP="00873278">
                            <w:pPr>
                              <w:pStyle w:val="Coverpagebannerfont"/>
                              <w:spacing w:before="240"/>
                              <w:rPr>
                                <w:sz w:val="56"/>
                                <w:szCs w:val="56"/>
                              </w:rPr>
                            </w:pPr>
                            <w:r w:rsidRPr="007C6421">
                              <w:rPr>
                                <w:sz w:val="56"/>
                                <w:szCs w:val="56"/>
                              </w:rPr>
                              <w:t>Vaccination Program</w:t>
                            </w:r>
                          </w:p>
                          <w:p w:rsidR="006F06C9" w:rsidRDefault="006F06C9" w:rsidP="00873278">
                            <w:pPr>
                              <w:pStyle w:val="Coverpagebannerfont"/>
                              <w:spacing w:before="240"/>
                            </w:pPr>
                            <w:r>
                              <w:rPr>
                                <w:sz w:val="48"/>
                                <w:szCs w:val="48"/>
                              </w:rPr>
                              <w:t>FINAL REPORT</w:t>
                            </w:r>
                          </w:p>
                          <w:p w:rsidR="006F06C9" w:rsidRDefault="006F06C9" w:rsidP="00873278">
                            <w:pPr>
                              <w:jc w:val="center"/>
                            </w:pPr>
                          </w:p>
                        </w:txbxContent>
                      </wps:txbx>
                      <wps:bodyPr rot="0" vert="horz" wrap="square" lIns="91440" tIns="360000" rIns="91440" bIns="360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596.0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" fillcolor="#333" strokecolor="#333">
                <v:textbox inset=",10mm,,10mm">
                  <w:txbxContent>
                    <w:p w:rsidR="006F06C9" w:rsidRPr="007C6421" w:rsidRDefault="006F06C9" w:rsidP="00873278">
                      <w:pPr>
                        <w:pStyle w:val="Coverpagebannerfont"/>
                        <w:spacing w:before="240"/>
                        <w:rPr>
                          <w:sz w:val="56"/>
                          <w:szCs w:val="56"/>
                        </w:rPr>
                      </w:pPr>
                      <w:r w:rsidRPr="007C6421">
                        <w:rPr>
                          <w:sz w:val="56"/>
                          <w:szCs w:val="56"/>
                        </w:rPr>
                        <w:t>Evaluation of the National</w:t>
                      </w:r>
                    </w:p>
                    <w:p w:rsidR="006F06C9" w:rsidRPr="007C6421" w:rsidRDefault="006F06C9" w:rsidP="00873278">
                      <w:pPr>
                        <w:pStyle w:val="Coverpagebannerfont"/>
                        <w:spacing w:before="240"/>
                        <w:rPr>
                          <w:sz w:val="56"/>
                          <w:szCs w:val="56"/>
                        </w:rPr>
                      </w:pPr>
                      <w:r w:rsidRPr="007C6421">
                        <w:rPr>
                          <w:sz w:val="56"/>
                          <w:szCs w:val="56"/>
                        </w:rPr>
                        <w:t>Human Papillomavirus</w:t>
                      </w:r>
                    </w:p>
                    <w:p w:rsidR="006F06C9" w:rsidRPr="007C6421" w:rsidRDefault="006F06C9" w:rsidP="00873278">
                      <w:pPr>
                        <w:pStyle w:val="Coverpagebannerfont"/>
                        <w:spacing w:before="240"/>
                        <w:rPr>
                          <w:sz w:val="56"/>
                          <w:szCs w:val="56"/>
                        </w:rPr>
                      </w:pPr>
                      <w:r w:rsidRPr="007C6421">
                        <w:rPr>
                          <w:sz w:val="56"/>
                          <w:szCs w:val="56"/>
                        </w:rPr>
                        <w:t>Vaccination Program</w:t>
                      </w:r>
                    </w:p>
                    <w:p w:rsidR="006F06C9" w:rsidRDefault="006F06C9" w:rsidP="00873278">
                      <w:pPr>
                        <w:pStyle w:val="Coverpagebannerfont"/>
                        <w:spacing w:before="240"/>
                      </w:pPr>
                      <w:r>
                        <w:rPr>
                          <w:sz w:val="48"/>
                          <w:szCs w:val="48"/>
                        </w:rPr>
                        <w:t>FINAL REPORT</w:t>
                      </w:r>
                    </w:p>
                    <w:p w:rsidR="006F06C9" w:rsidRDefault="006F06C9" w:rsidP="00873278">
                      <w:pPr>
                        <w:jc w:val="center"/>
                      </w:pPr>
                    </w:p>
                  </w:txbxContent>
                </v:textbox>
                <w10:anchorlock/>
              </v:shape>
            </w:pict>
          </mc:Fallback>
        </mc:AlternateContent>
      </w:r>
      <w:r w:rsidR="00707C6F" w:rsidRPr="003408A6">
        <w:rPr>
          <w:noProof/>
          <w:lang w:val="en-AU" w:eastAsia="en-AU"/>
        </w:rPr>
        <mc:AlternateContent>
          <mc:Choice Requires="wps">
            <w:drawing>
              <wp:inline distT="0" distB="0" distL="0" distR="0" wp14:anchorId="11A84558" wp14:editId="7F78F29B">
                <wp:extent cx="11123599" cy="1422400"/>
                <wp:effectExtent l="0" t="0" r="1905" b="63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3599" cy="142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6C9" w:rsidRDefault="006F06C9" w:rsidP="00873278">
                            <w:pPr>
                              <w:pStyle w:val="BodyText"/>
                              <w:ind w:left="-2410"/>
                              <w:jc w:val="center"/>
                            </w:pPr>
                          </w:p>
                          <w:p w:rsidR="006F06C9" w:rsidRPr="00D96576" w:rsidRDefault="006F06C9" w:rsidP="00873278">
                            <w:pPr>
                              <w:pStyle w:val="BodyText"/>
                              <w:ind w:left="1440" w:firstLine="720"/>
                              <w:rPr>
                                <w:sz w:val="36"/>
                                <w:szCs w:val="36"/>
                              </w:rPr>
                            </w:pPr>
                            <w:r>
                              <w:rPr>
                                <w:sz w:val="36"/>
                                <w:szCs w:val="36"/>
                              </w:rPr>
                              <w:t xml:space="preserve">28 August </w:t>
                            </w:r>
                            <w:r w:rsidRPr="00D96576">
                              <w:rPr>
                                <w:sz w:val="36"/>
                                <w:szCs w:val="36"/>
                              </w:rPr>
                              <w:t>2014</w:t>
                            </w:r>
                          </w:p>
                          <w:p w:rsidR="006F06C9" w:rsidRDefault="006F06C9"/>
                        </w:txbxContent>
                      </wps:txbx>
                      <wps:bodyPr rot="0" vert="horz" wrap="square" lIns="91440" tIns="45720" rIns="91440" bIns="45720" anchor="t" anchorCtr="0" upright="1">
                        <a:noAutofit/>
                      </wps:bodyPr>
                    </wps:wsp>
                  </a:graphicData>
                </a:graphic>
              </wp:inline>
            </w:drawing>
          </mc:Choice>
          <mc:Fallback>
            <w:pict>
              <v:shape id="Text Box 5" o:spid="_x0000_s1027" type="#_x0000_t202" style="width:875.8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" stroked="f">
                <v:textbox>
                  <w:txbxContent>
                    <w:p w:rsidR="006F06C9" w:rsidRDefault="006F06C9" w:rsidP="00873278">
                      <w:pPr>
                        <w:pStyle w:val="BodyText"/>
                        <w:ind w:left="-2410"/>
                        <w:jc w:val="center"/>
                      </w:pPr>
                    </w:p>
                    <w:p w:rsidR="006F06C9" w:rsidRPr="00D96576" w:rsidRDefault="006F06C9" w:rsidP="00873278">
                      <w:pPr>
                        <w:pStyle w:val="BodyText"/>
                        <w:ind w:left="1440" w:firstLine="720"/>
                        <w:rPr>
                          <w:sz w:val="36"/>
                          <w:szCs w:val="36"/>
                        </w:rPr>
                      </w:pPr>
                      <w:r>
                        <w:rPr>
                          <w:sz w:val="36"/>
                          <w:szCs w:val="36"/>
                        </w:rPr>
                        <w:t xml:space="preserve">28 August </w:t>
                      </w:r>
                      <w:r w:rsidRPr="00D96576">
                        <w:rPr>
                          <w:sz w:val="36"/>
                          <w:szCs w:val="36"/>
                        </w:rPr>
                        <w:t>2014</w:t>
                      </w:r>
                    </w:p>
                    <w:p w:rsidR="006F06C9" w:rsidRDefault="006F06C9"/>
                  </w:txbxContent>
                </v:textbox>
                <w10:anchorlock/>
              </v:shape>
            </w:pict>
          </mc:Fallback>
        </mc:AlternateContent>
      </w:r>
    </w:p>
    <w:p w:rsidR="00707C6F" w:rsidRPr="003408A6" w:rsidRDefault="00707C6F" w:rsidP="00CE0A90">
      <w:pPr>
        <w:spacing w:line="360" w:lineRule="auto"/>
        <w:rPr>
          <w:rFonts w:cs="Arial"/>
          <w:szCs w:val="22"/>
        </w:rPr>
        <w:sectPr w:rsidR="00707C6F" w:rsidRPr="003408A6" w:rsidSect="00D07C02">
          <w:footerReference w:type="default" r:id="rId10"/>
          <w:pgSz w:w="11906" w:h="16838"/>
          <w:pgMar w:top="851" w:right="851" w:bottom="851" w:left="851" w:header="709" w:footer="709" w:gutter="0"/>
          <w:cols w:space="708"/>
          <w:titlePg/>
          <w:docGrid w:linePitch="360"/>
        </w:sectPr>
      </w:pPr>
    </w:p>
    <w:p w:rsidR="002614F6" w:rsidRPr="003408A6" w:rsidRDefault="002614F6" w:rsidP="00AF34E5">
      <w:pPr>
        <w:pStyle w:val="BodyText"/>
        <w:rPr>
          <w:lang w:val="en-AU"/>
        </w:rPr>
      </w:pPr>
      <w:r w:rsidRPr="003408A6">
        <w:rPr>
          <w:lang w:val="en-AU"/>
        </w:rPr>
        <w:lastRenderedPageBreak/>
        <w:br w:type="page"/>
      </w:r>
    </w:p>
    <w:p w:rsidR="0085789A" w:rsidRPr="003408A6" w:rsidRDefault="0085789A" w:rsidP="006D1A8B">
      <w:pPr>
        <w:pStyle w:val="Contentsheading"/>
      </w:pPr>
      <w:r w:rsidRPr="003408A6">
        <w:t xml:space="preserve">Contents </w:t>
      </w:r>
    </w:p>
    <w:p w:rsidR="00FD0E25" w:rsidRDefault="00DF61E4">
      <w:pPr>
        <w:pStyle w:val="TOC1"/>
        <w:rPr>
          <w:rFonts w:asciiTheme="minorHAnsi" w:eastAsiaTheme="minorEastAsia" w:hAnsiTheme="minorHAnsi" w:cstheme="minorBidi"/>
          <w:noProof/>
          <w:szCs w:val="22"/>
        </w:rPr>
      </w:pPr>
      <w:r w:rsidRPr="003408A6">
        <w:rPr>
          <w:szCs w:val="22"/>
        </w:rPr>
        <w:fldChar w:fldCharType="begin"/>
      </w:r>
      <w:r w:rsidRPr="003408A6">
        <w:rPr>
          <w:szCs w:val="22"/>
        </w:rPr>
        <w:instrText xml:space="preserve"> TOC \h \z \t "Heading 1,1,Heading 2,2" </w:instrText>
      </w:r>
      <w:r w:rsidRPr="003408A6">
        <w:rPr>
          <w:szCs w:val="22"/>
        </w:rPr>
        <w:fldChar w:fldCharType="separate"/>
      </w:r>
      <w:hyperlink w:anchor="_Toc396926109" w:history="1">
        <w:r w:rsidR="00FD0E25" w:rsidRPr="00A82CC3">
          <w:rPr>
            <w:rStyle w:val="Hyperlink"/>
            <w:noProof/>
          </w:rPr>
          <w:t>Acknowledgements</w:t>
        </w:r>
        <w:r w:rsidR="00FD0E25">
          <w:rPr>
            <w:noProof/>
            <w:webHidden/>
          </w:rPr>
          <w:tab/>
        </w:r>
        <w:r w:rsidR="00FD0E25">
          <w:rPr>
            <w:noProof/>
            <w:webHidden/>
          </w:rPr>
          <w:fldChar w:fldCharType="begin"/>
        </w:r>
        <w:r w:rsidR="00FD0E25">
          <w:rPr>
            <w:noProof/>
            <w:webHidden/>
          </w:rPr>
          <w:instrText xml:space="preserve"> PAGEREF _Toc396926109 \h </w:instrText>
        </w:r>
        <w:r w:rsidR="00FD0E25">
          <w:rPr>
            <w:noProof/>
            <w:webHidden/>
          </w:rPr>
        </w:r>
        <w:r w:rsidR="00FD0E25">
          <w:rPr>
            <w:noProof/>
            <w:webHidden/>
          </w:rPr>
          <w:fldChar w:fldCharType="separate"/>
        </w:r>
        <w:r w:rsidR="003D0CAF">
          <w:rPr>
            <w:noProof/>
            <w:webHidden/>
          </w:rPr>
          <w:t>5</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10" w:history="1">
        <w:r w:rsidR="00FD0E25" w:rsidRPr="00A82CC3">
          <w:rPr>
            <w:rStyle w:val="Hyperlink"/>
            <w:noProof/>
          </w:rPr>
          <w:t>List of tables</w:t>
        </w:r>
        <w:r w:rsidR="00FD0E25">
          <w:rPr>
            <w:noProof/>
            <w:webHidden/>
          </w:rPr>
          <w:tab/>
        </w:r>
        <w:r w:rsidR="00FD0E25">
          <w:rPr>
            <w:noProof/>
            <w:webHidden/>
          </w:rPr>
          <w:fldChar w:fldCharType="begin"/>
        </w:r>
        <w:r w:rsidR="00FD0E25">
          <w:rPr>
            <w:noProof/>
            <w:webHidden/>
          </w:rPr>
          <w:instrText xml:space="preserve"> PAGEREF _Toc396926110 \h </w:instrText>
        </w:r>
        <w:r w:rsidR="00FD0E25">
          <w:rPr>
            <w:noProof/>
            <w:webHidden/>
          </w:rPr>
        </w:r>
        <w:r w:rsidR="00FD0E25">
          <w:rPr>
            <w:noProof/>
            <w:webHidden/>
          </w:rPr>
          <w:fldChar w:fldCharType="separate"/>
        </w:r>
        <w:r w:rsidR="003D0CAF">
          <w:rPr>
            <w:noProof/>
            <w:webHidden/>
          </w:rPr>
          <w:t>8</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11" w:history="1">
        <w:r w:rsidR="00FD0E25" w:rsidRPr="00A82CC3">
          <w:rPr>
            <w:rStyle w:val="Hyperlink"/>
            <w:noProof/>
          </w:rPr>
          <w:t>List of figures</w:t>
        </w:r>
        <w:r w:rsidR="00FD0E25">
          <w:rPr>
            <w:noProof/>
            <w:webHidden/>
          </w:rPr>
          <w:tab/>
        </w:r>
        <w:r w:rsidR="00FD0E25">
          <w:rPr>
            <w:noProof/>
            <w:webHidden/>
          </w:rPr>
          <w:fldChar w:fldCharType="begin"/>
        </w:r>
        <w:r w:rsidR="00FD0E25">
          <w:rPr>
            <w:noProof/>
            <w:webHidden/>
          </w:rPr>
          <w:instrText xml:space="preserve"> PAGEREF _Toc396926111 \h </w:instrText>
        </w:r>
        <w:r w:rsidR="00FD0E25">
          <w:rPr>
            <w:noProof/>
            <w:webHidden/>
          </w:rPr>
        </w:r>
        <w:r w:rsidR="00FD0E25">
          <w:rPr>
            <w:noProof/>
            <w:webHidden/>
          </w:rPr>
          <w:fldChar w:fldCharType="separate"/>
        </w:r>
        <w:r w:rsidR="003D0CAF">
          <w:rPr>
            <w:noProof/>
            <w:webHidden/>
          </w:rPr>
          <w:t>10</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12" w:history="1">
        <w:r w:rsidR="00FD0E25" w:rsidRPr="00A82CC3">
          <w:rPr>
            <w:rStyle w:val="Hyperlink"/>
            <w:noProof/>
          </w:rPr>
          <w:t>Abbreviations</w:t>
        </w:r>
        <w:r w:rsidR="00FD0E25">
          <w:rPr>
            <w:noProof/>
            <w:webHidden/>
          </w:rPr>
          <w:tab/>
        </w:r>
        <w:r w:rsidR="00FD0E25">
          <w:rPr>
            <w:noProof/>
            <w:webHidden/>
          </w:rPr>
          <w:fldChar w:fldCharType="begin"/>
        </w:r>
        <w:r w:rsidR="00FD0E25">
          <w:rPr>
            <w:noProof/>
            <w:webHidden/>
          </w:rPr>
          <w:instrText xml:space="preserve"> PAGEREF _Toc396926112 \h </w:instrText>
        </w:r>
        <w:r w:rsidR="00FD0E25">
          <w:rPr>
            <w:noProof/>
            <w:webHidden/>
          </w:rPr>
        </w:r>
        <w:r w:rsidR="00FD0E25">
          <w:rPr>
            <w:noProof/>
            <w:webHidden/>
          </w:rPr>
          <w:fldChar w:fldCharType="separate"/>
        </w:r>
        <w:r w:rsidR="003D0CAF">
          <w:rPr>
            <w:noProof/>
            <w:webHidden/>
          </w:rPr>
          <w:t>12</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13" w:history="1">
        <w:r w:rsidR="00FD0E25" w:rsidRPr="00A82CC3">
          <w:rPr>
            <w:rStyle w:val="Hyperlink"/>
            <w:noProof/>
          </w:rPr>
          <w:t>Executive summary</w:t>
        </w:r>
        <w:r w:rsidR="00FD0E25">
          <w:rPr>
            <w:noProof/>
            <w:webHidden/>
          </w:rPr>
          <w:tab/>
        </w:r>
        <w:r w:rsidR="00FD0E25">
          <w:rPr>
            <w:noProof/>
            <w:webHidden/>
          </w:rPr>
          <w:fldChar w:fldCharType="begin"/>
        </w:r>
        <w:r w:rsidR="00FD0E25">
          <w:rPr>
            <w:noProof/>
            <w:webHidden/>
          </w:rPr>
          <w:instrText xml:space="preserve"> PAGEREF _Toc396926113 \h </w:instrText>
        </w:r>
        <w:r w:rsidR="00FD0E25">
          <w:rPr>
            <w:noProof/>
            <w:webHidden/>
          </w:rPr>
        </w:r>
        <w:r w:rsidR="00FD0E25">
          <w:rPr>
            <w:noProof/>
            <w:webHidden/>
          </w:rPr>
          <w:fldChar w:fldCharType="separate"/>
        </w:r>
        <w:r w:rsidR="003D0CAF">
          <w:rPr>
            <w:noProof/>
            <w:webHidden/>
          </w:rPr>
          <w:t>14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14" w:history="1">
        <w:r w:rsidR="00FD0E25" w:rsidRPr="00A82CC3">
          <w:rPr>
            <w:rStyle w:val="Hyperlink"/>
            <w:noProof/>
          </w:rPr>
          <w:t>Background</w:t>
        </w:r>
        <w:r w:rsidR="00FD0E25">
          <w:rPr>
            <w:noProof/>
            <w:webHidden/>
          </w:rPr>
          <w:tab/>
        </w:r>
        <w:r w:rsidR="00FD0E25">
          <w:rPr>
            <w:noProof/>
            <w:webHidden/>
          </w:rPr>
          <w:fldChar w:fldCharType="begin"/>
        </w:r>
        <w:r w:rsidR="00FD0E25">
          <w:rPr>
            <w:noProof/>
            <w:webHidden/>
          </w:rPr>
          <w:instrText xml:space="preserve"> PAGEREF _Toc396926114 \h </w:instrText>
        </w:r>
        <w:r w:rsidR="00FD0E25">
          <w:rPr>
            <w:noProof/>
            <w:webHidden/>
          </w:rPr>
        </w:r>
        <w:r w:rsidR="00FD0E25">
          <w:rPr>
            <w:noProof/>
            <w:webHidden/>
          </w:rPr>
          <w:fldChar w:fldCharType="separate"/>
        </w:r>
        <w:r w:rsidR="003D0CAF">
          <w:rPr>
            <w:noProof/>
            <w:webHidden/>
          </w:rPr>
          <w:t>14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15" w:history="1">
        <w:r w:rsidR="00FD0E25" w:rsidRPr="00A82CC3">
          <w:rPr>
            <w:rStyle w:val="Hyperlink"/>
            <w:noProof/>
          </w:rPr>
          <w:t>Aims</w:t>
        </w:r>
        <w:r w:rsidR="00FD0E25">
          <w:rPr>
            <w:noProof/>
            <w:webHidden/>
          </w:rPr>
          <w:tab/>
        </w:r>
        <w:r w:rsidR="00FD0E25">
          <w:rPr>
            <w:noProof/>
            <w:webHidden/>
          </w:rPr>
          <w:fldChar w:fldCharType="begin"/>
        </w:r>
        <w:r w:rsidR="00FD0E25">
          <w:rPr>
            <w:noProof/>
            <w:webHidden/>
          </w:rPr>
          <w:instrText xml:space="preserve"> PAGEREF _Toc396926115 \h </w:instrText>
        </w:r>
        <w:r w:rsidR="00FD0E25">
          <w:rPr>
            <w:noProof/>
            <w:webHidden/>
          </w:rPr>
        </w:r>
        <w:r w:rsidR="00FD0E25">
          <w:rPr>
            <w:noProof/>
            <w:webHidden/>
          </w:rPr>
          <w:fldChar w:fldCharType="separate"/>
        </w:r>
        <w:r w:rsidR="003D0CAF">
          <w:rPr>
            <w:noProof/>
            <w:webHidden/>
          </w:rPr>
          <w:t>14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16" w:history="1">
        <w:r w:rsidR="00FD0E25" w:rsidRPr="00A82CC3">
          <w:rPr>
            <w:rStyle w:val="Hyperlink"/>
            <w:noProof/>
          </w:rPr>
          <w:t>Methods</w:t>
        </w:r>
        <w:r w:rsidR="00FD0E25">
          <w:rPr>
            <w:noProof/>
            <w:webHidden/>
          </w:rPr>
          <w:tab/>
        </w:r>
        <w:r w:rsidR="00FD0E25">
          <w:rPr>
            <w:noProof/>
            <w:webHidden/>
          </w:rPr>
          <w:fldChar w:fldCharType="begin"/>
        </w:r>
        <w:r w:rsidR="00FD0E25">
          <w:rPr>
            <w:noProof/>
            <w:webHidden/>
          </w:rPr>
          <w:instrText xml:space="preserve"> PAGEREF _Toc396926116 \h </w:instrText>
        </w:r>
        <w:r w:rsidR="00FD0E25">
          <w:rPr>
            <w:noProof/>
            <w:webHidden/>
          </w:rPr>
        </w:r>
        <w:r w:rsidR="00FD0E25">
          <w:rPr>
            <w:noProof/>
            <w:webHidden/>
          </w:rPr>
          <w:fldChar w:fldCharType="separate"/>
        </w:r>
        <w:r w:rsidR="003D0CAF">
          <w:rPr>
            <w:noProof/>
            <w:webHidden/>
          </w:rPr>
          <w:t>14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17" w:history="1">
        <w:r w:rsidR="00FD0E25" w:rsidRPr="00A82CC3">
          <w:rPr>
            <w:rStyle w:val="Hyperlink"/>
            <w:noProof/>
          </w:rPr>
          <w:t>Results</w:t>
        </w:r>
        <w:r w:rsidR="00FD0E25">
          <w:rPr>
            <w:noProof/>
            <w:webHidden/>
          </w:rPr>
          <w:tab/>
        </w:r>
        <w:r w:rsidR="00FD0E25">
          <w:rPr>
            <w:noProof/>
            <w:webHidden/>
          </w:rPr>
          <w:fldChar w:fldCharType="begin"/>
        </w:r>
        <w:r w:rsidR="00FD0E25">
          <w:rPr>
            <w:noProof/>
            <w:webHidden/>
          </w:rPr>
          <w:instrText xml:space="preserve"> PAGEREF _Toc396926117 \h </w:instrText>
        </w:r>
        <w:r w:rsidR="00FD0E25">
          <w:rPr>
            <w:noProof/>
            <w:webHidden/>
          </w:rPr>
        </w:r>
        <w:r w:rsidR="00FD0E25">
          <w:rPr>
            <w:noProof/>
            <w:webHidden/>
          </w:rPr>
          <w:fldChar w:fldCharType="separate"/>
        </w:r>
        <w:r w:rsidR="003D0CAF">
          <w:rPr>
            <w:noProof/>
            <w:webHidden/>
          </w:rPr>
          <w:t>17</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18" w:history="1">
        <w:r w:rsidR="00FD0E25" w:rsidRPr="00A82CC3">
          <w:rPr>
            <w:rStyle w:val="Hyperlink"/>
            <w:noProof/>
          </w:rPr>
          <w:t>Conclusion</w:t>
        </w:r>
        <w:r w:rsidR="00FD0E25">
          <w:rPr>
            <w:noProof/>
            <w:webHidden/>
          </w:rPr>
          <w:tab/>
        </w:r>
        <w:r w:rsidR="00FD0E25">
          <w:rPr>
            <w:noProof/>
            <w:webHidden/>
          </w:rPr>
          <w:fldChar w:fldCharType="begin"/>
        </w:r>
        <w:r w:rsidR="00FD0E25">
          <w:rPr>
            <w:noProof/>
            <w:webHidden/>
          </w:rPr>
          <w:instrText xml:space="preserve"> PAGEREF _Toc396926118 \h </w:instrText>
        </w:r>
        <w:r w:rsidR="00FD0E25">
          <w:rPr>
            <w:noProof/>
            <w:webHidden/>
          </w:rPr>
        </w:r>
        <w:r w:rsidR="00FD0E25">
          <w:rPr>
            <w:noProof/>
            <w:webHidden/>
          </w:rPr>
          <w:fldChar w:fldCharType="separate"/>
        </w:r>
        <w:r w:rsidR="003D0CAF">
          <w:rPr>
            <w:noProof/>
            <w:webHidden/>
          </w:rPr>
          <w:t>22</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19" w:history="1">
        <w:r w:rsidR="00FD0E25" w:rsidRPr="00A82CC3">
          <w:rPr>
            <w:rStyle w:val="Hyperlink"/>
            <w:noProof/>
          </w:rPr>
          <w:t>CHAPTER 1. Introduction</w:t>
        </w:r>
        <w:r w:rsidR="00FD0E25">
          <w:rPr>
            <w:noProof/>
            <w:webHidden/>
          </w:rPr>
          <w:tab/>
        </w:r>
        <w:r w:rsidR="00FD0E25">
          <w:rPr>
            <w:noProof/>
            <w:webHidden/>
          </w:rPr>
          <w:fldChar w:fldCharType="begin"/>
        </w:r>
        <w:r w:rsidR="00FD0E25">
          <w:rPr>
            <w:noProof/>
            <w:webHidden/>
          </w:rPr>
          <w:instrText xml:space="preserve"> PAGEREF _Toc396926119 \h </w:instrText>
        </w:r>
        <w:r w:rsidR="00FD0E25">
          <w:rPr>
            <w:noProof/>
            <w:webHidden/>
          </w:rPr>
        </w:r>
        <w:r w:rsidR="00FD0E25">
          <w:rPr>
            <w:noProof/>
            <w:webHidden/>
          </w:rPr>
          <w:fldChar w:fldCharType="separate"/>
        </w:r>
        <w:r w:rsidR="003D0CAF">
          <w:rPr>
            <w:noProof/>
            <w:webHidden/>
          </w:rPr>
          <w:t>23</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20" w:history="1">
        <w:r w:rsidR="00FD0E25" w:rsidRPr="00A82CC3">
          <w:rPr>
            <w:rStyle w:val="Hyperlink"/>
            <w:noProof/>
          </w:rPr>
          <w:t>CHAPTER 2. Process evaluation</w:t>
        </w:r>
        <w:r w:rsidR="00FD0E25">
          <w:rPr>
            <w:noProof/>
            <w:webHidden/>
          </w:rPr>
          <w:tab/>
        </w:r>
        <w:r w:rsidR="00FD0E25">
          <w:rPr>
            <w:noProof/>
            <w:webHidden/>
          </w:rPr>
          <w:fldChar w:fldCharType="begin"/>
        </w:r>
        <w:r w:rsidR="00FD0E25">
          <w:rPr>
            <w:noProof/>
            <w:webHidden/>
          </w:rPr>
          <w:instrText xml:space="preserve"> PAGEREF _Toc396926120 \h </w:instrText>
        </w:r>
        <w:r w:rsidR="00FD0E25">
          <w:rPr>
            <w:noProof/>
            <w:webHidden/>
          </w:rPr>
        </w:r>
        <w:r w:rsidR="00FD0E25">
          <w:rPr>
            <w:noProof/>
            <w:webHidden/>
          </w:rPr>
          <w:fldChar w:fldCharType="separate"/>
        </w:r>
        <w:r w:rsidR="003D0CAF">
          <w:rPr>
            <w:noProof/>
            <w:webHidden/>
          </w:rPr>
          <w:t>27</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1" w:history="1">
        <w:r w:rsidR="00FD0E25" w:rsidRPr="00A82CC3">
          <w:rPr>
            <w:rStyle w:val="Hyperlink"/>
            <w:noProof/>
          </w:rPr>
          <w:t>Aims</w:t>
        </w:r>
        <w:r w:rsidR="00FD0E25">
          <w:rPr>
            <w:noProof/>
            <w:webHidden/>
          </w:rPr>
          <w:tab/>
        </w:r>
        <w:r w:rsidR="00FD0E25">
          <w:rPr>
            <w:noProof/>
            <w:webHidden/>
          </w:rPr>
          <w:fldChar w:fldCharType="begin"/>
        </w:r>
        <w:r w:rsidR="00FD0E25">
          <w:rPr>
            <w:noProof/>
            <w:webHidden/>
          </w:rPr>
          <w:instrText xml:space="preserve"> PAGEREF _Toc396926121 \h </w:instrText>
        </w:r>
        <w:r w:rsidR="00FD0E25">
          <w:rPr>
            <w:noProof/>
            <w:webHidden/>
          </w:rPr>
        </w:r>
        <w:r w:rsidR="00FD0E25">
          <w:rPr>
            <w:noProof/>
            <w:webHidden/>
          </w:rPr>
          <w:fldChar w:fldCharType="separate"/>
        </w:r>
        <w:r w:rsidR="003D0CAF">
          <w:rPr>
            <w:noProof/>
            <w:webHidden/>
          </w:rPr>
          <w:t>28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2" w:history="1">
        <w:r w:rsidR="00FD0E25" w:rsidRPr="00A82CC3">
          <w:rPr>
            <w:rStyle w:val="Hyperlink"/>
            <w:noProof/>
          </w:rPr>
          <w:t>Methods</w:t>
        </w:r>
        <w:r w:rsidR="00FD0E25">
          <w:rPr>
            <w:noProof/>
            <w:webHidden/>
          </w:rPr>
          <w:tab/>
        </w:r>
        <w:r w:rsidR="00FD0E25">
          <w:rPr>
            <w:noProof/>
            <w:webHidden/>
          </w:rPr>
          <w:fldChar w:fldCharType="begin"/>
        </w:r>
        <w:r w:rsidR="00FD0E25">
          <w:rPr>
            <w:noProof/>
            <w:webHidden/>
          </w:rPr>
          <w:instrText xml:space="preserve"> PAGEREF _Toc396926122 \h </w:instrText>
        </w:r>
        <w:r w:rsidR="00FD0E25">
          <w:rPr>
            <w:noProof/>
            <w:webHidden/>
          </w:rPr>
        </w:r>
        <w:r w:rsidR="00FD0E25">
          <w:rPr>
            <w:noProof/>
            <w:webHidden/>
          </w:rPr>
          <w:fldChar w:fldCharType="separate"/>
        </w:r>
        <w:r w:rsidR="003D0CAF">
          <w:rPr>
            <w:noProof/>
            <w:webHidden/>
          </w:rPr>
          <w:t>28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3" w:history="1">
        <w:r w:rsidR="00FD0E25" w:rsidRPr="00A82CC3">
          <w:rPr>
            <w:rStyle w:val="Hyperlink"/>
            <w:noProof/>
          </w:rPr>
          <w:t>Results</w:t>
        </w:r>
        <w:r w:rsidR="00FD0E25">
          <w:rPr>
            <w:noProof/>
            <w:webHidden/>
          </w:rPr>
          <w:tab/>
        </w:r>
        <w:r w:rsidR="00FD0E25">
          <w:rPr>
            <w:noProof/>
            <w:webHidden/>
          </w:rPr>
          <w:fldChar w:fldCharType="begin"/>
        </w:r>
        <w:r w:rsidR="00FD0E25">
          <w:rPr>
            <w:noProof/>
            <w:webHidden/>
          </w:rPr>
          <w:instrText xml:space="preserve"> PAGEREF _Toc396926123 \h </w:instrText>
        </w:r>
        <w:r w:rsidR="00FD0E25">
          <w:rPr>
            <w:noProof/>
            <w:webHidden/>
          </w:rPr>
        </w:r>
        <w:r w:rsidR="00FD0E25">
          <w:rPr>
            <w:noProof/>
            <w:webHidden/>
          </w:rPr>
          <w:fldChar w:fldCharType="separate"/>
        </w:r>
        <w:r w:rsidR="003D0CAF">
          <w:rPr>
            <w:noProof/>
            <w:webHidden/>
          </w:rPr>
          <w:t>31</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24" w:history="1">
        <w:r w:rsidR="00FD0E25" w:rsidRPr="00A82CC3">
          <w:rPr>
            <w:rStyle w:val="Hyperlink"/>
            <w:noProof/>
          </w:rPr>
          <w:t>CHAPTER 3. Vaccination coverage</w:t>
        </w:r>
        <w:r w:rsidR="00FD0E25">
          <w:rPr>
            <w:noProof/>
            <w:webHidden/>
          </w:rPr>
          <w:tab/>
        </w:r>
        <w:r w:rsidR="00FD0E25">
          <w:rPr>
            <w:noProof/>
            <w:webHidden/>
          </w:rPr>
          <w:fldChar w:fldCharType="begin"/>
        </w:r>
        <w:r w:rsidR="00FD0E25">
          <w:rPr>
            <w:noProof/>
            <w:webHidden/>
          </w:rPr>
          <w:instrText xml:space="preserve"> PAGEREF _Toc396926124 \h </w:instrText>
        </w:r>
        <w:r w:rsidR="00FD0E25">
          <w:rPr>
            <w:noProof/>
            <w:webHidden/>
          </w:rPr>
        </w:r>
        <w:r w:rsidR="00FD0E25">
          <w:rPr>
            <w:noProof/>
            <w:webHidden/>
          </w:rPr>
          <w:fldChar w:fldCharType="separate"/>
        </w:r>
        <w:r w:rsidR="003D0CAF">
          <w:rPr>
            <w:noProof/>
            <w:webHidden/>
          </w:rPr>
          <w:t>80</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5" w:history="1">
        <w:r w:rsidR="00FD0E25" w:rsidRPr="00A82CC3">
          <w:rPr>
            <w:rStyle w:val="Hyperlink"/>
            <w:rFonts w:eastAsia="Calibri"/>
            <w:noProof/>
            <w:lang w:eastAsia="en-US"/>
          </w:rPr>
          <w:t>Introduction</w:t>
        </w:r>
        <w:r w:rsidR="00FD0E25">
          <w:rPr>
            <w:noProof/>
            <w:webHidden/>
          </w:rPr>
          <w:tab/>
        </w:r>
        <w:r w:rsidR="00FD0E25">
          <w:rPr>
            <w:noProof/>
            <w:webHidden/>
          </w:rPr>
          <w:fldChar w:fldCharType="begin"/>
        </w:r>
        <w:r w:rsidR="00FD0E25">
          <w:rPr>
            <w:noProof/>
            <w:webHidden/>
          </w:rPr>
          <w:instrText xml:space="preserve"> PAGEREF _Toc396926125 \h </w:instrText>
        </w:r>
        <w:r w:rsidR="00FD0E25">
          <w:rPr>
            <w:noProof/>
            <w:webHidden/>
          </w:rPr>
        </w:r>
        <w:r w:rsidR="00FD0E25">
          <w:rPr>
            <w:noProof/>
            <w:webHidden/>
          </w:rPr>
          <w:fldChar w:fldCharType="separate"/>
        </w:r>
        <w:r w:rsidR="003D0CAF">
          <w:rPr>
            <w:noProof/>
            <w:webHidden/>
          </w:rPr>
          <w:t>81</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6" w:history="1">
        <w:r w:rsidR="00FD0E25" w:rsidRPr="00A82CC3">
          <w:rPr>
            <w:rStyle w:val="Hyperlink"/>
            <w:rFonts w:eastAsia="Calibri"/>
            <w:noProof/>
            <w:lang w:eastAsia="en-US"/>
          </w:rPr>
          <w:t>Methods</w:t>
        </w:r>
        <w:r w:rsidR="00FD0E25">
          <w:rPr>
            <w:noProof/>
            <w:webHidden/>
          </w:rPr>
          <w:tab/>
        </w:r>
        <w:r w:rsidR="00FD0E25">
          <w:rPr>
            <w:noProof/>
            <w:webHidden/>
          </w:rPr>
          <w:fldChar w:fldCharType="begin"/>
        </w:r>
        <w:r w:rsidR="00FD0E25">
          <w:rPr>
            <w:noProof/>
            <w:webHidden/>
          </w:rPr>
          <w:instrText xml:space="preserve"> PAGEREF _Toc396926126 \h </w:instrText>
        </w:r>
        <w:r w:rsidR="00FD0E25">
          <w:rPr>
            <w:noProof/>
            <w:webHidden/>
          </w:rPr>
        </w:r>
        <w:r w:rsidR="00FD0E25">
          <w:rPr>
            <w:noProof/>
            <w:webHidden/>
          </w:rPr>
          <w:fldChar w:fldCharType="separate"/>
        </w:r>
        <w:r w:rsidR="003D0CAF">
          <w:rPr>
            <w:noProof/>
            <w:webHidden/>
          </w:rPr>
          <w:t>82</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7" w:history="1">
        <w:r w:rsidR="00FD0E25" w:rsidRPr="00A82CC3">
          <w:rPr>
            <w:rStyle w:val="Hyperlink"/>
            <w:rFonts w:eastAsia="Calibri"/>
            <w:noProof/>
            <w:lang w:eastAsia="en-US"/>
          </w:rPr>
          <w:t>Results</w:t>
        </w:r>
        <w:r w:rsidR="00FD0E25">
          <w:rPr>
            <w:noProof/>
            <w:webHidden/>
          </w:rPr>
          <w:tab/>
        </w:r>
        <w:r w:rsidR="00FD0E25">
          <w:rPr>
            <w:noProof/>
            <w:webHidden/>
          </w:rPr>
          <w:fldChar w:fldCharType="begin"/>
        </w:r>
        <w:r w:rsidR="00FD0E25">
          <w:rPr>
            <w:noProof/>
            <w:webHidden/>
          </w:rPr>
          <w:instrText xml:space="preserve"> PAGEREF _Toc396926127 \h </w:instrText>
        </w:r>
        <w:r w:rsidR="00FD0E25">
          <w:rPr>
            <w:noProof/>
            <w:webHidden/>
          </w:rPr>
        </w:r>
        <w:r w:rsidR="00FD0E25">
          <w:rPr>
            <w:noProof/>
            <w:webHidden/>
          </w:rPr>
          <w:fldChar w:fldCharType="separate"/>
        </w:r>
        <w:r w:rsidR="003D0CAF">
          <w:rPr>
            <w:noProof/>
            <w:webHidden/>
          </w:rPr>
          <w:t>83</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28" w:history="1">
        <w:r w:rsidR="00FD0E25" w:rsidRPr="00A82CC3">
          <w:rPr>
            <w:rStyle w:val="Hyperlink"/>
            <w:rFonts w:eastAsia="Calibri"/>
            <w:noProof/>
            <w:lang w:eastAsia="en-US"/>
          </w:rPr>
          <w:t>Discussion</w:t>
        </w:r>
        <w:r w:rsidR="00FD0E25">
          <w:rPr>
            <w:noProof/>
            <w:webHidden/>
          </w:rPr>
          <w:tab/>
        </w:r>
        <w:r w:rsidR="00FD0E25">
          <w:rPr>
            <w:noProof/>
            <w:webHidden/>
          </w:rPr>
          <w:fldChar w:fldCharType="begin"/>
        </w:r>
        <w:r w:rsidR="00FD0E25">
          <w:rPr>
            <w:noProof/>
            <w:webHidden/>
          </w:rPr>
          <w:instrText xml:space="preserve"> PAGEREF _Toc396926128 \h </w:instrText>
        </w:r>
        <w:r w:rsidR="00FD0E25">
          <w:rPr>
            <w:noProof/>
            <w:webHidden/>
          </w:rPr>
        </w:r>
        <w:r w:rsidR="00FD0E25">
          <w:rPr>
            <w:noProof/>
            <w:webHidden/>
          </w:rPr>
          <w:fldChar w:fldCharType="separate"/>
        </w:r>
        <w:r w:rsidR="003D0CAF">
          <w:rPr>
            <w:noProof/>
            <w:webHidden/>
          </w:rPr>
          <w:t>105</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29" w:history="1">
        <w:r w:rsidR="00FD0E25" w:rsidRPr="00A82CC3">
          <w:rPr>
            <w:rStyle w:val="Hyperlink"/>
            <w:noProof/>
          </w:rPr>
          <w:t>CHAPTER 4. Adverse events following immunisation</w:t>
        </w:r>
        <w:r w:rsidR="00FD0E25">
          <w:rPr>
            <w:noProof/>
            <w:webHidden/>
          </w:rPr>
          <w:tab/>
        </w:r>
        <w:r w:rsidR="00FD0E25">
          <w:rPr>
            <w:noProof/>
            <w:webHidden/>
          </w:rPr>
          <w:fldChar w:fldCharType="begin"/>
        </w:r>
        <w:r w:rsidR="00FD0E25">
          <w:rPr>
            <w:noProof/>
            <w:webHidden/>
          </w:rPr>
          <w:instrText xml:space="preserve"> PAGEREF _Toc396926129 \h </w:instrText>
        </w:r>
        <w:r w:rsidR="00FD0E25">
          <w:rPr>
            <w:noProof/>
            <w:webHidden/>
          </w:rPr>
        </w:r>
        <w:r w:rsidR="00FD0E25">
          <w:rPr>
            <w:noProof/>
            <w:webHidden/>
          </w:rPr>
          <w:fldChar w:fldCharType="separate"/>
        </w:r>
        <w:r w:rsidR="003D0CAF">
          <w:rPr>
            <w:noProof/>
            <w:webHidden/>
          </w:rPr>
          <w:t>109</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0" w:history="1">
        <w:r w:rsidR="00FD0E25" w:rsidRPr="00A82CC3">
          <w:rPr>
            <w:rStyle w:val="Hyperlink"/>
            <w:noProof/>
          </w:rPr>
          <w:t>Introduction</w:t>
        </w:r>
        <w:r w:rsidR="00FD0E25">
          <w:rPr>
            <w:noProof/>
            <w:webHidden/>
          </w:rPr>
          <w:tab/>
        </w:r>
        <w:r w:rsidR="00FD0E25">
          <w:rPr>
            <w:noProof/>
            <w:webHidden/>
          </w:rPr>
          <w:fldChar w:fldCharType="begin"/>
        </w:r>
        <w:r w:rsidR="00FD0E25">
          <w:rPr>
            <w:noProof/>
            <w:webHidden/>
          </w:rPr>
          <w:instrText xml:space="preserve"> PAGEREF _Toc396926130 \h </w:instrText>
        </w:r>
        <w:r w:rsidR="00FD0E25">
          <w:rPr>
            <w:noProof/>
            <w:webHidden/>
          </w:rPr>
        </w:r>
        <w:r w:rsidR="00FD0E25">
          <w:rPr>
            <w:noProof/>
            <w:webHidden/>
          </w:rPr>
          <w:fldChar w:fldCharType="separate"/>
        </w:r>
        <w:r w:rsidR="003D0CAF">
          <w:rPr>
            <w:noProof/>
            <w:webHidden/>
          </w:rPr>
          <w:t>110</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1" w:history="1">
        <w:r w:rsidR="00FD0E25" w:rsidRPr="00A82CC3">
          <w:rPr>
            <w:rStyle w:val="Hyperlink"/>
            <w:noProof/>
          </w:rPr>
          <w:t>Aims</w:t>
        </w:r>
        <w:r w:rsidR="00FD0E25">
          <w:rPr>
            <w:noProof/>
            <w:webHidden/>
          </w:rPr>
          <w:tab/>
        </w:r>
        <w:r w:rsidR="00FD0E25">
          <w:rPr>
            <w:noProof/>
            <w:webHidden/>
          </w:rPr>
          <w:fldChar w:fldCharType="begin"/>
        </w:r>
        <w:r w:rsidR="00FD0E25">
          <w:rPr>
            <w:noProof/>
            <w:webHidden/>
          </w:rPr>
          <w:instrText xml:space="preserve"> PAGEREF _Toc396926131 \h </w:instrText>
        </w:r>
        <w:r w:rsidR="00FD0E25">
          <w:rPr>
            <w:noProof/>
            <w:webHidden/>
          </w:rPr>
        </w:r>
        <w:r w:rsidR="00FD0E25">
          <w:rPr>
            <w:noProof/>
            <w:webHidden/>
          </w:rPr>
          <w:fldChar w:fldCharType="separate"/>
        </w:r>
        <w:r w:rsidR="003D0CAF">
          <w:rPr>
            <w:noProof/>
            <w:webHidden/>
          </w:rPr>
          <w:t>111</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2" w:history="1">
        <w:r w:rsidR="00FD0E25" w:rsidRPr="00A82CC3">
          <w:rPr>
            <w:rStyle w:val="Hyperlink"/>
            <w:noProof/>
          </w:rPr>
          <w:t>Methods</w:t>
        </w:r>
        <w:r w:rsidR="00FD0E25">
          <w:rPr>
            <w:noProof/>
            <w:webHidden/>
          </w:rPr>
          <w:tab/>
        </w:r>
        <w:r w:rsidR="00FD0E25">
          <w:rPr>
            <w:noProof/>
            <w:webHidden/>
          </w:rPr>
          <w:fldChar w:fldCharType="begin"/>
        </w:r>
        <w:r w:rsidR="00FD0E25">
          <w:rPr>
            <w:noProof/>
            <w:webHidden/>
          </w:rPr>
          <w:instrText xml:space="preserve"> PAGEREF _Toc396926132 \h </w:instrText>
        </w:r>
        <w:r w:rsidR="00FD0E25">
          <w:rPr>
            <w:noProof/>
            <w:webHidden/>
          </w:rPr>
        </w:r>
        <w:r w:rsidR="00FD0E25">
          <w:rPr>
            <w:noProof/>
            <w:webHidden/>
          </w:rPr>
          <w:fldChar w:fldCharType="separate"/>
        </w:r>
        <w:r w:rsidR="003D0CAF">
          <w:rPr>
            <w:noProof/>
            <w:webHidden/>
          </w:rPr>
          <w:t>111</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3" w:history="1">
        <w:r w:rsidR="00FD0E25" w:rsidRPr="00A82CC3">
          <w:rPr>
            <w:rStyle w:val="Hyperlink"/>
            <w:noProof/>
          </w:rPr>
          <w:t>Results</w:t>
        </w:r>
        <w:r w:rsidR="00FD0E25">
          <w:rPr>
            <w:noProof/>
            <w:webHidden/>
          </w:rPr>
          <w:tab/>
        </w:r>
        <w:r w:rsidR="00FD0E25">
          <w:rPr>
            <w:noProof/>
            <w:webHidden/>
          </w:rPr>
          <w:fldChar w:fldCharType="begin"/>
        </w:r>
        <w:r w:rsidR="00FD0E25">
          <w:rPr>
            <w:noProof/>
            <w:webHidden/>
          </w:rPr>
          <w:instrText xml:space="preserve"> PAGEREF _Toc396926133 \h </w:instrText>
        </w:r>
        <w:r w:rsidR="00FD0E25">
          <w:rPr>
            <w:noProof/>
            <w:webHidden/>
          </w:rPr>
        </w:r>
        <w:r w:rsidR="00FD0E25">
          <w:rPr>
            <w:noProof/>
            <w:webHidden/>
          </w:rPr>
          <w:fldChar w:fldCharType="separate"/>
        </w:r>
        <w:r w:rsidR="003D0CAF">
          <w:rPr>
            <w:noProof/>
            <w:webHidden/>
          </w:rPr>
          <w:t>112</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4" w:history="1">
        <w:r w:rsidR="00FD0E25" w:rsidRPr="00A82CC3">
          <w:rPr>
            <w:rStyle w:val="Hyperlink"/>
            <w:noProof/>
          </w:rPr>
          <w:t>Discussion</w:t>
        </w:r>
        <w:r w:rsidR="00FD0E25">
          <w:rPr>
            <w:noProof/>
            <w:webHidden/>
          </w:rPr>
          <w:tab/>
        </w:r>
        <w:r w:rsidR="00FD0E25">
          <w:rPr>
            <w:noProof/>
            <w:webHidden/>
          </w:rPr>
          <w:fldChar w:fldCharType="begin"/>
        </w:r>
        <w:r w:rsidR="00FD0E25">
          <w:rPr>
            <w:noProof/>
            <w:webHidden/>
          </w:rPr>
          <w:instrText xml:space="preserve"> PAGEREF _Toc396926134 \h </w:instrText>
        </w:r>
        <w:r w:rsidR="00FD0E25">
          <w:rPr>
            <w:noProof/>
            <w:webHidden/>
          </w:rPr>
        </w:r>
        <w:r w:rsidR="00FD0E25">
          <w:rPr>
            <w:noProof/>
            <w:webHidden/>
          </w:rPr>
          <w:fldChar w:fldCharType="separate"/>
        </w:r>
        <w:r w:rsidR="003D0CAF">
          <w:rPr>
            <w:noProof/>
            <w:webHidden/>
          </w:rPr>
          <w:t>126</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5" w:history="1">
        <w:r w:rsidR="00FD0E25" w:rsidRPr="00A82CC3">
          <w:rPr>
            <w:rStyle w:val="Hyperlink"/>
            <w:noProof/>
          </w:rPr>
          <w:t>Conclusion</w:t>
        </w:r>
        <w:r w:rsidR="00FD0E25">
          <w:rPr>
            <w:noProof/>
            <w:webHidden/>
          </w:rPr>
          <w:tab/>
        </w:r>
        <w:r w:rsidR="00FD0E25">
          <w:rPr>
            <w:noProof/>
            <w:webHidden/>
          </w:rPr>
          <w:fldChar w:fldCharType="begin"/>
        </w:r>
        <w:r w:rsidR="00FD0E25">
          <w:rPr>
            <w:noProof/>
            <w:webHidden/>
          </w:rPr>
          <w:instrText xml:space="preserve"> PAGEREF _Toc396926135 \h </w:instrText>
        </w:r>
        <w:r w:rsidR="00FD0E25">
          <w:rPr>
            <w:noProof/>
            <w:webHidden/>
          </w:rPr>
        </w:r>
        <w:r w:rsidR="00FD0E25">
          <w:rPr>
            <w:noProof/>
            <w:webHidden/>
          </w:rPr>
          <w:fldChar w:fldCharType="separate"/>
        </w:r>
        <w:r w:rsidR="003D0CAF">
          <w:rPr>
            <w:noProof/>
            <w:webHidden/>
          </w:rPr>
          <w:t>129</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36" w:history="1">
        <w:r w:rsidR="00FD0E25" w:rsidRPr="00A82CC3">
          <w:rPr>
            <w:rStyle w:val="Hyperlink"/>
            <w:noProof/>
          </w:rPr>
          <w:t>CHAPTER 5. Disease impact: High-grade cervical abnormalities</w:t>
        </w:r>
        <w:r w:rsidR="00FD0E25">
          <w:rPr>
            <w:noProof/>
            <w:webHidden/>
          </w:rPr>
          <w:tab/>
        </w:r>
        <w:r w:rsidR="00FD0E25">
          <w:rPr>
            <w:noProof/>
            <w:webHidden/>
          </w:rPr>
          <w:fldChar w:fldCharType="begin"/>
        </w:r>
        <w:r w:rsidR="00FD0E25">
          <w:rPr>
            <w:noProof/>
            <w:webHidden/>
          </w:rPr>
          <w:instrText xml:space="preserve"> PAGEREF _Toc396926136 \h </w:instrText>
        </w:r>
        <w:r w:rsidR="00FD0E25">
          <w:rPr>
            <w:noProof/>
            <w:webHidden/>
          </w:rPr>
        </w:r>
        <w:r w:rsidR="00FD0E25">
          <w:rPr>
            <w:noProof/>
            <w:webHidden/>
          </w:rPr>
          <w:fldChar w:fldCharType="separate"/>
        </w:r>
        <w:r w:rsidR="003D0CAF">
          <w:rPr>
            <w:noProof/>
            <w:webHidden/>
          </w:rPr>
          <w:t>130</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7" w:history="1">
        <w:r w:rsidR="00FD0E25" w:rsidRPr="00A82CC3">
          <w:rPr>
            <w:rStyle w:val="Hyperlink"/>
            <w:noProof/>
          </w:rPr>
          <w:t>Aims</w:t>
        </w:r>
        <w:r w:rsidR="00FD0E25">
          <w:rPr>
            <w:noProof/>
            <w:webHidden/>
          </w:rPr>
          <w:tab/>
        </w:r>
        <w:r w:rsidR="00FD0E25">
          <w:rPr>
            <w:noProof/>
            <w:webHidden/>
          </w:rPr>
          <w:fldChar w:fldCharType="begin"/>
        </w:r>
        <w:r w:rsidR="00FD0E25">
          <w:rPr>
            <w:noProof/>
            <w:webHidden/>
          </w:rPr>
          <w:instrText xml:space="preserve"> PAGEREF _Toc396926137 \h </w:instrText>
        </w:r>
        <w:r w:rsidR="00FD0E25">
          <w:rPr>
            <w:noProof/>
            <w:webHidden/>
          </w:rPr>
        </w:r>
        <w:r w:rsidR="00FD0E25">
          <w:rPr>
            <w:noProof/>
            <w:webHidden/>
          </w:rPr>
          <w:fldChar w:fldCharType="separate"/>
        </w:r>
        <w:r w:rsidR="003D0CAF">
          <w:rPr>
            <w:noProof/>
            <w:webHidden/>
          </w:rPr>
          <w:t>131</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8" w:history="1">
        <w:r w:rsidR="00FD0E25" w:rsidRPr="00A82CC3">
          <w:rPr>
            <w:rStyle w:val="Hyperlink"/>
            <w:noProof/>
          </w:rPr>
          <w:t>Methods</w:t>
        </w:r>
        <w:r w:rsidR="00FD0E25">
          <w:rPr>
            <w:noProof/>
            <w:webHidden/>
          </w:rPr>
          <w:tab/>
        </w:r>
        <w:r w:rsidR="00FD0E25">
          <w:rPr>
            <w:noProof/>
            <w:webHidden/>
          </w:rPr>
          <w:fldChar w:fldCharType="begin"/>
        </w:r>
        <w:r w:rsidR="00FD0E25">
          <w:rPr>
            <w:noProof/>
            <w:webHidden/>
          </w:rPr>
          <w:instrText xml:space="preserve"> PAGEREF _Toc396926138 \h </w:instrText>
        </w:r>
        <w:r w:rsidR="00FD0E25">
          <w:rPr>
            <w:noProof/>
            <w:webHidden/>
          </w:rPr>
        </w:r>
        <w:r w:rsidR="00FD0E25">
          <w:rPr>
            <w:noProof/>
            <w:webHidden/>
          </w:rPr>
          <w:fldChar w:fldCharType="separate"/>
        </w:r>
        <w:r w:rsidR="003D0CAF">
          <w:rPr>
            <w:noProof/>
            <w:webHidden/>
          </w:rPr>
          <w:t>131</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39" w:history="1">
        <w:r w:rsidR="00FD0E25" w:rsidRPr="00A82CC3">
          <w:rPr>
            <w:rStyle w:val="Hyperlink"/>
            <w:noProof/>
          </w:rPr>
          <w:t>Results</w:t>
        </w:r>
        <w:r w:rsidR="00FD0E25">
          <w:rPr>
            <w:noProof/>
            <w:webHidden/>
          </w:rPr>
          <w:tab/>
        </w:r>
        <w:r w:rsidR="00FD0E25">
          <w:rPr>
            <w:noProof/>
            <w:webHidden/>
          </w:rPr>
          <w:fldChar w:fldCharType="begin"/>
        </w:r>
        <w:r w:rsidR="00FD0E25">
          <w:rPr>
            <w:noProof/>
            <w:webHidden/>
          </w:rPr>
          <w:instrText xml:space="preserve"> PAGEREF _Toc396926139 \h </w:instrText>
        </w:r>
        <w:r w:rsidR="00FD0E25">
          <w:rPr>
            <w:noProof/>
            <w:webHidden/>
          </w:rPr>
        </w:r>
        <w:r w:rsidR="00FD0E25">
          <w:rPr>
            <w:noProof/>
            <w:webHidden/>
          </w:rPr>
          <w:fldChar w:fldCharType="separate"/>
        </w:r>
        <w:r w:rsidR="003D0CAF">
          <w:rPr>
            <w:noProof/>
            <w:webHidden/>
          </w:rPr>
          <w:t>133</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0" w:history="1">
        <w:r w:rsidR="00FD0E25" w:rsidRPr="00A82CC3">
          <w:rPr>
            <w:rStyle w:val="Hyperlink"/>
            <w:noProof/>
          </w:rPr>
          <w:t>Discussion</w:t>
        </w:r>
        <w:r w:rsidR="00FD0E25">
          <w:rPr>
            <w:noProof/>
            <w:webHidden/>
          </w:rPr>
          <w:tab/>
        </w:r>
        <w:r w:rsidR="00FD0E25">
          <w:rPr>
            <w:noProof/>
            <w:webHidden/>
          </w:rPr>
          <w:fldChar w:fldCharType="begin"/>
        </w:r>
        <w:r w:rsidR="00FD0E25">
          <w:rPr>
            <w:noProof/>
            <w:webHidden/>
          </w:rPr>
          <w:instrText xml:space="preserve"> PAGEREF _Toc396926140 \h </w:instrText>
        </w:r>
        <w:r w:rsidR="00FD0E25">
          <w:rPr>
            <w:noProof/>
            <w:webHidden/>
          </w:rPr>
        </w:r>
        <w:r w:rsidR="00FD0E25">
          <w:rPr>
            <w:noProof/>
            <w:webHidden/>
          </w:rPr>
          <w:fldChar w:fldCharType="separate"/>
        </w:r>
        <w:r w:rsidR="003D0CAF">
          <w:rPr>
            <w:noProof/>
            <w:webHidden/>
          </w:rPr>
          <w:t>139</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1" w:history="1">
        <w:r w:rsidR="00FD0E25" w:rsidRPr="00A82CC3">
          <w:rPr>
            <w:rStyle w:val="Hyperlink"/>
            <w:noProof/>
          </w:rPr>
          <w:t>Conclusion</w:t>
        </w:r>
        <w:r w:rsidR="00FD0E25">
          <w:rPr>
            <w:noProof/>
            <w:webHidden/>
          </w:rPr>
          <w:tab/>
        </w:r>
        <w:r w:rsidR="00FD0E25">
          <w:rPr>
            <w:noProof/>
            <w:webHidden/>
          </w:rPr>
          <w:fldChar w:fldCharType="begin"/>
        </w:r>
        <w:r w:rsidR="00FD0E25">
          <w:rPr>
            <w:noProof/>
            <w:webHidden/>
          </w:rPr>
          <w:instrText xml:space="preserve"> PAGEREF _Toc396926141 \h </w:instrText>
        </w:r>
        <w:r w:rsidR="00FD0E25">
          <w:rPr>
            <w:noProof/>
            <w:webHidden/>
          </w:rPr>
        </w:r>
        <w:r w:rsidR="00FD0E25">
          <w:rPr>
            <w:noProof/>
            <w:webHidden/>
          </w:rPr>
          <w:fldChar w:fldCharType="separate"/>
        </w:r>
        <w:r w:rsidR="003D0CAF">
          <w:rPr>
            <w:noProof/>
            <w:webHidden/>
          </w:rPr>
          <w:t>142</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42" w:history="1">
        <w:r w:rsidR="00FD0E25" w:rsidRPr="00A82CC3">
          <w:rPr>
            <w:rStyle w:val="Hyperlink"/>
            <w:rFonts w:eastAsiaTheme="majorEastAsia"/>
            <w:noProof/>
            <w:lang w:eastAsia="en-US"/>
          </w:rPr>
          <w:t>CHAPTER 6: Disease impact: Anogenital warts</w:t>
        </w:r>
        <w:r w:rsidR="00FD0E25">
          <w:rPr>
            <w:noProof/>
            <w:webHidden/>
          </w:rPr>
          <w:tab/>
        </w:r>
        <w:r w:rsidR="00FD0E25">
          <w:rPr>
            <w:noProof/>
            <w:webHidden/>
          </w:rPr>
          <w:fldChar w:fldCharType="begin"/>
        </w:r>
        <w:r w:rsidR="00FD0E25">
          <w:rPr>
            <w:noProof/>
            <w:webHidden/>
          </w:rPr>
          <w:instrText xml:space="preserve"> PAGEREF _Toc396926142 \h </w:instrText>
        </w:r>
        <w:r w:rsidR="00FD0E25">
          <w:rPr>
            <w:noProof/>
            <w:webHidden/>
          </w:rPr>
        </w:r>
        <w:r w:rsidR="00FD0E25">
          <w:rPr>
            <w:noProof/>
            <w:webHidden/>
          </w:rPr>
          <w:fldChar w:fldCharType="separate"/>
        </w:r>
        <w:r w:rsidR="003D0CAF">
          <w:rPr>
            <w:noProof/>
            <w:webHidden/>
          </w:rPr>
          <w:t>143</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3" w:history="1">
        <w:r w:rsidR="00FD0E25" w:rsidRPr="00A82CC3">
          <w:rPr>
            <w:rStyle w:val="Hyperlink"/>
            <w:noProof/>
          </w:rPr>
          <w:t>Aims</w:t>
        </w:r>
        <w:r w:rsidR="00FD0E25">
          <w:rPr>
            <w:noProof/>
            <w:webHidden/>
          </w:rPr>
          <w:tab/>
        </w:r>
        <w:r w:rsidR="00FD0E25">
          <w:rPr>
            <w:noProof/>
            <w:webHidden/>
          </w:rPr>
          <w:fldChar w:fldCharType="begin"/>
        </w:r>
        <w:r w:rsidR="00FD0E25">
          <w:rPr>
            <w:noProof/>
            <w:webHidden/>
          </w:rPr>
          <w:instrText xml:space="preserve"> PAGEREF _Toc396926143 \h </w:instrText>
        </w:r>
        <w:r w:rsidR="00FD0E25">
          <w:rPr>
            <w:noProof/>
            <w:webHidden/>
          </w:rPr>
        </w:r>
        <w:r w:rsidR="00FD0E25">
          <w:rPr>
            <w:noProof/>
            <w:webHidden/>
          </w:rPr>
          <w:fldChar w:fldCharType="separate"/>
        </w:r>
        <w:r w:rsidR="003D0CAF">
          <w:rPr>
            <w:noProof/>
            <w:webHidden/>
          </w:rPr>
          <w:t>144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4" w:history="1">
        <w:r w:rsidR="00FD0E25" w:rsidRPr="00A82CC3">
          <w:rPr>
            <w:rStyle w:val="Hyperlink"/>
            <w:noProof/>
          </w:rPr>
          <w:t>Methods</w:t>
        </w:r>
        <w:r w:rsidR="00FD0E25">
          <w:rPr>
            <w:noProof/>
            <w:webHidden/>
          </w:rPr>
          <w:tab/>
        </w:r>
        <w:r w:rsidR="00FD0E25">
          <w:rPr>
            <w:noProof/>
            <w:webHidden/>
          </w:rPr>
          <w:fldChar w:fldCharType="begin"/>
        </w:r>
        <w:r w:rsidR="00FD0E25">
          <w:rPr>
            <w:noProof/>
            <w:webHidden/>
          </w:rPr>
          <w:instrText xml:space="preserve"> PAGEREF _Toc396926144 \h </w:instrText>
        </w:r>
        <w:r w:rsidR="00FD0E25">
          <w:rPr>
            <w:noProof/>
            <w:webHidden/>
          </w:rPr>
        </w:r>
        <w:r w:rsidR="00FD0E25">
          <w:rPr>
            <w:noProof/>
            <w:webHidden/>
          </w:rPr>
          <w:fldChar w:fldCharType="separate"/>
        </w:r>
        <w:r w:rsidR="003D0CAF">
          <w:rPr>
            <w:noProof/>
            <w:webHidden/>
          </w:rPr>
          <w:t>144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5" w:history="1">
        <w:r w:rsidR="00FD0E25" w:rsidRPr="00A82CC3">
          <w:rPr>
            <w:rStyle w:val="Hyperlink"/>
            <w:noProof/>
          </w:rPr>
          <w:t>Results</w:t>
        </w:r>
        <w:r w:rsidR="00FD0E25">
          <w:rPr>
            <w:noProof/>
            <w:webHidden/>
          </w:rPr>
          <w:tab/>
        </w:r>
        <w:r w:rsidR="00FD0E25">
          <w:rPr>
            <w:noProof/>
            <w:webHidden/>
          </w:rPr>
          <w:fldChar w:fldCharType="begin"/>
        </w:r>
        <w:r w:rsidR="00FD0E25">
          <w:rPr>
            <w:noProof/>
            <w:webHidden/>
          </w:rPr>
          <w:instrText xml:space="preserve"> PAGEREF _Toc396926145 \h </w:instrText>
        </w:r>
        <w:r w:rsidR="00FD0E25">
          <w:rPr>
            <w:noProof/>
            <w:webHidden/>
          </w:rPr>
        </w:r>
        <w:r w:rsidR="00FD0E25">
          <w:rPr>
            <w:noProof/>
            <w:webHidden/>
          </w:rPr>
          <w:fldChar w:fldCharType="separate"/>
        </w:r>
        <w:r w:rsidR="003D0CAF">
          <w:rPr>
            <w:noProof/>
            <w:webHidden/>
          </w:rPr>
          <w:t>148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6" w:history="1">
        <w:r w:rsidR="00FD0E25" w:rsidRPr="00A82CC3">
          <w:rPr>
            <w:rStyle w:val="Hyperlink"/>
            <w:noProof/>
          </w:rPr>
          <w:t>Discussion</w:t>
        </w:r>
        <w:r w:rsidR="00FD0E25">
          <w:rPr>
            <w:noProof/>
            <w:webHidden/>
          </w:rPr>
          <w:tab/>
        </w:r>
        <w:r w:rsidR="00FD0E25">
          <w:rPr>
            <w:noProof/>
            <w:webHidden/>
          </w:rPr>
          <w:fldChar w:fldCharType="begin"/>
        </w:r>
        <w:r w:rsidR="00FD0E25">
          <w:rPr>
            <w:noProof/>
            <w:webHidden/>
          </w:rPr>
          <w:instrText xml:space="preserve"> PAGEREF _Toc396926146 \h </w:instrText>
        </w:r>
        <w:r w:rsidR="00FD0E25">
          <w:rPr>
            <w:noProof/>
            <w:webHidden/>
          </w:rPr>
        </w:r>
        <w:r w:rsidR="00FD0E25">
          <w:rPr>
            <w:noProof/>
            <w:webHidden/>
          </w:rPr>
          <w:fldChar w:fldCharType="separate"/>
        </w:r>
        <w:r w:rsidR="003D0CAF">
          <w:rPr>
            <w:noProof/>
            <w:webHidden/>
          </w:rPr>
          <w:t>163</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47" w:history="1">
        <w:r w:rsidR="00FD0E25" w:rsidRPr="00A82CC3">
          <w:rPr>
            <w:rStyle w:val="Hyperlink"/>
            <w:noProof/>
          </w:rPr>
          <w:t>Conclusions</w:t>
        </w:r>
        <w:r w:rsidR="00FD0E25">
          <w:rPr>
            <w:noProof/>
            <w:webHidden/>
          </w:rPr>
          <w:tab/>
        </w:r>
        <w:r w:rsidR="00FD0E25">
          <w:rPr>
            <w:noProof/>
            <w:webHidden/>
          </w:rPr>
          <w:fldChar w:fldCharType="begin"/>
        </w:r>
        <w:r w:rsidR="00FD0E25">
          <w:rPr>
            <w:noProof/>
            <w:webHidden/>
          </w:rPr>
          <w:instrText xml:space="preserve"> PAGEREF _Toc396926147 \h </w:instrText>
        </w:r>
        <w:r w:rsidR="00FD0E25">
          <w:rPr>
            <w:noProof/>
            <w:webHidden/>
          </w:rPr>
        </w:r>
        <w:r w:rsidR="00FD0E25">
          <w:rPr>
            <w:noProof/>
            <w:webHidden/>
          </w:rPr>
          <w:fldChar w:fldCharType="separate"/>
        </w:r>
        <w:r w:rsidR="003D0CAF">
          <w:rPr>
            <w:noProof/>
            <w:webHidden/>
          </w:rPr>
          <w:t>167</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48" w:history="1">
        <w:r w:rsidR="00FD0E25" w:rsidRPr="00A82CC3">
          <w:rPr>
            <w:rStyle w:val="Hyperlink"/>
            <w:noProof/>
          </w:rPr>
          <w:t>References</w:t>
        </w:r>
        <w:r w:rsidR="00FD0E25">
          <w:rPr>
            <w:noProof/>
            <w:webHidden/>
          </w:rPr>
          <w:tab/>
        </w:r>
        <w:r w:rsidR="00FD0E25">
          <w:rPr>
            <w:noProof/>
            <w:webHidden/>
          </w:rPr>
          <w:fldChar w:fldCharType="begin"/>
        </w:r>
        <w:r w:rsidR="00FD0E25">
          <w:rPr>
            <w:noProof/>
            <w:webHidden/>
          </w:rPr>
          <w:instrText xml:space="preserve"> PAGEREF _Toc396926148 \h </w:instrText>
        </w:r>
        <w:r w:rsidR="00FD0E25">
          <w:rPr>
            <w:noProof/>
            <w:webHidden/>
          </w:rPr>
        </w:r>
        <w:r w:rsidR="00FD0E25">
          <w:rPr>
            <w:noProof/>
            <w:webHidden/>
          </w:rPr>
          <w:fldChar w:fldCharType="separate"/>
        </w:r>
        <w:r w:rsidR="003D0CAF">
          <w:rPr>
            <w:noProof/>
            <w:webHidden/>
          </w:rPr>
          <w:t>168</w:t>
        </w:r>
        <w:r w:rsidR="00FD0E25">
          <w:rPr>
            <w:noProof/>
            <w:webHidden/>
          </w:rPr>
          <w:fldChar w:fldCharType="end"/>
        </w:r>
      </w:hyperlink>
    </w:p>
    <w:p w:rsidR="00FD0E25" w:rsidRDefault="00260AF7">
      <w:pPr>
        <w:pStyle w:val="TOC1"/>
        <w:rPr>
          <w:rFonts w:asciiTheme="minorHAnsi" w:eastAsiaTheme="minorEastAsia" w:hAnsiTheme="minorHAnsi" w:cstheme="minorBidi"/>
          <w:noProof/>
          <w:szCs w:val="22"/>
        </w:rPr>
      </w:pPr>
      <w:hyperlink w:anchor="_Toc396926149" w:history="1">
        <w:r w:rsidR="00FD0E25" w:rsidRPr="00A82CC3">
          <w:rPr>
            <w:rStyle w:val="Hyperlink"/>
            <w:noProof/>
          </w:rPr>
          <w:t>Appendices</w:t>
        </w:r>
        <w:r w:rsidR="00FD0E25">
          <w:rPr>
            <w:noProof/>
            <w:webHidden/>
          </w:rPr>
          <w:tab/>
        </w:r>
        <w:r w:rsidR="00FD0E25">
          <w:rPr>
            <w:noProof/>
            <w:webHidden/>
          </w:rPr>
          <w:fldChar w:fldCharType="begin"/>
        </w:r>
        <w:r w:rsidR="00FD0E25">
          <w:rPr>
            <w:noProof/>
            <w:webHidden/>
          </w:rPr>
          <w:instrText xml:space="preserve"> PAGEREF _Toc396926149 \h </w:instrText>
        </w:r>
        <w:r w:rsidR="00FD0E25">
          <w:rPr>
            <w:noProof/>
            <w:webHidden/>
          </w:rPr>
        </w:r>
        <w:r w:rsidR="00FD0E25">
          <w:rPr>
            <w:noProof/>
            <w:webHidden/>
          </w:rPr>
          <w:fldChar w:fldCharType="separate"/>
        </w:r>
        <w:r w:rsidR="003D0CAF">
          <w:rPr>
            <w:noProof/>
            <w:webHidden/>
          </w:rPr>
          <w:t>177</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0" w:history="1">
        <w:r w:rsidR="00FD0E25" w:rsidRPr="00A82CC3">
          <w:rPr>
            <w:rStyle w:val="Hyperlink"/>
            <w:noProof/>
          </w:rPr>
          <w:t>Appendix 2.1</w:t>
        </w:r>
        <w:r w:rsidR="00FD0E25">
          <w:rPr>
            <w:noProof/>
            <w:webHidden/>
          </w:rPr>
          <w:tab/>
        </w:r>
        <w:r w:rsidR="00FD0E25">
          <w:rPr>
            <w:noProof/>
            <w:webHidden/>
          </w:rPr>
          <w:fldChar w:fldCharType="begin"/>
        </w:r>
        <w:r w:rsidR="00FD0E25">
          <w:rPr>
            <w:noProof/>
            <w:webHidden/>
          </w:rPr>
          <w:instrText xml:space="preserve"> PAGEREF _Toc396926150 \h </w:instrText>
        </w:r>
        <w:r w:rsidR="00FD0E25">
          <w:rPr>
            <w:noProof/>
            <w:webHidden/>
          </w:rPr>
        </w:r>
        <w:r w:rsidR="00FD0E25">
          <w:rPr>
            <w:noProof/>
            <w:webHidden/>
          </w:rPr>
          <w:fldChar w:fldCharType="separate"/>
        </w:r>
        <w:r w:rsidR="003D0CAF">
          <w:rPr>
            <w:noProof/>
            <w:webHidden/>
          </w:rPr>
          <w:t>177</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1" w:history="1">
        <w:r w:rsidR="00FD0E25" w:rsidRPr="00A82CC3">
          <w:rPr>
            <w:rStyle w:val="Hyperlink"/>
            <w:noProof/>
          </w:rPr>
          <w:t>Appendix 2.2</w:t>
        </w:r>
        <w:r w:rsidR="00FD0E25">
          <w:rPr>
            <w:noProof/>
            <w:webHidden/>
          </w:rPr>
          <w:tab/>
        </w:r>
        <w:r w:rsidR="00FD0E25">
          <w:rPr>
            <w:noProof/>
            <w:webHidden/>
          </w:rPr>
          <w:fldChar w:fldCharType="begin"/>
        </w:r>
        <w:r w:rsidR="00FD0E25">
          <w:rPr>
            <w:noProof/>
            <w:webHidden/>
          </w:rPr>
          <w:instrText xml:space="preserve"> PAGEREF _Toc396926151 \h </w:instrText>
        </w:r>
        <w:r w:rsidR="00FD0E25">
          <w:rPr>
            <w:noProof/>
            <w:webHidden/>
          </w:rPr>
        </w:r>
        <w:r w:rsidR="00FD0E25">
          <w:rPr>
            <w:noProof/>
            <w:webHidden/>
          </w:rPr>
          <w:fldChar w:fldCharType="separate"/>
        </w:r>
        <w:r w:rsidR="003D0CAF">
          <w:rPr>
            <w:noProof/>
            <w:webHidden/>
          </w:rPr>
          <w:t>178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2" w:history="1">
        <w:r w:rsidR="00FD0E25" w:rsidRPr="00A82CC3">
          <w:rPr>
            <w:rStyle w:val="Hyperlink"/>
            <w:noProof/>
          </w:rPr>
          <w:t>Appendix 2.3</w:t>
        </w:r>
        <w:r w:rsidR="00FD0E25">
          <w:rPr>
            <w:noProof/>
            <w:webHidden/>
          </w:rPr>
          <w:tab/>
        </w:r>
        <w:r w:rsidR="00FD0E25">
          <w:rPr>
            <w:noProof/>
            <w:webHidden/>
          </w:rPr>
          <w:fldChar w:fldCharType="begin"/>
        </w:r>
        <w:r w:rsidR="00FD0E25">
          <w:rPr>
            <w:noProof/>
            <w:webHidden/>
          </w:rPr>
          <w:instrText xml:space="preserve"> PAGEREF _Toc396926152 \h </w:instrText>
        </w:r>
        <w:r w:rsidR="00FD0E25">
          <w:rPr>
            <w:noProof/>
            <w:webHidden/>
          </w:rPr>
        </w:r>
        <w:r w:rsidR="00FD0E25">
          <w:rPr>
            <w:noProof/>
            <w:webHidden/>
          </w:rPr>
          <w:fldChar w:fldCharType="separate"/>
        </w:r>
        <w:r w:rsidR="003D0CAF">
          <w:rPr>
            <w:noProof/>
            <w:webHidden/>
          </w:rPr>
          <w:t>186</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3" w:history="1">
        <w:r w:rsidR="00FD0E25" w:rsidRPr="00A82CC3">
          <w:rPr>
            <w:rStyle w:val="Hyperlink"/>
            <w:noProof/>
          </w:rPr>
          <w:t>Appendix 2.4</w:t>
        </w:r>
        <w:r w:rsidR="00FD0E25">
          <w:rPr>
            <w:noProof/>
            <w:webHidden/>
          </w:rPr>
          <w:tab/>
        </w:r>
        <w:r w:rsidR="00FD0E25">
          <w:rPr>
            <w:noProof/>
            <w:webHidden/>
          </w:rPr>
          <w:fldChar w:fldCharType="begin"/>
        </w:r>
        <w:r w:rsidR="00FD0E25">
          <w:rPr>
            <w:noProof/>
            <w:webHidden/>
          </w:rPr>
          <w:instrText xml:space="preserve"> PAGEREF _Toc396926153 \h </w:instrText>
        </w:r>
        <w:r w:rsidR="00FD0E25">
          <w:rPr>
            <w:noProof/>
            <w:webHidden/>
          </w:rPr>
        </w:r>
        <w:r w:rsidR="00FD0E25">
          <w:rPr>
            <w:noProof/>
            <w:webHidden/>
          </w:rPr>
          <w:fldChar w:fldCharType="separate"/>
        </w:r>
        <w:r w:rsidR="003D0CAF">
          <w:rPr>
            <w:noProof/>
            <w:webHidden/>
          </w:rPr>
          <w:t>188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4" w:history="1">
        <w:r w:rsidR="00FD0E25" w:rsidRPr="00A82CC3">
          <w:rPr>
            <w:rStyle w:val="Hyperlink"/>
            <w:noProof/>
          </w:rPr>
          <w:t>Appendix 4.1</w:t>
        </w:r>
        <w:r w:rsidR="00FD0E25">
          <w:rPr>
            <w:noProof/>
            <w:webHidden/>
          </w:rPr>
          <w:tab/>
        </w:r>
        <w:r w:rsidR="00FD0E25">
          <w:rPr>
            <w:noProof/>
            <w:webHidden/>
          </w:rPr>
          <w:fldChar w:fldCharType="begin"/>
        </w:r>
        <w:r w:rsidR="00FD0E25">
          <w:rPr>
            <w:noProof/>
            <w:webHidden/>
          </w:rPr>
          <w:instrText xml:space="preserve"> PAGEREF _Toc396926154 \h </w:instrText>
        </w:r>
        <w:r w:rsidR="00FD0E25">
          <w:rPr>
            <w:noProof/>
            <w:webHidden/>
          </w:rPr>
        </w:r>
        <w:r w:rsidR="00FD0E25">
          <w:rPr>
            <w:noProof/>
            <w:webHidden/>
          </w:rPr>
          <w:fldChar w:fldCharType="separate"/>
        </w:r>
        <w:r w:rsidR="003D0CAF">
          <w:rPr>
            <w:noProof/>
            <w:webHidden/>
          </w:rPr>
          <w:t>194</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5" w:history="1">
        <w:r w:rsidR="00FD0E25" w:rsidRPr="00A82CC3">
          <w:rPr>
            <w:rStyle w:val="Hyperlink"/>
            <w:noProof/>
          </w:rPr>
          <w:t>Appendix 5.1</w:t>
        </w:r>
        <w:r w:rsidR="00FD0E25">
          <w:rPr>
            <w:noProof/>
            <w:webHidden/>
          </w:rPr>
          <w:tab/>
        </w:r>
        <w:r w:rsidR="00FD0E25">
          <w:rPr>
            <w:noProof/>
            <w:webHidden/>
          </w:rPr>
          <w:fldChar w:fldCharType="begin"/>
        </w:r>
        <w:r w:rsidR="00FD0E25">
          <w:rPr>
            <w:noProof/>
            <w:webHidden/>
          </w:rPr>
          <w:instrText xml:space="preserve"> PAGEREF _Toc396926155 \h </w:instrText>
        </w:r>
        <w:r w:rsidR="00FD0E25">
          <w:rPr>
            <w:noProof/>
            <w:webHidden/>
          </w:rPr>
        </w:r>
        <w:r w:rsidR="00FD0E25">
          <w:rPr>
            <w:noProof/>
            <w:webHidden/>
          </w:rPr>
          <w:fldChar w:fldCharType="separate"/>
        </w:r>
        <w:r w:rsidR="003D0CAF">
          <w:rPr>
            <w:noProof/>
            <w:webHidden/>
          </w:rPr>
          <w:t>197</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6" w:history="1">
        <w:r w:rsidR="00FD0E25" w:rsidRPr="00A82CC3">
          <w:rPr>
            <w:rStyle w:val="Hyperlink"/>
            <w:noProof/>
          </w:rPr>
          <w:t>Appendix 5.2</w:t>
        </w:r>
        <w:r w:rsidR="00FD0E25">
          <w:rPr>
            <w:noProof/>
            <w:webHidden/>
          </w:rPr>
          <w:tab/>
        </w:r>
        <w:r w:rsidR="00FD0E25">
          <w:rPr>
            <w:noProof/>
            <w:webHidden/>
          </w:rPr>
          <w:fldChar w:fldCharType="begin"/>
        </w:r>
        <w:r w:rsidR="00FD0E25">
          <w:rPr>
            <w:noProof/>
            <w:webHidden/>
          </w:rPr>
          <w:instrText xml:space="preserve"> PAGEREF _Toc396926156 \h </w:instrText>
        </w:r>
        <w:r w:rsidR="00FD0E25">
          <w:rPr>
            <w:noProof/>
            <w:webHidden/>
          </w:rPr>
        </w:r>
        <w:r w:rsidR="00FD0E25">
          <w:rPr>
            <w:noProof/>
            <w:webHidden/>
          </w:rPr>
          <w:fldChar w:fldCharType="separate"/>
        </w:r>
        <w:r w:rsidR="003D0CAF">
          <w:rPr>
            <w:noProof/>
            <w:webHidden/>
          </w:rPr>
          <w:t>198</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7" w:history="1">
        <w:r w:rsidR="00FD0E25" w:rsidRPr="00A82CC3">
          <w:rPr>
            <w:rStyle w:val="Hyperlink"/>
            <w:noProof/>
          </w:rPr>
          <w:t>Appendix 6.1</w:t>
        </w:r>
        <w:r w:rsidR="00FD0E25">
          <w:rPr>
            <w:noProof/>
            <w:webHidden/>
          </w:rPr>
          <w:tab/>
        </w:r>
        <w:r w:rsidR="00FD0E25">
          <w:rPr>
            <w:noProof/>
            <w:webHidden/>
          </w:rPr>
          <w:fldChar w:fldCharType="begin"/>
        </w:r>
        <w:r w:rsidR="00FD0E25">
          <w:rPr>
            <w:noProof/>
            <w:webHidden/>
          </w:rPr>
          <w:instrText xml:space="preserve"> PAGEREF _Toc396926157 \h </w:instrText>
        </w:r>
        <w:r w:rsidR="00FD0E25">
          <w:rPr>
            <w:noProof/>
            <w:webHidden/>
          </w:rPr>
        </w:r>
        <w:r w:rsidR="00FD0E25">
          <w:rPr>
            <w:noProof/>
            <w:webHidden/>
          </w:rPr>
          <w:fldChar w:fldCharType="separate"/>
        </w:r>
        <w:r w:rsidR="003D0CAF">
          <w:rPr>
            <w:noProof/>
            <w:webHidden/>
          </w:rPr>
          <w:t>199</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8" w:history="1">
        <w:r w:rsidR="00FD0E25" w:rsidRPr="00A82CC3">
          <w:rPr>
            <w:rStyle w:val="Hyperlink"/>
            <w:noProof/>
          </w:rPr>
          <w:t>Appendix 6.2</w:t>
        </w:r>
        <w:r w:rsidR="00FD0E25">
          <w:rPr>
            <w:noProof/>
            <w:webHidden/>
          </w:rPr>
          <w:tab/>
        </w:r>
        <w:r w:rsidR="00FD0E25">
          <w:rPr>
            <w:noProof/>
            <w:webHidden/>
          </w:rPr>
          <w:fldChar w:fldCharType="begin"/>
        </w:r>
        <w:r w:rsidR="00FD0E25">
          <w:rPr>
            <w:noProof/>
            <w:webHidden/>
          </w:rPr>
          <w:instrText xml:space="preserve"> PAGEREF _Toc396926158 \h </w:instrText>
        </w:r>
        <w:r w:rsidR="00FD0E25">
          <w:rPr>
            <w:noProof/>
            <w:webHidden/>
          </w:rPr>
        </w:r>
        <w:r w:rsidR="00FD0E25">
          <w:rPr>
            <w:noProof/>
            <w:webHidden/>
          </w:rPr>
          <w:fldChar w:fldCharType="separate"/>
        </w:r>
        <w:r w:rsidR="003D0CAF">
          <w:rPr>
            <w:noProof/>
            <w:webHidden/>
          </w:rPr>
          <w:t>200</w:t>
        </w:r>
        <w:r w:rsidR="00FD0E25">
          <w:rPr>
            <w:noProof/>
            <w:webHidden/>
          </w:rPr>
          <w:fldChar w:fldCharType="end"/>
        </w:r>
      </w:hyperlink>
    </w:p>
    <w:p w:rsidR="00FD0E25" w:rsidRDefault="00260AF7">
      <w:pPr>
        <w:pStyle w:val="TOC2"/>
        <w:tabs>
          <w:tab w:val="right" w:leader="dot" w:pos="10194"/>
        </w:tabs>
        <w:rPr>
          <w:rFonts w:asciiTheme="minorHAnsi" w:eastAsiaTheme="minorEastAsia" w:hAnsiTheme="minorHAnsi" w:cstheme="minorBidi"/>
          <w:noProof/>
          <w:szCs w:val="22"/>
        </w:rPr>
      </w:pPr>
      <w:hyperlink w:anchor="_Toc396926159" w:history="1">
        <w:r w:rsidR="00FD0E25" w:rsidRPr="00A82CC3">
          <w:rPr>
            <w:rStyle w:val="Hyperlink"/>
            <w:noProof/>
          </w:rPr>
          <w:t>Appendix 6.3</w:t>
        </w:r>
        <w:r w:rsidR="00FD0E25">
          <w:rPr>
            <w:noProof/>
            <w:webHidden/>
          </w:rPr>
          <w:tab/>
        </w:r>
        <w:r w:rsidR="00FD0E25">
          <w:rPr>
            <w:noProof/>
            <w:webHidden/>
          </w:rPr>
          <w:fldChar w:fldCharType="begin"/>
        </w:r>
        <w:r w:rsidR="00FD0E25">
          <w:rPr>
            <w:noProof/>
            <w:webHidden/>
          </w:rPr>
          <w:instrText xml:space="preserve"> PAGEREF _Toc396926159 \h </w:instrText>
        </w:r>
        <w:r w:rsidR="00FD0E25">
          <w:rPr>
            <w:noProof/>
            <w:webHidden/>
          </w:rPr>
        </w:r>
        <w:r w:rsidR="00FD0E25">
          <w:rPr>
            <w:noProof/>
            <w:webHidden/>
          </w:rPr>
          <w:fldChar w:fldCharType="separate"/>
        </w:r>
        <w:r w:rsidR="003D0CAF">
          <w:rPr>
            <w:noProof/>
            <w:webHidden/>
          </w:rPr>
          <w:t>201</w:t>
        </w:r>
        <w:r w:rsidR="00FD0E25">
          <w:rPr>
            <w:noProof/>
            <w:webHidden/>
          </w:rPr>
          <w:fldChar w:fldCharType="end"/>
        </w:r>
      </w:hyperlink>
    </w:p>
    <w:p w:rsidR="0085789A" w:rsidRPr="003408A6" w:rsidRDefault="00DF61E4" w:rsidP="00AF34E5">
      <w:pPr>
        <w:pStyle w:val="BodyText"/>
        <w:rPr>
          <w:lang w:val="en-AU"/>
        </w:rPr>
      </w:pPr>
      <w:r w:rsidRPr="003408A6">
        <w:rPr>
          <w:lang w:val="en-AU"/>
        </w:rPr>
        <w:fldChar w:fldCharType="end"/>
      </w:r>
      <w:bookmarkStart w:id="2" w:name="_Toc292439075"/>
      <w:r w:rsidR="0085789A" w:rsidRPr="003408A6">
        <w:rPr>
          <w:lang w:val="en-AU"/>
        </w:rPr>
        <w:br w:type="page"/>
      </w:r>
    </w:p>
    <w:p w:rsidR="008B587E" w:rsidRPr="003408A6" w:rsidRDefault="00723BFB" w:rsidP="00C13201">
      <w:pPr>
        <w:pStyle w:val="BodyText"/>
        <w:rPr>
          <w:lang w:val="en-AU"/>
        </w:rPr>
      </w:pPr>
      <w:bookmarkStart w:id="3" w:name="_Toc305598709"/>
      <w:r w:rsidRPr="003408A6">
        <w:rPr>
          <w:lang w:val="en-AU"/>
        </w:rPr>
        <w:t>This report was coordinated by Dr Aditi Dey</w:t>
      </w:r>
      <w:r w:rsidR="00883D6D" w:rsidRPr="003408A6">
        <w:rPr>
          <w:lang w:val="en-AU"/>
        </w:rPr>
        <w:t xml:space="preserve">, </w:t>
      </w:r>
      <w:r w:rsidR="006E2C81" w:rsidRPr="003408A6">
        <w:rPr>
          <w:lang w:val="en-AU"/>
        </w:rPr>
        <w:t xml:space="preserve">Ms </w:t>
      </w:r>
      <w:r w:rsidR="00883D6D" w:rsidRPr="003408A6">
        <w:rPr>
          <w:lang w:val="en-AU"/>
        </w:rPr>
        <w:t>Stephanie Knox</w:t>
      </w:r>
      <w:r w:rsidRPr="003408A6">
        <w:rPr>
          <w:lang w:val="en-AU"/>
        </w:rPr>
        <w:t xml:space="preserve"> and Professor Peter McIntyre from </w:t>
      </w:r>
      <w:r w:rsidR="000149CA" w:rsidRPr="003408A6">
        <w:rPr>
          <w:lang w:val="en-AU"/>
        </w:rPr>
        <w:t xml:space="preserve">the </w:t>
      </w:r>
      <w:r w:rsidRPr="003408A6">
        <w:rPr>
          <w:lang w:val="en-AU"/>
        </w:rPr>
        <w:t>N</w:t>
      </w:r>
      <w:r w:rsidR="000149CA" w:rsidRPr="003408A6">
        <w:rPr>
          <w:lang w:val="en-AU"/>
        </w:rPr>
        <w:t xml:space="preserve">ational </w:t>
      </w:r>
      <w:r w:rsidRPr="003408A6">
        <w:rPr>
          <w:lang w:val="en-AU"/>
        </w:rPr>
        <w:t>C</w:t>
      </w:r>
      <w:r w:rsidR="000149CA" w:rsidRPr="003408A6">
        <w:rPr>
          <w:lang w:val="en-AU"/>
        </w:rPr>
        <w:t xml:space="preserve">entre for </w:t>
      </w:r>
      <w:r w:rsidRPr="003408A6">
        <w:rPr>
          <w:lang w:val="en-AU"/>
        </w:rPr>
        <w:t>I</w:t>
      </w:r>
      <w:r w:rsidR="000149CA" w:rsidRPr="003408A6">
        <w:rPr>
          <w:lang w:val="en-AU"/>
        </w:rPr>
        <w:t xml:space="preserve">mmunisation </w:t>
      </w:r>
      <w:r w:rsidRPr="003408A6">
        <w:rPr>
          <w:lang w:val="en-AU"/>
        </w:rPr>
        <w:t>R</w:t>
      </w:r>
      <w:r w:rsidR="000149CA" w:rsidRPr="003408A6">
        <w:rPr>
          <w:lang w:val="en-AU"/>
        </w:rPr>
        <w:t xml:space="preserve">esearch and </w:t>
      </w:r>
      <w:r w:rsidRPr="003408A6">
        <w:rPr>
          <w:lang w:val="en-AU"/>
        </w:rPr>
        <w:t>S</w:t>
      </w:r>
      <w:r w:rsidR="000149CA" w:rsidRPr="003408A6">
        <w:rPr>
          <w:lang w:val="en-AU"/>
        </w:rPr>
        <w:t>urveillance (NCIRS)</w:t>
      </w:r>
      <w:r w:rsidRPr="003408A6">
        <w:rPr>
          <w:lang w:val="en-AU"/>
        </w:rPr>
        <w:t xml:space="preserve">. </w:t>
      </w:r>
    </w:p>
    <w:p w:rsidR="00F8034E" w:rsidRPr="003408A6" w:rsidRDefault="00723BFB" w:rsidP="00C13201">
      <w:pPr>
        <w:pStyle w:val="BodyText"/>
        <w:rPr>
          <w:lang w:val="en-AU"/>
        </w:rPr>
      </w:pPr>
      <w:r w:rsidRPr="003408A6">
        <w:rPr>
          <w:lang w:val="en-AU"/>
        </w:rPr>
        <w:t xml:space="preserve">Michelle Bradley, Emma Hill and Joel Willis from </w:t>
      </w:r>
      <w:r w:rsidR="00216E1E" w:rsidRPr="003408A6">
        <w:rPr>
          <w:lang w:val="en-AU"/>
        </w:rPr>
        <w:t xml:space="preserve">the Immunisation Programs Section, Immunisation </w:t>
      </w:r>
      <w:r w:rsidR="008C1B78" w:rsidRPr="003408A6">
        <w:rPr>
          <w:lang w:val="en-AU"/>
        </w:rPr>
        <w:t>B</w:t>
      </w:r>
      <w:r w:rsidR="00216E1E" w:rsidRPr="003408A6">
        <w:rPr>
          <w:lang w:val="en-AU"/>
        </w:rPr>
        <w:t xml:space="preserve">ranch, </w:t>
      </w:r>
      <w:r w:rsidRPr="003408A6">
        <w:rPr>
          <w:lang w:val="en-AU"/>
        </w:rPr>
        <w:t xml:space="preserve">Australian </w:t>
      </w:r>
      <w:r w:rsidR="001B3B24" w:rsidRPr="003408A6">
        <w:rPr>
          <w:lang w:val="en-AU"/>
        </w:rPr>
        <w:t xml:space="preserve">Government </w:t>
      </w:r>
      <w:r w:rsidRPr="003408A6">
        <w:rPr>
          <w:lang w:val="en-AU"/>
        </w:rPr>
        <w:t>Department of Health</w:t>
      </w:r>
      <w:r w:rsidR="00657260">
        <w:rPr>
          <w:lang w:val="en-AU"/>
        </w:rPr>
        <w:t>,</w:t>
      </w:r>
      <w:r w:rsidRPr="003408A6">
        <w:rPr>
          <w:lang w:val="en-AU"/>
        </w:rPr>
        <w:t xml:space="preserve"> provided program evaluation support.</w:t>
      </w:r>
    </w:p>
    <w:p w:rsidR="00723BFB" w:rsidRPr="003408A6" w:rsidRDefault="00EF71C8" w:rsidP="00C13201">
      <w:pPr>
        <w:pStyle w:val="Non-TOCHeading"/>
      </w:pPr>
      <w:r w:rsidRPr="003408A6">
        <w:t>Chapter authors</w:t>
      </w:r>
    </w:p>
    <w:p w:rsidR="006A5ED2" w:rsidRPr="003408A6" w:rsidRDefault="00723BFB" w:rsidP="006E4DA8">
      <w:pPr>
        <w:pStyle w:val="Non-TOCsub-heading"/>
      </w:pPr>
      <w:r w:rsidRPr="003408A6">
        <w:t>Process evaluation</w:t>
      </w:r>
    </w:p>
    <w:p w:rsidR="00723BFB" w:rsidRPr="003408A6" w:rsidRDefault="00723BFB" w:rsidP="006E4DA8">
      <w:pPr>
        <w:pStyle w:val="BodyText"/>
        <w:rPr>
          <w:lang w:val="en-AU"/>
        </w:rPr>
      </w:pPr>
      <w:r w:rsidRPr="003408A6">
        <w:rPr>
          <w:lang w:val="en-AU"/>
        </w:rPr>
        <w:t xml:space="preserve">Stephanie Knox and Aditi Dey </w:t>
      </w:r>
    </w:p>
    <w:p w:rsidR="006A5ED2" w:rsidRPr="003408A6" w:rsidRDefault="00723BFB" w:rsidP="006E4DA8">
      <w:pPr>
        <w:pStyle w:val="Non-TOCsub-heading"/>
      </w:pPr>
      <w:r w:rsidRPr="003408A6">
        <w:t>Coverage</w:t>
      </w:r>
    </w:p>
    <w:p w:rsidR="00EF71C8" w:rsidRPr="003408A6" w:rsidRDefault="00723BFB" w:rsidP="006E4DA8">
      <w:pPr>
        <w:pStyle w:val="BodyText"/>
        <w:rPr>
          <w:lang w:val="en-AU"/>
        </w:rPr>
      </w:pPr>
      <w:r w:rsidRPr="003408A6">
        <w:rPr>
          <w:lang w:val="en-AU"/>
        </w:rPr>
        <w:t>Julia Brotherton</w:t>
      </w:r>
      <w:r w:rsidR="006A5ED2" w:rsidRPr="003408A6">
        <w:rPr>
          <w:lang w:val="en-AU"/>
        </w:rPr>
        <w:t xml:space="preserve"> </w:t>
      </w:r>
      <w:r w:rsidR="001135B5" w:rsidRPr="003408A6">
        <w:rPr>
          <w:lang w:val="en-AU"/>
        </w:rPr>
        <w:t>on behalf of the National HPV Vaccination Program Register, Victorian Cytology Service Inc</w:t>
      </w:r>
      <w:r w:rsidR="00270D0B" w:rsidRPr="003408A6">
        <w:rPr>
          <w:lang w:val="en-AU"/>
        </w:rPr>
        <w:t>.</w:t>
      </w:r>
      <w:r w:rsidR="00657260">
        <w:rPr>
          <w:lang w:val="en-AU"/>
        </w:rPr>
        <w:t xml:space="preserve"> (VCS)</w:t>
      </w:r>
    </w:p>
    <w:p w:rsidR="006A5ED2" w:rsidRPr="003408A6" w:rsidRDefault="00723BFB" w:rsidP="006E4DA8">
      <w:pPr>
        <w:pStyle w:val="Non-TOCsub-heading"/>
      </w:pPr>
      <w:r w:rsidRPr="003408A6">
        <w:t>Adverse events following immunisation</w:t>
      </w:r>
      <w:r w:rsidR="00EF71C8" w:rsidRPr="003408A6">
        <w:t xml:space="preserve"> </w:t>
      </w:r>
    </w:p>
    <w:p w:rsidR="00723BFB" w:rsidRPr="003408A6" w:rsidRDefault="00723BFB" w:rsidP="006E4DA8">
      <w:pPr>
        <w:pStyle w:val="BodyText"/>
        <w:rPr>
          <w:lang w:val="en-AU"/>
        </w:rPr>
      </w:pPr>
      <w:r w:rsidRPr="003408A6">
        <w:rPr>
          <w:lang w:val="en-AU"/>
        </w:rPr>
        <w:t xml:space="preserve">Deepika Mahajan, Aditi Dey, </w:t>
      </w:r>
      <w:r w:rsidR="006A5ED2" w:rsidRPr="003408A6">
        <w:rPr>
          <w:lang w:val="en-AU"/>
        </w:rPr>
        <w:t xml:space="preserve">Bronwen Harvey, Jane Cook, </w:t>
      </w:r>
      <w:r w:rsidR="005342C5" w:rsidRPr="003408A6">
        <w:rPr>
          <w:lang w:val="en-AU"/>
        </w:rPr>
        <w:t xml:space="preserve">Julia Brotherton, </w:t>
      </w:r>
      <w:r w:rsidRPr="003408A6">
        <w:rPr>
          <w:lang w:val="en-AU"/>
        </w:rPr>
        <w:t>Robert Menzies, Kristine Macartney</w:t>
      </w:r>
    </w:p>
    <w:p w:rsidR="00723BFB" w:rsidRPr="003408A6" w:rsidRDefault="006A5ED2" w:rsidP="006E4DA8">
      <w:pPr>
        <w:pStyle w:val="Non-TOCsub-heading"/>
      </w:pPr>
      <w:r w:rsidRPr="003408A6">
        <w:t>Disease burden</w:t>
      </w:r>
    </w:p>
    <w:p w:rsidR="00723BFB" w:rsidRPr="003408A6" w:rsidRDefault="00071E17" w:rsidP="006E4DA8">
      <w:pPr>
        <w:pStyle w:val="BodyText"/>
        <w:rPr>
          <w:lang w:val="en-AU"/>
        </w:rPr>
      </w:pPr>
      <w:r w:rsidRPr="003408A6">
        <w:rPr>
          <w:lang w:val="en-AU"/>
        </w:rPr>
        <w:t>H</w:t>
      </w:r>
      <w:r w:rsidR="00723BFB" w:rsidRPr="003408A6">
        <w:rPr>
          <w:lang w:val="en-AU"/>
        </w:rPr>
        <w:t xml:space="preserve">igh-grade </w:t>
      </w:r>
      <w:r w:rsidRPr="003408A6">
        <w:rPr>
          <w:lang w:val="en-AU"/>
        </w:rPr>
        <w:t xml:space="preserve">cervical </w:t>
      </w:r>
      <w:r w:rsidR="00723BFB" w:rsidRPr="003408A6">
        <w:rPr>
          <w:lang w:val="en-AU"/>
        </w:rPr>
        <w:t xml:space="preserve">abnormalities: May Chiew, Aditi Dey, Alison Budd, Julia Brotherton, Bette Liu, </w:t>
      </w:r>
      <w:r w:rsidR="00EF71C8" w:rsidRPr="003408A6">
        <w:rPr>
          <w:lang w:val="en-AU"/>
        </w:rPr>
        <w:t>Dorota Gertig,</w:t>
      </w:r>
      <w:r w:rsidR="00534470" w:rsidRPr="003408A6">
        <w:rPr>
          <w:lang w:val="en-AU"/>
        </w:rPr>
        <w:t xml:space="preserve"> </w:t>
      </w:r>
      <w:r w:rsidR="00723BFB" w:rsidRPr="003408A6">
        <w:rPr>
          <w:lang w:val="en-AU"/>
        </w:rPr>
        <w:t>Peter McIntyre</w:t>
      </w:r>
    </w:p>
    <w:p w:rsidR="00723BFB" w:rsidRPr="003408A6" w:rsidRDefault="00723BFB" w:rsidP="006E4DA8">
      <w:pPr>
        <w:pStyle w:val="BodyText"/>
        <w:rPr>
          <w:lang w:val="en-AU"/>
        </w:rPr>
      </w:pPr>
      <w:r w:rsidRPr="003408A6">
        <w:rPr>
          <w:lang w:val="en-AU"/>
        </w:rPr>
        <w:t xml:space="preserve">Genital warts: Megan Smith, Bette Liu, Karen Canfell, Aditi Dey, </w:t>
      </w:r>
      <w:r w:rsidR="00883D6D" w:rsidRPr="003408A6">
        <w:rPr>
          <w:lang w:val="en-AU"/>
        </w:rPr>
        <w:t>Robert Menzies</w:t>
      </w:r>
      <w:r w:rsidR="00270D0B" w:rsidRPr="003408A6">
        <w:rPr>
          <w:lang w:val="en-AU"/>
        </w:rPr>
        <w:t>,</w:t>
      </w:r>
      <w:r w:rsidR="00883D6D" w:rsidRPr="003408A6">
        <w:rPr>
          <w:lang w:val="en-AU"/>
        </w:rPr>
        <w:t xml:space="preserve"> </w:t>
      </w:r>
      <w:r w:rsidRPr="003408A6">
        <w:rPr>
          <w:lang w:val="en-AU"/>
        </w:rPr>
        <w:t>Peter McIntyre</w:t>
      </w:r>
    </w:p>
    <w:p w:rsidR="0085789A" w:rsidRPr="003408A6" w:rsidRDefault="0085789A" w:rsidP="006D1A8B">
      <w:pPr>
        <w:pStyle w:val="Heading1"/>
      </w:pPr>
      <w:bookmarkStart w:id="4" w:name="_Toc396926109"/>
      <w:r w:rsidRPr="003408A6">
        <w:t>Acknowledgements</w:t>
      </w:r>
      <w:bookmarkEnd w:id="2"/>
      <w:bookmarkEnd w:id="3"/>
      <w:bookmarkEnd w:id="4"/>
      <w:r w:rsidRPr="003408A6">
        <w:t xml:space="preserve"> </w:t>
      </w:r>
    </w:p>
    <w:p w:rsidR="0085789A" w:rsidRPr="003408A6" w:rsidRDefault="0085789A" w:rsidP="006E4DA8">
      <w:pPr>
        <w:pStyle w:val="BodyText"/>
        <w:rPr>
          <w:lang w:val="en-AU"/>
        </w:rPr>
      </w:pPr>
      <w:r w:rsidRPr="003408A6">
        <w:rPr>
          <w:lang w:val="en-AU"/>
        </w:rPr>
        <w:t>This study was funded by the Australian Government Department of Health</w:t>
      </w:r>
      <w:r w:rsidR="00F019D2" w:rsidRPr="003408A6">
        <w:rPr>
          <w:lang w:val="en-AU"/>
        </w:rPr>
        <w:t>.</w:t>
      </w:r>
      <w:r w:rsidRPr="003408A6">
        <w:rPr>
          <w:lang w:val="en-AU"/>
        </w:rPr>
        <w:t xml:space="preserve">  </w:t>
      </w:r>
    </w:p>
    <w:p w:rsidR="0085789A" w:rsidRPr="003408A6" w:rsidRDefault="0085789A" w:rsidP="006E4DA8">
      <w:pPr>
        <w:pStyle w:val="BodyText"/>
        <w:rPr>
          <w:lang w:val="en-AU"/>
        </w:rPr>
      </w:pPr>
      <w:r w:rsidRPr="003408A6">
        <w:rPr>
          <w:lang w:val="en-AU"/>
        </w:rPr>
        <w:t>Unit records of adverse events following immunisation were provided by the Therapeutic Goods Administration</w:t>
      </w:r>
      <w:r w:rsidR="00657260">
        <w:rPr>
          <w:lang w:val="en-AU"/>
        </w:rPr>
        <w:t xml:space="preserve"> (TGA)</w:t>
      </w:r>
      <w:r w:rsidRPr="003408A6">
        <w:rPr>
          <w:lang w:val="en-AU"/>
        </w:rPr>
        <w:t xml:space="preserve">. </w:t>
      </w:r>
    </w:p>
    <w:p w:rsidR="0085789A" w:rsidRPr="003408A6" w:rsidRDefault="0085789A" w:rsidP="006E4DA8">
      <w:pPr>
        <w:pStyle w:val="BodyText"/>
        <w:rPr>
          <w:lang w:val="en-AU"/>
        </w:rPr>
      </w:pPr>
      <w:r w:rsidRPr="003408A6">
        <w:rPr>
          <w:lang w:val="en-AU"/>
        </w:rPr>
        <w:t xml:space="preserve">Hospitalisation data </w:t>
      </w:r>
      <w:r w:rsidR="00270D0B" w:rsidRPr="003408A6">
        <w:rPr>
          <w:lang w:val="en-AU"/>
        </w:rPr>
        <w:t xml:space="preserve">were </w:t>
      </w:r>
      <w:r w:rsidRPr="003408A6">
        <w:rPr>
          <w:lang w:val="en-AU"/>
        </w:rPr>
        <w:t>provided by the Australian Institute of Health and Welfare</w:t>
      </w:r>
      <w:r w:rsidR="00657260">
        <w:rPr>
          <w:lang w:val="en-AU"/>
        </w:rPr>
        <w:t xml:space="preserve"> (AIHW)</w:t>
      </w:r>
      <w:r w:rsidRPr="003408A6">
        <w:rPr>
          <w:lang w:val="en-AU"/>
        </w:rPr>
        <w:t xml:space="preserve">. Data was cleaned and prepared for analysis by Han Wang (NCIRS). </w:t>
      </w:r>
    </w:p>
    <w:p w:rsidR="00196366" w:rsidRPr="003408A6" w:rsidRDefault="00196366" w:rsidP="006E4DA8">
      <w:pPr>
        <w:pStyle w:val="BodyText"/>
        <w:rPr>
          <w:lang w:val="en-AU"/>
        </w:rPr>
      </w:pPr>
      <w:r w:rsidRPr="003408A6">
        <w:rPr>
          <w:lang w:val="en-AU"/>
        </w:rPr>
        <w:t>Thanks to Catherine King and Edward Jacyna for literature searches and library support.</w:t>
      </w:r>
    </w:p>
    <w:p w:rsidR="0085789A" w:rsidRPr="003408A6" w:rsidRDefault="0085789A" w:rsidP="006E4DA8">
      <w:pPr>
        <w:pStyle w:val="BodyText"/>
        <w:rPr>
          <w:lang w:val="en-AU"/>
        </w:rPr>
      </w:pPr>
      <w:r w:rsidRPr="003408A6">
        <w:rPr>
          <w:lang w:val="en-AU"/>
        </w:rPr>
        <w:t xml:space="preserve">Thanks to Donna Armstrong for </w:t>
      </w:r>
      <w:r w:rsidR="00216E1E" w:rsidRPr="003408A6">
        <w:rPr>
          <w:lang w:val="en-AU"/>
        </w:rPr>
        <w:t>editing the draft</w:t>
      </w:r>
      <w:r w:rsidRPr="003408A6">
        <w:rPr>
          <w:lang w:val="en-AU"/>
        </w:rPr>
        <w:t xml:space="preserve"> report. </w:t>
      </w:r>
    </w:p>
    <w:p w:rsidR="00D96576" w:rsidRPr="003408A6" w:rsidRDefault="0085789A" w:rsidP="006E4DA8">
      <w:pPr>
        <w:pStyle w:val="BodyText"/>
        <w:rPr>
          <w:lang w:val="en-AU"/>
        </w:rPr>
      </w:pPr>
      <w:r w:rsidRPr="003408A6">
        <w:rPr>
          <w:lang w:val="en-AU"/>
        </w:rPr>
        <w:t>The authors wish to acknowledge the following key stakeholder groups who participated in intervi</w:t>
      </w:r>
      <w:r w:rsidR="00456FA7" w:rsidRPr="003408A6">
        <w:rPr>
          <w:lang w:val="en-AU"/>
        </w:rPr>
        <w:t>ews for the process evaluation:</w:t>
      </w:r>
    </w:p>
    <w:p w:rsidR="00D96576" w:rsidRPr="003408A6" w:rsidRDefault="00D96576" w:rsidP="006E4DA8">
      <w:pPr>
        <w:pStyle w:val="Non-TOCsub-heading"/>
      </w:pPr>
      <w:r w:rsidRPr="003408A6">
        <w:t xml:space="preserve">Australian </w:t>
      </w:r>
      <w:r w:rsidR="00657260">
        <w:t xml:space="preserve">Government </w:t>
      </w:r>
      <w:r w:rsidRPr="003408A6">
        <w:t>Department of Health</w:t>
      </w:r>
    </w:p>
    <w:p w:rsidR="00D96576" w:rsidRPr="003408A6" w:rsidRDefault="00D96576" w:rsidP="006E4DA8">
      <w:pPr>
        <w:pStyle w:val="BodyText"/>
        <w:rPr>
          <w:lang w:val="en-AU"/>
        </w:rPr>
      </w:pPr>
      <w:r w:rsidRPr="003408A6">
        <w:rPr>
          <w:lang w:val="en-AU"/>
        </w:rPr>
        <w:t>Brigid Dohnt</w:t>
      </w:r>
    </w:p>
    <w:p w:rsidR="00C7078B" w:rsidRPr="003408A6" w:rsidRDefault="0085789A" w:rsidP="006E4DA8">
      <w:pPr>
        <w:pStyle w:val="Non-TOCsub-heading"/>
      </w:pPr>
      <w:r w:rsidRPr="003408A6">
        <w:t xml:space="preserve">State and territory government immunisation program managers and staff </w:t>
      </w:r>
    </w:p>
    <w:p w:rsidR="00AE1E02" w:rsidRPr="00AE1E02" w:rsidRDefault="00AE1E02" w:rsidP="00AE1E02">
      <w:pPr>
        <w:pStyle w:val="Bodytextbullets"/>
        <w:rPr>
          <w:lang w:val="en-AU"/>
        </w:rPr>
      </w:pPr>
      <w:r w:rsidRPr="00AE1E02">
        <w:rPr>
          <w:lang w:val="en-AU"/>
        </w:rPr>
        <w:t xml:space="preserve">Carolyn Banks (Australian Capital Territory) </w:t>
      </w:r>
    </w:p>
    <w:p w:rsidR="00AE1E02" w:rsidRPr="003408A6" w:rsidRDefault="00AE1E02" w:rsidP="00AE1E02">
      <w:pPr>
        <w:pStyle w:val="Bodytextbullets"/>
        <w:rPr>
          <w:lang w:val="en-AU"/>
        </w:rPr>
      </w:pPr>
      <w:r w:rsidRPr="003408A6">
        <w:rPr>
          <w:lang w:val="en-AU"/>
        </w:rPr>
        <w:t>Sue Campbell-Lloyd (New South Wales)</w:t>
      </w:r>
    </w:p>
    <w:p w:rsidR="00AE1E02" w:rsidRPr="00AE1E02" w:rsidRDefault="00AE1E02" w:rsidP="00BC13CF">
      <w:pPr>
        <w:pStyle w:val="Bodytextbullets"/>
        <w:rPr>
          <w:lang w:val="en-AU"/>
        </w:rPr>
      </w:pPr>
      <w:r w:rsidRPr="003408A6">
        <w:rPr>
          <w:lang w:val="en-AU"/>
        </w:rPr>
        <w:t>Helena White and Sharon Murray (Northern Territory)</w:t>
      </w:r>
    </w:p>
    <w:p w:rsidR="00AE1E02" w:rsidRPr="00AE1E02" w:rsidRDefault="00AE1E02" w:rsidP="00AE1E02">
      <w:pPr>
        <w:pStyle w:val="Bodytextbullets"/>
        <w:rPr>
          <w:lang w:val="en-AU"/>
        </w:rPr>
      </w:pPr>
      <w:r w:rsidRPr="00AE1E02">
        <w:rPr>
          <w:lang w:val="en-AU"/>
        </w:rPr>
        <w:t>Karen Peterson (Queensland)</w:t>
      </w:r>
    </w:p>
    <w:p w:rsidR="00C7078B" w:rsidRPr="003408A6" w:rsidRDefault="0085789A" w:rsidP="006E4DA8">
      <w:pPr>
        <w:pStyle w:val="Bodytextbullets"/>
        <w:rPr>
          <w:lang w:val="en-AU"/>
        </w:rPr>
      </w:pPr>
      <w:r w:rsidRPr="003408A6">
        <w:rPr>
          <w:lang w:val="en-AU"/>
        </w:rPr>
        <w:t>Maureen Watson (South Australia)</w:t>
      </w:r>
    </w:p>
    <w:p w:rsidR="00C7078B" w:rsidRPr="003408A6" w:rsidRDefault="00176126" w:rsidP="006E4DA8">
      <w:pPr>
        <w:pStyle w:val="Bodytextbullets"/>
        <w:rPr>
          <w:lang w:val="en-AU"/>
        </w:rPr>
      </w:pPr>
      <w:r w:rsidRPr="003408A6">
        <w:rPr>
          <w:lang w:val="en-AU"/>
        </w:rPr>
        <w:t>Kerry Nettle</w:t>
      </w:r>
      <w:r w:rsidR="0085789A" w:rsidRPr="003408A6">
        <w:rPr>
          <w:lang w:val="en-AU"/>
        </w:rPr>
        <w:t xml:space="preserve"> </w:t>
      </w:r>
      <w:r w:rsidRPr="003408A6">
        <w:rPr>
          <w:lang w:val="en-AU"/>
        </w:rPr>
        <w:t xml:space="preserve">and David Coleman </w:t>
      </w:r>
      <w:r w:rsidR="0085789A" w:rsidRPr="003408A6">
        <w:rPr>
          <w:lang w:val="en-AU"/>
        </w:rPr>
        <w:t>(Tasmania)</w:t>
      </w:r>
    </w:p>
    <w:p w:rsidR="00C7078B" w:rsidRPr="003408A6" w:rsidRDefault="00176126" w:rsidP="006E4DA8">
      <w:pPr>
        <w:pStyle w:val="Bodytextbullets"/>
        <w:rPr>
          <w:lang w:val="en-AU"/>
        </w:rPr>
      </w:pPr>
      <w:r w:rsidRPr="003408A6">
        <w:rPr>
          <w:lang w:val="en-AU"/>
        </w:rPr>
        <w:t>Michael Batchelor,</w:t>
      </w:r>
      <w:r w:rsidR="00C7078B" w:rsidRPr="003408A6">
        <w:rPr>
          <w:lang w:val="en-AU"/>
        </w:rPr>
        <w:t xml:space="preserve"> </w:t>
      </w:r>
      <w:r w:rsidR="0085789A" w:rsidRPr="003408A6">
        <w:rPr>
          <w:lang w:val="en-AU"/>
        </w:rPr>
        <w:t xml:space="preserve">Helen Pitcher </w:t>
      </w:r>
      <w:r w:rsidRPr="003408A6">
        <w:rPr>
          <w:lang w:val="en-AU"/>
        </w:rPr>
        <w:t xml:space="preserve">and Rosemary Lester </w:t>
      </w:r>
      <w:r w:rsidR="0085789A" w:rsidRPr="003408A6">
        <w:rPr>
          <w:lang w:val="en-AU"/>
        </w:rPr>
        <w:t>(Victoria)</w:t>
      </w:r>
    </w:p>
    <w:p w:rsidR="00176126" w:rsidRPr="003408A6" w:rsidRDefault="00176126" w:rsidP="006E4DA8">
      <w:pPr>
        <w:pStyle w:val="Bodytextbullets"/>
        <w:rPr>
          <w:lang w:val="en-AU"/>
        </w:rPr>
      </w:pPr>
      <w:r w:rsidRPr="003408A6">
        <w:rPr>
          <w:lang w:val="en-AU"/>
        </w:rPr>
        <w:t>Megan Scully (Western Australia)</w:t>
      </w:r>
    </w:p>
    <w:p w:rsidR="001135B5" w:rsidRPr="003408A6" w:rsidRDefault="001135B5" w:rsidP="006E4DA8">
      <w:pPr>
        <w:pStyle w:val="Non-TOCsub-heading"/>
      </w:pPr>
      <w:r w:rsidRPr="003408A6">
        <w:t>Therapeutic Goods Administration</w:t>
      </w:r>
    </w:p>
    <w:p w:rsidR="001135B5" w:rsidRPr="003408A6" w:rsidRDefault="001135B5" w:rsidP="006E4DA8">
      <w:pPr>
        <w:pStyle w:val="Bodytextbullets"/>
        <w:rPr>
          <w:lang w:val="en-AU"/>
        </w:rPr>
      </w:pPr>
      <w:r w:rsidRPr="003408A6">
        <w:rPr>
          <w:lang w:val="en-AU"/>
        </w:rPr>
        <w:t>Bronwen Harvey</w:t>
      </w:r>
    </w:p>
    <w:p w:rsidR="001135B5" w:rsidRPr="003408A6" w:rsidRDefault="001135B5" w:rsidP="006E4DA8">
      <w:pPr>
        <w:pStyle w:val="Bodytextbullets"/>
        <w:rPr>
          <w:lang w:val="en-AU"/>
        </w:rPr>
      </w:pPr>
      <w:r w:rsidRPr="003408A6">
        <w:rPr>
          <w:lang w:val="en-AU"/>
        </w:rPr>
        <w:t>Richard Hill</w:t>
      </w:r>
    </w:p>
    <w:p w:rsidR="0085789A" w:rsidRPr="003408A6" w:rsidRDefault="00176126" w:rsidP="006E4DA8">
      <w:pPr>
        <w:pStyle w:val="Non-TOCsub-heading"/>
      </w:pPr>
      <w:r w:rsidRPr="003408A6">
        <w:t>Australian Medicare Local Alliance and Medicare Local staff (n=5</w:t>
      </w:r>
      <w:r w:rsidR="0085789A" w:rsidRPr="003408A6">
        <w:t>)</w:t>
      </w:r>
    </w:p>
    <w:p w:rsidR="0085789A" w:rsidRPr="003408A6" w:rsidRDefault="00176126" w:rsidP="006E4DA8">
      <w:pPr>
        <w:pStyle w:val="Non-TOCsub-heading"/>
      </w:pPr>
      <w:r w:rsidRPr="003408A6">
        <w:t>School-based vaccination coordinators (n=5</w:t>
      </w:r>
      <w:r w:rsidR="0085789A" w:rsidRPr="003408A6">
        <w:t>)</w:t>
      </w:r>
    </w:p>
    <w:p w:rsidR="00176126" w:rsidRPr="003408A6" w:rsidRDefault="00176126" w:rsidP="006E4DA8">
      <w:pPr>
        <w:pStyle w:val="Non-TOCsub-heading"/>
      </w:pPr>
      <w:r w:rsidRPr="003408A6">
        <w:t>Regional immunisation coordinators (n=2)</w:t>
      </w:r>
    </w:p>
    <w:p w:rsidR="0085789A" w:rsidRPr="003408A6" w:rsidRDefault="0085789A" w:rsidP="006E4DA8">
      <w:pPr>
        <w:pStyle w:val="Non-TOCsub-heading"/>
      </w:pPr>
      <w:r w:rsidRPr="003408A6">
        <w:t xml:space="preserve">General practitioners </w:t>
      </w:r>
      <w:r w:rsidR="00176126" w:rsidRPr="003408A6">
        <w:t>(n=2</w:t>
      </w:r>
      <w:r w:rsidRPr="003408A6">
        <w:t xml:space="preserve">) </w:t>
      </w:r>
    </w:p>
    <w:p w:rsidR="0085789A" w:rsidRPr="003408A6" w:rsidRDefault="0085789A" w:rsidP="006E4DA8">
      <w:pPr>
        <w:pStyle w:val="Non-TOCsub-heading"/>
      </w:pPr>
      <w:r w:rsidRPr="003408A6">
        <w:t xml:space="preserve">Practice nurses </w:t>
      </w:r>
      <w:r w:rsidR="00176126" w:rsidRPr="003408A6">
        <w:t>(n=1</w:t>
      </w:r>
      <w:r w:rsidRPr="003408A6">
        <w:t>)</w:t>
      </w:r>
    </w:p>
    <w:p w:rsidR="001135B5" w:rsidRPr="003408A6" w:rsidRDefault="00071FF7" w:rsidP="006E4DA8">
      <w:pPr>
        <w:pStyle w:val="Non-TOCsub-heading"/>
      </w:pPr>
      <w:r w:rsidRPr="003408A6">
        <w:t>Cervical screening program managers (n=7)</w:t>
      </w:r>
    </w:p>
    <w:p w:rsidR="006A735A" w:rsidRPr="003408A6" w:rsidRDefault="00372698" w:rsidP="006E4DA8">
      <w:pPr>
        <w:pStyle w:val="Non-TOCHeading"/>
      </w:pPr>
      <w:r w:rsidRPr="003408A6">
        <w:t>Consultations</w:t>
      </w:r>
      <w:r w:rsidR="00EC110F" w:rsidRPr="003408A6">
        <w:t xml:space="preserve">, </w:t>
      </w:r>
      <w:r w:rsidRPr="003408A6">
        <w:t>c</w:t>
      </w:r>
      <w:r w:rsidR="006A735A" w:rsidRPr="003408A6">
        <w:t>hapter reviews</w:t>
      </w:r>
      <w:r w:rsidR="00EC110F" w:rsidRPr="003408A6">
        <w:t xml:space="preserve"> and presentations</w:t>
      </w:r>
    </w:p>
    <w:p w:rsidR="004B6AED" w:rsidRPr="003408A6" w:rsidRDefault="00372698" w:rsidP="006E4DA8">
      <w:pPr>
        <w:pStyle w:val="BodyText"/>
        <w:rPr>
          <w:lang w:val="en-AU"/>
        </w:rPr>
      </w:pPr>
      <w:r w:rsidRPr="003408A6">
        <w:rPr>
          <w:lang w:val="en-AU"/>
        </w:rPr>
        <w:t>Monthly teleconferences were held with Michelle</w:t>
      </w:r>
      <w:r w:rsidR="004B6AED" w:rsidRPr="003408A6">
        <w:rPr>
          <w:lang w:val="en-AU"/>
        </w:rPr>
        <w:t xml:space="preserve"> Bradley and Emma Hill from the </w:t>
      </w:r>
      <w:r w:rsidRPr="003408A6">
        <w:rPr>
          <w:lang w:val="en-AU"/>
        </w:rPr>
        <w:t xml:space="preserve">Immunisation Programs Section, Immunisation </w:t>
      </w:r>
      <w:r w:rsidR="00657260">
        <w:rPr>
          <w:lang w:val="en-AU"/>
        </w:rPr>
        <w:t>B</w:t>
      </w:r>
      <w:r w:rsidRPr="003408A6">
        <w:rPr>
          <w:lang w:val="en-AU"/>
        </w:rPr>
        <w:t>ranch, Department of Health</w:t>
      </w:r>
      <w:r w:rsidR="00755848" w:rsidRPr="003408A6">
        <w:rPr>
          <w:lang w:val="en-AU"/>
        </w:rPr>
        <w:t>. M</w:t>
      </w:r>
      <w:r w:rsidR="00B027EA" w:rsidRPr="003408A6">
        <w:rPr>
          <w:lang w:val="en-AU"/>
        </w:rPr>
        <w:t>s Bradley</w:t>
      </w:r>
      <w:r w:rsidR="00755848" w:rsidRPr="003408A6">
        <w:rPr>
          <w:lang w:val="en-AU"/>
        </w:rPr>
        <w:t xml:space="preserve"> and </w:t>
      </w:r>
      <w:r w:rsidR="00B027EA" w:rsidRPr="003408A6">
        <w:rPr>
          <w:lang w:val="en-AU"/>
        </w:rPr>
        <w:t>Ms Hill</w:t>
      </w:r>
      <w:r w:rsidR="00755848" w:rsidRPr="003408A6">
        <w:rPr>
          <w:lang w:val="en-AU"/>
        </w:rPr>
        <w:t xml:space="preserve"> coordinated the reviews undertaken by the Department of Health</w:t>
      </w:r>
      <w:r w:rsidR="004B6AED" w:rsidRPr="003408A6">
        <w:rPr>
          <w:lang w:val="en-AU"/>
        </w:rPr>
        <w:t xml:space="preserve"> </w:t>
      </w:r>
      <w:r w:rsidR="00755848" w:rsidRPr="003408A6">
        <w:rPr>
          <w:lang w:val="en-AU"/>
        </w:rPr>
        <w:t>and related organisations.</w:t>
      </w:r>
    </w:p>
    <w:p w:rsidR="00372698" w:rsidRPr="003408A6" w:rsidRDefault="00372698" w:rsidP="006E4DA8">
      <w:pPr>
        <w:pStyle w:val="BodyText"/>
        <w:rPr>
          <w:lang w:val="en-AU"/>
        </w:rPr>
      </w:pPr>
      <w:r w:rsidRPr="003408A6">
        <w:rPr>
          <w:lang w:val="en-AU"/>
        </w:rPr>
        <w:t>For the c</w:t>
      </w:r>
      <w:r w:rsidR="00BF12FC" w:rsidRPr="003408A6">
        <w:rPr>
          <w:lang w:val="en-AU"/>
        </w:rPr>
        <w:t xml:space="preserve">overage chapter, regular email contact </w:t>
      </w:r>
      <w:r w:rsidRPr="003408A6">
        <w:rPr>
          <w:lang w:val="en-AU"/>
        </w:rPr>
        <w:t>and teleconferences were held with Julia Brotherton from</w:t>
      </w:r>
      <w:r w:rsidR="00657260">
        <w:rPr>
          <w:lang w:val="en-AU"/>
        </w:rPr>
        <w:t xml:space="preserve"> the</w:t>
      </w:r>
      <w:r w:rsidRPr="003408A6">
        <w:rPr>
          <w:lang w:val="en-AU"/>
        </w:rPr>
        <w:t xml:space="preserve"> National HPV Vaccination Program Register, VCS</w:t>
      </w:r>
      <w:r w:rsidR="003A2F22" w:rsidRPr="003408A6">
        <w:rPr>
          <w:lang w:val="en-AU"/>
        </w:rPr>
        <w:t>.</w:t>
      </w:r>
    </w:p>
    <w:p w:rsidR="00372698" w:rsidRPr="003408A6" w:rsidRDefault="00372698" w:rsidP="006E4DA8">
      <w:pPr>
        <w:pStyle w:val="BodyText"/>
        <w:rPr>
          <w:lang w:val="en-AU"/>
        </w:rPr>
      </w:pPr>
      <w:r w:rsidRPr="003408A6">
        <w:rPr>
          <w:lang w:val="en-AU"/>
        </w:rPr>
        <w:t xml:space="preserve">For the disease impact chapter on high-grade abnormalities, regular teleconferences were held with Alison Budd and Justin Harvey from AIHW; Bette Liu from </w:t>
      </w:r>
      <w:r w:rsidR="00657260">
        <w:rPr>
          <w:lang w:val="en-AU"/>
        </w:rPr>
        <w:t>the University of New South Wales (U</w:t>
      </w:r>
      <w:r w:rsidRPr="003408A6">
        <w:rPr>
          <w:lang w:val="en-AU"/>
        </w:rPr>
        <w:t>NSW</w:t>
      </w:r>
      <w:r w:rsidR="00657260">
        <w:rPr>
          <w:lang w:val="en-AU"/>
        </w:rPr>
        <w:t>)</w:t>
      </w:r>
      <w:r w:rsidRPr="003408A6">
        <w:rPr>
          <w:lang w:val="en-AU"/>
        </w:rPr>
        <w:t xml:space="preserve"> and Julia Brotherton from VCS</w:t>
      </w:r>
      <w:r w:rsidR="003A2F22" w:rsidRPr="003408A6">
        <w:rPr>
          <w:lang w:val="en-AU"/>
        </w:rPr>
        <w:t>.</w:t>
      </w:r>
      <w:r w:rsidR="00EC110F" w:rsidRPr="003408A6">
        <w:rPr>
          <w:lang w:val="en-AU"/>
        </w:rPr>
        <w:t xml:space="preserve"> There was an oral presentation by Aditi Dey at the P</w:t>
      </w:r>
      <w:r w:rsidR="00657260">
        <w:rPr>
          <w:lang w:val="en-AU"/>
        </w:rPr>
        <w:t xml:space="preserve">ublic </w:t>
      </w:r>
      <w:r w:rsidR="00EC110F" w:rsidRPr="003408A6">
        <w:rPr>
          <w:lang w:val="en-AU"/>
        </w:rPr>
        <w:t>H</w:t>
      </w:r>
      <w:r w:rsidR="00657260">
        <w:rPr>
          <w:lang w:val="en-AU"/>
        </w:rPr>
        <w:t xml:space="preserve">ealth </w:t>
      </w:r>
      <w:r w:rsidR="00EC110F" w:rsidRPr="003408A6">
        <w:rPr>
          <w:lang w:val="en-AU"/>
        </w:rPr>
        <w:t>A</w:t>
      </w:r>
      <w:r w:rsidR="00657260">
        <w:rPr>
          <w:lang w:val="en-AU"/>
        </w:rPr>
        <w:t xml:space="preserve">ssociation </w:t>
      </w:r>
      <w:r w:rsidR="00EC110F" w:rsidRPr="003408A6">
        <w:rPr>
          <w:lang w:val="en-AU"/>
        </w:rPr>
        <w:t>A</w:t>
      </w:r>
      <w:r w:rsidR="00657260">
        <w:rPr>
          <w:lang w:val="en-AU"/>
        </w:rPr>
        <w:t>ustralia</w:t>
      </w:r>
      <w:r w:rsidR="00EC110F" w:rsidRPr="003408A6">
        <w:rPr>
          <w:lang w:val="en-AU"/>
        </w:rPr>
        <w:t xml:space="preserve"> National Immunisation Conference held in Melbourne in June 2014.</w:t>
      </w:r>
    </w:p>
    <w:p w:rsidR="00372698" w:rsidRPr="003408A6" w:rsidRDefault="00372698" w:rsidP="006E4DA8">
      <w:pPr>
        <w:pStyle w:val="BodyText"/>
        <w:rPr>
          <w:lang w:val="en-AU"/>
        </w:rPr>
      </w:pPr>
      <w:r w:rsidRPr="003408A6">
        <w:rPr>
          <w:lang w:val="en-AU"/>
        </w:rPr>
        <w:t xml:space="preserve">For the disease impact chapter on genital warts, face-to-face meetings and teleconferences were held with Megan Smith, Bette Liu and Karen Canfell from </w:t>
      </w:r>
      <w:r w:rsidR="00BF1DF8">
        <w:rPr>
          <w:lang w:val="en-AU"/>
        </w:rPr>
        <w:t>UNSW</w:t>
      </w:r>
      <w:r w:rsidR="003A2F22" w:rsidRPr="003408A6">
        <w:rPr>
          <w:lang w:val="en-AU"/>
        </w:rPr>
        <w:t>.</w:t>
      </w:r>
    </w:p>
    <w:p w:rsidR="00372698" w:rsidRPr="003408A6" w:rsidRDefault="00372698" w:rsidP="006E4DA8">
      <w:pPr>
        <w:pStyle w:val="BodyText"/>
        <w:rPr>
          <w:lang w:val="en-AU"/>
        </w:rPr>
      </w:pPr>
      <w:r w:rsidRPr="003408A6">
        <w:rPr>
          <w:lang w:val="en-AU"/>
        </w:rPr>
        <w:t xml:space="preserve">For the process evaluation chapter, </w:t>
      </w:r>
      <w:r w:rsidR="005225EE" w:rsidRPr="003408A6">
        <w:rPr>
          <w:lang w:val="en-AU"/>
        </w:rPr>
        <w:t xml:space="preserve">a teleconference was held with </w:t>
      </w:r>
      <w:r w:rsidR="004B6AED" w:rsidRPr="003408A6">
        <w:rPr>
          <w:lang w:val="en-AU"/>
        </w:rPr>
        <w:t>Trinette Kinsman</w:t>
      </w:r>
      <w:r w:rsidR="00BD2589" w:rsidRPr="003408A6">
        <w:rPr>
          <w:lang w:val="en-AU"/>
        </w:rPr>
        <w:t>, Market Research Manager</w:t>
      </w:r>
      <w:r w:rsidR="000655FC" w:rsidRPr="003408A6">
        <w:rPr>
          <w:lang w:val="en-AU"/>
        </w:rPr>
        <w:t xml:space="preserve">, Market Research Unit at </w:t>
      </w:r>
      <w:r w:rsidR="004B6AED" w:rsidRPr="003408A6">
        <w:rPr>
          <w:lang w:val="en-AU"/>
        </w:rPr>
        <w:t>the Department of Health</w:t>
      </w:r>
      <w:r w:rsidR="00BF1DF8">
        <w:rPr>
          <w:lang w:val="en-AU"/>
        </w:rPr>
        <w:t>,</w:t>
      </w:r>
      <w:r w:rsidR="004B6AED" w:rsidRPr="003408A6">
        <w:rPr>
          <w:lang w:val="en-AU"/>
        </w:rPr>
        <w:t xml:space="preserve"> </w:t>
      </w:r>
      <w:r w:rsidR="00BD2589" w:rsidRPr="003408A6">
        <w:rPr>
          <w:lang w:val="en-AU"/>
        </w:rPr>
        <w:t>and</w:t>
      </w:r>
      <w:r w:rsidR="004B6AED" w:rsidRPr="003408A6">
        <w:rPr>
          <w:lang w:val="en-AU"/>
        </w:rPr>
        <w:t xml:space="preserve"> </w:t>
      </w:r>
      <w:r w:rsidRPr="003408A6">
        <w:rPr>
          <w:lang w:val="en-AU"/>
        </w:rPr>
        <w:t>immunisation program managers, nurse immunisers, school-based immunisation providers, GPs and other stakeholders were surveyed/interviewed</w:t>
      </w:r>
      <w:r w:rsidR="003A2F22" w:rsidRPr="003408A6">
        <w:rPr>
          <w:lang w:val="en-AU"/>
        </w:rPr>
        <w:t>.</w:t>
      </w:r>
      <w:r w:rsidRPr="003408A6">
        <w:rPr>
          <w:lang w:val="en-AU"/>
        </w:rPr>
        <w:t xml:space="preserve"> </w:t>
      </w:r>
      <w:r w:rsidR="00EC110F" w:rsidRPr="003408A6">
        <w:rPr>
          <w:lang w:val="en-AU"/>
        </w:rPr>
        <w:t>There was a poster by Stephanie Knox at the PHAA National Immunisation Conference held in Melbourne in June 2014.</w:t>
      </w:r>
    </w:p>
    <w:p w:rsidR="00372698" w:rsidRPr="003408A6" w:rsidRDefault="00372698" w:rsidP="006E4DA8">
      <w:pPr>
        <w:pStyle w:val="BodyText"/>
        <w:rPr>
          <w:lang w:val="en-AU"/>
        </w:rPr>
      </w:pPr>
      <w:r w:rsidRPr="003408A6">
        <w:rPr>
          <w:lang w:val="en-AU"/>
        </w:rPr>
        <w:t xml:space="preserve">For the </w:t>
      </w:r>
      <w:r w:rsidR="00BF1DF8">
        <w:rPr>
          <w:lang w:val="en-AU"/>
        </w:rPr>
        <w:t>a</w:t>
      </w:r>
      <w:r w:rsidRPr="003408A6">
        <w:rPr>
          <w:lang w:val="en-AU"/>
        </w:rPr>
        <w:t xml:space="preserve">dverse </w:t>
      </w:r>
      <w:r w:rsidR="00BF1DF8">
        <w:rPr>
          <w:lang w:val="en-AU"/>
        </w:rPr>
        <w:t>e</w:t>
      </w:r>
      <w:r w:rsidRPr="003408A6">
        <w:rPr>
          <w:lang w:val="en-AU"/>
        </w:rPr>
        <w:t xml:space="preserve">vents </w:t>
      </w:r>
      <w:r w:rsidR="00BF1DF8">
        <w:rPr>
          <w:lang w:val="en-AU"/>
        </w:rPr>
        <w:t>f</w:t>
      </w:r>
      <w:r w:rsidRPr="003408A6">
        <w:rPr>
          <w:lang w:val="en-AU"/>
        </w:rPr>
        <w:t xml:space="preserve">ollowing </w:t>
      </w:r>
      <w:r w:rsidR="00BF1DF8">
        <w:rPr>
          <w:lang w:val="en-AU"/>
        </w:rPr>
        <w:t>i</w:t>
      </w:r>
      <w:r w:rsidRPr="003408A6">
        <w:rPr>
          <w:lang w:val="en-AU"/>
        </w:rPr>
        <w:t>mmunisation chapter, a face-to-face meeting and teleconferences were held with Bronwen Harvey and Richard Hill from the TGA.</w:t>
      </w:r>
      <w:r w:rsidR="00EC110F" w:rsidRPr="003408A6">
        <w:rPr>
          <w:lang w:val="en-AU"/>
        </w:rPr>
        <w:t xml:space="preserve"> Preliminary results were presented by Deepika Mahajan at the Communicable Disease</w:t>
      </w:r>
      <w:r w:rsidR="00627C33">
        <w:rPr>
          <w:lang w:val="en-AU"/>
        </w:rPr>
        <w:t>s Control</w:t>
      </w:r>
      <w:r w:rsidR="00EC110F" w:rsidRPr="003408A6">
        <w:rPr>
          <w:lang w:val="en-AU"/>
        </w:rPr>
        <w:t xml:space="preserve"> Conference held in Canberra in March 2013.</w:t>
      </w:r>
    </w:p>
    <w:p w:rsidR="00372698" w:rsidRPr="003408A6" w:rsidRDefault="003A2F22" w:rsidP="006E4DA8">
      <w:pPr>
        <w:pStyle w:val="BodyText"/>
        <w:rPr>
          <w:lang w:val="en-AU"/>
        </w:rPr>
      </w:pPr>
      <w:r w:rsidRPr="003408A6">
        <w:rPr>
          <w:lang w:val="en-AU"/>
        </w:rPr>
        <w:t>I</w:t>
      </w:r>
      <w:r w:rsidR="004B6AED" w:rsidRPr="003408A6">
        <w:rPr>
          <w:lang w:val="en-AU"/>
        </w:rPr>
        <w:t>nternal review of chapters was</w:t>
      </w:r>
      <w:r w:rsidR="00372698" w:rsidRPr="003408A6">
        <w:rPr>
          <w:lang w:val="en-AU"/>
        </w:rPr>
        <w:t xml:space="preserve"> undertaken at NCIRS as per author list for each chapter.</w:t>
      </w:r>
    </w:p>
    <w:p w:rsidR="00372698" w:rsidRPr="003408A6" w:rsidRDefault="0064570B" w:rsidP="006E4DA8">
      <w:pPr>
        <w:pStyle w:val="BodyText"/>
        <w:rPr>
          <w:lang w:val="en-AU"/>
        </w:rPr>
      </w:pPr>
      <w:r w:rsidRPr="003408A6">
        <w:rPr>
          <w:lang w:val="en-AU"/>
        </w:rPr>
        <w:t xml:space="preserve">Peter McIntyre provided an </w:t>
      </w:r>
      <w:r w:rsidR="00372698" w:rsidRPr="003408A6">
        <w:rPr>
          <w:lang w:val="en-AU"/>
        </w:rPr>
        <w:t>update</w:t>
      </w:r>
      <w:r w:rsidRPr="003408A6">
        <w:rPr>
          <w:lang w:val="en-AU"/>
        </w:rPr>
        <w:t xml:space="preserve"> on the HPV evaluation </w:t>
      </w:r>
      <w:r w:rsidR="00372698" w:rsidRPr="003408A6">
        <w:rPr>
          <w:lang w:val="en-AU"/>
        </w:rPr>
        <w:t>at the N</w:t>
      </w:r>
      <w:r w:rsidR="004B6AED" w:rsidRPr="003408A6">
        <w:rPr>
          <w:lang w:val="en-AU"/>
        </w:rPr>
        <w:t xml:space="preserve">ational </w:t>
      </w:r>
      <w:r w:rsidR="00372698" w:rsidRPr="003408A6">
        <w:rPr>
          <w:lang w:val="en-AU"/>
        </w:rPr>
        <w:t>I</w:t>
      </w:r>
      <w:r w:rsidR="004B6AED" w:rsidRPr="003408A6">
        <w:rPr>
          <w:lang w:val="en-AU"/>
        </w:rPr>
        <w:t xml:space="preserve">mmunisation </w:t>
      </w:r>
      <w:r w:rsidR="00372698" w:rsidRPr="003408A6">
        <w:rPr>
          <w:lang w:val="en-AU"/>
        </w:rPr>
        <w:t>C</w:t>
      </w:r>
      <w:r w:rsidR="004B6AED" w:rsidRPr="003408A6">
        <w:rPr>
          <w:lang w:val="en-AU"/>
        </w:rPr>
        <w:t>ommittee</w:t>
      </w:r>
      <w:r w:rsidR="00372698" w:rsidRPr="003408A6">
        <w:rPr>
          <w:lang w:val="en-AU"/>
        </w:rPr>
        <w:t xml:space="preserve"> meeting</w:t>
      </w:r>
      <w:r w:rsidR="00627C33">
        <w:rPr>
          <w:lang w:val="en-AU"/>
        </w:rPr>
        <w:t xml:space="preserve"> in</w:t>
      </w:r>
      <w:r w:rsidR="00372698" w:rsidRPr="003408A6">
        <w:rPr>
          <w:lang w:val="en-AU"/>
        </w:rPr>
        <w:t xml:space="preserve"> </w:t>
      </w:r>
      <w:r w:rsidR="00627C33" w:rsidRPr="003408A6">
        <w:rPr>
          <w:lang w:val="en-AU"/>
        </w:rPr>
        <w:t xml:space="preserve">November </w:t>
      </w:r>
      <w:r w:rsidR="00372698" w:rsidRPr="003408A6">
        <w:rPr>
          <w:lang w:val="en-AU"/>
        </w:rPr>
        <w:t>2013</w:t>
      </w:r>
      <w:r w:rsidR="003A2F22" w:rsidRPr="003408A6">
        <w:rPr>
          <w:lang w:val="en-AU"/>
        </w:rPr>
        <w:t>.</w:t>
      </w:r>
    </w:p>
    <w:p w:rsidR="00C13201" w:rsidRPr="003408A6" w:rsidRDefault="00C13201" w:rsidP="00AF34E5">
      <w:pPr>
        <w:pStyle w:val="BodyText"/>
        <w:rPr>
          <w:lang w:val="en-AU"/>
        </w:rPr>
      </w:pPr>
      <w:bookmarkStart w:id="5" w:name="_Toc292439078"/>
      <w:r w:rsidRPr="003408A6">
        <w:rPr>
          <w:lang w:val="en-AU"/>
        </w:rPr>
        <w:br w:type="page"/>
      </w:r>
    </w:p>
    <w:p w:rsidR="00C13201" w:rsidRPr="003408A6" w:rsidRDefault="00C13201" w:rsidP="00C13201">
      <w:pPr>
        <w:pStyle w:val="Heading1"/>
      </w:pPr>
      <w:bookmarkStart w:id="6" w:name="_Toc396926110"/>
      <w:r w:rsidRPr="003408A6">
        <w:t>List of tables</w:t>
      </w:r>
      <w:bookmarkEnd w:id="6"/>
    </w:p>
    <w:p w:rsidR="00F27F90" w:rsidRDefault="007A5F89">
      <w:pPr>
        <w:pStyle w:val="TableofFigures"/>
        <w:rPr>
          <w:rFonts w:asciiTheme="minorHAnsi" w:eastAsiaTheme="minorEastAsia" w:hAnsiTheme="minorHAnsi" w:cstheme="minorBidi"/>
          <w:noProof/>
          <w:szCs w:val="22"/>
        </w:rPr>
      </w:pPr>
      <w:r>
        <w:rPr>
          <w:rFonts w:cs="Arial"/>
          <w:szCs w:val="22"/>
        </w:rPr>
        <w:fldChar w:fldCharType="begin"/>
      </w:r>
      <w:r>
        <w:rPr>
          <w:rFonts w:cs="Arial"/>
          <w:szCs w:val="22"/>
        </w:rPr>
        <w:instrText xml:space="preserve"> TOC \t "Table heading" \c </w:instrText>
      </w:r>
      <w:r>
        <w:rPr>
          <w:rFonts w:cs="Arial"/>
          <w:szCs w:val="22"/>
        </w:rPr>
        <w:fldChar w:fldCharType="separate"/>
      </w:r>
      <w:r w:rsidR="00F27F90" w:rsidRPr="006D6F71">
        <w:rPr>
          <w:noProof/>
        </w:rPr>
        <w:t>Table 2.1.</w:t>
      </w:r>
      <w:r w:rsidR="00F27F90">
        <w:rPr>
          <w:rFonts w:asciiTheme="minorHAnsi" w:eastAsiaTheme="minorEastAsia" w:hAnsiTheme="minorHAnsi" w:cstheme="minorBidi"/>
          <w:noProof/>
          <w:szCs w:val="22"/>
        </w:rPr>
        <w:tab/>
      </w:r>
      <w:r w:rsidR="00F27F90" w:rsidRPr="006D6F71">
        <w:rPr>
          <w:noProof/>
        </w:rPr>
        <w:t>School-based HPV vaccination schedule by jurisdiction, 2013 to 2015</w:t>
      </w:r>
      <w:r w:rsidR="00F27F90">
        <w:rPr>
          <w:noProof/>
        </w:rPr>
        <w:tab/>
      </w:r>
      <w:r w:rsidR="00F27F90">
        <w:rPr>
          <w:noProof/>
        </w:rPr>
        <w:fldChar w:fldCharType="begin"/>
      </w:r>
      <w:r w:rsidR="00F27F90">
        <w:rPr>
          <w:noProof/>
        </w:rPr>
        <w:instrText xml:space="preserve"> PAGEREF _Toc397000750 \h </w:instrText>
      </w:r>
      <w:r w:rsidR="00F27F90">
        <w:rPr>
          <w:noProof/>
        </w:rPr>
      </w:r>
      <w:r w:rsidR="00F27F90">
        <w:rPr>
          <w:noProof/>
        </w:rPr>
        <w:fldChar w:fldCharType="separate"/>
      </w:r>
      <w:r w:rsidR="003D0CAF">
        <w:rPr>
          <w:noProof/>
        </w:rPr>
        <w:t>31</w:t>
      </w:r>
      <w:r w:rsidR="00F27F90">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2.2.</w:t>
      </w:r>
      <w:r>
        <w:rPr>
          <w:rFonts w:asciiTheme="minorHAnsi" w:eastAsiaTheme="minorEastAsia" w:hAnsiTheme="minorHAnsi" w:cstheme="minorBidi"/>
          <w:noProof/>
          <w:szCs w:val="22"/>
        </w:rPr>
        <w:tab/>
      </w:r>
      <w:r w:rsidRPr="006D6F71">
        <w:rPr>
          <w:noProof/>
        </w:rPr>
        <w:t>Missed doses and c</w:t>
      </w:r>
      <w:r w:rsidR="00D040B0">
        <w:rPr>
          <w:noProof/>
        </w:rPr>
        <w:t>atch-up program by jurisdiction</w:t>
      </w:r>
      <w:r>
        <w:rPr>
          <w:noProof/>
        </w:rPr>
        <w:tab/>
      </w:r>
      <w:r>
        <w:rPr>
          <w:noProof/>
        </w:rPr>
        <w:fldChar w:fldCharType="begin"/>
      </w:r>
      <w:r>
        <w:rPr>
          <w:noProof/>
        </w:rPr>
        <w:instrText xml:space="preserve"> PAGEREF _Toc397000751 \h </w:instrText>
      </w:r>
      <w:r>
        <w:rPr>
          <w:noProof/>
        </w:rPr>
      </w:r>
      <w:r>
        <w:rPr>
          <w:noProof/>
        </w:rPr>
        <w:fldChar w:fldCharType="separate"/>
      </w:r>
      <w:r w:rsidR="003D0CAF">
        <w:rPr>
          <w:noProof/>
        </w:rPr>
        <w:t>32</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2.3.</w:t>
      </w:r>
      <w:r>
        <w:rPr>
          <w:rFonts w:asciiTheme="minorHAnsi" w:eastAsiaTheme="minorEastAsia" w:hAnsiTheme="minorHAnsi" w:cstheme="minorBidi"/>
          <w:noProof/>
          <w:szCs w:val="22"/>
        </w:rPr>
        <w:tab/>
      </w:r>
      <w:r w:rsidRPr="006D6F71">
        <w:rPr>
          <w:noProof/>
        </w:rPr>
        <w:t>Summary of existing literature on the evaluation of HPV vaccination programs</w:t>
      </w:r>
      <w:r>
        <w:rPr>
          <w:noProof/>
        </w:rPr>
        <w:tab/>
      </w:r>
      <w:r>
        <w:rPr>
          <w:noProof/>
        </w:rPr>
        <w:fldChar w:fldCharType="begin"/>
      </w:r>
      <w:r>
        <w:rPr>
          <w:noProof/>
        </w:rPr>
        <w:instrText xml:space="preserve"> PAGEREF _Toc397000752 \h </w:instrText>
      </w:r>
      <w:r>
        <w:rPr>
          <w:noProof/>
        </w:rPr>
      </w:r>
      <w:r>
        <w:rPr>
          <w:noProof/>
        </w:rPr>
        <w:fldChar w:fldCharType="separate"/>
      </w:r>
      <w:r w:rsidR="003D0CAF">
        <w:rPr>
          <w:noProof/>
        </w:rPr>
        <w:t>34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2.4.</w:t>
      </w:r>
      <w:r>
        <w:rPr>
          <w:rFonts w:asciiTheme="minorHAnsi" w:eastAsiaTheme="minorEastAsia" w:hAnsiTheme="minorHAnsi" w:cstheme="minorBidi"/>
          <w:noProof/>
          <w:szCs w:val="22"/>
        </w:rPr>
        <w:tab/>
      </w:r>
      <w:r w:rsidRPr="006D6F71">
        <w:rPr>
          <w:noProof/>
        </w:rPr>
        <w:t>Distribution of selected Australian print and electronic news media on the National HPV Vaccination Program, 2007 to 2009, by type of media</w:t>
      </w:r>
      <w:r>
        <w:rPr>
          <w:noProof/>
        </w:rPr>
        <w:tab/>
      </w:r>
      <w:r>
        <w:rPr>
          <w:noProof/>
        </w:rPr>
        <w:fldChar w:fldCharType="begin"/>
      </w:r>
      <w:r>
        <w:rPr>
          <w:noProof/>
        </w:rPr>
        <w:instrText xml:space="preserve"> PAGEREF _Toc397000753 \h </w:instrText>
      </w:r>
      <w:r>
        <w:rPr>
          <w:noProof/>
        </w:rPr>
      </w:r>
      <w:r>
        <w:rPr>
          <w:noProof/>
        </w:rPr>
        <w:fldChar w:fldCharType="separate"/>
      </w:r>
      <w:r w:rsidR="003D0CAF">
        <w:rPr>
          <w:noProof/>
        </w:rPr>
        <w:t>37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2.5.</w:t>
      </w:r>
      <w:r>
        <w:rPr>
          <w:rFonts w:asciiTheme="minorHAnsi" w:eastAsiaTheme="minorEastAsia" w:hAnsiTheme="minorHAnsi" w:cstheme="minorBidi"/>
          <w:noProof/>
          <w:szCs w:val="22"/>
        </w:rPr>
        <w:tab/>
      </w:r>
      <w:r w:rsidRPr="006D6F71">
        <w:rPr>
          <w:noProof/>
        </w:rPr>
        <w:t>Distribution of selected Australian print and electronic news media on the National HPV Vaccination Program, 2007 to 2009, by message content</w:t>
      </w:r>
      <w:r>
        <w:rPr>
          <w:noProof/>
        </w:rPr>
        <w:tab/>
      </w:r>
      <w:r>
        <w:rPr>
          <w:noProof/>
        </w:rPr>
        <w:fldChar w:fldCharType="begin"/>
      </w:r>
      <w:r>
        <w:rPr>
          <w:noProof/>
        </w:rPr>
        <w:instrText xml:space="preserve"> PAGEREF _Toc397000754 \h </w:instrText>
      </w:r>
      <w:r>
        <w:rPr>
          <w:noProof/>
        </w:rPr>
      </w:r>
      <w:r>
        <w:rPr>
          <w:noProof/>
        </w:rPr>
        <w:fldChar w:fldCharType="separate"/>
      </w:r>
      <w:r w:rsidR="003D0CAF">
        <w:rPr>
          <w:noProof/>
        </w:rPr>
        <w:t>37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2.6.</w:t>
      </w:r>
      <w:r>
        <w:rPr>
          <w:rFonts w:asciiTheme="minorHAnsi" w:eastAsiaTheme="minorEastAsia" w:hAnsiTheme="minorHAnsi" w:cstheme="minorBidi"/>
          <w:noProof/>
          <w:szCs w:val="22"/>
        </w:rPr>
        <w:tab/>
      </w:r>
      <w:r w:rsidRPr="006D6F71">
        <w:rPr>
          <w:noProof/>
        </w:rPr>
        <w:t>Stakeholders by role held in the National HPV Vaccination Program</w:t>
      </w:r>
      <w:r>
        <w:rPr>
          <w:noProof/>
        </w:rPr>
        <w:tab/>
      </w:r>
      <w:r>
        <w:rPr>
          <w:noProof/>
        </w:rPr>
        <w:fldChar w:fldCharType="begin"/>
      </w:r>
      <w:r>
        <w:rPr>
          <w:noProof/>
        </w:rPr>
        <w:instrText xml:space="preserve"> PAGEREF _Toc397000755 \h </w:instrText>
      </w:r>
      <w:r>
        <w:rPr>
          <w:noProof/>
        </w:rPr>
      </w:r>
      <w:r>
        <w:rPr>
          <w:noProof/>
        </w:rPr>
        <w:fldChar w:fldCharType="separate"/>
      </w:r>
      <w:r w:rsidR="003D0CAF">
        <w:rPr>
          <w:noProof/>
        </w:rPr>
        <w:t>40</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2.7.</w:t>
      </w:r>
      <w:r>
        <w:rPr>
          <w:rFonts w:asciiTheme="minorHAnsi" w:eastAsiaTheme="minorEastAsia" w:hAnsiTheme="minorHAnsi" w:cstheme="minorBidi"/>
          <w:noProof/>
          <w:szCs w:val="22"/>
        </w:rPr>
        <w:tab/>
      </w:r>
      <w:r w:rsidRPr="006D6F71">
        <w:rPr>
          <w:noProof/>
        </w:rPr>
        <w:t>Sample of key stakeholders by jurisdiction</w:t>
      </w:r>
      <w:r>
        <w:rPr>
          <w:noProof/>
        </w:rPr>
        <w:tab/>
      </w:r>
      <w:r>
        <w:rPr>
          <w:noProof/>
        </w:rPr>
        <w:fldChar w:fldCharType="begin"/>
      </w:r>
      <w:r>
        <w:rPr>
          <w:noProof/>
        </w:rPr>
        <w:instrText xml:space="preserve"> PAGEREF _Toc397000756 \h </w:instrText>
      </w:r>
      <w:r>
        <w:rPr>
          <w:noProof/>
        </w:rPr>
      </w:r>
      <w:r>
        <w:rPr>
          <w:noProof/>
        </w:rPr>
        <w:fldChar w:fldCharType="separate"/>
      </w:r>
      <w:r w:rsidR="003D0CAF">
        <w:rPr>
          <w:noProof/>
        </w:rPr>
        <w:t>40</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2.8.</w:t>
      </w:r>
      <w:r>
        <w:rPr>
          <w:rFonts w:asciiTheme="minorHAnsi" w:eastAsiaTheme="minorEastAsia" w:hAnsiTheme="minorHAnsi" w:cstheme="minorBidi"/>
          <w:noProof/>
          <w:szCs w:val="22"/>
        </w:rPr>
        <w:tab/>
      </w:r>
      <w:r w:rsidRPr="006D6F71">
        <w:rPr>
          <w:noProof/>
        </w:rPr>
        <w:t>Key stakeholder participation in the National HPV Vaccination Program</w:t>
      </w:r>
      <w:r>
        <w:rPr>
          <w:noProof/>
        </w:rPr>
        <w:tab/>
      </w:r>
      <w:r>
        <w:rPr>
          <w:noProof/>
        </w:rPr>
        <w:fldChar w:fldCharType="begin"/>
      </w:r>
      <w:r>
        <w:rPr>
          <w:noProof/>
        </w:rPr>
        <w:instrText xml:space="preserve"> PAGEREF _Toc397000757 \h </w:instrText>
      </w:r>
      <w:r>
        <w:rPr>
          <w:noProof/>
        </w:rPr>
      </w:r>
      <w:r>
        <w:rPr>
          <w:noProof/>
        </w:rPr>
        <w:fldChar w:fldCharType="separate"/>
      </w:r>
      <w:r w:rsidR="003D0CAF">
        <w:rPr>
          <w:noProof/>
        </w:rPr>
        <w:t>41</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Table 2.9.</w:t>
      </w:r>
      <w:r>
        <w:rPr>
          <w:rFonts w:asciiTheme="minorHAnsi" w:eastAsiaTheme="minorEastAsia" w:hAnsiTheme="minorHAnsi" w:cstheme="minorBidi"/>
          <w:noProof/>
          <w:szCs w:val="22"/>
        </w:rPr>
        <w:tab/>
      </w:r>
      <w:r>
        <w:rPr>
          <w:noProof/>
        </w:rPr>
        <w:t>Distribution (%) of responses to statements on the adequacy of lead-time for planning and rollout</w:t>
      </w:r>
      <w:r>
        <w:rPr>
          <w:noProof/>
        </w:rPr>
        <w:tab/>
      </w:r>
      <w:r>
        <w:rPr>
          <w:noProof/>
        </w:rPr>
        <w:fldChar w:fldCharType="begin"/>
      </w:r>
      <w:r>
        <w:rPr>
          <w:noProof/>
        </w:rPr>
        <w:instrText xml:space="preserve"> PAGEREF _Toc397000758 \h </w:instrText>
      </w:r>
      <w:r>
        <w:rPr>
          <w:noProof/>
        </w:rPr>
      </w:r>
      <w:r>
        <w:rPr>
          <w:noProof/>
        </w:rPr>
        <w:fldChar w:fldCharType="separate"/>
      </w:r>
      <w:r w:rsidR="003D0CAF">
        <w:rPr>
          <w:noProof/>
        </w:rPr>
        <w:t>42</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2.10.</w:t>
      </w:r>
      <w:r>
        <w:rPr>
          <w:rFonts w:asciiTheme="minorHAnsi" w:eastAsiaTheme="minorEastAsia" w:hAnsiTheme="minorHAnsi" w:cstheme="minorBidi"/>
          <w:noProof/>
          <w:szCs w:val="22"/>
        </w:rPr>
        <w:tab/>
      </w:r>
      <w:r w:rsidRPr="006D6F71">
        <w:rPr>
          <w:noProof/>
        </w:rPr>
        <w:t>Distribution (%) of responses to statements on the rollout of the extended program for males</w:t>
      </w:r>
      <w:r>
        <w:rPr>
          <w:noProof/>
        </w:rPr>
        <w:tab/>
      </w:r>
      <w:r>
        <w:rPr>
          <w:noProof/>
        </w:rPr>
        <w:fldChar w:fldCharType="begin"/>
      </w:r>
      <w:r>
        <w:rPr>
          <w:noProof/>
        </w:rPr>
        <w:instrText xml:space="preserve"> PAGEREF _Toc397000759 \h </w:instrText>
      </w:r>
      <w:r>
        <w:rPr>
          <w:noProof/>
        </w:rPr>
      </w:r>
      <w:r>
        <w:rPr>
          <w:noProof/>
        </w:rPr>
        <w:fldChar w:fldCharType="separate"/>
      </w:r>
      <w:r w:rsidR="003D0CAF">
        <w:rPr>
          <w:noProof/>
        </w:rPr>
        <w:t>43</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2.11.</w:t>
      </w:r>
      <w:r>
        <w:rPr>
          <w:rFonts w:asciiTheme="minorHAnsi" w:eastAsiaTheme="minorEastAsia" w:hAnsiTheme="minorHAnsi" w:cstheme="minorBidi"/>
          <w:noProof/>
          <w:szCs w:val="22"/>
        </w:rPr>
        <w:tab/>
      </w:r>
      <w:r w:rsidRPr="006D6F71">
        <w:rPr>
          <w:noProof/>
        </w:rPr>
        <w:t>Distribution (%) of responses to statements on the delivery of 3 doses of HPV vaccine</w:t>
      </w:r>
      <w:r>
        <w:rPr>
          <w:noProof/>
        </w:rPr>
        <w:tab/>
      </w:r>
      <w:r>
        <w:rPr>
          <w:noProof/>
        </w:rPr>
        <w:fldChar w:fldCharType="begin"/>
      </w:r>
      <w:r>
        <w:rPr>
          <w:noProof/>
        </w:rPr>
        <w:instrText xml:space="preserve"> PAGEREF _Toc397000760 \h </w:instrText>
      </w:r>
      <w:r>
        <w:rPr>
          <w:noProof/>
        </w:rPr>
      </w:r>
      <w:r>
        <w:rPr>
          <w:noProof/>
        </w:rPr>
        <w:fldChar w:fldCharType="separate"/>
      </w:r>
      <w:r w:rsidR="003D0CAF">
        <w:rPr>
          <w:noProof/>
        </w:rPr>
        <w:t>44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2.12.</w:t>
      </w:r>
      <w:r>
        <w:rPr>
          <w:rFonts w:asciiTheme="minorHAnsi" w:eastAsiaTheme="minorEastAsia" w:hAnsiTheme="minorHAnsi" w:cstheme="minorBidi"/>
          <w:noProof/>
          <w:szCs w:val="22"/>
        </w:rPr>
        <w:tab/>
      </w:r>
      <w:r w:rsidRPr="006D6F71">
        <w:rPr>
          <w:noProof/>
        </w:rPr>
        <w:t>Key stakeholders’ rating of usefulness of information resources</w:t>
      </w:r>
      <w:r>
        <w:rPr>
          <w:noProof/>
        </w:rPr>
        <w:tab/>
      </w:r>
      <w:r>
        <w:rPr>
          <w:noProof/>
        </w:rPr>
        <w:fldChar w:fldCharType="begin"/>
      </w:r>
      <w:r>
        <w:rPr>
          <w:noProof/>
        </w:rPr>
        <w:instrText xml:space="preserve"> PAGEREF _Toc397000761 \h </w:instrText>
      </w:r>
      <w:r>
        <w:rPr>
          <w:noProof/>
        </w:rPr>
      </w:r>
      <w:r>
        <w:rPr>
          <w:noProof/>
        </w:rPr>
        <w:fldChar w:fldCharType="separate"/>
      </w:r>
      <w:r w:rsidR="003D0CAF">
        <w:rPr>
          <w:noProof/>
        </w:rPr>
        <w:t>51</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2.13.</w:t>
      </w:r>
      <w:r>
        <w:rPr>
          <w:rFonts w:asciiTheme="minorHAnsi" w:eastAsiaTheme="minorEastAsia" w:hAnsiTheme="minorHAnsi" w:cstheme="minorBidi"/>
          <w:noProof/>
          <w:szCs w:val="22"/>
        </w:rPr>
        <w:tab/>
      </w:r>
      <w:r w:rsidRPr="006D6F71">
        <w:rPr>
          <w:noProof/>
        </w:rPr>
        <w:t>Acceptance of the Nationa</w:t>
      </w:r>
      <w:r w:rsidR="00E11FC4">
        <w:rPr>
          <w:noProof/>
        </w:rPr>
        <w:t xml:space="preserve">l HPV Vaccination Program </w:t>
      </w:r>
      <w:r>
        <w:rPr>
          <w:noProof/>
        </w:rPr>
        <w:tab/>
      </w:r>
      <w:r>
        <w:rPr>
          <w:noProof/>
        </w:rPr>
        <w:fldChar w:fldCharType="begin"/>
      </w:r>
      <w:r>
        <w:rPr>
          <w:noProof/>
        </w:rPr>
        <w:instrText xml:space="preserve"> PAGEREF _Toc397000762 \h </w:instrText>
      </w:r>
      <w:r>
        <w:rPr>
          <w:noProof/>
        </w:rPr>
      </w:r>
      <w:r>
        <w:rPr>
          <w:noProof/>
        </w:rPr>
        <w:fldChar w:fldCharType="separate"/>
      </w:r>
      <w:r w:rsidR="003D0CAF">
        <w:rPr>
          <w:noProof/>
        </w:rPr>
        <w:t>69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2.14.</w:t>
      </w:r>
      <w:r>
        <w:rPr>
          <w:rFonts w:asciiTheme="minorHAnsi" w:eastAsiaTheme="minorEastAsia" w:hAnsiTheme="minorHAnsi" w:cstheme="minorBidi"/>
          <w:noProof/>
          <w:szCs w:val="22"/>
        </w:rPr>
        <w:tab/>
      </w:r>
      <w:r w:rsidRPr="006D6F71">
        <w:rPr>
          <w:noProof/>
        </w:rPr>
        <w:t>National Cervical Screening Program managers’ use of information resources</w:t>
      </w:r>
      <w:r>
        <w:rPr>
          <w:noProof/>
        </w:rPr>
        <w:tab/>
      </w:r>
      <w:r>
        <w:rPr>
          <w:noProof/>
        </w:rPr>
        <w:fldChar w:fldCharType="begin"/>
      </w:r>
      <w:r>
        <w:rPr>
          <w:noProof/>
        </w:rPr>
        <w:instrText xml:space="preserve"> PAGEREF _Toc397000763 \h </w:instrText>
      </w:r>
      <w:r>
        <w:rPr>
          <w:noProof/>
        </w:rPr>
      </w:r>
      <w:r>
        <w:rPr>
          <w:noProof/>
        </w:rPr>
        <w:fldChar w:fldCharType="separate"/>
      </w:r>
      <w:r w:rsidR="003D0CAF">
        <w:rPr>
          <w:noProof/>
        </w:rPr>
        <w:t>77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2.15.</w:t>
      </w:r>
      <w:r>
        <w:rPr>
          <w:rFonts w:asciiTheme="minorHAnsi" w:eastAsiaTheme="minorEastAsia" w:hAnsiTheme="minorHAnsi" w:cstheme="minorBidi"/>
          <w:noProof/>
          <w:szCs w:val="22"/>
        </w:rPr>
        <w:tab/>
      </w:r>
      <w:r w:rsidRPr="006D6F71">
        <w:rPr>
          <w:noProof/>
        </w:rPr>
        <w:t>Distribution (n, %) of National Cervical Screening Program managers’ level of agreement on statements relating to the National HPV Vaccination Program and cervical screening outcomes</w:t>
      </w:r>
      <w:r>
        <w:rPr>
          <w:noProof/>
        </w:rPr>
        <w:tab/>
      </w:r>
      <w:r>
        <w:rPr>
          <w:noProof/>
        </w:rPr>
        <w:fldChar w:fldCharType="begin"/>
      </w:r>
      <w:r>
        <w:rPr>
          <w:noProof/>
        </w:rPr>
        <w:instrText xml:space="preserve"> PAGEREF _Toc397000764 \h </w:instrText>
      </w:r>
      <w:r>
        <w:rPr>
          <w:noProof/>
        </w:rPr>
      </w:r>
      <w:r>
        <w:rPr>
          <w:noProof/>
        </w:rPr>
        <w:fldChar w:fldCharType="separate"/>
      </w:r>
      <w:r w:rsidR="003D0CAF">
        <w:rPr>
          <w:noProof/>
        </w:rPr>
        <w:t>78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3.1.</w:t>
      </w:r>
      <w:r>
        <w:rPr>
          <w:rFonts w:asciiTheme="minorHAnsi" w:eastAsiaTheme="minorEastAsia" w:hAnsiTheme="minorHAnsi" w:cstheme="minorBidi"/>
          <w:noProof/>
          <w:szCs w:val="22"/>
        </w:rPr>
        <w:tab/>
      </w:r>
      <w:r w:rsidRPr="006D6F71">
        <w:rPr>
          <w:rFonts w:eastAsia="Calibri"/>
          <w:noProof/>
        </w:rPr>
        <w:t xml:space="preserve">National HPV vaccination coverage (%) for females aged 12–17 years in mid 2007, by dose number and jurisdiction </w:t>
      </w:r>
      <w:r w:rsidR="00E11FC4">
        <w:rPr>
          <w:rFonts w:eastAsia="Calibri"/>
          <w:noProof/>
        </w:rPr>
        <w:t>of residence</w:t>
      </w:r>
      <w:r>
        <w:rPr>
          <w:noProof/>
        </w:rPr>
        <w:tab/>
      </w:r>
      <w:r>
        <w:rPr>
          <w:noProof/>
        </w:rPr>
        <w:fldChar w:fldCharType="begin"/>
      </w:r>
      <w:r>
        <w:rPr>
          <w:noProof/>
        </w:rPr>
        <w:instrText xml:space="preserve"> PAGEREF _Toc397000765 \h </w:instrText>
      </w:r>
      <w:r>
        <w:rPr>
          <w:noProof/>
        </w:rPr>
      </w:r>
      <w:r>
        <w:rPr>
          <w:noProof/>
        </w:rPr>
        <w:fldChar w:fldCharType="separate"/>
      </w:r>
      <w:r w:rsidR="003D0CAF">
        <w:rPr>
          <w:noProof/>
        </w:rPr>
        <w:t>85</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3.2.</w:t>
      </w:r>
      <w:r>
        <w:rPr>
          <w:rFonts w:asciiTheme="minorHAnsi" w:eastAsiaTheme="minorEastAsia" w:hAnsiTheme="minorHAnsi" w:cstheme="minorBidi"/>
          <w:noProof/>
          <w:szCs w:val="22"/>
        </w:rPr>
        <w:tab/>
      </w:r>
      <w:r w:rsidRPr="006D6F71">
        <w:rPr>
          <w:rFonts w:eastAsia="Calibri"/>
          <w:noProof/>
        </w:rPr>
        <w:t>National HPV vaccination coverage (%) for females aged 18–26 years of age in 2007, by dose number, age and state or territory of resid</w:t>
      </w:r>
      <w:r w:rsidR="00E11FC4">
        <w:rPr>
          <w:rFonts w:eastAsia="Calibri"/>
          <w:noProof/>
        </w:rPr>
        <w:t>ence</w:t>
      </w:r>
      <w:r>
        <w:rPr>
          <w:noProof/>
        </w:rPr>
        <w:tab/>
      </w:r>
      <w:r>
        <w:rPr>
          <w:noProof/>
        </w:rPr>
        <w:fldChar w:fldCharType="begin"/>
      </w:r>
      <w:r>
        <w:rPr>
          <w:noProof/>
        </w:rPr>
        <w:instrText xml:space="preserve"> PAGEREF _Toc397000766 \h </w:instrText>
      </w:r>
      <w:r>
        <w:rPr>
          <w:noProof/>
        </w:rPr>
      </w:r>
      <w:r>
        <w:rPr>
          <w:noProof/>
        </w:rPr>
        <w:fldChar w:fldCharType="separate"/>
      </w:r>
      <w:r w:rsidR="003D0CAF">
        <w:rPr>
          <w:noProof/>
        </w:rPr>
        <w:t>89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3.3.</w:t>
      </w:r>
      <w:r>
        <w:rPr>
          <w:rFonts w:asciiTheme="minorHAnsi" w:eastAsiaTheme="minorEastAsia" w:hAnsiTheme="minorHAnsi" w:cstheme="minorBidi"/>
          <w:noProof/>
          <w:szCs w:val="22"/>
        </w:rPr>
        <w:tab/>
      </w:r>
      <w:r w:rsidRPr="006D6F71">
        <w:rPr>
          <w:rFonts w:eastAsia="Calibri"/>
          <w:noProof/>
        </w:rPr>
        <w:t>National HPV vaccination coverage for females aged 12–</w:t>
      </w:r>
      <w:r w:rsidR="00921255">
        <w:rPr>
          <w:rFonts w:eastAsia="Calibri"/>
          <w:noProof/>
        </w:rPr>
        <w:t>13 years in 2007, by remoteness</w:t>
      </w:r>
      <w:r>
        <w:rPr>
          <w:noProof/>
        </w:rPr>
        <w:tab/>
      </w:r>
      <w:r>
        <w:rPr>
          <w:noProof/>
        </w:rPr>
        <w:fldChar w:fldCharType="begin"/>
      </w:r>
      <w:r>
        <w:rPr>
          <w:noProof/>
        </w:rPr>
        <w:instrText xml:space="preserve"> PAGEREF _Toc397000767 \h </w:instrText>
      </w:r>
      <w:r>
        <w:rPr>
          <w:noProof/>
        </w:rPr>
      </w:r>
      <w:r>
        <w:rPr>
          <w:noProof/>
        </w:rPr>
        <w:fldChar w:fldCharType="separate"/>
      </w:r>
      <w:r w:rsidR="003D0CAF">
        <w:rPr>
          <w:noProof/>
        </w:rPr>
        <w:t>90</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3.4.</w:t>
      </w:r>
      <w:r>
        <w:rPr>
          <w:rFonts w:asciiTheme="minorHAnsi" w:eastAsiaTheme="minorEastAsia" w:hAnsiTheme="minorHAnsi" w:cstheme="minorBidi"/>
          <w:noProof/>
          <w:szCs w:val="22"/>
        </w:rPr>
        <w:tab/>
      </w:r>
      <w:r w:rsidRPr="006D6F71">
        <w:rPr>
          <w:noProof/>
        </w:rPr>
        <w:t>National HPV vaccination coverage for females aged 12–13 years i</w:t>
      </w:r>
      <w:r w:rsidR="00921255">
        <w:rPr>
          <w:noProof/>
        </w:rPr>
        <w:t>n 2007, by socioeconomic status</w:t>
      </w:r>
      <w:r>
        <w:rPr>
          <w:noProof/>
        </w:rPr>
        <w:tab/>
      </w:r>
      <w:r>
        <w:rPr>
          <w:noProof/>
        </w:rPr>
        <w:fldChar w:fldCharType="begin"/>
      </w:r>
      <w:r>
        <w:rPr>
          <w:noProof/>
        </w:rPr>
        <w:instrText xml:space="preserve"> PAGEREF _Toc397000768 \h </w:instrText>
      </w:r>
      <w:r>
        <w:rPr>
          <w:noProof/>
        </w:rPr>
      </w:r>
      <w:r>
        <w:rPr>
          <w:noProof/>
        </w:rPr>
        <w:fldChar w:fldCharType="separate"/>
      </w:r>
      <w:r w:rsidR="003D0CAF">
        <w:rPr>
          <w:noProof/>
        </w:rPr>
        <w:t>91</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3.5.</w:t>
      </w:r>
      <w:r>
        <w:rPr>
          <w:rFonts w:asciiTheme="minorHAnsi" w:eastAsiaTheme="minorEastAsia" w:hAnsiTheme="minorHAnsi" w:cstheme="minorBidi"/>
          <w:noProof/>
          <w:szCs w:val="22"/>
        </w:rPr>
        <w:tab/>
      </w:r>
      <w:r w:rsidRPr="006D6F71">
        <w:rPr>
          <w:noProof/>
        </w:rPr>
        <w:t>Notified HPV vaccination coverage (%) by Indigenous status and age</w:t>
      </w:r>
      <w:r w:rsidR="00921255">
        <w:rPr>
          <w:noProof/>
        </w:rPr>
        <w:t xml:space="preserve"> in 2007, Queensland, Australia</w:t>
      </w:r>
      <w:r>
        <w:rPr>
          <w:noProof/>
        </w:rPr>
        <w:tab/>
      </w:r>
      <w:r>
        <w:rPr>
          <w:noProof/>
        </w:rPr>
        <w:fldChar w:fldCharType="begin"/>
      </w:r>
      <w:r>
        <w:rPr>
          <w:noProof/>
        </w:rPr>
        <w:instrText xml:space="preserve"> PAGEREF _Toc397000769 \h </w:instrText>
      </w:r>
      <w:r>
        <w:rPr>
          <w:noProof/>
        </w:rPr>
      </w:r>
      <w:r>
        <w:rPr>
          <w:noProof/>
        </w:rPr>
        <w:fldChar w:fldCharType="separate"/>
      </w:r>
      <w:r w:rsidR="003D0CAF">
        <w:rPr>
          <w:noProof/>
        </w:rPr>
        <w:t>93</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3.6.</w:t>
      </w:r>
      <w:r>
        <w:rPr>
          <w:rFonts w:asciiTheme="minorHAnsi" w:eastAsiaTheme="minorEastAsia" w:hAnsiTheme="minorHAnsi" w:cstheme="minorBidi"/>
          <w:noProof/>
          <w:szCs w:val="22"/>
        </w:rPr>
        <w:tab/>
      </w:r>
      <w:r w:rsidRPr="006D6F71">
        <w:rPr>
          <w:noProof/>
        </w:rPr>
        <w:t>Notified HPV vaccination coverage (%) by Indigenous status and age in 2007, Northern Ter</w:t>
      </w:r>
      <w:r w:rsidR="00921255">
        <w:rPr>
          <w:noProof/>
        </w:rPr>
        <w:t>ritory, Australia</w:t>
      </w:r>
      <w:r>
        <w:rPr>
          <w:noProof/>
        </w:rPr>
        <w:tab/>
      </w:r>
      <w:r>
        <w:rPr>
          <w:noProof/>
        </w:rPr>
        <w:fldChar w:fldCharType="begin"/>
      </w:r>
      <w:r>
        <w:rPr>
          <w:noProof/>
        </w:rPr>
        <w:instrText xml:space="preserve"> PAGEREF _Toc397000770 \h </w:instrText>
      </w:r>
      <w:r>
        <w:rPr>
          <w:noProof/>
        </w:rPr>
      </w:r>
      <w:r>
        <w:rPr>
          <w:noProof/>
        </w:rPr>
        <w:fldChar w:fldCharType="separate"/>
      </w:r>
      <w:r w:rsidR="003D0CAF">
        <w:rPr>
          <w:noProof/>
        </w:rPr>
        <w:t>94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3.7.</w:t>
      </w:r>
      <w:r>
        <w:rPr>
          <w:rFonts w:asciiTheme="minorHAnsi" w:eastAsiaTheme="minorEastAsia" w:hAnsiTheme="minorHAnsi" w:cstheme="minorBidi"/>
          <w:noProof/>
          <w:szCs w:val="22"/>
        </w:rPr>
        <w:tab/>
      </w:r>
      <w:r w:rsidRPr="006D6F71">
        <w:rPr>
          <w:rFonts w:eastAsia="Calibri"/>
          <w:noProof/>
        </w:rPr>
        <w:t>National 3-dose HPV vaccination coverage for females turning 15 years of age, 2007 to 201</w:t>
      </w:r>
      <w:r w:rsidR="00921255">
        <w:rPr>
          <w:rFonts w:eastAsia="Calibri"/>
          <w:noProof/>
        </w:rPr>
        <w:t>2, by jurisdiction of residence</w:t>
      </w:r>
      <w:r>
        <w:rPr>
          <w:noProof/>
        </w:rPr>
        <w:tab/>
      </w:r>
      <w:r>
        <w:rPr>
          <w:noProof/>
        </w:rPr>
        <w:fldChar w:fldCharType="begin"/>
      </w:r>
      <w:r>
        <w:rPr>
          <w:noProof/>
        </w:rPr>
        <w:instrText xml:space="preserve"> PAGEREF _Toc397000771 \h </w:instrText>
      </w:r>
      <w:r>
        <w:rPr>
          <w:noProof/>
        </w:rPr>
      </w:r>
      <w:r>
        <w:rPr>
          <w:noProof/>
        </w:rPr>
        <w:fldChar w:fldCharType="separate"/>
      </w:r>
      <w:r w:rsidR="003D0CAF">
        <w:rPr>
          <w:noProof/>
        </w:rPr>
        <w:t>95</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Tables 3.8a–f.</w:t>
      </w:r>
      <w:r>
        <w:rPr>
          <w:rFonts w:asciiTheme="minorHAnsi" w:eastAsiaTheme="minorEastAsia" w:hAnsiTheme="minorHAnsi" w:cstheme="minorBidi"/>
          <w:noProof/>
          <w:szCs w:val="22"/>
        </w:rPr>
        <w:tab/>
      </w:r>
      <w:r w:rsidRPr="006D6F71">
        <w:rPr>
          <w:rFonts w:eastAsia="Calibri"/>
          <w:noProof/>
        </w:rPr>
        <w:t>Timeliness of course completion by calendar year of third dose receipt and jurisdiction</w:t>
      </w:r>
      <w:r>
        <w:rPr>
          <w:noProof/>
        </w:rPr>
        <w:tab/>
      </w:r>
      <w:r>
        <w:rPr>
          <w:noProof/>
        </w:rPr>
        <w:fldChar w:fldCharType="begin"/>
      </w:r>
      <w:r>
        <w:rPr>
          <w:noProof/>
        </w:rPr>
        <w:instrText xml:space="preserve"> PAGEREF _Toc397000772 \h </w:instrText>
      </w:r>
      <w:r>
        <w:rPr>
          <w:noProof/>
        </w:rPr>
      </w:r>
      <w:r>
        <w:rPr>
          <w:noProof/>
        </w:rPr>
        <w:fldChar w:fldCharType="separate"/>
      </w:r>
      <w:r w:rsidR="003D0CAF">
        <w:rPr>
          <w:noProof/>
        </w:rPr>
        <w:t>100</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3.9.</w:t>
      </w:r>
      <w:r>
        <w:rPr>
          <w:rFonts w:asciiTheme="minorHAnsi" w:eastAsiaTheme="minorEastAsia" w:hAnsiTheme="minorHAnsi" w:cstheme="minorBidi"/>
          <w:noProof/>
          <w:szCs w:val="22"/>
        </w:rPr>
        <w:tab/>
      </w:r>
      <w:r w:rsidRPr="006D6F71">
        <w:rPr>
          <w:rFonts w:eastAsia="Calibri"/>
          <w:noProof/>
        </w:rPr>
        <w:t>Comparative vaccination coverage estimates, by dose number a</w:t>
      </w:r>
      <w:r w:rsidR="00E11FC4">
        <w:rPr>
          <w:rFonts w:eastAsia="Calibri"/>
          <w:noProof/>
        </w:rPr>
        <w:t>nd age group in 2007, Australia</w:t>
      </w:r>
      <w:r>
        <w:rPr>
          <w:noProof/>
        </w:rPr>
        <w:tab/>
      </w:r>
      <w:r>
        <w:rPr>
          <w:noProof/>
        </w:rPr>
        <w:fldChar w:fldCharType="begin"/>
      </w:r>
      <w:r>
        <w:rPr>
          <w:noProof/>
        </w:rPr>
        <w:instrText xml:space="preserve"> PAGEREF _Toc397000773 \h </w:instrText>
      </w:r>
      <w:r>
        <w:rPr>
          <w:noProof/>
        </w:rPr>
      </w:r>
      <w:r>
        <w:rPr>
          <w:noProof/>
        </w:rPr>
        <w:fldChar w:fldCharType="separate"/>
      </w:r>
      <w:r w:rsidR="003D0CAF">
        <w:rPr>
          <w:noProof/>
        </w:rPr>
        <w:t>103</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rFonts w:eastAsia="Calibri"/>
          <w:noProof/>
        </w:rPr>
        <w:t>Table 3.10.</w:t>
      </w:r>
      <w:r>
        <w:rPr>
          <w:rFonts w:asciiTheme="minorHAnsi" w:eastAsiaTheme="minorEastAsia" w:hAnsiTheme="minorHAnsi" w:cstheme="minorBidi"/>
          <w:noProof/>
          <w:szCs w:val="22"/>
        </w:rPr>
        <w:tab/>
      </w:r>
      <w:r w:rsidRPr="006D6F71">
        <w:rPr>
          <w:rFonts w:eastAsia="Calibri"/>
          <w:noProof/>
        </w:rPr>
        <w:t xml:space="preserve">Comparative vaccination coverage estimates, by remoteness classification and age group in 2007, </w:t>
      </w:r>
      <w:r w:rsidR="00E11FC4">
        <w:rPr>
          <w:rFonts w:eastAsia="Calibri"/>
          <w:noProof/>
        </w:rPr>
        <w:t>Australia</w:t>
      </w:r>
      <w:r>
        <w:rPr>
          <w:noProof/>
        </w:rPr>
        <w:tab/>
      </w:r>
      <w:r>
        <w:rPr>
          <w:noProof/>
        </w:rPr>
        <w:fldChar w:fldCharType="begin"/>
      </w:r>
      <w:r>
        <w:rPr>
          <w:noProof/>
        </w:rPr>
        <w:instrText xml:space="preserve"> PAGEREF _Toc397000774 \h </w:instrText>
      </w:r>
      <w:r>
        <w:rPr>
          <w:noProof/>
        </w:rPr>
      </w:r>
      <w:r>
        <w:rPr>
          <w:noProof/>
        </w:rPr>
        <w:fldChar w:fldCharType="separate"/>
      </w:r>
      <w:r w:rsidR="003D0CAF">
        <w:rPr>
          <w:noProof/>
        </w:rPr>
        <w:t>104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4.1.</w:t>
      </w:r>
      <w:r>
        <w:rPr>
          <w:rFonts w:asciiTheme="minorHAnsi" w:eastAsiaTheme="minorEastAsia" w:hAnsiTheme="minorHAnsi" w:cstheme="minorBidi"/>
          <w:noProof/>
          <w:szCs w:val="22"/>
        </w:rPr>
        <w:tab/>
      </w:r>
      <w:r w:rsidRPr="006D6F71">
        <w:rPr>
          <w:noProof/>
        </w:rPr>
        <w:t>Chronology of significant safety concerns associated with HPV vaccination in Australia, April 2007 to June 2013</w:t>
      </w:r>
      <w:r>
        <w:rPr>
          <w:noProof/>
        </w:rPr>
        <w:tab/>
      </w:r>
      <w:r>
        <w:rPr>
          <w:noProof/>
        </w:rPr>
        <w:fldChar w:fldCharType="begin"/>
      </w:r>
      <w:r>
        <w:rPr>
          <w:noProof/>
        </w:rPr>
        <w:instrText xml:space="preserve"> PAGEREF _Toc397000775 \h </w:instrText>
      </w:r>
      <w:r>
        <w:rPr>
          <w:noProof/>
        </w:rPr>
      </w:r>
      <w:r>
        <w:rPr>
          <w:noProof/>
        </w:rPr>
        <w:fldChar w:fldCharType="separate"/>
      </w:r>
      <w:r w:rsidR="003D0CAF">
        <w:rPr>
          <w:noProof/>
        </w:rPr>
        <w:t>116</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4.2.</w:t>
      </w:r>
      <w:r>
        <w:rPr>
          <w:rFonts w:asciiTheme="minorHAnsi" w:eastAsiaTheme="minorEastAsia" w:hAnsiTheme="minorHAnsi" w:cstheme="minorBidi"/>
          <w:noProof/>
          <w:szCs w:val="22"/>
        </w:rPr>
        <w:tab/>
      </w:r>
      <w:r w:rsidRPr="006D6F71">
        <w:rPr>
          <w:noProof/>
        </w:rPr>
        <w:t>Adverse event reports following HPV vaccination, 1 April 2007 to 31 December 2012</w:t>
      </w:r>
      <w:r>
        <w:rPr>
          <w:noProof/>
        </w:rPr>
        <w:tab/>
      </w:r>
      <w:r>
        <w:rPr>
          <w:noProof/>
        </w:rPr>
        <w:fldChar w:fldCharType="begin"/>
      </w:r>
      <w:r>
        <w:rPr>
          <w:noProof/>
        </w:rPr>
        <w:instrText xml:space="preserve"> PAGEREF _Toc397000776 \h </w:instrText>
      </w:r>
      <w:r>
        <w:rPr>
          <w:noProof/>
        </w:rPr>
      </w:r>
      <w:r>
        <w:rPr>
          <w:noProof/>
        </w:rPr>
        <w:fldChar w:fldCharType="separate"/>
      </w:r>
      <w:r w:rsidR="003D0CAF">
        <w:rPr>
          <w:noProof/>
        </w:rPr>
        <w:t>118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4.3.</w:t>
      </w:r>
      <w:r>
        <w:rPr>
          <w:rFonts w:asciiTheme="minorHAnsi" w:eastAsiaTheme="minorEastAsia" w:hAnsiTheme="minorHAnsi" w:cstheme="minorBidi"/>
          <w:noProof/>
          <w:szCs w:val="22"/>
        </w:rPr>
        <w:tab/>
      </w:r>
      <w:r w:rsidRPr="006D6F71">
        <w:rPr>
          <w:noProof/>
        </w:rPr>
        <w:t>Number of reports and reporting rates of adverse events following HPV vaccination in females, by jurisdiction, 1 April 2007 to 31 December 2011</w:t>
      </w:r>
      <w:r>
        <w:rPr>
          <w:noProof/>
        </w:rPr>
        <w:tab/>
      </w:r>
      <w:r>
        <w:rPr>
          <w:noProof/>
        </w:rPr>
        <w:fldChar w:fldCharType="begin"/>
      </w:r>
      <w:r>
        <w:rPr>
          <w:noProof/>
        </w:rPr>
        <w:instrText xml:space="preserve"> PAGEREF _Toc397000777 \h </w:instrText>
      </w:r>
      <w:r>
        <w:rPr>
          <w:noProof/>
        </w:rPr>
      </w:r>
      <w:r>
        <w:rPr>
          <w:noProof/>
        </w:rPr>
        <w:fldChar w:fldCharType="separate"/>
      </w:r>
      <w:r w:rsidR="003D0CAF">
        <w:rPr>
          <w:noProof/>
        </w:rPr>
        <w:t>121</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4.4.</w:t>
      </w:r>
      <w:r>
        <w:rPr>
          <w:rFonts w:asciiTheme="minorHAnsi" w:eastAsiaTheme="minorEastAsia" w:hAnsiTheme="minorHAnsi" w:cstheme="minorBidi"/>
          <w:noProof/>
          <w:szCs w:val="22"/>
        </w:rPr>
        <w:tab/>
      </w:r>
      <w:r w:rsidRPr="006D6F71">
        <w:rPr>
          <w:noProof/>
        </w:rPr>
        <w:t>Most common and other selected adverse events following HPV vaccination in females, 1 April 2007 to 31 December 2012</w:t>
      </w:r>
      <w:r>
        <w:rPr>
          <w:noProof/>
        </w:rPr>
        <w:tab/>
      </w:r>
      <w:r>
        <w:rPr>
          <w:noProof/>
        </w:rPr>
        <w:fldChar w:fldCharType="begin"/>
      </w:r>
      <w:r>
        <w:rPr>
          <w:noProof/>
        </w:rPr>
        <w:instrText xml:space="preserve"> PAGEREF _Toc397000778 \h </w:instrText>
      </w:r>
      <w:r>
        <w:rPr>
          <w:noProof/>
        </w:rPr>
      </w:r>
      <w:r>
        <w:rPr>
          <w:noProof/>
        </w:rPr>
        <w:fldChar w:fldCharType="separate"/>
      </w:r>
      <w:r w:rsidR="003D0CAF">
        <w:rPr>
          <w:noProof/>
        </w:rPr>
        <w:t>122</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4.5.</w:t>
      </w:r>
      <w:r>
        <w:rPr>
          <w:rFonts w:asciiTheme="minorHAnsi" w:eastAsiaTheme="minorEastAsia" w:hAnsiTheme="minorHAnsi" w:cstheme="minorBidi"/>
          <w:noProof/>
          <w:szCs w:val="22"/>
        </w:rPr>
        <w:tab/>
      </w:r>
      <w:r w:rsidRPr="006D6F71">
        <w:rPr>
          <w:noProof/>
        </w:rPr>
        <w:t xml:space="preserve">Most frequently reported adverse events following HPV vaccination in males and females, </w:t>
      </w:r>
      <w:r w:rsidR="00E11FC4">
        <w:rPr>
          <w:noProof/>
        </w:rPr>
        <w:t>1 February 2013 to 30 June 2013</w:t>
      </w:r>
      <w:r>
        <w:rPr>
          <w:noProof/>
        </w:rPr>
        <w:tab/>
      </w:r>
      <w:r>
        <w:rPr>
          <w:noProof/>
        </w:rPr>
        <w:fldChar w:fldCharType="begin"/>
      </w:r>
      <w:r>
        <w:rPr>
          <w:noProof/>
        </w:rPr>
        <w:instrText xml:space="preserve"> PAGEREF _Toc397000779 \h </w:instrText>
      </w:r>
      <w:r>
        <w:rPr>
          <w:noProof/>
        </w:rPr>
      </w:r>
      <w:r>
        <w:rPr>
          <w:noProof/>
        </w:rPr>
        <w:fldChar w:fldCharType="separate"/>
      </w:r>
      <w:r w:rsidR="003D0CAF">
        <w:rPr>
          <w:noProof/>
        </w:rPr>
        <w:t>125</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5.1.</w:t>
      </w:r>
      <w:r>
        <w:rPr>
          <w:rFonts w:asciiTheme="minorHAnsi" w:eastAsiaTheme="minorEastAsia" w:hAnsiTheme="minorHAnsi" w:cstheme="minorBidi"/>
          <w:noProof/>
          <w:szCs w:val="22"/>
        </w:rPr>
        <w:tab/>
      </w:r>
      <w:r w:rsidRPr="006D6F71">
        <w:rPr>
          <w:noProof/>
        </w:rPr>
        <w:t>Screening rates and rate rat</w:t>
      </w:r>
      <w:r w:rsidR="00E11FC4">
        <w:rPr>
          <w:noProof/>
        </w:rPr>
        <w:t>ios, by age group, 2004 to 2011</w:t>
      </w:r>
      <w:r>
        <w:rPr>
          <w:noProof/>
        </w:rPr>
        <w:tab/>
      </w:r>
      <w:r>
        <w:rPr>
          <w:noProof/>
        </w:rPr>
        <w:fldChar w:fldCharType="begin"/>
      </w:r>
      <w:r>
        <w:rPr>
          <w:noProof/>
        </w:rPr>
        <w:instrText xml:space="preserve"> PAGEREF _Toc397000780 \h </w:instrText>
      </w:r>
      <w:r>
        <w:rPr>
          <w:noProof/>
        </w:rPr>
      </w:r>
      <w:r>
        <w:rPr>
          <w:noProof/>
        </w:rPr>
        <w:fldChar w:fldCharType="separate"/>
      </w:r>
      <w:r w:rsidR="003D0CAF">
        <w:rPr>
          <w:noProof/>
        </w:rPr>
        <w:t>134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5.2.</w:t>
      </w:r>
      <w:r>
        <w:rPr>
          <w:rFonts w:asciiTheme="minorHAnsi" w:eastAsiaTheme="minorEastAsia" w:hAnsiTheme="minorHAnsi" w:cstheme="minorBidi"/>
          <w:noProof/>
          <w:szCs w:val="22"/>
        </w:rPr>
        <w:tab/>
      </w:r>
      <w:r w:rsidRPr="006D6F71">
        <w:rPr>
          <w:noProof/>
        </w:rPr>
        <w:t>Number</w:t>
      </w:r>
      <w:r w:rsidRPr="006D6F71">
        <w:rPr>
          <w:bCs/>
          <w:noProof/>
        </w:rPr>
        <w:t xml:space="preserve"> </w:t>
      </w:r>
      <w:r w:rsidRPr="006D6F71">
        <w:rPr>
          <w:noProof/>
        </w:rPr>
        <w:t>of females with high-grade abnormalities detected by histology, by age, 2004 to 2011</w:t>
      </w:r>
      <w:r>
        <w:rPr>
          <w:noProof/>
        </w:rPr>
        <w:tab/>
      </w:r>
      <w:r>
        <w:rPr>
          <w:noProof/>
        </w:rPr>
        <w:fldChar w:fldCharType="begin"/>
      </w:r>
      <w:r>
        <w:rPr>
          <w:noProof/>
        </w:rPr>
        <w:instrText xml:space="preserve"> PAGEREF _Toc397000781 \h </w:instrText>
      </w:r>
      <w:r>
        <w:rPr>
          <w:noProof/>
        </w:rPr>
      </w:r>
      <w:r>
        <w:rPr>
          <w:noProof/>
        </w:rPr>
        <w:fldChar w:fldCharType="separate"/>
      </w:r>
      <w:r w:rsidR="003D0CAF">
        <w:rPr>
          <w:noProof/>
        </w:rPr>
        <w:t>134</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5.3.</w:t>
      </w:r>
      <w:r>
        <w:rPr>
          <w:rFonts w:asciiTheme="minorHAnsi" w:eastAsiaTheme="minorEastAsia" w:hAnsiTheme="minorHAnsi" w:cstheme="minorBidi"/>
          <w:noProof/>
          <w:szCs w:val="22"/>
        </w:rPr>
        <w:tab/>
      </w:r>
      <w:r w:rsidRPr="006D6F71">
        <w:rPr>
          <w:noProof/>
        </w:rPr>
        <w:t>Rate of high-grade abnormalities detected, per 1,000 females aged &lt;20 years screened, and 95% confidence intervals, by jurisdiction, 2004 to 2011</w:t>
      </w:r>
      <w:r>
        <w:rPr>
          <w:noProof/>
        </w:rPr>
        <w:tab/>
      </w:r>
      <w:r>
        <w:rPr>
          <w:noProof/>
        </w:rPr>
        <w:fldChar w:fldCharType="begin"/>
      </w:r>
      <w:r>
        <w:rPr>
          <w:noProof/>
        </w:rPr>
        <w:instrText xml:space="preserve"> PAGEREF _Toc397000782 \h </w:instrText>
      </w:r>
      <w:r>
        <w:rPr>
          <w:noProof/>
        </w:rPr>
      </w:r>
      <w:r>
        <w:rPr>
          <w:noProof/>
        </w:rPr>
        <w:fldChar w:fldCharType="separate"/>
      </w:r>
      <w:r w:rsidR="003D0CAF">
        <w:rPr>
          <w:noProof/>
        </w:rPr>
        <w:t>137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5.4.</w:t>
      </w:r>
      <w:r>
        <w:rPr>
          <w:rFonts w:asciiTheme="minorHAnsi" w:eastAsiaTheme="minorEastAsia" w:hAnsiTheme="minorHAnsi" w:cstheme="minorBidi"/>
          <w:noProof/>
          <w:szCs w:val="22"/>
        </w:rPr>
        <w:tab/>
      </w:r>
      <w:r w:rsidRPr="006D6F71">
        <w:rPr>
          <w:noProof/>
        </w:rPr>
        <w:t>Sensitivity analysis of rate ratios of females aged &lt;20 years screened, 2009 to 2011</w:t>
      </w:r>
      <w:r>
        <w:rPr>
          <w:noProof/>
        </w:rPr>
        <w:tab/>
      </w:r>
      <w:r>
        <w:rPr>
          <w:noProof/>
        </w:rPr>
        <w:fldChar w:fldCharType="begin"/>
      </w:r>
      <w:r>
        <w:rPr>
          <w:noProof/>
        </w:rPr>
        <w:instrText xml:space="preserve"> PAGEREF _Toc397000783 \h </w:instrText>
      </w:r>
      <w:r>
        <w:rPr>
          <w:noProof/>
        </w:rPr>
      </w:r>
      <w:r>
        <w:rPr>
          <w:noProof/>
        </w:rPr>
        <w:fldChar w:fldCharType="separate"/>
      </w:r>
      <w:r w:rsidR="003D0CAF">
        <w:rPr>
          <w:noProof/>
        </w:rPr>
        <w:t>138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6.1.</w:t>
      </w:r>
      <w:r>
        <w:rPr>
          <w:rFonts w:asciiTheme="minorHAnsi" w:eastAsiaTheme="minorEastAsia" w:hAnsiTheme="minorHAnsi" w:cstheme="minorBidi"/>
          <w:noProof/>
          <w:szCs w:val="22"/>
        </w:rPr>
        <w:tab/>
      </w:r>
      <w:r w:rsidRPr="006D6F71">
        <w:rPr>
          <w:noProof/>
        </w:rPr>
        <w:t>Age groups used in the analysis (based on age at admission)</w:t>
      </w:r>
      <w:r>
        <w:rPr>
          <w:noProof/>
        </w:rPr>
        <w:tab/>
      </w:r>
      <w:r>
        <w:rPr>
          <w:noProof/>
        </w:rPr>
        <w:fldChar w:fldCharType="begin"/>
      </w:r>
      <w:r>
        <w:rPr>
          <w:noProof/>
        </w:rPr>
        <w:instrText xml:space="preserve"> PAGEREF _Toc397000784 \h </w:instrText>
      </w:r>
      <w:r>
        <w:rPr>
          <w:noProof/>
        </w:rPr>
      </w:r>
      <w:r>
        <w:rPr>
          <w:noProof/>
        </w:rPr>
        <w:fldChar w:fldCharType="separate"/>
      </w:r>
      <w:r w:rsidR="003D0CAF">
        <w:rPr>
          <w:noProof/>
        </w:rPr>
        <w:t>146</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6.2.</w:t>
      </w:r>
      <w:r>
        <w:rPr>
          <w:rFonts w:asciiTheme="minorHAnsi" w:eastAsiaTheme="minorEastAsia" w:hAnsiTheme="minorHAnsi" w:cstheme="minorBidi"/>
          <w:noProof/>
          <w:szCs w:val="22"/>
        </w:rPr>
        <w:tab/>
      </w:r>
      <w:r w:rsidRPr="006D6F71">
        <w:rPr>
          <w:noProof/>
        </w:rPr>
        <w:t>Hospital admissions involving a diagnosis of genital warts by sex and anatomic</w:t>
      </w:r>
      <w:r w:rsidR="00E11FC4">
        <w:rPr>
          <w:noProof/>
        </w:rPr>
        <w:t>al site, July 1999 to June 2011</w:t>
      </w:r>
      <w:r>
        <w:rPr>
          <w:noProof/>
        </w:rPr>
        <w:tab/>
      </w:r>
      <w:r>
        <w:rPr>
          <w:noProof/>
        </w:rPr>
        <w:fldChar w:fldCharType="begin"/>
      </w:r>
      <w:r>
        <w:rPr>
          <w:noProof/>
        </w:rPr>
        <w:instrText xml:space="preserve"> PAGEREF _Toc397000785 \h </w:instrText>
      </w:r>
      <w:r>
        <w:rPr>
          <w:noProof/>
        </w:rPr>
      </w:r>
      <w:r>
        <w:rPr>
          <w:noProof/>
        </w:rPr>
        <w:fldChar w:fldCharType="separate"/>
      </w:r>
      <w:r w:rsidR="003D0CAF">
        <w:rPr>
          <w:noProof/>
        </w:rPr>
        <w:t>149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6.3.</w:t>
      </w:r>
      <w:r>
        <w:rPr>
          <w:rFonts w:asciiTheme="minorHAnsi" w:eastAsiaTheme="minorEastAsia" w:hAnsiTheme="minorHAnsi" w:cstheme="minorBidi"/>
          <w:noProof/>
          <w:szCs w:val="22"/>
        </w:rPr>
        <w:tab/>
      </w:r>
      <w:r w:rsidRPr="006D6F71">
        <w:rPr>
          <w:noProof/>
        </w:rPr>
        <w:t>Most common concurrent diagnoses among patients admitted with a diagnosis involving genital warts</w:t>
      </w:r>
      <w:r>
        <w:rPr>
          <w:noProof/>
        </w:rPr>
        <w:tab/>
      </w:r>
      <w:r>
        <w:rPr>
          <w:noProof/>
        </w:rPr>
        <w:fldChar w:fldCharType="begin"/>
      </w:r>
      <w:r>
        <w:rPr>
          <w:noProof/>
        </w:rPr>
        <w:instrText xml:space="preserve"> PAGEREF _Toc397000786 \h </w:instrText>
      </w:r>
      <w:r>
        <w:rPr>
          <w:noProof/>
        </w:rPr>
      </w:r>
      <w:r>
        <w:rPr>
          <w:noProof/>
        </w:rPr>
        <w:fldChar w:fldCharType="separate"/>
      </w:r>
      <w:r w:rsidR="003D0CAF">
        <w:rPr>
          <w:noProof/>
        </w:rPr>
        <w:t>152</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6.4.</w:t>
      </w:r>
      <w:r>
        <w:rPr>
          <w:rFonts w:asciiTheme="minorHAnsi" w:eastAsiaTheme="minorEastAsia" w:hAnsiTheme="minorHAnsi" w:cstheme="minorBidi"/>
          <w:noProof/>
          <w:szCs w:val="22"/>
        </w:rPr>
        <w:tab/>
      </w:r>
      <w:r w:rsidR="00E11FC4">
        <w:rPr>
          <w:noProof/>
        </w:rPr>
        <w:t>Most common procedures</w:t>
      </w:r>
      <w:r w:rsidRPr="006D6F71">
        <w:rPr>
          <w:noProof/>
        </w:rPr>
        <w:t xml:space="preserve"> performed among patients admitted with a diagnosis involving genital warts</w:t>
      </w:r>
      <w:r>
        <w:rPr>
          <w:noProof/>
        </w:rPr>
        <w:tab/>
      </w:r>
      <w:r>
        <w:rPr>
          <w:noProof/>
        </w:rPr>
        <w:fldChar w:fldCharType="begin"/>
      </w:r>
      <w:r>
        <w:rPr>
          <w:noProof/>
        </w:rPr>
        <w:instrText xml:space="preserve"> PAGEREF _Toc397000787 \h </w:instrText>
      </w:r>
      <w:r>
        <w:rPr>
          <w:noProof/>
        </w:rPr>
      </w:r>
      <w:r>
        <w:rPr>
          <w:noProof/>
        </w:rPr>
        <w:fldChar w:fldCharType="separate"/>
      </w:r>
      <w:r w:rsidR="003D0CAF">
        <w:rPr>
          <w:noProof/>
        </w:rPr>
        <w:t>153</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6.5.</w:t>
      </w:r>
      <w:r>
        <w:rPr>
          <w:rFonts w:asciiTheme="minorHAnsi" w:eastAsiaTheme="minorEastAsia" w:hAnsiTheme="minorHAnsi" w:cstheme="minorBidi"/>
          <w:noProof/>
          <w:szCs w:val="22"/>
        </w:rPr>
        <w:tab/>
      </w:r>
      <w:r w:rsidRPr="006D6F71">
        <w:rPr>
          <w:noProof/>
        </w:rPr>
        <w:t>Admission rates for genital warts, per 100,000 population, and rate ratios, by age and sex</w:t>
      </w:r>
      <w:r>
        <w:rPr>
          <w:noProof/>
        </w:rPr>
        <w:tab/>
      </w:r>
      <w:r>
        <w:rPr>
          <w:noProof/>
        </w:rPr>
        <w:fldChar w:fldCharType="begin"/>
      </w:r>
      <w:r>
        <w:rPr>
          <w:noProof/>
        </w:rPr>
        <w:instrText xml:space="preserve"> PAGEREF _Toc397000788 \h </w:instrText>
      </w:r>
      <w:r>
        <w:rPr>
          <w:noProof/>
        </w:rPr>
      </w:r>
      <w:r>
        <w:rPr>
          <w:noProof/>
        </w:rPr>
        <w:fldChar w:fldCharType="separate"/>
      </w:r>
      <w:r w:rsidR="003D0CAF">
        <w:rPr>
          <w:noProof/>
        </w:rPr>
        <w:t>156</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6.6.</w:t>
      </w:r>
      <w:r>
        <w:rPr>
          <w:rFonts w:asciiTheme="minorHAnsi" w:eastAsiaTheme="minorEastAsia" w:hAnsiTheme="minorHAnsi" w:cstheme="minorBidi"/>
          <w:noProof/>
          <w:szCs w:val="22"/>
        </w:rPr>
        <w:tab/>
      </w:r>
      <w:r w:rsidRPr="006D6F71">
        <w:rPr>
          <w:noProof/>
        </w:rPr>
        <w:t>Results of analysis in males aged 18–26 years stratified by warts site (sensitivity analysis)</w:t>
      </w:r>
      <w:r>
        <w:rPr>
          <w:noProof/>
        </w:rPr>
        <w:tab/>
      </w:r>
      <w:r>
        <w:rPr>
          <w:noProof/>
        </w:rPr>
        <w:fldChar w:fldCharType="begin"/>
      </w:r>
      <w:r>
        <w:rPr>
          <w:noProof/>
        </w:rPr>
        <w:instrText xml:space="preserve"> PAGEREF _Toc397000789 \h </w:instrText>
      </w:r>
      <w:r>
        <w:rPr>
          <w:noProof/>
        </w:rPr>
      </w:r>
      <w:r>
        <w:rPr>
          <w:noProof/>
        </w:rPr>
        <w:fldChar w:fldCharType="separate"/>
      </w:r>
      <w:r w:rsidR="003D0CAF">
        <w:rPr>
          <w:noProof/>
        </w:rPr>
        <w:t>157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6.7.</w:t>
      </w:r>
      <w:r>
        <w:rPr>
          <w:rFonts w:asciiTheme="minorHAnsi" w:eastAsiaTheme="minorEastAsia" w:hAnsiTheme="minorHAnsi" w:cstheme="minorBidi"/>
          <w:noProof/>
          <w:szCs w:val="22"/>
        </w:rPr>
        <w:tab/>
      </w:r>
      <w:r w:rsidRPr="006D6F71">
        <w:rPr>
          <w:noProof/>
        </w:rPr>
        <w:t>Results of excluding males with a concurrent HIV-related diagnosis on parameter estimates (sensitivity analysis)</w:t>
      </w:r>
      <w:r>
        <w:rPr>
          <w:noProof/>
        </w:rPr>
        <w:tab/>
      </w:r>
      <w:r>
        <w:rPr>
          <w:noProof/>
        </w:rPr>
        <w:fldChar w:fldCharType="begin"/>
      </w:r>
      <w:r>
        <w:rPr>
          <w:noProof/>
        </w:rPr>
        <w:instrText xml:space="preserve"> PAGEREF _Toc397000790 \h </w:instrText>
      </w:r>
      <w:r>
        <w:rPr>
          <w:noProof/>
        </w:rPr>
      </w:r>
      <w:r>
        <w:rPr>
          <w:noProof/>
        </w:rPr>
        <w:fldChar w:fldCharType="separate"/>
      </w:r>
      <w:r w:rsidR="003D0CAF">
        <w:rPr>
          <w:noProof/>
        </w:rPr>
        <w:t>158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6.8.</w:t>
      </w:r>
      <w:r>
        <w:rPr>
          <w:rFonts w:asciiTheme="minorHAnsi" w:eastAsiaTheme="minorEastAsia" w:hAnsiTheme="minorHAnsi" w:cstheme="minorBidi"/>
          <w:noProof/>
          <w:szCs w:val="22"/>
        </w:rPr>
        <w:tab/>
      </w:r>
      <w:r w:rsidR="00E11FC4">
        <w:rPr>
          <w:noProof/>
        </w:rPr>
        <w:t>Admissions</w:t>
      </w:r>
      <w:r w:rsidRPr="006D6F71">
        <w:rPr>
          <w:noProof/>
        </w:rPr>
        <w:t xml:space="preserve"> and rates of admissions (per 100,000 population) involving a diagnosis of genital warts in females, July 2004 to June 2011, by Indigenous status, age and year of admission</w:t>
      </w:r>
      <w:r>
        <w:rPr>
          <w:noProof/>
        </w:rPr>
        <w:tab/>
      </w:r>
      <w:r>
        <w:rPr>
          <w:noProof/>
        </w:rPr>
        <w:fldChar w:fldCharType="begin"/>
      </w:r>
      <w:r>
        <w:rPr>
          <w:noProof/>
        </w:rPr>
        <w:instrText xml:space="preserve"> PAGEREF _Toc397000791 \h </w:instrText>
      </w:r>
      <w:r>
        <w:rPr>
          <w:noProof/>
        </w:rPr>
      </w:r>
      <w:r>
        <w:rPr>
          <w:noProof/>
        </w:rPr>
        <w:fldChar w:fldCharType="separate"/>
      </w:r>
      <w:r w:rsidR="003D0CAF">
        <w:rPr>
          <w:noProof/>
        </w:rPr>
        <w:t>160</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6.9.</w:t>
      </w:r>
      <w:r>
        <w:rPr>
          <w:rFonts w:asciiTheme="minorHAnsi" w:eastAsiaTheme="minorEastAsia" w:hAnsiTheme="minorHAnsi" w:cstheme="minorBidi"/>
          <w:noProof/>
          <w:szCs w:val="22"/>
        </w:rPr>
        <w:tab/>
      </w:r>
      <w:r w:rsidR="00E11FC4">
        <w:rPr>
          <w:noProof/>
        </w:rPr>
        <w:t>Admission rates</w:t>
      </w:r>
      <w:r w:rsidRPr="006D6F71">
        <w:rPr>
          <w:noProof/>
        </w:rPr>
        <w:t xml:space="preserve"> for genital warts in females, per 100,000 population, and rate ratios, by age and Indigenous status</w:t>
      </w:r>
      <w:r>
        <w:rPr>
          <w:noProof/>
        </w:rPr>
        <w:tab/>
      </w:r>
      <w:r>
        <w:rPr>
          <w:noProof/>
        </w:rPr>
        <w:fldChar w:fldCharType="begin"/>
      </w:r>
      <w:r>
        <w:rPr>
          <w:noProof/>
        </w:rPr>
        <w:instrText xml:space="preserve"> PAGEREF _Toc397000792 \h </w:instrText>
      </w:r>
      <w:r>
        <w:rPr>
          <w:noProof/>
        </w:rPr>
      </w:r>
      <w:r>
        <w:rPr>
          <w:noProof/>
        </w:rPr>
        <w:fldChar w:fldCharType="separate"/>
      </w:r>
      <w:r w:rsidR="003D0CAF">
        <w:rPr>
          <w:noProof/>
        </w:rPr>
        <w:t>161</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A6.1.1.</w:t>
      </w:r>
      <w:r>
        <w:rPr>
          <w:rFonts w:asciiTheme="minorHAnsi" w:eastAsiaTheme="minorEastAsia" w:hAnsiTheme="minorHAnsi" w:cstheme="minorBidi"/>
          <w:noProof/>
          <w:szCs w:val="22"/>
        </w:rPr>
        <w:tab/>
      </w:r>
      <w:r w:rsidRPr="006D6F71">
        <w:rPr>
          <w:noProof/>
        </w:rPr>
        <w:t>Definition of diagnoses and procedures related to anogenital warts</w:t>
      </w:r>
      <w:r>
        <w:rPr>
          <w:noProof/>
        </w:rPr>
        <w:tab/>
      </w:r>
      <w:r>
        <w:rPr>
          <w:noProof/>
        </w:rPr>
        <w:fldChar w:fldCharType="begin"/>
      </w:r>
      <w:r>
        <w:rPr>
          <w:noProof/>
        </w:rPr>
        <w:instrText xml:space="preserve"> PAGEREF _Toc397000793 \h </w:instrText>
      </w:r>
      <w:r>
        <w:rPr>
          <w:noProof/>
        </w:rPr>
      </w:r>
      <w:r>
        <w:rPr>
          <w:noProof/>
        </w:rPr>
        <w:fldChar w:fldCharType="separate"/>
      </w:r>
      <w:r w:rsidR="003D0CAF">
        <w:rPr>
          <w:noProof/>
        </w:rPr>
        <w:t>199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A6.1.2.</w:t>
      </w:r>
      <w:r>
        <w:rPr>
          <w:rFonts w:asciiTheme="minorHAnsi" w:eastAsiaTheme="minorEastAsia" w:hAnsiTheme="minorHAnsi" w:cstheme="minorBidi"/>
          <w:noProof/>
          <w:szCs w:val="22"/>
        </w:rPr>
        <w:tab/>
      </w:r>
      <w:r w:rsidRPr="006D6F71">
        <w:rPr>
          <w:noProof/>
        </w:rPr>
        <w:t>Definition of diagnoses and procedures influenced by cervical screening</w:t>
      </w:r>
      <w:r>
        <w:rPr>
          <w:noProof/>
        </w:rPr>
        <w:tab/>
      </w:r>
      <w:r>
        <w:rPr>
          <w:noProof/>
        </w:rPr>
        <w:fldChar w:fldCharType="begin"/>
      </w:r>
      <w:r>
        <w:rPr>
          <w:noProof/>
        </w:rPr>
        <w:instrText xml:space="preserve"> PAGEREF _Toc397000794 \h </w:instrText>
      </w:r>
      <w:r>
        <w:rPr>
          <w:noProof/>
        </w:rPr>
      </w:r>
      <w:r>
        <w:rPr>
          <w:noProof/>
        </w:rPr>
        <w:fldChar w:fldCharType="separate"/>
      </w:r>
      <w:r w:rsidR="003D0CAF">
        <w:rPr>
          <w:noProof/>
        </w:rPr>
        <w:t>199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6D6F71">
        <w:rPr>
          <w:noProof/>
        </w:rPr>
        <w:t>Table A6.3.1.</w:t>
      </w:r>
      <w:r>
        <w:rPr>
          <w:rFonts w:asciiTheme="minorHAnsi" w:eastAsiaTheme="minorEastAsia" w:hAnsiTheme="minorHAnsi" w:cstheme="minorBidi"/>
          <w:noProof/>
          <w:szCs w:val="22"/>
        </w:rPr>
        <w:tab/>
      </w:r>
      <w:r w:rsidRPr="006D6F71">
        <w:rPr>
          <w:noProof/>
        </w:rPr>
        <w:t>Admissions by sex, age and year, all admissions</w:t>
      </w:r>
      <w:r>
        <w:rPr>
          <w:noProof/>
        </w:rPr>
        <w:tab/>
      </w:r>
      <w:r>
        <w:rPr>
          <w:noProof/>
        </w:rPr>
        <w:fldChar w:fldCharType="begin"/>
      </w:r>
      <w:r>
        <w:rPr>
          <w:noProof/>
        </w:rPr>
        <w:instrText xml:space="preserve"> PAGEREF _Toc397000795 \h </w:instrText>
      </w:r>
      <w:r>
        <w:rPr>
          <w:noProof/>
        </w:rPr>
      </w:r>
      <w:r>
        <w:rPr>
          <w:noProof/>
        </w:rPr>
        <w:fldChar w:fldCharType="separate"/>
      </w:r>
      <w:r w:rsidR="003D0CAF">
        <w:rPr>
          <w:noProof/>
        </w:rPr>
        <w:t>201</w:t>
      </w:r>
      <w:r>
        <w:rPr>
          <w:noProof/>
        </w:rPr>
        <w:fldChar w:fldCharType="end"/>
      </w:r>
    </w:p>
    <w:p w:rsidR="00C13201" w:rsidRPr="003408A6" w:rsidRDefault="007A5F89" w:rsidP="00D861BD">
      <w:pPr>
        <w:pStyle w:val="ListParagraph"/>
        <w:tabs>
          <w:tab w:val="left" w:pos="1134"/>
          <w:tab w:val="left" w:pos="1418"/>
          <w:tab w:val="right" w:leader="dot" w:pos="10206"/>
        </w:tabs>
        <w:spacing w:after="120"/>
        <w:ind w:left="1134" w:right="284" w:hanging="1134"/>
        <w:contextualSpacing w:val="0"/>
        <w:rPr>
          <w:rFonts w:cs="Arial"/>
          <w:szCs w:val="22"/>
        </w:rPr>
      </w:pPr>
      <w:r>
        <w:rPr>
          <w:rFonts w:cs="Arial"/>
          <w:szCs w:val="22"/>
        </w:rPr>
        <w:fldChar w:fldCharType="end"/>
      </w:r>
    </w:p>
    <w:p w:rsidR="00C13201" w:rsidRPr="003408A6" w:rsidRDefault="00C13201" w:rsidP="00C13201">
      <w:pPr>
        <w:rPr>
          <w:rFonts w:cs="Arial"/>
          <w:szCs w:val="22"/>
        </w:rPr>
      </w:pPr>
      <w:r w:rsidRPr="003408A6">
        <w:rPr>
          <w:rFonts w:cs="Arial"/>
          <w:szCs w:val="22"/>
        </w:rPr>
        <w:br w:type="page"/>
      </w:r>
    </w:p>
    <w:p w:rsidR="000A2125" w:rsidRPr="003408A6" w:rsidRDefault="000A2125" w:rsidP="000A2125">
      <w:pPr>
        <w:pStyle w:val="Heading1"/>
      </w:pPr>
      <w:bookmarkStart w:id="7" w:name="_Toc396926111"/>
      <w:r w:rsidRPr="003408A6">
        <w:t>List of figures</w:t>
      </w:r>
      <w:bookmarkEnd w:id="7"/>
    </w:p>
    <w:p w:rsidR="00F27F90" w:rsidRDefault="002E79B2">
      <w:pPr>
        <w:pStyle w:val="TableofFigures"/>
        <w:rPr>
          <w:rFonts w:asciiTheme="minorHAnsi" w:eastAsiaTheme="minorEastAsia" w:hAnsiTheme="minorHAnsi" w:cstheme="minorBidi"/>
          <w:noProof/>
          <w:szCs w:val="22"/>
        </w:rPr>
      </w:pPr>
      <w:r>
        <w:rPr>
          <w:rFonts w:cs="Arial"/>
          <w:szCs w:val="22"/>
        </w:rPr>
        <w:fldChar w:fldCharType="begin"/>
      </w:r>
      <w:r>
        <w:rPr>
          <w:rFonts w:cs="Arial"/>
          <w:szCs w:val="22"/>
        </w:rPr>
        <w:instrText xml:space="preserve"> TOC \t "Figure heading" \c </w:instrText>
      </w:r>
      <w:r>
        <w:rPr>
          <w:rFonts w:cs="Arial"/>
          <w:szCs w:val="22"/>
        </w:rPr>
        <w:fldChar w:fldCharType="separate"/>
      </w:r>
      <w:r w:rsidR="00F27F90" w:rsidRPr="00B33EC6">
        <w:rPr>
          <w:rFonts w:eastAsia="Calibri"/>
          <w:noProof/>
        </w:rPr>
        <w:t>Figure 3.1.</w:t>
      </w:r>
      <w:r w:rsidR="00F27F90">
        <w:rPr>
          <w:rFonts w:asciiTheme="minorHAnsi" w:eastAsiaTheme="minorEastAsia" w:hAnsiTheme="minorHAnsi" w:cstheme="minorBidi"/>
          <w:noProof/>
          <w:szCs w:val="22"/>
        </w:rPr>
        <w:tab/>
      </w:r>
      <w:r w:rsidR="00F27F90" w:rsidRPr="00B33EC6">
        <w:rPr>
          <w:rFonts w:eastAsia="Calibri"/>
          <w:noProof/>
        </w:rPr>
        <w:t>National HPV vaccination coverage for females aged 12–26 ye</w:t>
      </w:r>
      <w:r w:rsidR="00E11FC4">
        <w:rPr>
          <w:rFonts w:eastAsia="Calibri"/>
          <w:noProof/>
        </w:rPr>
        <w:t>ars in mid 2007, by dose number</w:t>
      </w:r>
      <w:r w:rsidR="00F27F90">
        <w:rPr>
          <w:noProof/>
        </w:rPr>
        <w:tab/>
      </w:r>
      <w:r w:rsidR="00F27F90">
        <w:rPr>
          <w:noProof/>
        </w:rPr>
        <w:fldChar w:fldCharType="begin"/>
      </w:r>
      <w:r w:rsidR="00F27F90">
        <w:rPr>
          <w:noProof/>
        </w:rPr>
        <w:instrText xml:space="preserve"> PAGEREF _Toc397000796 \h </w:instrText>
      </w:r>
      <w:r w:rsidR="00F27F90">
        <w:rPr>
          <w:noProof/>
        </w:rPr>
      </w:r>
      <w:r w:rsidR="00F27F90">
        <w:rPr>
          <w:noProof/>
        </w:rPr>
        <w:fldChar w:fldCharType="separate"/>
      </w:r>
      <w:r w:rsidR="003D0CAF">
        <w:rPr>
          <w:noProof/>
        </w:rPr>
        <w:t>84</w:t>
      </w:r>
      <w:r w:rsidR="00F27F90">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3.1a.</w:t>
      </w:r>
      <w:r>
        <w:rPr>
          <w:rFonts w:asciiTheme="minorHAnsi" w:eastAsiaTheme="minorEastAsia" w:hAnsiTheme="minorHAnsi" w:cstheme="minorBidi"/>
          <w:noProof/>
          <w:szCs w:val="22"/>
        </w:rPr>
        <w:tab/>
      </w:r>
      <w:r>
        <w:rPr>
          <w:noProof/>
        </w:rPr>
        <w:t>Increase in national HPV vaccination coverage over time, 2007 to 2009, for females aged 12–13 years in 2007, by dose number and age, as notified to the National HPV Vaccination Program Register</w:t>
      </w:r>
      <w:r>
        <w:rPr>
          <w:noProof/>
        </w:rPr>
        <w:tab/>
      </w:r>
      <w:r>
        <w:rPr>
          <w:noProof/>
        </w:rPr>
        <w:fldChar w:fldCharType="begin"/>
      </w:r>
      <w:r>
        <w:rPr>
          <w:noProof/>
        </w:rPr>
        <w:instrText xml:space="preserve"> PAGEREF _Toc397000797 \h </w:instrText>
      </w:r>
      <w:r>
        <w:rPr>
          <w:noProof/>
        </w:rPr>
      </w:r>
      <w:r>
        <w:rPr>
          <w:noProof/>
        </w:rPr>
        <w:fldChar w:fldCharType="separate"/>
      </w:r>
      <w:r w:rsidR="003D0CAF">
        <w:rPr>
          <w:noProof/>
        </w:rPr>
        <w:t>86</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3.1b.</w:t>
      </w:r>
      <w:r>
        <w:rPr>
          <w:rFonts w:asciiTheme="minorHAnsi" w:eastAsiaTheme="minorEastAsia" w:hAnsiTheme="minorHAnsi" w:cstheme="minorBidi"/>
          <w:noProof/>
          <w:szCs w:val="22"/>
        </w:rPr>
        <w:tab/>
      </w:r>
      <w:r>
        <w:rPr>
          <w:noProof/>
        </w:rPr>
        <w:t>Increase in national HPV vaccination coverage over time, 2007 to 2009, for females aged 14–15 years in 2007, by dose number and age, as notified to the National HPV Vaccination Program Register</w:t>
      </w:r>
      <w:r>
        <w:rPr>
          <w:noProof/>
        </w:rPr>
        <w:tab/>
      </w:r>
      <w:r>
        <w:rPr>
          <w:noProof/>
        </w:rPr>
        <w:fldChar w:fldCharType="begin"/>
      </w:r>
      <w:r>
        <w:rPr>
          <w:noProof/>
        </w:rPr>
        <w:instrText xml:space="preserve"> PAGEREF _Toc397000798 \h </w:instrText>
      </w:r>
      <w:r>
        <w:rPr>
          <w:noProof/>
        </w:rPr>
      </w:r>
      <w:r>
        <w:rPr>
          <w:noProof/>
        </w:rPr>
        <w:fldChar w:fldCharType="separate"/>
      </w:r>
      <w:r w:rsidR="003D0CAF">
        <w:rPr>
          <w:noProof/>
        </w:rPr>
        <w:t>86</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3.1c.</w:t>
      </w:r>
      <w:r>
        <w:rPr>
          <w:rFonts w:asciiTheme="minorHAnsi" w:eastAsiaTheme="minorEastAsia" w:hAnsiTheme="minorHAnsi" w:cstheme="minorBidi"/>
          <w:noProof/>
          <w:szCs w:val="22"/>
        </w:rPr>
        <w:tab/>
      </w:r>
      <w:r>
        <w:rPr>
          <w:noProof/>
        </w:rPr>
        <w:t>Increase in national HPV vaccination coverage over time, 2007 to 2009, for females aged 16 years in 2007, by dose number and age, as notified to the National HPV Vaccination Program Register</w:t>
      </w:r>
      <w:r>
        <w:rPr>
          <w:noProof/>
        </w:rPr>
        <w:tab/>
      </w:r>
      <w:r>
        <w:rPr>
          <w:noProof/>
        </w:rPr>
        <w:fldChar w:fldCharType="begin"/>
      </w:r>
      <w:r>
        <w:rPr>
          <w:noProof/>
        </w:rPr>
        <w:instrText xml:space="preserve"> PAGEREF _Toc397000799 \h </w:instrText>
      </w:r>
      <w:r>
        <w:rPr>
          <w:noProof/>
        </w:rPr>
      </w:r>
      <w:r>
        <w:rPr>
          <w:noProof/>
        </w:rPr>
        <w:fldChar w:fldCharType="separate"/>
      </w:r>
      <w:r w:rsidR="003D0CAF">
        <w:rPr>
          <w:noProof/>
        </w:rPr>
        <w:t>87</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3.1d.</w:t>
      </w:r>
      <w:r>
        <w:rPr>
          <w:rFonts w:asciiTheme="minorHAnsi" w:eastAsiaTheme="minorEastAsia" w:hAnsiTheme="minorHAnsi" w:cstheme="minorBidi"/>
          <w:noProof/>
          <w:szCs w:val="22"/>
        </w:rPr>
        <w:tab/>
      </w:r>
      <w:r>
        <w:rPr>
          <w:noProof/>
        </w:rPr>
        <w:t>Increase in national HPV vaccination coverage over time, 2007 to 2009, for females aged 17 years in 2007, by dose number and age, as notified to the National HPV Vaccination Program Register</w:t>
      </w:r>
      <w:r>
        <w:rPr>
          <w:noProof/>
        </w:rPr>
        <w:tab/>
      </w:r>
      <w:r>
        <w:rPr>
          <w:noProof/>
        </w:rPr>
        <w:fldChar w:fldCharType="begin"/>
      </w:r>
      <w:r>
        <w:rPr>
          <w:noProof/>
        </w:rPr>
        <w:instrText xml:space="preserve"> PAGEREF _Toc397000800 \h </w:instrText>
      </w:r>
      <w:r>
        <w:rPr>
          <w:noProof/>
        </w:rPr>
      </w:r>
      <w:r>
        <w:rPr>
          <w:noProof/>
        </w:rPr>
        <w:fldChar w:fldCharType="separate"/>
      </w:r>
      <w:r w:rsidR="003D0CAF">
        <w:rPr>
          <w:noProof/>
        </w:rPr>
        <w:t>87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3.2.</w:t>
      </w:r>
      <w:r>
        <w:rPr>
          <w:rFonts w:asciiTheme="minorHAnsi" w:eastAsiaTheme="minorEastAsia" w:hAnsiTheme="minorHAnsi" w:cstheme="minorBidi"/>
          <w:noProof/>
          <w:szCs w:val="22"/>
        </w:rPr>
        <w:tab/>
      </w:r>
      <w:r w:rsidRPr="00B33EC6">
        <w:rPr>
          <w:rFonts w:eastAsia="Calibri"/>
          <w:noProof/>
        </w:rPr>
        <w:t>National 3-dose HPV vaccination coverage for females turning 15 years of age, 2007 to 201</w:t>
      </w:r>
      <w:r w:rsidR="00E11FC4">
        <w:rPr>
          <w:rFonts w:eastAsia="Calibri"/>
          <w:noProof/>
        </w:rPr>
        <w:t>2, by jurisdiction of residence</w:t>
      </w:r>
      <w:r>
        <w:rPr>
          <w:noProof/>
        </w:rPr>
        <w:tab/>
      </w:r>
      <w:r>
        <w:rPr>
          <w:noProof/>
        </w:rPr>
        <w:fldChar w:fldCharType="begin"/>
      </w:r>
      <w:r>
        <w:rPr>
          <w:noProof/>
        </w:rPr>
        <w:instrText xml:space="preserve"> PAGEREF _Toc397000801 \h </w:instrText>
      </w:r>
      <w:r>
        <w:rPr>
          <w:noProof/>
        </w:rPr>
      </w:r>
      <w:r>
        <w:rPr>
          <w:noProof/>
        </w:rPr>
        <w:fldChar w:fldCharType="separate"/>
      </w:r>
      <w:r w:rsidR="003D0CAF">
        <w:rPr>
          <w:noProof/>
        </w:rPr>
        <w:t>95</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3.3.</w:t>
      </w:r>
      <w:r>
        <w:rPr>
          <w:rFonts w:asciiTheme="minorHAnsi" w:eastAsiaTheme="minorEastAsia" w:hAnsiTheme="minorHAnsi" w:cstheme="minorBidi"/>
          <w:noProof/>
          <w:szCs w:val="22"/>
        </w:rPr>
        <w:tab/>
      </w:r>
      <w:r w:rsidRPr="00B33EC6">
        <w:rPr>
          <w:rFonts w:eastAsia="Calibri"/>
          <w:noProof/>
        </w:rPr>
        <w:t xml:space="preserve">National 3-dose HPV vaccination coverage estimates </w:t>
      </w:r>
      <w:r w:rsidR="00E11FC4">
        <w:rPr>
          <w:rFonts w:eastAsia="Calibri"/>
          <w:noProof/>
        </w:rPr>
        <w:t>for females aged 15 in mid 2011</w:t>
      </w:r>
      <w:r>
        <w:rPr>
          <w:noProof/>
        </w:rPr>
        <w:tab/>
      </w:r>
      <w:r>
        <w:rPr>
          <w:noProof/>
        </w:rPr>
        <w:fldChar w:fldCharType="begin"/>
      </w:r>
      <w:r>
        <w:rPr>
          <w:noProof/>
        </w:rPr>
        <w:instrText xml:space="preserve"> PAGEREF _Toc397000802 \h </w:instrText>
      </w:r>
      <w:r>
        <w:rPr>
          <w:noProof/>
        </w:rPr>
      </w:r>
      <w:r>
        <w:rPr>
          <w:noProof/>
        </w:rPr>
        <w:fldChar w:fldCharType="separate"/>
      </w:r>
      <w:r w:rsidR="003D0CAF">
        <w:rPr>
          <w:noProof/>
        </w:rPr>
        <w:t>96</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3.4a.</w:t>
      </w:r>
      <w:r>
        <w:rPr>
          <w:rFonts w:asciiTheme="minorHAnsi" w:eastAsiaTheme="minorEastAsia" w:hAnsiTheme="minorHAnsi" w:cstheme="minorBidi"/>
          <w:noProof/>
          <w:szCs w:val="22"/>
        </w:rPr>
        <w:tab/>
      </w:r>
      <w:r w:rsidRPr="00B33EC6">
        <w:rPr>
          <w:rFonts w:eastAsia="Calibri"/>
          <w:noProof/>
        </w:rPr>
        <w:t>Distribution of notified HPV vaccine doses b</w:t>
      </w:r>
      <w:r w:rsidR="00E11FC4">
        <w:rPr>
          <w:rFonts w:eastAsia="Calibri"/>
          <w:noProof/>
        </w:rPr>
        <w:t>y provider type and state, 2007</w:t>
      </w:r>
      <w:r>
        <w:rPr>
          <w:noProof/>
        </w:rPr>
        <w:tab/>
      </w:r>
      <w:r>
        <w:rPr>
          <w:noProof/>
        </w:rPr>
        <w:fldChar w:fldCharType="begin"/>
      </w:r>
      <w:r>
        <w:rPr>
          <w:noProof/>
        </w:rPr>
        <w:instrText xml:space="preserve"> PAGEREF _Toc397000803 \h </w:instrText>
      </w:r>
      <w:r>
        <w:rPr>
          <w:noProof/>
        </w:rPr>
      </w:r>
      <w:r>
        <w:rPr>
          <w:noProof/>
        </w:rPr>
        <w:fldChar w:fldCharType="separate"/>
      </w:r>
      <w:r w:rsidR="003D0CAF">
        <w:rPr>
          <w:noProof/>
        </w:rPr>
        <w:t>97</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3.4b.</w:t>
      </w:r>
      <w:r>
        <w:rPr>
          <w:rFonts w:asciiTheme="minorHAnsi" w:eastAsiaTheme="minorEastAsia" w:hAnsiTheme="minorHAnsi" w:cstheme="minorBidi"/>
          <w:noProof/>
          <w:szCs w:val="22"/>
        </w:rPr>
        <w:tab/>
      </w:r>
      <w:r w:rsidRPr="00B33EC6">
        <w:rPr>
          <w:rFonts w:eastAsia="Calibri"/>
          <w:noProof/>
        </w:rPr>
        <w:t>Distribution of notified HPV vaccine doses b</w:t>
      </w:r>
      <w:r w:rsidR="00E11FC4">
        <w:rPr>
          <w:rFonts w:eastAsia="Calibri"/>
          <w:noProof/>
        </w:rPr>
        <w:t>y provider type and state, 2008</w:t>
      </w:r>
      <w:r>
        <w:rPr>
          <w:noProof/>
        </w:rPr>
        <w:tab/>
      </w:r>
      <w:r>
        <w:rPr>
          <w:noProof/>
        </w:rPr>
        <w:fldChar w:fldCharType="begin"/>
      </w:r>
      <w:r>
        <w:rPr>
          <w:noProof/>
        </w:rPr>
        <w:instrText xml:space="preserve"> PAGEREF _Toc397000804 \h </w:instrText>
      </w:r>
      <w:r>
        <w:rPr>
          <w:noProof/>
        </w:rPr>
      </w:r>
      <w:r>
        <w:rPr>
          <w:noProof/>
        </w:rPr>
        <w:fldChar w:fldCharType="separate"/>
      </w:r>
      <w:r w:rsidR="003D0CAF">
        <w:rPr>
          <w:noProof/>
        </w:rPr>
        <w:t>98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3.4c.</w:t>
      </w:r>
      <w:r>
        <w:rPr>
          <w:rFonts w:asciiTheme="minorHAnsi" w:eastAsiaTheme="minorEastAsia" w:hAnsiTheme="minorHAnsi" w:cstheme="minorBidi"/>
          <w:noProof/>
          <w:szCs w:val="22"/>
        </w:rPr>
        <w:tab/>
      </w:r>
      <w:r w:rsidRPr="00B33EC6">
        <w:rPr>
          <w:rFonts w:eastAsia="Calibri"/>
          <w:noProof/>
        </w:rPr>
        <w:t>Distribution of notified HPV vaccine doses by provider type an</w:t>
      </w:r>
      <w:r w:rsidR="00E11FC4">
        <w:rPr>
          <w:rFonts w:eastAsia="Calibri"/>
          <w:noProof/>
        </w:rPr>
        <w:t>d state, 2009</w:t>
      </w:r>
      <w:r>
        <w:rPr>
          <w:noProof/>
        </w:rPr>
        <w:tab/>
      </w:r>
      <w:r>
        <w:rPr>
          <w:noProof/>
        </w:rPr>
        <w:fldChar w:fldCharType="begin"/>
      </w:r>
      <w:r>
        <w:rPr>
          <w:noProof/>
        </w:rPr>
        <w:instrText xml:space="preserve"> PAGEREF _Toc397000805 \h </w:instrText>
      </w:r>
      <w:r>
        <w:rPr>
          <w:noProof/>
        </w:rPr>
      </w:r>
      <w:r>
        <w:rPr>
          <w:noProof/>
        </w:rPr>
        <w:fldChar w:fldCharType="separate"/>
      </w:r>
      <w:r w:rsidR="003D0CAF">
        <w:rPr>
          <w:noProof/>
        </w:rPr>
        <w:t>98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3.4d.</w:t>
      </w:r>
      <w:r>
        <w:rPr>
          <w:rFonts w:asciiTheme="minorHAnsi" w:eastAsiaTheme="minorEastAsia" w:hAnsiTheme="minorHAnsi" w:cstheme="minorBidi"/>
          <w:noProof/>
          <w:szCs w:val="22"/>
        </w:rPr>
        <w:tab/>
      </w:r>
      <w:r w:rsidRPr="00B33EC6">
        <w:rPr>
          <w:rFonts w:eastAsia="Calibri"/>
          <w:noProof/>
        </w:rPr>
        <w:t>Distribution of notified HPV vaccine doses b</w:t>
      </w:r>
      <w:r w:rsidR="00E11FC4">
        <w:rPr>
          <w:rFonts w:eastAsia="Calibri"/>
          <w:noProof/>
        </w:rPr>
        <w:t>y provider type and state, 2010</w:t>
      </w:r>
      <w:r>
        <w:rPr>
          <w:noProof/>
        </w:rPr>
        <w:tab/>
      </w:r>
      <w:r>
        <w:rPr>
          <w:noProof/>
        </w:rPr>
        <w:fldChar w:fldCharType="begin"/>
      </w:r>
      <w:r>
        <w:rPr>
          <w:noProof/>
        </w:rPr>
        <w:instrText xml:space="preserve"> PAGEREF _Toc397000806 \h </w:instrText>
      </w:r>
      <w:r>
        <w:rPr>
          <w:noProof/>
        </w:rPr>
      </w:r>
      <w:r>
        <w:rPr>
          <w:noProof/>
        </w:rPr>
        <w:fldChar w:fldCharType="separate"/>
      </w:r>
      <w:r w:rsidR="003D0CAF">
        <w:rPr>
          <w:noProof/>
        </w:rPr>
        <w:t>98</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3.4e.</w:t>
      </w:r>
      <w:r>
        <w:rPr>
          <w:rFonts w:asciiTheme="minorHAnsi" w:eastAsiaTheme="minorEastAsia" w:hAnsiTheme="minorHAnsi" w:cstheme="minorBidi"/>
          <w:noProof/>
          <w:szCs w:val="22"/>
        </w:rPr>
        <w:tab/>
      </w:r>
      <w:r w:rsidRPr="00B33EC6">
        <w:rPr>
          <w:rFonts w:eastAsia="Calibri"/>
          <w:noProof/>
        </w:rPr>
        <w:t>Distribution of notified HPV vaccine doses b</w:t>
      </w:r>
      <w:r w:rsidR="00E11FC4">
        <w:rPr>
          <w:rFonts w:eastAsia="Calibri"/>
          <w:noProof/>
        </w:rPr>
        <w:t>y provider type and state, 2011</w:t>
      </w:r>
      <w:r>
        <w:rPr>
          <w:noProof/>
        </w:rPr>
        <w:tab/>
      </w:r>
      <w:r>
        <w:rPr>
          <w:noProof/>
        </w:rPr>
        <w:fldChar w:fldCharType="begin"/>
      </w:r>
      <w:r>
        <w:rPr>
          <w:noProof/>
        </w:rPr>
        <w:instrText xml:space="preserve"> PAGEREF _Toc397000807 \h </w:instrText>
      </w:r>
      <w:r>
        <w:rPr>
          <w:noProof/>
        </w:rPr>
      </w:r>
      <w:r>
        <w:rPr>
          <w:noProof/>
        </w:rPr>
        <w:fldChar w:fldCharType="separate"/>
      </w:r>
      <w:r w:rsidR="003D0CAF">
        <w:rPr>
          <w:noProof/>
        </w:rPr>
        <w:t>99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3.4f.</w:t>
      </w:r>
      <w:r>
        <w:rPr>
          <w:rFonts w:asciiTheme="minorHAnsi" w:eastAsiaTheme="minorEastAsia" w:hAnsiTheme="minorHAnsi" w:cstheme="minorBidi"/>
          <w:noProof/>
          <w:szCs w:val="22"/>
        </w:rPr>
        <w:tab/>
      </w:r>
      <w:r w:rsidRPr="00B33EC6">
        <w:rPr>
          <w:rFonts w:eastAsia="Calibri"/>
          <w:noProof/>
        </w:rPr>
        <w:t>Distribution of notified HPV vaccine doses b</w:t>
      </w:r>
      <w:r w:rsidR="00E11FC4">
        <w:rPr>
          <w:rFonts w:eastAsia="Calibri"/>
          <w:noProof/>
        </w:rPr>
        <w:t>y provider type and state, 2012</w:t>
      </w:r>
      <w:r>
        <w:rPr>
          <w:noProof/>
        </w:rPr>
        <w:tab/>
      </w:r>
      <w:r>
        <w:rPr>
          <w:noProof/>
        </w:rPr>
        <w:fldChar w:fldCharType="begin"/>
      </w:r>
      <w:r>
        <w:rPr>
          <w:noProof/>
        </w:rPr>
        <w:instrText xml:space="preserve"> PAGEREF _Toc397000808 \h </w:instrText>
      </w:r>
      <w:r>
        <w:rPr>
          <w:noProof/>
        </w:rPr>
      </w:r>
      <w:r>
        <w:rPr>
          <w:noProof/>
        </w:rPr>
        <w:fldChar w:fldCharType="separate"/>
      </w:r>
      <w:r w:rsidR="003D0CAF">
        <w:rPr>
          <w:noProof/>
        </w:rPr>
        <w:t>99</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3.5.</w:t>
      </w:r>
      <w:r>
        <w:rPr>
          <w:rFonts w:asciiTheme="minorHAnsi" w:eastAsiaTheme="minorEastAsia" w:hAnsiTheme="minorHAnsi" w:cstheme="minorBidi"/>
          <w:noProof/>
          <w:szCs w:val="22"/>
        </w:rPr>
        <w:tab/>
      </w:r>
      <w:r w:rsidRPr="00B33EC6">
        <w:rPr>
          <w:rFonts w:eastAsia="Calibri"/>
          <w:noProof/>
        </w:rPr>
        <w:t>ABS and Medicare population estimates, females aged 12–26 years, 2007</w:t>
      </w:r>
      <w:r>
        <w:rPr>
          <w:noProof/>
        </w:rPr>
        <w:tab/>
      </w:r>
      <w:r>
        <w:rPr>
          <w:noProof/>
        </w:rPr>
        <w:fldChar w:fldCharType="begin"/>
      </w:r>
      <w:r>
        <w:rPr>
          <w:noProof/>
        </w:rPr>
        <w:instrText xml:space="preserve"> PAGEREF _Toc397000809 \h </w:instrText>
      </w:r>
      <w:r>
        <w:rPr>
          <w:noProof/>
        </w:rPr>
      </w:r>
      <w:r>
        <w:rPr>
          <w:noProof/>
        </w:rPr>
        <w:fldChar w:fldCharType="separate"/>
      </w:r>
      <w:r w:rsidR="003D0CAF">
        <w:rPr>
          <w:noProof/>
        </w:rPr>
        <w:t>103</w:t>
      </w:r>
      <w:r>
        <w:rPr>
          <w:noProof/>
        </w:rPr>
        <w:fldChar w:fldCharType="end"/>
      </w:r>
    </w:p>
    <w:p w:rsidR="00F27F90" w:rsidRDefault="00F27F90">
      <w:pPr>
        <w:pStyle w:val="TableofFigures"/>
        <w:rPr>
          <w:rFonts w:asciiTheme="minorHAnsi" w:eastAsiaTheme="minorEastAsia" w:hAnsiTheme="minorHAnsi" w:cstheme="minorBidi"/>
          <w:noProof/>
          <w:szCs w:val="22"/>
        </w:rPr>
      </w:pPr>
      <w:r w:rsidRPr="00B33EC6">
        <w:rPr>
          <w:rFonts w:eastAsia="Calibri"/>
          <w:noProof/>
        </w:rPr>
        <w:t>Figure 3.6.</w:t>
      </w:r>
      <w:r>
        <w:rPr>
          <w:rFonts w:asciiTheme="minorHAnsi" w:eastAsiaTheme="minorEastAsia" w:hAnsiTheme="minorHAnsi" w:cstheme="minorBidi"/>
          <w:noProof/>
          <w:szCs w:val="22"/>
        </w:rPr>
        <w:tab/>
      </w:r>
      <w:r w:rsidRPr="00B33EC6">
        <w:rPr>
          <w:rFonts w:eastAsia="Calibri"/>
          <w:noProof/>
        </w:rPr>
        <w:t xml:space="preserve">Implied versus reported dose 3 coverage, females aged 12–26 years in </w:t>
      </w:r>
      <w:r w:rsidR="00E11FC4">
        <w:rPr>
          <w:rFonts w:eastAsia="Calibri"/>
          <w:noProof/>
        </w:rPr>
        <w:t>2007, Australia</w:t>
      </w:r>
      <w:r>
        <w:rPr>
          <w:noProof/>
        </w:rPr>
        <w:tab/>
      </w:r>
      <w:r>
        <w:rPr>
          <w:noProof/>
        </w:rPr>
        <w:fldChar w:fldCharType="begin"/>
      </w:r>
      <w:r>
        <w:rPr>
          <w:noProof/>
        </w:rPr>
        <w:instrText xml:space="preserve"> PAGEREF _Toc397000810 \h </w:instrText>
      </w:r>
      <w:r>
        <w:rPr>
          <w:noProof/>
        </w:rPr>
      </w:r>
      <w:r>
        <w:rPr>
          <w:noProof/>
        </w:rPr>
        <w:fldChar w:fldCharType="separate"/>
      </w:r>
      <w:r w:rsidR="003D0CAF">
        <w:rPr>
          <w:noProof/>
        </w:rPr>
        <w:t>105</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4.1.</w:t>
      </w:r>
      <w:r>
        <w:rPr>
          <w:rFonts w:asciiTheme="minorHAnsi" w:eastAsiaTheme="minorEastAsia" w:hAnsiTheme="minorHAnsi" w:cstheme="minorBidi"/>
          <w:noProof/>
          <w:szCs w:val="22"/>
        </w:rPr>
        <w:tab/>
      </w:r>
      <w:r>
        <w:rPr>
          <w:noProof/>
        </w:rPr>
        <w:t>Number of reports of adverse events following HPV vaccination for females aged 12–13 years, 14–17 years and 18–26 years, 1 April 2007 to 30 June 2013, by year of vaccination</w:t>
      </w:r>
      <w:r>
        <w:rPr>
          <w:noProof/>
        </w:rPr>
        <w:tab/>
      </w:r>
      <w:r>
        <w:rPr>
          <w:noProof/>
        </w:rPr>
        <w:fldChar w:fldCharType="begin"/>
      </w:r>
      <w:r>
        <w:rPr>
          <w:noProof/>
        </w:rPr>
        <w:instrText xml:space="preserve"> PAGEREF _Toc397000811 \h </w:instrText>
      </w:r>
      <w:r>
        <w:rPr>
          <w:noProof/>
        </w:rPr>
      </w:r>
      <w:r>
        <w:rPr>
          <w:noProof/>
        </w:rPr>
        <w:fldChar w:fldCharType="separate"/>
      </w:r>
      <w:r w:rsidR="003D0CAF">
        <w:rPr>
          <w:noProof/>
        </w:rPr>
        <w:t>119</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4.2.</w:t>
      </w:r>
      <w:r>
        <w:rPr>
          <w:rFonts w:asciiTheme="minorHAnsi" w:eastAsiaTheme="minorEastAsia" w:hAnsiTheme="minorHAnsi" w:cstheme="minorBidi"/>
          <w:noProof/>
          <w:szCs w:val="22"/>
        </w:rPr>
        <w:tab/>
      </w:r>
      <w:r>
        <w:rPr>
          <w:noProof/>
        </w:rPr>
        <w:t>Reporting rates of adverse events per 100,000 doses following HPV vaccination in females aged 12–13 years, 14–17 years and 18–26 years, 1</w:t>
      </w:r>
      <w:r w:rsidR="00E11FC4">
        <w:rPr>
          <w:noProof/>
        </w:rPr>
        <w:t xml:space="preserve"> April 2007 to 31 December 2011</w:t>
      </w:r>
      <w:r>
        <w:rPr>
          <w:noProof/>
        </w:rPr>
        <w:t>, by year of vaccination</w:t>
      </w:r>
      <w:r>
        <w:rPr>
          <w:noProof/>
        </w:rPr>
        <w:tab/>
      </w:r>
      <w:r>
        <w:rPr>
          <w:noProof/>
        </w:rPr>
        <w:fldChar w:fldCharType="begin"/>
      </w:r>
      <w:r>
        <w:rPr>
          <w:noProof/>
        </w:rPr>
        <w:instrText xml:space="preserve"> PAGEREF _Toc397000812 \h </w:instrText>
      </w:r>
      <w:r>
        <w:rPr>
          <w:noProof/>
        </w:rPr>
      </w:r>
      <w:r>
        <w:rPr>
          <w:noProof/>
        </w:rPr>
        <w:fldChar w:fldCharType="separate"/>
      </w:r>
      <w:r w:rsidR="003D0CAF">
        <w:rPr>
          <w:noProof/>
        </w:rPr>
        <w:t>120</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5.1.</w:t>
      </w:r>
      <w:r>
        <w:rPr>
          <w:rFonts w:asciiTheme="minorHAnsi" w:eastAsiaTheme="minorEastAsia" w:hAnsiTheme="minorHAnsi" w:cstheme="minorBidi"/>
          <w:noProof/>
          <w:szCs w:val="22"/>
        </w:rPr>
        <w:tab/>
      </w:r>
      <w:r>
        <w:rPr>
          <w:noProof/>
        </w:rPr>
        <w:t xml:space="preserve">Screening rates by age group, </w:t>
      </w:r>
      <w:r w:rsidR="00E11FC4">
        <w:rPr>
          <w:noProof/>
        </w:rPr>
        <w:t>per 1,000 females, 2004 to 2011</w:t>
      </w:r>
      <w:r>
        <w:rPr>
          <w:noProof/>
        </w:rPr>
        <w:tab/>
      </w:r>
      <w:r>
        <w:rPr>
          <w:noProof/>
        </w:rPr>
        <w:fldChar w:fldCharType="begin"/>
      </w:r>
      <w:r>
        <w:rPr>
          <w:noProof/>
        </w:rPr>
        <w:instrText xml:space="preserve"> PAGEREF _Toc397000813 \h </w:instrText>
      </w:r>
      <w:r>
        <w:rPr>
          <w:noProof/>
        </w:rPr>
      </w:r>
      <w:r>
        <w:rPr>
          <w:noProof/>
        </w:rPr>
        <w:fldChar w:fldCharType="separate"/>
      </w:r>
      <w:r w:rsidR="003D0CAF">
        <w:rPr>
          <w:noProof/>
        </w:rPr>
        <w:t>133</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5.2.</w:t>
      </w:r>
      <w:r>
        <w:rPr>
          <w:rFonts w:asciiTheme="minorHAnsi" w:eastAsiaTheme="minorEastAsia" w:hAnsiTheme="minorHAnsi" w:cstheme="minorBidi"/>
          <w:noProof/>
          <w:szCs w:val="22"/>
        </w:rPr>
        <w:tab/>
      </w:r>
      <w:r>
        <w:rPr>
          <w:noProof/>
        </w:rPr>
        <w:t>Rate ratio of females with a detected high-grade abnormality, per 1,000 females screened, by age group, 2008 to 2011</w:t>
      </w:r>
      <w:r>
        <w:rPr>
          <w:noProof/>
        </w:rPr>
        <w:tab/>
      </w:r>
      <w:r>
        <w:rPr>
          <w:noProof/>
        </w:rPr>
        <w:fldChar w:fldCharType="begin"/>
      </w:r>
      <w:r>
        <w:rPr>
          <w:noProof/>
        </w:rPr>
        <w:instrText xml:space="preserve"> PAGEREF _Toc397000814 \h </w:instrText>
      </w:r>
      <w:r>
        <w:rPr>
          <w:noProof/>
        </w:rPr>
      </w:r>
      <w:r>
        <w:rPr>
          <w:noProof/>
        </w:rPr>
        <w:fldChar w:fldCharType="separate"/>
      </w:r>
      <w:r w:rsidR="003D0CAF">
        <w:rPr>
          <w:noProof/>
        </w:rPr>
        <w:t>135</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6.1.</w:t>
      </w:r>
      <w:r>
        <w:rPr>
          <w:rFonts w:asciiTheme="minorHAnsi" w:eastAsiaTheme="minorEastAsia" w:hAnsiTheme="minorHAnsi" w:cstheme="minorBidi"/>
          <w:noProof/>
          <w:szCs w:val="22"/>
        </w:rPr>
        <w:tab/>
      </w:r>
      <w:r>
        <w:rPr>
          <w:noProof/>
        </w:rPr>
        <w:t>Age distribution of admissions involving anogenital warts by sex, all admissions, July 1999 to June 2011</w:t>
      </w:r>
      <w:r>
        <w:rPr>
          <w:noProof/>
        </w:rPr>
        <w:tab/>
      </w:r>
      <w:r>
        <w:rPr>
          <w:noProof/>
        </w:rPr>
        <w:fldChar w:fldCharType="begin"/>
      </w:r>
      <w:r>
        <w:rPr>
          <w:noProof/>
        </w:rPr>
        <w:instrText xml:space="preserve"> PAGEREF _Toc397000815 \h </w:instrText>
      </w:r>
      <w:r>
        <w:rPr>
          <w:noProof/>
        </w:rPr>
      </w:r>
      <w:r>
        <w:rPr>
          <w:noProof/>
        </w:rPr>
        <w:fldChar w:fldCharType="separate"/>
      </w:r>
      <w:r w:rsidR="003D0CAF">
        <w:rPr>
          <w:noProof/>
        </w:rPr>
        <w:t>150</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6.2.</w:t>
      </w:r>
      <w:r>
        <w:rPr>
          <w:rFonts w:asciiTheme="minorHAnsi" w:eastAsiaTheme="minorEastAsia" w:hAnsiTheme="minorHAnsi" w:cstheme="minorBidi"/>
          <w:noProof/>
          <w:szCs w:val="22"/>
        </w:rPr>
        <w:tab/>
      </w:r>
      <w:r w:rsidR="00E11FC4">
        <w:rPr>
          <w:noProof/>
        </w:rPr>
        <w:t>Rates</w:t>
      </w:r>
      <w:r>
        <w:rPr>
          <w:noProof/>
        </w:rPr>
        <w:t xml:space="preserve"> of admissions involving genital warts, July 1999 to June 2011, by sex</w:t>
      </w:r>
      <w:r>
        <w:rPr>
          <w:noProof/>
        </w:rPr>
        <w:tab/>
      </w:r>
      <w:r>
        <w:rPr>
          <w:noProof/>
        </w:rPr>
        <w:fldChar w:fldCharType="begin"/>
      </w:r>
      <w:r>
        <w:rPr>
          <w:noProof/>
        </w:rPr>
        <w:instrText xml:space="preserve"> PAGEREF _Toc397000816 \h </w:instrText>
      </w:r>
      <w:r>
        <w:rPr>
          <w:noProof/>
        </w:rPr>
      </w:r>
      <w:r>
        <w:rPr>
          <w:noProof/>
        </w:rPr>
        <w:fldChar w:fldCharType="separate"/>
      </w:r>
      <w:r w:rsidR="003D0CAF">
        <w:rPr>
          <w:noProof/>
        </w:rPr>
        <w:t>150</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6.3.</w:t>
      </w:r>
      <w:r>
        <w:rPr>
          <w:rFonts w:asciiTheme="minorHAnsi" w:eastAsiaTheme="minorEastAsia" w:hAnsiTheme="minorHAnsi" w:cstheme="minorBidi"/>
          <w:noProof/>
          <w:szCs w:val="22"/>
        </w:rPr>
        <w:tab/>
      </w:r>
      <w:r>
        <w:rPr>
          <w:noProof/>
        </w:rPr>
        <w:t>Age-specific rates of admissions involving genital warts in females, per 100,000 population, July 1999 to June 2011</w:t>
      </w:r>
      <w:r>
        <w:rPr>
          <w:noProof/>
        </w:rPr>
        <w:tab/>
      </w:r>
      <w:r>
        <w:rPr>
          <w:noProof/>
        </w:rPr>
        <w:fldChar w:fldCharType="begin"/>
      </w:r>
      <w:r>
        <w:rPr>
          <w:noProof/>
        </w:rPr>
        <w:instrText xml:space="preserve"> PAGEREF _Toc397000817 \h </w:instrText>
      </w:r>
      <w:r>
        <w:rPr>
          <w:noProof/>
        </w:rPr>
      </w:r>
      <w:r>
        <w:rPr>
          <w:noProof/>
        </w:rPr>
        <w:fldChar w:fldCharType="separate"/>
      </w:r>
      <w:r w:rsidR="003D0CAF">
        <w:rPr>
          <w:noProof/>
        </w:rPr>
        <w:t>155</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6.4.</w:t>
      </w:r>
      <w:r>
        <w:rPr>
          <w:rFonts w:asciiTheme="minorHAnsi" w:eastAsiaTheme="minorEastAsia" w:hAnsiTheme="minorHAnsi" w:cstheme="minorBidi"/>
          <w:noProof/>
          <w:szCs w:val="22"/>
        </w:rPr>
        <w:tab/>
      </w:r>
      <w:r>
        <w:rPr>
          <w:noProof/>
        </w:rPr>
        <w:t>Age-specific rates of admissions involving genital warts in males, per 100,000 population, July 1999 to June 2011</w:t>
      </w:r>
      <w:r>
        <w:rPr>
          <w:noProof/>
        </w:rPr>
        <w:tab/>
      </w:r>
      <w:r>
        <w:rPr>
          <w:noProof/>
        </w:rPr>
        <w:fldChar w:fldCharType="begin"/>
      </w:r>
      <w:r>
        <w:rPr>
          <w:noProof/>
        </w:rPr>
        <w:instrText xml:space="preserve"> PAGEREF _Toc397000818 \h </w:instrText>
      </w:r>
      <w:r>
        <w:rPr>
          <w:noProof/>
        </w:rPr>
      </w:r>
      <w:r>
        <w:rPr>
          <w:noProof/>
        </w:rPr>
        <w:fldChar w:fldCharType="separate"/>
      </w:r>
      <w:r w:rsidR="003D0CAF">
        <w:rPr>
          <w:noProof/>
        </w:rPr>
        <w:t>155</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6.5.</w:t>
      </w:r>
      <w:r>
        <w:rPr>
          <w:rFonts w:asciiTheme="minorHAnsi" w:eastAsiaTheme="minorEastAsia" w:hAnsiTheme="minorHAnsi" w:cstheme="minorBidi"/>
          <w:noProof/>
          <w:szCs w:val="22"/>
        </w:rPr>
        <w:tab/>
      </w:r>
      <w:r>
        <w:rPr>
          <w:noProof/>
        </w:rPr>
        <w:t>A</w:t>
      </w:r>
      <w:r w:rsidR="00E11FC4">
        <w:rPr>
          <w:noProof/>
        </w:rPr>
        <w:t>ge-specific rates of admissions</w:t>
      </w:r>
      <w:r>
        <w:rPr>
          <w:noProof/>
        </w:rPr>
        <w:t xml:space="preserve"> involving genital warts in females, per 100,000 population, July 2004 to June 2011</w:t>
      </w:r>
      <w:r>
        <w:rPr>
          <w:noProof/>
        </w:rPr>
        <w:tab/>
      </w:r>
      <w:r>
        <w:rPr>
          <w:noProof/>
        </w:rPr>
        <w:fldChar w:fldCharType="begin"/>
      </w:r>
      <w:r>
        <w:rPr>
          <w:noProof/>
        </w:rPr>
        <w:instrText xml:space="preserve"> PAGEREF _Toc397000819 \h </w:instrText>
      </w:r>
      <w:r>
        <w:rPr>
          <w:noProof/>
        </w:rPr>
      </w:r>
      <w:r>
        <w:rPr>
          <w:noProof/>
        </w:rPr>
        <w:fldChar w:fldCharType="separate"/>
      </w:r>
      <w:r w:rsidR="003D0CAF">
        <w:rPr>
          <w:noProof/>
        </w:rPr>
        <w:t>159</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6.6.</w:t>
      </w:r>
      <w:r>
        <w:rPr>
          <w:rFonts w:asciiTheme="minorHAnsi" w:eastAsiaTheme="minorEastAsia" w:hAnsiTheme="minorHAnsi" w:cstheme="minorBidi"/>
          <w:noProof/>
          <w:szCs w:val="22"/>
        </w:rPr>
        <w:tab/>
      </w:r>
      <w:r>
        <w:rPr>
          <w:noProof/>
        </w:rPr>
        <w:t>Admission rates for genital warts with no cervical procedure recorded (unrelated to screening), per 100,000 population, females aged 18–26 years</w:t>
      </w:r>
      <w:r>
        <w:rPr>
          <w:noProof/>
        </w:rPr>
        <w:tab/>
      </w:r>
      <w:r>
        <w:rPr>
          <w:noProof/>
        </w:rPr>
        <w:fldChar w:fldCharType="begin"/>
      </w:r>
      <w:r>
        <w:rPr>
          <w:noProof/>
        </w:rPr>
        <w:instrText xml:space="preserve"> PAGEREF _Toc397000820 \h </w:instrText>
      </w:r>
      <w:r>
        <w:rPr>
          <w:noProof/>
        </w:rPr>
      </w:r>
      <w:r>
        <w:rPr>
          <w:noProof/>
        </w:rPr>
        <w:fldChar w:fldCharType="separate"/>
      </w:r>
      <w:r w:rsidR="003D0CAF">
        <w:rPr>
          <w:noProof/>
        </w:rPr>
        <w:t>163</w:t>
      </w:r>
      <w:r>
        <w:rPr>
          <w:noProof/>
        </w:rPr>
        <w:fldChar w:fldCharType="end"/>
      </w:r>
    </w:p>
    <w:p w:rsidR="00F27F90" w:rsidRDefault="00F27F90">
      <w:pPr>
        <w:pStyle w:val="TableofFigures"/>
        <w:rPr>
          <w:rFonts w:asciiTheme="minorHAnsi" w:eastAsiaTheme="minorEastAsia" w:hAnsiTheme="minorHAnsi" w:cstheme="minorBidi"/>
          <w:noProof/>
          <w:szCs w:val="22"/>
        </w:rPr>
      </w:pPr>
      <w:r>
        <w:rPr>
          <w:noProof/>
        </w:rPr>
        <w:t>Figure A6.2.1.</w:t>
      </w:r>
      <w:r>
        <w:rPr>
          <w:rFonts w:asciiTheme="minorHAnsi" w:eastAsiaTheme="minorEastAsia" w:hAnsiTheme="minorHAnsi" w:cstheme="minorBidi"/>
          <w:noProof/>
          <w:szCs w:val="22"/>
        </w:rPr>
        <w:tab/>
      </w:r>
      <w:r w:rsidR="00E11FC4">
        <w:rPr>
          <w:noProof/>
        </w:rPr>
        <w:t>Estimated</w:t>
      </w:r>
      <w:r>
        <w:rPr>
          <w:noProof/>
        </w:rPr>
        <w:t xml:space="preserve"> percentage of females in each age group ever vaccinated, by year</w:t>
      </w:r>
      <w:r>
        <w:rPr>
          <w:noProof/>
        </w:rPr>
        <w:tab/>
      </w:r>
      <w:r>
        <w:rPr>
          <w:noProof/>
        </w:rPr>
        <w:fldChar w:fldCharType="begin"/>
      </w:r>
      <w:r>
        <w:rPr>
          <w:noProof/>
        </w:rPr>
        <w:instrText xml:space="preserve"> PAGEREF _Toc397000821 \h </w:instrText>
      </w:r>
      <w:r>
        <w:rPr>
          <w:noProof/>
        </w:rPr>
      </w:r>
      <w:r>
        <w:rPr>
          <w:noProof/>
        </w:rPr>
        <w:fldChar w:fldCharType="separate"/>
      </w:r>
      <w:r w:rsidR="003D0CAF">
        <w:rPr>
          <w:noProof/>
        </w:rPr>
        <w:t>200</w:t>
      </w:r>
      <w:r>
        <w:rPr>
          <w:noProof/>
        </w:rPr>
        <w:fldChar w:fldCharType="end"/>
      </w:r>
    </w:p>
    <w:p w:rsidR="009256E9" w:rsidRPr="003408A6" w:rsidRDefault="002E79B2" w:rsidP="002B7A0C">
      <w:pPr>
        <w:tabs>
          <w:tab w:val="left" w:pos="1418"/>
          <w:tab w:val="right" w:leader="dot" w:pos="10206"/>
        </w:tabs>
        <w:spacing w:after="120"/>
        <w:ind w:left="1418" w:right="284" w:hanging="1418"/>
        <w:rPr>
          <w:rFonts w:cs="Arial"/>
          <w:szCs w:val="22"/>
        </w:rPr>
      </w:pPr>
      <w:r>
        <w:rPr>
          <w:rFonts w:cs="Arial"/>
          <w:szCs w:val="22"/>
        </w:rPr>
        <w:fldChar w:fldCharType="end"/>
      </w:r>
    </w:p>
    <w:p w:rsidR="00A566E0" w:rsidRPr="003408A6" w:rsidRDefault="00A566E0" w:rsidP="00CE0A90">
      <w:pPr>
        <w:spacing w:line="360" w:lineRule="auto"/>
        <w:rPr>
          <w:rFonts w:cs="Arial"/>
          <w:szCs w:val="22"/>
        </w:rPr>
      </w:pPr>
      <w:r w:rsidRPr="003408A6">
        <w:rPr>
          <w:rFonts w:cs="Arial"/>
          <w:szCs w:val="22"/>
        </w:rPr>
        <w:br w:type="page"/>
      </w:r>
    </w:p>
    <w:p w:rsidR="00521A7B" w:rsidRPr="003408A6" w:rsidRDefault="004B6371" w:rsidP="006D1A8B">
      <w:pPr>
        <w:pStyle w:val="Heading1"/>
      </w:pPr>
      <w:bookmarkStart w:id="8" w:name="_Toc396926112"/>
      <w:bookmarkEnd w:id="5"/>
      <w:r w:rsidRPr="003408A6">
        <w:t>Abbreviations</w:t>
      </w:r>
      <w:bookmarkEnd w:id="8"/>
      <w:r w:rsidRPr="003408A6">
        <w:t xml:space="preserve"> </w:t>
      </w:r>
    </w:p>
    <w:p w:rsidR="00521A7B" w:rsidRPr="003408A6" w:rsidRDefault="00521A7B" w:rsidP="00CE0A90">
      <w:pPr>
        <w:pStyle w:val="BodyText"/>
        <w:rPr>
          <w:lang w:val="en-AU"/>
        </w:rPr>
      </w:pPr>
      <w:r w:rsidRPr="003408A6">
        <w:rPr>
          <w:lang w:val="en-AU"/>
        </w:rPr>
        <w:t>ABS</w:t>
      </w:r>
      <w:r w:rsidRPr="003408A6">
        <w:rPr>
          <w:lang w:val="en-AU"/>
        </w:rPr>
        <w:tab/>
      </w:r>
      <w:r w:rsidRPr="003408A6">
        <w:rPr>
          <w:lang w:val="en-AU"/>
        </w:rPr>
        <w:tab/>
        <w:t xml:space="preserve">Australian Bureau of Statistics </w:t>
      </w:r>
    </w:p>
    <w:p w:rsidR="00521A7B" w:rsidRPr="003408A6" w:rsidRDefault="00521A7B" w:rsidP="00CE0A90">
      <w:pPr>
        <w:pStyle w:val="BodyText"/>
        <w:rPr>
          <w:lang w:val="en-AU"/>
        </w:rPr>
      </w:pPr>
      <w:r w:rsidRPr="003408A6">
        <w:rPr>
          <w:lang w:val="en-AU"/>
        </w:rPr>
        <w:t>ACIR</w:t>
      </w:r>
      <w:r w:rsidRPr="003408A6">
        <w:rPr>
          <w:lang w:val="en-AU"/>
        </w:rPr>
        <w:tab/>
      </w:r>
      <w:r w:rsidRPr="003408A6">
        <w:rPr>
          <w:lang w:val="en-AU"/>
        </w:rPr>
        <w:tab/>
        <w:t>Australian Childhood Immunisation Register</w:t>
      </w:r>
    </w:p>
    <w:p w:rsidR="00EE5216" w:rsidRPr="003408A6" w:rsidRDefault="00EE5216" w:rsidP="00CE0A90">
      <w:pPr>
        <w:pStyle w:val="BodyText"/>
        <w:rPr>
          <w:lang w:val="en-AU"/>
        </w:rPr>
      </w:pPr>
      <w:r w:rsidRPr="003408A6">
        <w:rPr>
          <w:lang w:val="en-AU"/>
        </w:rPr>
        <w:t>ACT</w:t>
      </w:r>
      <w:r w:rsidRPr="003408A6">
        <w:rPr>
          <w:lang w:val="en-AU"/>
        </w:rPr>
        <w:tab/>
      </w:r>
      <w:r w:rsidRPr="003408A6">
        <w:rPr>
          <w:lang w:val="en-AU"/>
        </w:rPr>
        <w:tab/>
        <w:t>Australian Capital Territory</w:t>
      </w:r>
    </w:p>
    <w:p w:rsidR="000D426B" w:rsidRPr="003408A6" w:rsidRDefault="000D426B" w:rsidP="00CE0A90">
      <w:pPr>
        <w:pStyle w:val="BodyText"/>
        <w:rPr>
          <w:lang w:val="en-AU"/>
        </w:rPr>
      </w:pPr>
      <w:r w:rsidRPr="003408A6">
        <w:rPr>
          <w:lang w:val="en-AU"/>
        </w:rPr>
        <w:t>ADRS</w:t>
      </w:r>
      <w:r w:rsidRPr="003408A6">
        <w:rPr>
          <w:lang w:val="en-AU"/>
        </w:rPr>
        <w:tab/>
      </w:r>
      <w:r w:rsidRPr="003408A6">
        <w:rPr>
          <w:lang w:val="en-AU"/>
        </w:rPr>
        <w:tab/>
        <w:t>Adverse Drug Reaction System</w:t>
      </w:r>
    </w:p>
    <w:p w:rsidR="00521A7B" w:rsidRPr="003408A6" w:rsidRDefault="00521A7B" w:rsidP="00CE0A90">
      <w:pPr>
        <w:pStyle w:val="BodyText"/>
        <w:rPr>
          <w:lang w:val="en-AU"/>
        </w:rPr>
      </w:pPr>
      <w:r w:rsidRPr="003408A6">
        <w:rPr>
          <w:lang w:val="en-AU"/>
        </w:rPr>
        <w:t xml:space="preserve">AEFI </w:t>
      </w:r>
      <w:r w:rsidRPr="003408A6">
        <w:rPr>
          <w:lang w:val="en-AU"/>
        </w:rPr>
        <w:tab/>
      </w:r>
      <w:r w:rsidRPr="003408A6">
        <w:rPr>
          <w:lang w:val="en-AU"/>
        </w:rPr>
        <w:tab/>
        <w:t xml:space="preserve">Adverse event following immunisation </w:t>
      </w:r>
    </w:p>
    <w:p w:rsidR="00521A7B" w:rsidRPr="003408A6" w:rsidRDefault="00521A7B" w:rsidP="00CE0A90">
      <w:pPr>
        <w:pStyle w:val="BodyText"/>
        <w:rPr>
          <w:lang w:val="en-AU"/>
        </w:rPr>
      </w:pPr>
      <w:r w:rsidRPr="003408A6">
        <w:rPr>
          <w:lang w:val="en-AU"/>
        </w:rPr>
        <w:t>AIHW</w:t>
      </w:r>
      <w:r w:rsidRPr="003408A6">
        <w:rPr>
          <w:lang w:val="en-AU"/>
        </w:rPr>
        <w:tab/>
      </w:r>
      <w:r w:rsidRPr="003408A6">
        <w:rPr>
          <w:lang w:val="en-AU"/>
        </w:rPr>
        <w:tab/>
        <w:t xml:space="preserve">Australian Institute of Health and Welfare </w:t>
      </w:r>
    </w:p>
    <w:p w:rsidR="00D63287" w:rsidRPr="003408A6" w:rsidRDefault="00D63287" w:rsidP="00CE0A90">
      <w:pPr>
        <w:pStyle w:val="BodyText"/>
        <w:rPr>
          <w:lang w:val="en-AU"/>
        </w:rPr>
      </w:pPr>
      <w:r w:rsidRPr="003408A6">
        <w:rPr>
          <w:lang w:val="en-AU"/>
        </w:rPr>
        <w:t>AML</w:t>
      </w:r>
      <w:r w:rsidR="00177BC3" w:rsidRPr="003408A6">
        <w:rPr>
          <w:lang w:val="en-AU"/>
        </w:rPr>
        <w:t>A</w:t>
      </w:r>
      <w:r w:rsidRPr="003408A6">
        <w:rPr>
          <w:lang w:val="en-AU"/>
        </w:rPr>
        <w:tab/>
      </w:r>
      <w:r w:rsidRPr="003408A6">
        <w:rPr>
          <w:lang w:val="en-AU"/>
        </w:rPr>
        <w:tab/>
        <w:t>Australian Medicare Local Alliance</w:t>
      </w:r>
    </w:p>
    <w:p w:rsidR="006F707D" w:rsidRPr="003408A6" w:rsidRDefault="006F707D" w:rsidP="00CE0A90">
      <w:pPr>
        <w:pStyle w:val="BodyText"/>
        <w:rPr>
          <w:lang w:val="en-AU"/>
        </w:rPr>
      </w:pPr>
      <w:r w:rsidRPr="003408A6">
        <w:rPr>
          <w:lang w:val="en-AU"/>
        </w:rPr>
        <w:t>APC</w:t>
      </w:r>
      <w:r w:rsidRPr="003408A6">
        <w:rPr>
          <w:lang w:val="en-AU"/>
        </w:rPr>
        <w:tab/>
      </w:r>
      <w:r w:rsidRPr="003408A6">
        <w:rPr>
          <w:lang w:val="en-AU"/>
        </w:rPr>
        <w:tab/>
        <w:t>Annual percentage change</w:t>
      </w:r>
    </w:p>
    <w:p w:rsidR="00551528" w:rsidRPr="003408A6" w:rsidRDefault="00551528" w:rsidP="00CE0A90">
      <w:pPr>
        <w:pStyle w:val="BodyText"/>
        <w:rPr>
          <w:lang w:val="en-AU"/>
        </w:rPr>
      </w:pPr>
      <w:r w:rsidRPr="003408A6">
        <w:rPr>
          <w:lang w:val="en-AU"/>
        </w:rPr>
        <w:t>CALD</w:t>
      </w:r>
      <w:r w:rsidRPr="003408A6">
        <w:rPr>
          <w:lang w:val="en-AU"/>
        </w:rPr>
        <w:tab/>
      </w:r>
      <w:r w:rsidRPr="003408A6">
        <w:rPr>
          <w:lang w:val="en-AU"/>
        </w:rPr>
        <w:tab/>
        <w:t>Culturally and linguistically diverse</w:t>
      </w:r>
    </w:p>
    <w:p w:rsidR="00521A7B" w:rsidRPr="003408A6" w:rsidRDefault="00521A7B" w:rsidP="00CE0A90">
      <w:pPr>
        <w:pStyle w:val="BodyText"/>
        <w:rPr>
          <w:lang w:val="en-AU"/>
        </w:rPr>
      </w:pPr>
      <w:r w:rsidRPr="003408A6">
        <w:rPr>
          <w:lang w:val="en-AU"/>
        </w:rPr>
        <w:t>CI</w:t>
      </w:r>
      <w:r w:rsidRPr="003408A6">
        <w:rPr>
          <w:lang w:val="en-AU"/>
        </w:rPr>
        <w:tab/>
      </w:r>
      <w:r w:rsidRPr="003408A6">
        <w:rPr>
          <w:lang w:val="en-AU"/>
        </w:rPr>
        <w:tab/>
        <w:t>Confidence interval</w:t>
      </w:r>
    </w:p>
    <w:p w:rsidR="00551528" w:rsidRDefault="00551528" w:rsidP="00CE0A90">
      <w:pPr>
        <w:pStyle w:val="BodyText"/>
        <w:rPr>
          <w:lang w:val="en-AU"/>
        </w:rPr>
      </w:pPr>
      <w:r w:rsidRPr="003408A6">
        <w:rPr>
          <w:lang w:val="en-AU"/>
        </w:rPr>
        <w:t>ERP</w:t>
      </w:r>
      <w:r w:rsidRPr="003408A6">
        <w:rPr>
          <w:lang w:val="en-AU"/>
        </w:rPr>
        <w:tab/>
      </w:r>
      <w:r w:rsidRPr="003408A6">
        <w:rPr>
          <w:lang w:val="en-AU"/>
        </w:rPr>
        <w:tab/>
        <w:t>Estimated resident population</w:t>
      </w:r>
    </w:p>
    <w:p w:rsidR="009D476F" w:rsidRPr="003408A6" w:rsidRDefault="009D476F" w:rsidP="00CE0A90">
      <w:pPr>
        <w:pStyle w:val="BodyText"/>
        <w:rPr>
          <w:lang w:val="en-AU"/>
        </w:rPr>
      </w:pPr>
      <w:r>
        <w:rPr>
          <w:lang w:val="en-AU"/>
        </w:rPr>
        <w:t>GEP</w:t>
      </w:r>
      <w:r>
        <w:rPr>
          <w:lang w:val="en-AU"/>
        </w:rPr>
        <w:tab/>
      </w:r>
      <w:r>
        <w:rPr>
          <w:lang w:val="en-AU"/>
        </w:rPr>
        <w:tab/>
      </w:r>
      <w:r w:rsidRPr="003408A6">
        <w:rPr>
          <w:lang w:val="en-AU"/>
        </w:rPr>
        <w:t>Gardasil Expert Panel</w:t>
      </w:r>
    </w:p>
    <w:p w:rsidR="00521A7B" w:rsidRPr="003408A6" w:rsidRDefault="00521A7B" w:rsidP="00CE0A90">
      <w:pPr>
        <w:pStyle w:val="BodyText"/>
        <w:rPr>
          <w:lang w:val="en-AU"/>
        </w:rPr>
      </w:pPr>
      <w:r w:rsidRPr="003408A6">
        <w:rPr>
          <w:lang w:val="en-AU"/>
        </w:rPr>
        <w:t xml:space="preserve">GP </w:t>
      </w:r>
      <w:r w:rsidRPr="003408A6">
        <w:rPr>
          <w:lang w:val="en-AU"/>
        </w:rPr>
        <w:tab/>
      </w:r>
      <w:r w:rsidRPr="003408A6">
        <w:rPr>
          <w:lang w:val="en-AU"/>
        </w:rPr>
        <w:tab/>
        <w:t>General practitioner</w:t>
      </w:r>
    </w:p>
    <w:p w:rsidR="00551528" w:rsidRPr="003408A6" w:rsidRDefault="00551528" w:rsidP="00CE0A90">
      <w:pPr>
        <w:pStyle w:val="BodyText"/>
        <w:rPr>
          <w:lang w:val="en-AU"/>
        </w:rPr>
      </w:pPr>
      <w:r w:rsidRPr="003408A6">
        <w:rPr>
          <w:lang w:val="en-AU"/>
        </w:rPr>
        <w:t>HGA</w:t>
      </w:r>
      <w:r w:rsidRPr="003408A6">
        <w:rPr>
          <w:lang w:val="en-AU"/>
        </w:rPr>
        <w:tab/>
      </w:r>
      <w:r w:rsidRPr="003408A6">
        <w:rPr>
          <w:lang w:val="en-AU"/>
        </w:rPr>
        <w:tab/>
        <w:t>High-grade abnormality</w:t>
      </w:r>
    </w:p>
    <w:p w:rsidR="006E486A" w:rsidRPr="003408A6" w:rsidRDefault="00FD5559" w:rsidP="00CE0A90">
      <w:pPr>
        <w:pStyle w:val="BodyText"/>
        <w:rPr>
          <w:lang w:val="en-AU"/>
        </w:rPr>
      </w:pPr>
      <w:r w:rsidRPr="003408A6">
        <w:rPr>
          <w:lang w:val="en-AU"/>
        </w:rPr>
        <w:t>HPV</w:t>
      </w:r>
      <w:r w:rsidRPr="003408A6">
        <w:rPr>
          <w:lang w:val="en-AU"/>
        </w:rPr>
        <w:tab/>
      </w:r>
      <w:r w:rsidRPr="003408A6">
        <w:rPr>
          <w:lang w:val="en-AU"/>
        </w:rPr>
        <w:tab/>
        <w:t>Human papillomavirus</w:t>
      </w:r>
    </w:p>
    <w:p w:rsidR="00521A7B" w:rsidRPr="003408A6" w:rsidRDefault="00521A7B" w:rsidP="00CE0A90">
      <w:pPr>
        <w:pStyle w:val="BodyText"/>
        <w:ind w:left="1418" w:hanging="1418"/>
        <w:rPr>
          <w:lang w:val="en-AU"/>
        </w:rPr>
      </w:pPr>
      <w:r w:rsidRPr="003408A6">
        <w:rPr>
          <w:lang w:val="en-AU"/>
        </w:rPr>
        <w:t>ICD-10-AM</w:t>
      </w:r>
      <w:r w:rsidRPr="003408A6">
        <w:rPr>
          <w:lang w:val="en-AU"/>
        </w:rPr>
        <w:tab/>
        <w:t>International Statistical Classification of Diseases and Related Health Problems</w:t>
      </w:r>
      <w:r w:rsidR="00A2515D" w:rsidRPr="003408A6">
        <w:rPr>
          <w:lang w:val="en-AU"/>
        </w:rPr>
        <w:t>, 10th edition, Australian modification</w:t>
      </w:r>
      <w:r w:rsidRPr="003408A6">
        <w:rPr>
          <w:lang w:val="en-AU"/>
        </w:rPr>
        <w:t xml:space="preserve"> </w:t>
      </w:r>
    </w:p>
    <w:p w:rsidR="002F4480" w:rsidRPr="003408A6" w:rsidRDefault="002F4480" w:rsidP="00CE0A90">
      <w:pPr>
        <w:pStyle w:val="BodyText"/>
        <w:ind w:left="1418" w:hanging="1418"/>
        <w:rPr>
          <w:lang w:val="en-AU"/>
        </w:rPr>
      </w:pPr>
      <w:r w:rsidRPr="003408A6">
        <w:rPr>
          <w:lang w:val="en-AU"/>
        </w:rPr>
        <w:t>JIC</w:t>
      </w:r>
      <w:r w:rsidRPr="003408A6">
        <w:rPr>
          <w:lang w:val="en-AU"/>
        </w:rPr>
        <w:tab/>
        <w:t xml:space="preserve">Jurisdictional Immunisation Coordinator </w:t>
      </w:r>
    </w:p>
    <w:p w:rsidR="00C06419" w:rsidRDefault="00C06419" w:rsidP="00CE0A90">
      <w:pPr>
        <w:pStyle w:val="BodyText"/>
        <w:ind w:left="1418" w:hanging="1418"/>
        <w:rPr>
          <w:lang w:val="en-AU"/>
        </w:rPr>
      </w:pPr>
      <w:r w:rsidRPr="003408A6">
        <w:rPr>
          <w:lang w:val="en-AU"/>
        </w:rPr>
        <w:t>LGA</w:t>
      </w:r>
      <w:r w:rsidRPr="003408A6">
        <w:rPr>
          <w:lang w:val="en-AU"/>
        </w:rPr>
        <w:tab/>
        <w:t>Local Government Area</w:t>
      </w:r>
    </w:p>
    <w:p w:rsidR="0069548D" w:rsidRPr="003408A6" w:rsidRDefault="0069548D" w:rsidP="00CE0A90">
      <w:pPr>
        <w:pStyle w:val="BodyText"/>
        <w:ind w:left="1418" w:hanging="1418"/>
        <w:rPr>
          <w:lang w:val="en-AU"/>
        </w:rPr>
      </w:pPr>
      <w:r w:rsidRPr="003408A6">
        <w:rPr>
          <w:lang w:val="en-AU"/>
        </w:rPr>
        <w:t xml:space="preserve">MedDRA </w:t>
      </w:r>
      <w:r>
        <w:rPr>
          <w:lang w:val="en-AU"/>
        </w:rPr>
        <w:tab/>
      </w:r>
      <w:r w:rsidRPr="003408A6">
        <w:rPr>
          <w:lang w:val="en-AU"/>
        </w:rPr>
        <w:t>Medical Dictionary for Regulatory Activities</w:t>
      </w:r>
    </w:p>
    <w:p w:rsidR="00D50C69" w:rsidRPr="003408A6" w:rsidRDefault="00D50C69" w:rsidP="00CE0A90">
      <w:pPr>
        <w:pStyle w:val="BodyText"/>
        <w:ind w:left="1418" w:hanging="1418"/>
        <w:rPr>
          <w:lang w:val="en-AU"/>
        </w:rPr>
      </w:pPr>
      <w:r w:rsidRPr="003408A6">
        <w:rPr>
          <w:lang w:val="en-AU"/>
        </w:rPr>
        <w:t>MS</w:t>
      </w:r>
      <w:r w:rsidRPr="003408A6">
        <w:rPr>
          <w:lang w:val="en-AU"/>
        </w:rPr>
        <w:tab/>
        <w:t>Multiple sclerosis</w:t>
      </w:r>
    </w:p>
    <w:p w:rsidR="00521A7B" w:rsidRPr="003408A6" w:rsidRDefault="00521A7B" w:rsidP="00CE0A90">
      <w:pPr>
        <w:pStyle w:val="BodyText"/>
        <w:rPr>
          <w:lang w:val="en-AU"/>
        </w:rPr>
      </w:pPr>
      <w:r w:rsidRPr="003408A6">
        <w:rPr>
          <w:lang w:val="en-AU"/>
        </w:rPr>
        <w:t xml:space="preserve">NCIRS </w:t>
      </w:r>
      <w:r w:rsidRPr="003408A6">
        <w:rPr>
          <w:lang w:val="en-AU"/>
        </w:rPr>
        <w:tab/>
        <w:t>National Centre for Immunisation Research and Surveillance</w:t>
      </w:r>
    </w:p>
    <w:p w:rsidR="002F4480" w:rsidRPr="003408A6" w:rsidRDefault="002F4480" w:rsidP="00CE0A90">
      <w:pPr>
        <w:pStyle w:val="BodyText"/>
        <w:rPr>
          <w:color w:val="000000"/>
          <w:lang w:val="en-AU"/>
        </w:rPr>
      </w:pPr>
      <w:r w:rsidRPr="003408A6">
        <w:rPr>
          <w:lang w:val="en-AU"/>
        </w:rPr>
        <w:t>NCSP</w:t>
      </w:r>
      <w:r w:rsidRPr="003408A6">
        <w:rPr>
          <w:lang w:val="en-AU"/>
        </w:rPr>
        <w:tab/>
      </w:r>
      <w:r w:rsidRPr="003408A6">
        <w:rPr>
          <w:lang w:val="en-AU"/>
        </w:rPr>
        <w:tab/>
      </w:r>
      <w:r w:rsidRPr="003408A6">
        <w:rPr>
          <w:color w:val="000000"/>
          <w:lang w:val="en-AU"/>
        </w:rPr>
        <w:t>National Cervical Screening Program</w:t>
      </w:r>
    </w:p>
    <w:p w:rsidR="009A3538" w:rsidRPr="003408A6" w:rsidRDefault="009A3538" w:rsidP="00CE0A90">
      <w:pPr>
        <w:pStyle w:val="BodyText"/>
        <w:rPr>
          <w:lang w:val="en-AU"/>
        </w:rPr>
      </w:pPr>
      <w:r w:rsidRPr="003408A6">
        <w:rPr>
          <w:lang w:val="en-AU"/>
        </w:rPr>
        <w:t>NHVPR</w:t>
      </w:r>
      <w:r w:rsidRPr="003408A6">
        <w:rPr>
          <w:lang w:val="en-AU"/>
        </w:rPr>
        <w:tab/>
        <w:t>National HPV Vaccination Program Register</w:t>
      </w:r>
    </w:p>
    <w:p w:rsidR="00521A7B" w:rsidRPr="003408A6" w:rsidRDefault="00521A7B" w:rsidP="00CE0A90">
      <w:pPr>
        <w:pStyle w:val="BodyText"/>
        <w:rPr>
          <w:lang w:val="en-AU"/>
        </w:rPr>
      </w:pPr>
      <w:r w:rsidRPr="003408A6">
        <w:rPr>
          <w:lang w:val="en-AU"/>
        </w:rPr>
        <w:t xml:space="preserve">NIP </w:t>
      </w:r>
      <w:r w:rsidRPr="003408A6">
        <w:rPr>
          <w:lang w:val="en-AU"/>
        </w:rPr>
        <w:tab/>
      </w:r>
      <w:r w:rsidRPr="003408A6">
        <w:rPr>
          <w:lang w:val="en-AU"/>
        </w:rPr>
        <w:tab/>
        <w:t>National Immunisation Program</w:t>
      </w:r>
    </w:p>
    <w:p w:rsidR="00756579" w:rsidRPr="003408A6" w:rsidRDefault="00756579" w:rsidP="00756579">
      <w:pPr>
        <w:pStyle w:val="BodyText"/>
        <w:rPr>
          <w:lang w:val="en-AU"/>
        </w:rPr>
      </w:pPr>
      <w:r w:rsidRPr="003408A6">
        <w:rPr>
          <w:lang w:val="en-AU"/>
        </w:rPr>
        <w:t>NPEV</w:t>
      </w:r>
      <w:r w:rsidRPr="003408A6">
        <w:rPr>
          <w:lang w:val="en-AU"/>
        </w:rPr>
        <w:tab/>
      </w:r>
      <w:r w:rsidR="00F019D2" w:rsidRPr="003408A6">
        <w:rPr>
          <w:lang w:val="en-AU"/>
        </w:rPr>
        <w:tab/>
      </w:r>
      <w:r w:rsidRPr="003408A6">
        <w:rPr>
          <w:lang w:val="en-AU"/>
        </w:rPr>
        <w:t>National Partnership Agreement on Essential Vaccines</w:t>
      </w:r>
    </w:p>
    <w:p w:rsidR="00EE5216" w:rsidRDefault="00EE5216" w:rsidP="00CE0A90">
      <w:pPr>
        <w:pStyle w:val="BodyText"/>
        <w:rPr>
          <w:lang w:val="en-AU"/>
        </w:rPr>
      </w:pPr>
      <w:r w:rsidRPr="003408A6">
        <w:rPr>
          <w:lang w:val="en-AU"/>
        </w:rPr>
        <w:t>NSW</w:t>
      </w:r>
      <w:r w:rsidRPr="003408A6">
        <w:rPr>
          <w:lang w:val="en-AU"/>
        </w:rPr>
        <w:tab/>
      </w:r>
      <w:r w:rsidRPr="003408A6">
        <w:rPr>
          <w:lang w:val="en-AU"/>
        </w:rPr>
        <w:tab/>
        <w:t>New South Wales</w:t>
      </w:r>
    </w:p>
    <w:p w:rsidR="00371FBC" w:rsidRPr="003408A6" w:rsidRDefault="00371FBC" w:rsidP="00CE0A90">
      <w:pPr>
        <w:pStyle w:val="BodyText"/>
        <w:rPr>
          <w:lang w:val="en-AU"/>
        </w:rPr>
      </w:pPr>
      <w:r>
        <w:rPr>
          <w:lang w:val="en-AU"/>
        </w:rPr>
        <w:t>NT</w:t>
      </w:r>
      <w:r>
        <w:rPr>
          <w:lang w:val="en-AU"/>
        </w:rPr>
        <w:tab/>
      </w:r>
      <w:r>
        <w:rPr>
          <w:lang w:val="en-AU"/>
        </w:rPr>
        <w:tab/>
        <w:t>Northern Territory</w:t>
      </w:r>
    </w:p>
    <w:p w:rsidR="00430603" w:rsidRPr="003408A6" w:rsidRDefault="00430603" w:rsidP="00CE0A90">
      <w:pPr>
        <w:pStyle w:val="BodyText"/>
        <w:rPr>
          <w:lang w:val="en-AU"/>
        </w:rPr>
      </w:pPr>
      <w:r w:rsidRPr="003408A6">
        <w:rPr>
          <w:lang w:val="en-AU"/>
        </w:rPr>
        <w:t>PBAC</w:t>
      </w:r>
      <w:r w:rsidRPr="003408A6">
        <w:rPr>
          <w:lang w:val="en-AU"/>
        </w:rPr>
        <w:tab/>
      </w:r>
      <w:r w:rsidRPr="003408A6">
        <w:rPr>
          <w:lang w:val="en-AU"/>
        </w:rPr>
        <w:tab/>
        <w:t>Pharmaceutical Benefits Advisory Committee</w:t>
      </w:r>
    </w:p>
    <w:p w:rsidR="00EE5216" w:rsidRPr="003408A6" w:rsidRDefault="00EE5216" w:rsidP="00CE0A90">
      <w:pPr>
        <w:pStyle w:val="BodyText"/>
        <w:rPr>
          <w:lang w:val="en-AU"/>
        </w:rPr>
      </w:pPr>
      <w:r w:rsidRPr="003408A6">
        <w:rPr>
          <w:lang w:val="en-AU"/>
        </w:rPr>
        <w:t>QLD</w:t>
      </w:r>
      <w:r w:rsidRPr="003408A6">
        <w:rPr>
          <w:lang w:val="en-AU"/>
        </w:rPr>
        <w:tab/>
      </w:r>
      <w:r w:rsidRPr="003408A6">
        <w:rPr>
          <w:lang w:val="en-AU"/>
        </w:rPr>
        <w:tab/>
        <w:t>Queensland</w:t>
      </w:r>
    </w:p>
    <w:p w:rsidR="002F4480" w:rsidRPr="003408A6" w:rsidRDefault="002F4480" w:rsidP="00CE0A90">
      <w:pPr>
        <w:pStyle w:val="BodyText"/>
        <w:rPr>
          <w:lang w:val="en-AU"/>
        </w:rPr>
      </w:pPr>
      <w:r w:rsidRPr="003408A6">
        <w:rPr>
          <w:lang w:val="en-AU"/>
        </w:rPr>
        <w:t>RR</w:t>
      </w:r>
      <w:r w:rsidRPr="003408A6">
        <w:rPr>
          <w:lang w:val="en-AU"/>
        </w:rPr>
        <w:tab/>
      </w:r>
      <w:r w:rsidRPr="003408A6">
        <w:rPr>
          <w:lang w:val="en-AU"/>
        </w:rPr>
        <w:tab/>
      </w:r>
      <w:r w:rsidRPr="003408A6">
        <w:rPr>
          <w:color w:val="000000"/>
          <w:lang w:val="en-AU"/>
        </w:rPr>
        <w:t>Rate ratio</w:t>
      </w:r>
    </w:p>
    <w:p w:rsidR="00EE5216" w:rsidRPr="003408A6" w:rsidRDefault="00EE5216" w:rsidP="00CE0A90">
      <w:pPr>
        <w:pStyle w:val="BodyText"/>
        <w:rPr>
          <w:lang w:val="en-AU"/>
        </w:rPr>
      </w:pPr>
      <w:r w:rsidRPr="003408A6">
        <w:rPr>
          <w:lang w:val="en-AU"/>
        </w:rPr>
        <w:t>SA</w:t>
      </w:r>
      <w:r w:rsidRPr="003408A6">
        <w:rPr>
          <w:lang w:val="en-AU"/>
        </w:rPr>
        <w:tab/>
      </w:r>
      <w:r w:rsidRPr="003408A6">
        <w:rPr>
          <w:lang w:val="en-AU"/>
        </w:rPr>
        <w:tab/>
        <w:t>South Australia</w:t>
      </w:r>
    </w:p>
    <w:p w:rsidR="00E91561" w:rsidRPr="003408A6" w:rsidRDefault="00E91561" w:rsidP="00CE0A90">
      <w:pPr>
        <w:pStyle w:val="BodyText"/>
        <w:rPr>
          <w:lang w:val="en-AU"/>
        </w:rPr>
      </w:pPr>
      <w:r w:rsidRPr="003408A6">
        <w:rPr>
          <w:lang w:val="en-AU"/>
        </w:rPr>
        <w:t>SES</w:t>
      </w:r>
      <w:r w:rsidRPr="003408A6">
        <w:rPr>
          <w:lang w:val="en-AU"/>
        </w:rPr>
        <w:tab/>
      </w:r>
      <w:r w:rsidRPr="003408A6">
        <w:rPr>
          <w:lang w:val="en-AU"/>
        </w:rPr>
        <w:tab/>
        <w:t>Socioeconomic status</w:t>
      </w:r>
    </w:p>
    <w:p w:rsidR="00E91561" w:rsidRPr="003408A6" w:rsidRDefault="00E91561" w:rsidP="00CE0A90">
      <w:pPr>
        <w:pStyle w:val="BodyText"/>
        <w:rPr>
          <w:lang w:val="en-AU"/>
        </w:rPr>
      </w:pPr>
      <w:r w:rsidRPr="003408A6">
        <w:rPr>
          <w:lang w:val="en-AU"/>
        </w:rPr>
        <w:t>STI</w:t>
      </w:r>
      <w:r w:rsidRPr="003408A6">
        <w:rPr>
          <w:lang w:val="en-AU"/>
        </w:rPr>
        <w:tab/>
      </w:r>
      <w:r w:rsidRPr="003408A6">
        <w:rPr>
          <w:lang w:val="en-AU"/>
        </w:rPr>
        <w:tab/>
        <w:t>Sexually transmissible infection</w:t>
      </w:r>
    </w:p>
    <w:p w:rsidR="00EE5216" w:rsidRPr="003408A6" w:rsidRDefault="00EE5216" w:rsidP="00CE0A90">
      <w:pPr>
        <w:pStyle w:val="BodyText"/>
        <w:rPr>
          <w:lang w:val="en-AU"/>
        </w:rPr>
      </w:pPr>
      <w:r w:rsidRPr="003408A6">
        <w:rPr>
          <w:lang w:val="en-AU"/>
        </w:rPr>
        <w:t>TAS</w:t>
      </w:r>
      <w:r w:rsidRPr="003408A6">
        <w:rPr>
          <w:lang w:val="en-AU"/>
        </w:rPr>
        <w:tab/>
      </w:r>
      <w:r w:rsidRPr="003408A6">
        <w:rPr>
          <w:lang w:val="en-AU"/>
        </w:rPr>
        <w:tab/>
        <w:t>Tasmania</w:t>
      </w:r>
    </w:p>
    <w:p w:rsidR="00521A7B" w:rsidRPr="003408A6" w:rsidRDefault="00521A7B" w:rsidP="00CE0A90">
      <w:pPr>
        <w:pStyle w:val="BodyText"/>
        <w:rPr>
          <w:lang w:val="en-AU"/>
        </w:rPr>
      </w:pPr>
      <w:r w:rsidRPr="003408A6">
        <w:rPr>
          <w:lang w:val="en-AU"/>
        </w:rPr>
        <w:t>TGA</w:t>
      </w:r>
      <w:r w:rsidRPr="003408A6">
        <w:rPr>
          <w:lang w:val="en-AU"/>
        </w:rPr>
        <w:tab/>
      </w:r>
      <w:r w:rsidRPr="003408A6">
        <w:rPr>
          <w:lang w:val="en-AU"/>
        </w:rPr>
        <w:tab/>
        <w:t xml:space="preserve">Therapeutic Goods Administration </w:t>
      </w:r>
    </w:p>
    <w:p w:rsidR="00521A7B" w:rsidRPr="003408A6" w:rsidRDefault="004E1AD5" w:rsidP="00CE0A90">
      <w:pPr>
        <w:pStyle w:val="BodyText"/>
        <w:rPr>
          <w:lang w:val="en-AU"/>
        </w:rPr>
      </w:pPr>
      <w:r w:rsidRPr="003408A6">
        <w:rPr>
          <w:lang w:val="en-AU"/>
        </w:rPr>
        <w:t>VAERS</w:t>
      </w:r>
      <w:r w:rsidRPr="003408A6">
        <w:rPr>
          <w:lang w:val="en-AU"/>
        </w:rPr>
        <w:tab/>
      </w:r>
      <w:r w:rsidR="00521A7B" w:rsidRPr="003408A6">
        <w:rPr>
          <w:lang w:val="en-AU"/>
        </w:rPr>
        <w:t>Vaccine Adverse Events Reporting System (</w:t>
      </w:r>
      <w:r w:rsidR="00A457DA" w:rsidRPr="003408A6">
        <w:rPr>
          <w:lang w:val="en-AU"/>
        </w:rPr>
        <w:t>USA</w:t>
      </w:r>
      <w:r w:rsidR="00521A7B" w:rsidRPr="003408A6">
        <w:rPr>
          <w:lang w:val="en-AU"/>
        </w:rPr>
        <w:t xml:space="preserve">) </w:t>
      </w:r>
    </w:p>
    <w:p w:rsidR="00516DFE" w:rsidRPr="003408A6" w:rsidRDefault="00516DFE" w:rsidP="00CE0A90">
      <w:pPr>
        <w:pStyle w:val="BodyText"/>
        <w:rPr>
          <w:lang w:val="en-AU"/>
        </w:rPr>
      </w:pPr>
      <w:r w:rsidRPr="003408A6">
        <w:rPr>
          <w:lang w:val="en-AU"/>
        </w:rPr>
        <w:t>VE</w:t>
      </w:r>
      <w:r w:rsidRPr="003408A6">
        <w:rPr>
          <w:lang w:val="en-AU"/>
        </w:rPr>
        <w:tab/>
      </w:r>
      <w:r w:rsidRPr="003408A6">
        <w:rPr>
          <w:lang w:val="en-AU"/>
        </w:rPr>
        <w:tab/>
        <w:t>Vaccine efficacy</w:t>
      </w:r>
    </w:p>
    <w:p w:rsidR="00EE5216" w:rsidRPr="003408A6" w:rsidRDefault="00EE5216" w:rsidP="00CE0A90">
      <w:pPr>
        <w:pStyle w:val="BodyText"/>
        <w:rPr>
          <w:lang w:val="en-AU"/>
        </w:rPr>
      </w:pPr>
      <w:r w:rsidRPr="003408A6">
        <w:rPr>
          <w:lang w:val="en-AU"/>
        </w:rPr>
        <w:t>VIC</w:t>
      </w:r>
      <w:r w:rsidRPr="003408A6">
        <w:rPr>
          <w:lang w:val="en-AU"/>
        </w:rPr>
        <w:tab/>
      </w:r>
      <w:r w:rsidRPr="003408A6">
        <w:rPr>
          <w:lang w:val="en-AU"/>
        </w:rPr>
        <w:tab/>
        <w:t>Victoria</w:t>
      </w:r>
    </w:p>
    <w:p w:rsidR="00EE5216" w:rsidRPr="003408A6" w:rsidRDefault="00EE5216" w:rsidP="00CE0A90">
      <w:pPr>
        <w:pStyle w:val="BodyText"/>
        <w:rPr>
          <w:lang w:val="en-AU"/>
        </w:rPr>
      </w:pPr>
      <w:r w:rsidRPr="003408A6">
        <w:rPr>
          <w:lang w:val="en-AU"/>
        </w:rPr>
        <w:t>WA</w:t>
      </w:r>
      <w:r w:rsidRPr="003408A6">
        <w:rPr>
          <w:lang w:val="en-AU"/>
        </w:rPr>
        <w:tab/>
      </w:r>
      <w:r w:rsidRPr="003408A6">
        <w:rPr>
          <w:lang w:val="en-AU"/>
        </w:rPr>
        <w:tab/>
        <w:t>Western Australia</w:t>
      </w:r>
    </w:p>
    <w:p w:rsidR="00707C6F" w:rsidRPr="003408A6" w:rsidRDefault="00521A7B" w:rsidP="00CE0A90">
      <w:pPr>
        <w:pStyle w:val="BodyText"/>
        <w:rPr>
          <w:lang w:val="en-AU"/>
        </w:rPr>
      </w:pPr>
      <w:r w:rsidRPr="003408A6">
        <w:rPr>
          <w:lang w:val="en-AU"/>
        </w:rPr>
        <w:t>WHO</w:t>
      </w:r>
      <w:r w:rsidRPr="003408A6">
        <w:rPr>
          <w:lang w:val="en-AU"/>
        </w:rPr>
        <w:tab/>
      </w:r>
      <w:r w:rsidRPr="003408A6">
        <w:rPr>
          <w:lang w:val="en-AU"/>
        </w:rPr>
        <w:tab/>
        <w:t xml:space="preserve">World Health Organization </w:t>
      </w:r>
    </w:p>
    <w:p w:rsidR="00707C6F" w:rsidRPr="003408A6" w:rsidRDefault="00707C6F" w:rsidP="00CE0A90">
      <w:pPr>
        <w:pStyle w:val="BodyText"/>
        <w:rPr>
          <w:lang w:val="en-AU"/>
        </w:rPr>
      </w:pPr>
    </w:p>
    <w:p w:rsidR="00707C6F" w:rsidRPr="003408A6" w:rsidRDefault="00707C6F" w:rsidP="00CE0A90">
      <w:pPr>
        <w:pStyle w:val="BodyText"/>
        <w:rPr>
          <w:lang w:val="en-AU"/>
        </w:rPr>
        <w:sectPr w:rsidR="00707C6F" w:rsidRPr="003408A6" w:rsidSect="00D07C02">
          <w:headerReference w:type="even" r:id="rId11"/>
          <w:headerReference w:type="default" r:id="rId12"/>
          <w:headerReference w:type="first" r:id="rId13"/>
          <w:footerReference w:type="first" r:id="rId14"/>
          <w:pgSz w:w="11906" w:h="16838"/>
          <w:pgMar w:top="851" w:right="851" w:bottom="851" w:left="851" w:header="709" w:footer="709" w:gutter="0"/>
          <w:cols w:space="708"/>
          <w:titlePg/>
          <w:docGrid w:linePitch="360"/>
        </w:sectPr>
      </w:pPr>
    </w:p>
    <w:p w:rsidR="0016693B" w:rsidRPr="003408A6" w:rsidRDefault="004E7B08" w:rsidP="0016693B">
      <w:pPr>
        <w:pStyle w:val="Heading1"/>
      </w:pPr>
      <w:bookmarkStart w:id="9" w:name="_Toc396926113"/>
      <w:bookmarkStart w:id="10" w:name="_Toc305598712"/>
      <w:r w:rsidRPr="003408A6">
        <w:t xml:space="preserve">Executive </w:t>
      </w:r>
      <w:r w:rsidR="0016693B" w:rsidRPr="003408A6">
        <w:t>summary</w:t>
      </w:r>
      <w:bookmarkEnd w:id="9"/>
    </w:p>
    <w:p w:rsidR="0070073B" w:rsidRPr="003408A6" w:rsidRDefault="0070073B" w:rsidP="00814DDD">
      <w:pPr>
        <w:pStyle w:val="Heading2"/>
      </w:pPr>
      <w:bookmarkStart w:id="11" w:name="_Toc396926114"/>
      <w:bookmarkEnd w:id="10"/>
      <w:r w:rsidRPr="003408A6">
        <w:t>Background</w:t>
      </w:r>
      <w:bookmarkEnd w:id="11"/>
    </w:p>
    <w:p w:rsidR="0070073B" w:rsidRPr="003408A6" w:rsidRDefault="0070073B" w:rsidP="00814DDD">
      <w:pPr>
        <w:pStyle w:val="BodyText"/>
        <w:rPr>
          <w:lang w:val="en-AU"/>
        </w:rPr>
      </w:pPr>
      <w:r w:rsidRPr="003408A6">
        <w:rPr>
          <w:lang w:val="en-AU"/>
        </w:rPr>
        <w:t xml:space="preserve">Human papillomavirus virus (HPV) may result in lesions that include cutaneous warts, genital warts, cancers, respiratory papillomatosis, </w:t>
      </w:r>
      <w:r w:rsidR="00820D27">
        <w:rPr>
          <w:lang w:val="en-AU"/>
        </w:rPr>
        <w:t xml:space="preserve">and </w:t>
      </w:r>
      <w:r w:rsidRPr="003408A6">
        <w:rPr>
          <w:lang w:val="en-AU"/>
        </w:rPr>
        <w:t>cervical and other anogenital tract abnormalities</w:t>
      </w:r>
      <w:r w:rsidR="00820D27">
        <w:rPr>
          <w:lang w:val="en-AU"/>
        </w:rPr>
        <w:t>.</w:t>
      </w:r>
      <w:r w:rsidRPr="003408A6">
        <w:rPr>
          <w:lang w:val="en-AU"/>
        </w:rPr>
        <w:t xml:space="preserve"> </w:t>
      </w:r>
      <w:r w:rsidR="00820D27">
        <w:rPr>
          <w:lang w:val="en-AU"/>
        </w:rPr>
        <w:t>HPV</w:t>
      </w:r>
      <w:r w:rsidRPr="003408A6">
        <w:rPr>
          <w:lang w:val="en-AU"/>
        </w:rPr>
        <w:t xml:space="preserve"> is responsible for </w:t>
      </w:r>
      <w:r w:rsidR="00DF7DE0" w:rsidRPr="003408A6">
        <w:rPr>
          <w:lang w:val="en-AU"/>
        </w:rPr>
        <w:t xml:space="preserve">a significant disease burden </w:t>
      </w:r>
      <w:r w:rsidRPr="003408A6">
        <w:rPr>
          <w:lang w:val="en-AU"/>
        </w:rPr>
        <w:t xml:space="preserve">worldwide. Australia was the first country to implement a </w:t>
      </w:r>
      <w:r w:rsidR="0016693B" w:rsidRPr="003408A6">
        <w:rPr>
          <w:lang w:val="en-AU"/>
        </w:rPr>
        <w:t xml:space="preserve">fully </w:t>
      </w:r>
      <w:r w:rsidRPr="003408A6">
        <w:rPr>
          <w:lang w:val="en-AU"/>
        </w:rPr>
        <w:t xml:space="preserve">funded </w:t>
      </w:r>
      <w:r w:rsidR="00D25C5B" w:rsidRPr="003408A6">
        <w:rPr>
          <w:lang w:val="en-AU"/>
        </w:rPr>
        <w:t>N</w:t>
      </w:r>
      <w:r w:rsidRPr="003408A6">
        <w:rPr>
          <w:lang w:val="en-AU"/>
        </w:rPr>
        <w:t xml:space="preserve">ational HPV </w:t>
      </w:r>
      <w:r w:rsidR="00D25C5B" w:rsidRPr="003408A6">
        <w:rPr>
          <w:lang w:val="en-AU"/>
        </w:rPr>
        <w:t>V</w:t>
      </w:r>
      <w:r w:rsidRPr="003408A6">
        <w:rPr>
          <w:lang w:val="en-AU"/>
        </w:rPr>
        <w:t xml:space="preserve">accination </w:t>
      </w:r>
      <w:r w:rsidR="00D25C5B" w:rsidRPr="003408A6">
        <w:rPr>
          <w:lang w:val="en-AU"/>
        </w:rPr>
        <w:t>P</w:t>
      </w:r>
      <w:r w:rsidRPr="003408A6">
        <w:rPr>
          <w:lang w:val="en-AU"/>
        </w:rPr>
        <w:t>rogram</w:t>
      </w:r>
      <w:r w:rsidR="0090561D" w:rsidRPr="003408A6">
        <w:rPr>
          <w:lang w:val="en-AU"/>
        </w:rPr>
        <w:t xml:space="preserve"> which commenced from April 2007. The vaccine currently used in the National HPV Vaccination Program is</w:t>
      </w:r>
      <w:r w:rsidR="00962CF6" w:rsidRPr="003408A6">
        <w:rPr>
          <w:lang w:val="en-AU"/>
        </w:rPr>
        <w:t xml:space="preserve"> the quadrivalent vaccine</w:t>
      </w:r>
      <w:r w:rsidRPr="003408A6">
        <w:rPr>
          <w:lang w:val="en-AU"/>
        </w:rPr>
        <w:t xml:space="preserve"> Gardasil</w:t>
      </w:r>
      <w:r w:rsidRPr="003408A6">
        <w:rPr>
          <w:vertAlign w:val="superscript"/>
          <w:lang w:val="en-AU"/>
        </w:rPr>
        <w:t>®</w:t>
      </w:r>
      <w:r w:rsidRPr="003408A6">
        <w:rPr>
          <w:lang w:val="en-AU"/>
        </w:rPr>
        <w:t xml:space="preserve"> (CSL Biotherapies/Merck &amp; Co. Inc.). The continuing component of the program targets </w:t>
      </w:r>
      <w:r w:rsidR="00A42977" w:rsidRPr="003408A6">
        <w:rPr>
          <w:lang w:val="en-AU"/>
        </w:rPr>
        <w:t xml:space="preserve">females </w:t>
      </w:r>
      <w:r w:rsidRPr="003408A6">
        <w:rPr>
          <w:lang w:val="en-AU"/>
        </w:rPr>
        <w:t xml:space="preserve">12–13 years old with 3 doses of the vaccine routinely offered through state/territory school-based vaccination programs. There were two catch-up phases for the female-only program between July 2007 and December 2009. These targeted 13–17-year-old </w:t>
      </w:r>
      <w:r w:rsidR="004E397F" w:rsidRPr="003408A6">
        <w:rPr>
          <w:lang w:val="en-AU"/>
        </w:rPr>
        <w:t>females</w:t>
      </w:r>
      <w:r w:rsidRPr="003408A6">
        <w:rPr>
          <w:lang w:val="en-AU"/>
        </w:rPr>
        <w:t xml:space="preserve"> through school-based vaccination programs as well as 18–26-year-old </w:t>
      </w:r>
      <w:r w:rsidR="004E397F" w:rsidRPr="003408A6">
        <w:rPr>
          <w:lang w:val="en-AU"/>
        </w:rPr>
        <w:t xml:space="preserve">females </w:t>
      </w:r>
      <w:r w:rsidRPr="003408A6">
        <w:rPr>
          <w:lang w:val="en-AU"/>
        </w:rPr>
        <w:t xml:space="preserve">through general practice and in community settings. </w:t>
      </w:r>
      <w:r w:rsidR="00DF7DE0" w:rsidRPr="003408A6">
        <w:rPr>
          <w:lang w:val="en-AU"/>
        </w:rPr>
        <w:t>In February</w:t>
      </w:r>
      <w:r w:rsidR="00D25C5B" w:rsidRPr="003408A6">
        <w:rPr>
          <w:lang w:val="en-AU"/>
        </w:rPr>
        <w:t> </w:t>
      </w:r>
      <w:r w:rsidR="00DF7DE0" w:rsidRPr="003408A6">
        <w:rPr>
          <w:lang w:val="en-AU"/>
        </w:rPr>
        <w:t xml:space="preserve">2013, the </w:t>
      </w:r>
      <w:r w:rsidR="00D25C5B" w:rsidRPr="003408A6">
        <w:rPr>
          <w:lang w:val="en-AU"/>
        </w:rPr>
        <w:t xml:space="preserve">National </w:t>
      </w:r>
      <w:r w:rsidR="00DF7DE0" w:rsidRPr="003408A6">
        <w:rPr>
          <w:lang w:val="en-AU"/>
        </w:rPr>
        <w:t xml:space="preserve">HPV </w:t>
      </w:r>
      <w:r w:rsidR="00AB52B7" w:rsidRPr="003408A6">
        <w:rPr>
          <w:lang w:val="en-AU"/>
        </w:rPr>
        <w:t>Vaccination P</w:t>
      </w:r>
      <w:r w:rsidR="00DF7DE0" w:rsidRPr="003408A6">
        <w:rPr>
          <w:lang w:val="en-AU"/>
        </w:rPr>
        <w:t xml:space="preserve">rogram was extended to males </w:t>
      </w:r>
      <w:r w:rsidR="00AB52B7" w:rsidRPr="003408A6">
        <w:rPr>
          <w:lang w:val="en-AU"/>
        </w:rPr>
        <w:t xml:space="preserve">aged </w:t>
      </w:r>
      <w:r w:rsidR="00DF7DE0" w:rsidRPr="003408A6">
        <w:rPr>
          <w:lang w:val="en-AU"/>
        </w:rPr>
        <w:t xml:space="preserve">12–13 years </w:t>
      </w:r>
      <w:r w:rsidR="00D25C5B" w:rsidRPr="003408A6">
        <w:rPr>
          <w:lang w:val="en-AU"/>
        </w:rPr>
        <w:t xml:space="preserve">with </w:t>
      </w:r>
      <w:r w:rsidR="00717C9F" w:rsidRPr="003408A6">
        <w:rPr>
          <w:lang w:val="en-AU"/>
        </w:rPr>
        <w:t>a catch</w:t>
      </w:r>
      <w:r w:rsidR="00DF7DE0" w:rsidRPr="003408A6">
        <w:rPr>
          <w:lang w:val="en-AU"/>
        </w:rPr>
        <w:t>-up</w:t>
      </w:r>
      <w:r w:rsidR="00D25C5B" w:rsidRPr="003408A6">
        <w:rPr>
          <w:lang w:val="en-AU"/>
        </w:rPr>
        <w:t xml:space="preserve"> program</w:t>
      </w:r>
      <w:r w:rsidR="00DF7DE0" w:rsidRPr="003408A6">
        <w:rPr>
          <w:lang w:val="en-AU"/>
        </w:rPr>
        <w:t xml:space="preserve"> for males aged 14 and 15 years delivered over </w:t>
      </w:r>
      <w:r w:rsidR="00006FDF" w:rsidRPr="003408A6">
        <w:rPr>
          <w:lang w:val="en-AU"/>
        </w:rPr>
        <w:t xml:space="preserve">2 </w:t>
      </w:r>
      <w:r w:rsidR="00DF7DE0" w:rsidRPr="003408A6">
        <w:rPr>
          <w:lang w:val="en-AU"/>
        </w:rPr>
        <w:t xml:space="preserve">years until </w:t>
      </w:r>
      <w:r w:rsidR="00AB52B7" w:rsidRPr="003408A6">
        <w:rPr>
          <w:lang w:val="en-AU"/>
        </w:rPr>
        <w:t xml:space="preserve">the </w:t>
      </w:r>
      <w:r w:rsidR="00DF7DE0" w:rsidRPr="003408A6">
        <w:rPr>
          <w:lang w:val="en-AU"/>
        </w:rPr>
        <w:t xml:space="preserve">end of 2014.  </w:t>
      </w:r>
    </w:p>
    <w:p w:rsidR="0070073B" w:rsidRPr="003408A6" w:rsidRDefault="0070073B" w:rsidP="00814DDD">
      <w:pPr>
        <w:pStyle w:val="Heading2"/>
      </w:pPr>
      <w:bookmarkStart w:id="12" w:name="_Toc396926115"/>
      <w:r w:rsidRPr="003408A6">
        <w:t>Aim</w:t>
      </w:r>
      <w:r w:rsidR="003408A6">
        <w:t>s</w:t>
      </w:r>
      <w:bookmarkEnd w:id="12"/>
    </w:p>
    <w:p w:rsidR="0070073B" w:rsidRPr="003408A6" w:rsidRDefault="0070073B" w:rsidP="00814DDD">
      <w:pPr>
        <w:pStyle w:val="BodyText"/>
        <w:rPr>
          <w:lang w:val="en-AU"/>
        </w:rPr>
      </w:pPr>
      <w:r w:rsidRPr="003408A6">
        <w:rPr>
          <w:lang w:val="en-AU"/>
        </w:rPr>
        <w:t>To understand the strengths and weaknesses of program implementation, measure vaccin</w:t>
      </w:r>
      <w:r w:rsidR="00DE56C1" w:rsidRPr="003408A6">
        <w:rPr>
          <w:rFonts w:eastAsia="Calibri"/>
          <w:lang w:val="en-AU"/>
        </w:rPr>
        <w:t>ation</w:t>
      </w:r>
      <w:r w:rsidRPr="003408A6">
        <w:rPr>
          <w:lang w:val="en-AU"/>
        </w:rPr>
        <w:t xml:space="preserve"> coverage and adverse events following immunisation (AEFI), and assess the impact of this program on the epidemiology of high-grade </w:t>
      </w:r>
      <w:r w:rsidR="00551528" w:rsidRPr="003408A6">
        <w:rPr>
          <w:lang w:val="en-AU"/>
        </w:rPr>
        <w:t xml:space="preserve">cervical </w:t>
      </w:r>
      <w:r w:rsidRPr="003408A6">
        <w:rPr>
          <w:lang w:val="en-AU"/>
        </w:rPr>
        <w:t>abnormalities and genital warts.</w:t>
      </w:r>
      <w:r w:rsidR="007D4DD6" w:rsidRPr="003408A6">
        <w:rPr>
          <w:lang w:val="en-AU"/>
        </w:rPr>
        <w:t xml:space="preserve"> </w:t>
      </w:r>
    </w:p>
    <w:p w:rsidR="0070073B" w:rsidRPr="003408A6" w:rsidRDefault="0070073B" w:rsidP="00814DDD">
      <w:pPr>
        <w:pStyle w:val="Heading2"/>
      </w:pPr>
      <w:bookmarkStart w:id="13" w:name="_Toc396926116"/>
      <w:r w:rsidRPr="003408A6">
        <w:t>Methods</w:t>
      </w:r>
      <w:bookmarkEnd w:id="13"/>
    </w:p>
    <w:p w:rsidR="0070073B" w:rsidRPr="003408A6" w:rsidRDefault="0070073B" w:rsidP="00814DDD">
      <w:pPr>
        <w:pStyle w:val="BodyText"/>
        <w:rPr>
          <w:lang w:val="en-AU"/>
        </w:rPr>
      </w:pPr>
      <w:r w:rsidRPr="003408A6">
        <w:rPr>
          <w:lang w:val="en-AU"/>
        </w:rPr>
        <w:t xml:space="preserve">This evaluation was based on the standard National Centre for Immunisation Research </w:t>
      </w:r>
      <w:r w:rsidR="003806B6" w:rsidRPr="003408A6">
        <w:rPr>
          <w:lang w:val="en-AU"/>
        </w:rPr>
        <w:t>and</w:t>
      </w:r>
      <w:r w:rsidRPr="003408A6">
        <w:rPr>
          <w:lang w:val="en-AU"/>
        </w:rPr>
        <w:t xml:space="preserve"> Surveillance (NCIRS) immunisation program evaluation </w:t>
      </w:r>
      <w:r w:rsidR="0073000E" w:rsidRPr="003408A6">
        <w:rPr>
          <w:lang w:val="en-AU"/>
        </w:rPr>
        <w:t xml:space="preserve">framework, </w:t>
      </w:r>
      <w:r w:rsidR="0016693B" w:rsidRPr="003408A6">
        <w:rPr>
          <w:lang w:val="en-AU"/>
        </w:rPr>
        <w:t xml:space="preserve">developed </w:t>
      </w:r>
      <w:r w:rsidRPr="003408A6">
        <w:rPr>
          <w:lang w:val="en-AU"/>
        </w:rPr>
        <w:t>for previous immunisation program evaluations.</w:t>
      </w:r>
      <w:r w:rsidR="00960BF3" w:rsidRPr="003408A6">
        <w:rPr>
          <w:lang w:val="en-AU"/>
        </w:rPr>
        <w:t xml:space="preserve"> </w:t>
      </w:r>
      <w:r w:rsidRPr="003408A6">
        <w:rPr>
          <w:lang w:val="en-AU"/>
        </w:rPr>
        <w:t xml:space="preserve">This framework consists of </w:t>
      </w:r>
      <w:r w:rsidR="00AB52B7" w:rsidRPr="003408A6">
        <w:rPr>
          <w:lang w:val="en-AU"/>
        </w:rPr>
        <w:t xml:space="preserve">these </w:t>
      </w:r>
      <w:r w:rsidRPr="003408A6">
        <w:rPr>
          <w:lang w:val="en-AU"/>
        </w:rPr>
        <w:t xml:space="preserve">major components: process evaluation, </w:t>
      </w:r>
      <w:r w:rsidR="00DE56C1" w:rsidRPr="003408A6">
        <w:rPr>
          <w:lang w:val="en-AU"/>
        </w:rPr>
        <w:t xml:space="preserve">vaccination </w:t>
      </w:r>
      <w:r w:rsidRPr="003408A6">
        <w:rPr>
          <w:lang w:val="en-AU"/>
        </w:rPr>
        <w:t xml:space="preserve">coverage, adverse events following immunisation and impact on disease burden. </w:t>
      </w:r>
    </w:p>
    <w:p w:rsidR="007D4DD6" w:rsidRPr="003408A6" w:rsidRDefault="007D4DD6" w:rsidP="00814DDD">
      <w:pPr>
        <w:pStyle w:val="BodyText"/>
        <w:rPr>
          <w:lang w:val="en-AU"/>
        </w:rPr>
      </w:pPr>
      <w:r w:rsidRPr="003408A6">
        <w:rPr>
          <w:lang w:val="en-AU"/>
        </w:rPr>
        <w:t xml:space="preserve">Both the original female program that commenced in 2007 and the extension of the program to males in 2013 were included in most aspects of this evaluation, including the process evaluation, </w:t>
      </w:r>
      <w:r w:rsidR="00820D27">
        <w:rPr>
          <w:lang w:val="en-AU"/>
        </w:rPr>
        <w:t xml:space="preserve">analysis of </w:t>
      </w:r>
      <w:r w:rsidRPr="003408A6">
        <w:rPr>
          <w:lang w:val="en-AU"/>
        </w:rPr>
        <w:t xml:space="preserve">adverse events and impact on genital warts. </w:t>
      </w:r>
      <w:r w:rsidR="00133D38" w:rsidRPr="003408A6">
        <w:rPr>
          <w:lang w:val="en-AU"/>
        </w:rPr>
        <w:t>V</w:t>
      </w:r>
      <w:r w:rsidRPr="003408A6">
        <w:rPr>
          <w:lang w:val="en-AU"/>
        </w:rPr>
        <w:t>accin</w:t>
      </w:r>
      <w:r w:rsidR="00820D27">
        <w:rPr>
          <w:lang w:val="en-AU"/>
        </w:rPr>
        <w:t>ation</w:t>
      </w:r>
      <w:r w:rsidRPr="003408A6">
        <w:rPr>
          <w:lang w:val="en-AU"/>
        </w:rPr>
        <w:t xml:space="preserve"> coverage was only </w:t>
      </w:r>
      <w:r w:rsidR="00133D38" w:rsidRPr="003408A6">
        <w:rPr>
          <w:lang w:val="en-AU"/>
        </w:rPr>
        <w:t>assessed</w:t>
      </w:r>
      <w:r w:rsidRPr="003408A6">
        <w:rPr>
          <w:lang w:val="en-AU"/>
        </w:rPr>
        <w:t xml:space="preserve"> for females </w:t>
      </w:r>
      <w:r w:rsidR="00820D27">
        <w:rPr>
          <w:lang w:val="en-AU"/>
        </w:rPr>
        <w:t>because,</w:t>
      </w:r>
      <w:r w:rsidRPr="003408A6">
        <w:rPr>
          <w:lang w:val="en-AU"/>
        </w:rPr>
        <w:t xml:space="preserve"> </w:t>
      </w:r>
      <w:r w:rsidR="00133D38" w:rsidRPr="003408A6">
        <w:rPr>
          <w:lang w:val="en-AU"/>
        </w:rPr>
        <w:t xml:space="preserve">at the time </w:t>
      </w:r>
      <w:r w:rsidR="00820D27">
        <w:rPr>
          <w:lang w:val="en-AU"/>
        </w:rPr>
        <w:t xml:space="preserve">of </w:t>
      </w:r>
      <w:r w:rsidR="00133D38" w:rsidRPr="003408A6">
        <w:rPr>
          <w:lang w:val="en-AU"/>
        </w:rPr>
        <w:t>the evaluation</w:t>
      </w:r>
      <w:r w:rsidR="00820D27">
        <w:rPr>
          <w:lang w:val="en-AU"/>
        </w:rPr>
        <w:t>,</w:t>
      </w:r>
      <w:r w:rsidR="00133D38" w:rsidRPr="003408A6">
        <w:rPr>
          <w:lang w:val="en-AU"/>
        </w:rPr>
        <w:t xml:space="preserve"> </w:t>
      </w:r>
      <w:r w:rsidRPr="003408A6">
        <w:rPr>
          <w:lang w:val="en-AU"/>
        </w:rPr>
        <w:t xml:space="preserve">eligible males had not completed all </w:t>
      </w:r>
      <w:r w:rsidR="00820D27">
        <w:rPr>
          <w:lang w:val="en-AU"/>
        </w:rPr>
        <w:t>3</w:t>
      </w:r>
      <w:r w:rsidR="00820D27" w:rsidRPr="003408A6">
        <w:rPr>
          <w:lang w:val="en-AU"/>
        </w:rPr>
        <w:t xml:space="preserve"> </w:t>
      </w:r>
      <w:r w:rsidRPr="003408A6">
        <w:rPr>
          <w:lang w:val="en-AU"/>
        </w:rPr>
        <w:t xml:space="preserve">doses </w:t>
      </w:r>
      <w:r w:rsidR="00133D38" w:rsidRPr="003408A6">
        <w:rPr>
          <w:lang w:val="en-AU"/>
        </w:rPr>
        <w:t>of the vaccine.</w:t>
      </w:r>
    </w:p>
    <w:p w:rsidR="0070073B" w:rsidRPr="003408A6" w:rsidRDefault="0070073B" w:rsidP="00814DDD">
      <w:pPr>
        <w:pStyle w:val="Heading3"/>
      </w:pPr>
      <w:r w:rsidRPr="003408A6">
        <w:t>Process evaluation</w:t>
      </w:r>
    </w:p>
    <w:p w:rsidR="0070073B" w:rsidRPr="003408A6" w:rsidRDefault="0070073B" w:rsidP="00814DDD">
      <w:pPr>
        <w:pStyle w:val="BodyText"/>
        <w:rPr>
          <w:lang w:val="en-AU"/>
        </w:rPr>
      </w:pPr>
      <w:r w:rsidRPr="003408A6">
        <w:rPr>
          <w:lang w:val="en-AU"/>
        </w:rPr>
        <w:t xml:space="preserve">Process evaluation was through interviews with a sample of key stakeholders involved in program implementation. A literature review of existing published evaluations was undertaken and surveys were developed based on gaps in the literature. Key stakeholders participated via an online survey and semi-structured telephone interviews. The surveys and interviews covered </w:t>
      </w:r>
      <w:r w:rsidR="0073000E" w:rsidRPr="003408A6">
        <w:rPr>
          <w:lang w:val="en-AU"/>
        </w:rPr>
        <w:t>stakeholders</w:t>
      </w:r>
      <w:r w:rsidR="00AB52B7" w:rsidRPr="003408A6">
        <w:rPr>
          <w:lang w:val="en-AU"/>
        </w:rPr>
        <w:t>’</w:t>
      </w:r>
      <w:r w:rsidR="0073000E" w:rsidRPr="003408A6">
        <w:rPr>
          <w:lang w:val="en-AU"/>
        </w:rPr>
        <w:t xml:space="preserve"> </w:t>
      </w:r>
      <w:r w:rsidRPr="003408A6">
        <w:rPr>
          <w:lang w:val="en-AU"/>
        </w:rPr>
        <w:t>experience of aspects of the program implementation including communication and resources; program planning and rollout; service delivery; data collection and reporting; strengths and challenges of the program</w:t>
      </w:r>
      <w:r w:rsidR="00AB52B7" w:rsidRPr="003408A6">
        <w:rPr>
          <w:lang w:val="en-AU"/>
        </w:rPr>
        <w:t>;</w:t>
      </w:r>
      <w:r w:rsidRPr="003408A6">
        <w:rPr>
          <w:lang w:val="en-AU"/>
        </w:rPr>
        <w:t xml:space="preserve"> and recommendations for future national immunisation programs. In addition, </w:t>
      </w:r>
      <w:r w:rsidR="003E74E6" w:rsidRPr="003408A6">
        <w:rPr>
          <w:lang w:val="en-AU"/>
        </w:rPr>
        <w:t xml:space="preserve">National </w:t>
      </w:r>
      <w:r w:rsidRPr="003408A6">
        <w:rPr>
          <w:lang w:val="en-AU"/>
        </w:rPr>
        <w:t xml:space="preserve">Cervical Screening Program </w:t>
      </w:r>
      <w:r w:rsidR="00844392" w:rsidRPr="003408A6">
        <w:rPr>
          <w:lang w:val="en-AU"/>
        </w:rPr>
        <w:t>m</w:t>
      </w:r>
      <w:r w:rsidRPr="003408A6">
        <w:rPr>
          <w:lang w:val="en-AU"/>
        </w:rPr>
        <w:t xml:space="preserve">anagers </w:t>
      </w:r>
      <w:r w:rsidR="002C781A" w:rsidRPr="003408A6">
        <w:rPr>
          <w:lang w:val="en-AU"/>
        </w:rPr>
        <w:t xml:space="preserve">at state and territory level </w:t>
      </w:r>
      <w:r w:rsidRPr="003408A6">
        <w:rPr>
          <w:lang w:val="en-AU"/>
        </w:rPr>
        <w:t xml:space="preserve">completed an online survey about their organisations’ involvement in the HPV vaccination program and its impact on their activities. </w:t>
      </w:r>
    </w:p>
    <w:p w:rsidR="0070073B" w:rsidRPr="003408A6" w:rsidRDefault="00DE56C1" w:rsidP="00814DDD">
      <w:pPr>
        <w:pStyle w:val="Heading3"/>
      </w:pPr>
      <w:r w:rsidRPr="003408A6">
        <w:t>Vaccination c</w:t>
      </w:r>
      <w:r w:rsidR="0070073B" w:rsidRPr="003408A6">
        <w:t>overage</w:t>
      </w:r>
    </w:p>
    <w:p w:rsidR="0070073B" w:rsidRPr="003408A6" w:rsidRDefault="0070073B" w:rsidP="00814DDD">
      <w:pPr>
        <w:pStyle w:val="BodyText"/>
        <w:rPr>
          <w:lang w:val="en-AU"/>
        </w:rPr>
      </w:pPr>
      <w:r w:rsidRPr="003408A6">
        <w:rPr>
          <w:lang w:val="en-AU"/>
        </w:rPr>
        <w:t xml:space="preserve">Coverage </w:t>
      </w:r>
      <w:r w:rsidR="00AB52B7" w:rsidRPr="003408A6">
        <w:rPr>
          <w:lang w:val="en-AU"/>
        </w:rPr>
        <w:t>was</w:t>
      </w:r>
      <w:r w:rsidRPr="003408A6">
        <w:rPr>
          <w:lang w:val="en-AU"/>
        </w:rPr>
        <w:t xml:space="preserve"> calculated </w:t>
      </w:r>
      <w:r w:rsidR="00075285" w:rsidRPr="003408A6">
        <w:rPr>
          <w:lang w:val="en-AU"/>
        </w:rPr>
        <w:t>a</w:t>
      </w:r>
      <w:r w:rsidR="00C8131B" w:rsidRPr="003408A6">
        <w:rPr>
          <w:lang w:val="en-AU"/>
        </w:rPr>
        <w:t>s</w:t>
      </w:r>
      <w:r w:rsidRPr="003408A6">
        <w:rPr>
          <w:lang w:val="en-AU"/>
        </w:rPr>
        <w:t xml:space="preserve"> </w:t>
      </w:r>
      <w:r w:rsidR="00AB52B7" w:rsidRPr="003408A6">
        <w:rPr>
          <w:lang w:val="en-AU"/>
        </w:rPr>
        <w:t xml:space="preserve">the </w:t>
      </w:r>
      <w:r w:rsidRPr="003408A6">
        <w:rPr>
          <w:lang w:val="en-AU"/>
        </w:rPr>
        <w:t>number of doses notified</w:t>
      </w:r>
      <w:r w:rsidR="00551528" w:rsidRPr="003408A6">
        <w:rPr>
          <w:lang w:val="en-AU"/>
        </w:rPr>
        <w:t xml:space="preserve"> divided by </w:t>
      </w:r>
      <w:r w:rsidRPr="003408A6">
        <w:rPr>
          <w:lang w:val="en-AU"/>
        </w:rPr>
        <w:t>estimated resident population (ERP)</w:t>
      </w:r>
      <w:r w:rsidR="00551528" w:rsidRPr="003408A6">
        <w:rPr>
          <w:lang w:val="en-AU"/>
        </w:rPr>
        <w:t>, expressed</w:t>
      </w:r>
      <w:r w:rsidRPr="003408A6">
        <w:rPr>
          <w:lang w:val="en-AU"/>
        </w:rPr>
        <w:t xml:space="preserve"> as a percentage. Notified doses are valid doses counted by their implied dose number (dose number </w:t>
      </w:r>
      <w:r w:rsidR="00AB52B7" w:rsidRPr="003408A6">
        <w:rPr>
          <w:lang w:val="en-AU"/>
        </w:rPr>
        <w:t xml:space="preserve">allocated </w:t>
      </w:r>
      <w:r w:rsidRPr="003408A6">
        <w:rPr>
          <w:lang w:val="en-AU"/>
        </w:rPr>
        <w:t xml:space="preserve">according to total doses </w:t>
      </w:r>
      <w:r w:rsidR="00AB52B7" w:rsidRPr="003408A6">
        <w:rPr>
          <w:lang w:val="en-AU"/>
        </w:rPr>
        <w:t>recorded on</w:t>
      </w:r>
      <w:r w:rsidRPr="003408A6">
        <w:rPr>
          <w:lang w:val="en-AU"/>
        </w:rPr>
        <w:t xml:space="preserve"> the </w:t>
      </w:r>
      <w:r w:rsidR="0083757A" w:rsidRPr="003408A6">
        <w:rPr>
          <w:lang w:val="en-AU"/>
        </w:rPr>
        <w:t>National HPV Vaccination Program Register</w:t>
      </w:r>
      <w:r w:rsidR="0083757A" w:rsidRPr="003408A6" w:rsidDel="00F07D6A">
        <w:rPr>
          <w:lang w:val="en-AU"/>
        </w:rPr>
        <w:t xml:space="preserve"> </w:t>
      </w:r>
      <w:r w:rsidR="00820D27">
        <w:rPr>
          <w:lang w:val="en-AU"/>
        </w:rPr>
        <w:t>[</w:t>
      </w:r>
      <w:r w:rsidR="00F07D6A" w:rsidRPr="003408A6">
        <w:rPr>
          <w:lang w:val="en-AU"/>
        </w:rPr>
        <w:t>NHVPR</w:t>
      </w:r>
      <w:r w:rsidR="00820D27">
        <w:rPr>
          <w:lang w:val="en-AU"/>
        </w:rPr>
        <w:t>]</w:t>
      </w:r>
      <w:r w:rsidRPr="003408A6">
        <w:rPr>
          <w:lang w:val="en-AU"/>
        </w:rPr>
        <w:t xml:space="preserve"> for that individual and as per </w:t>
      </w:r>
      <w:r w:rsidR="00D25C5B" w:rsidRPr="003408A6">
        <w:rPr>
          <w:lang w:val="en-AU"/>
        </w:rPr>
        <w:t xml:space="preserve">Chief Medical Officer </w:t>
      </w:r>
      <w:r w:rsidR="00820D27">
        <w:rPr>
          <w:lang w:val="en-AU"/>
        </w:rPr>
        <w:t>[</w:t>
      </w:r>
      <w:r w:rsidRPr="003408A6">
        <w:rPr>
          <w:lang w:val="en-AU"/>
        </w:rPr>
        <w:t>CMO</w:t>
      </w:r>
      <w:r w:rsidR="00820D27">
        <w:rPr>
          <w:lang w:val="en-AU"/>
        </w:rPr>
        <w:t>]</w:t>
      </w:r>
      <w:r w:rsidRPr="003408A6">
        <w:rPr>
          <w:lang w:val="en-AU"/>
        </w:rPr>
        <w:t xml:space="preserve"> guidelines for acceptable dose intervals), as at the date of data extraction from the </w:t>
      </w:r>
      <w:r w:rsidR="00F07D6A" w:rsidRPr="003408A6">
        <w:rPr>
          <w:lang w:val="en-AU"/>
        </w:rPr>
        <w:t>NHVPR</w:t>
      </w:r>
      <w:r w:rsidRPr="003408A6">
        <w:rPr>
          <w:lang w:val="en-AU"/>
        </w:rPr>
        <w:t>. Mid</w:t>
      </w:r>
      <w:r w:rsidR="00820D27">
        <w:rPr>
          <w:lang w:val="en-AU"/>
        </w:rPr>
        <w:t>-</w:t>
      </w:r>
      <w:r w:rsidRPr="003408A6">
        <w:rPr>
          <w:lang w:val="en-AU"/>
        </w:rPr>
        <w:t xml:space="preserve">year Australian Bureau of Statistics (ABS) ERPs for females </w:t>
      </w:r>
      <w:r w:rsidR="00AB52B7" w:rsidRPr="003408A6">
        <w:rPr>
          <w:lang w:val="en-AU"/>
        </w:rPr>
        <w:t xml:space="preserve">were </w:t>
      </w:r>
      <w:r w:rsidRPr="003408A6">
        <w:rPr>
          <w:lang w:val="en-AU"/>
        </w:rPr>
        <w:t>used as the denominator. For the female catch</w:t>
      </w:r>
      <w:r w:rsidR="0043033C" w:rsidRPr="003408A6">
        <w:rPr>
          <w:lang w:val="en-AU"/>
        </w:rPr>
        <w:t>-</w:t>
      </w:r>
      <w:r w:rsidRPr="003408A6">
        <w:rPr>
          <w:lang w:val="en-AU"/>
        </w:rPr>
        <w:t xml:space="preserve">up program, ERPs </w:t>
      </w:r>
      <w:r w:rsidR="00AB52B7" w:rsidRPr="003408A6">
        <w:rPr>
          <w:lang w:val="en-AU"/>
        </w:rPr>
        <w:t>for 2007 were</w:t>
      </w:r>
      <w:r w:rsidRPr="003408A6">
        <w:rPr>
          <w:lang w:val="en-AU"/>
        </w:rPr>
        <w:t xml:space="preserve"> used.</w:t>
      </w:r>
    </w:p>
    <w:p w:rsidR="0070073B" w:rsidRPr="003408A6" w:rsidRDefault="0070073B" w:rsidP="00814DDD">
      <w:pPr>
        <w:pStyle w:val="BodyText"/>
        <w:rPr>
          <w:lang w:val="en-AU"/>
        </w:rPr>
      </w:pPr>
      <w:r w:rsidRPr="003408A6">
        <w:rPr>
          <w:lang w:val="en-AU"/>
        </w:rPr>
        <w:t xml:space="preserve">Stratifying variables used in the analysis </w:t>
      </w:r>
      <w:r w:rsidR="00AB52B7" w:rsidRPr="003408A6">
        <w:rPr>
          <w:lang w:val="en-AU"/>
        </w:rPr>
        <w:t xml:space="preserve">were </w:t>
      </w:r>
      <w:r w:rsidRPr="003408A6">
        <w:rPr>
          <w:lang w:val="en-AU"/>
        </w:rPr>
        <w:t>age, socioeconomic status</w:t>
      </w:r>
      <w:r w:rsidR="00E91561" w:rsidRPr="003408A6">
        <w:rPr>
          <w:lang w:val="en-AU"/>
        </w:rPr>
        <w:t xml:space="preserve"> (SES)</w:t>
      </w:r>
      <w:r w:rsidRPr="003408A6">
        <w:rPr>
          <w:lang w:val="en-AU"/>
        </w:rPr>
        <w:t xml:space="preserve"> by the ABS 2006 </w:t>
      </w:r>
      <w:r w:rsidR="00075285" w:rsidRPr="003408A6">
        <w:rPr>
          <w:lang w:val="en-AU"/>
        </w:rPr>
        <w:t>Socio-Economic Indexes for Areas (SEIFA) Index</w:t>
      </w:r>
      <w:r w:rsidRPr="003408A6">
        <w:rPr>
          <w:lang w:val="en-AU"/>
        </w:rPr>
        <w:t xml:space="preserve"> of Relative Disadvantage</w:t>
      </w:r>
      <w:r w:rsidR="00AB52B7" w:rsidRPr="003408A6">
        <w:rPr>
          <w:lang w:val="en-AU"/>
        </w:rPr>
        <w:t>,</w:t>
      </w:r>
      <w:r w:rsidRPr="003408A6">
        <w:rPr>
          <w:lang w:val="en-AU"/>
        </w:rPr>
        <w:t xml:space="preserve"> and remoteness using the Remoteness Structure of the Australian Standard Geographical Classification published by the ABS using area of residence of </w:t>
      </w:r>
      <w:r w:rsidR="00AB52B7" w:rsidRPr="003408A6">
        <w:rPr>
          <w:lang w:val="en-AU"/>
        </w:rPr>
        <w:t xml:space="preserve">the </w:t>
      </w:r>
      <w:r w:rsidRPr="003408A6">
        <w:rPr>
          <w:lang w:val="en-AU"/>
        </w:rPr>
        <w:t xml:space="preserve">vaccinee at the Local Government Area (LGA) level. </w:t>
      </w:r>
    </w:p>
    <w:p w:rsidR="0070073B" w:rsidRPr="003408A6" w:rsidRDefault="0070073B" w:rsidP="00814DDD">
      <w:pPr>
        <w:pStyle w:val="BodyText"/>
        <w:rPr>
          <w:lang w:val="en-AU"/>
        </w:rPr>
      </w:pPr>
      <w:r w:rsidRPr="003408A6">
        <w:rPr>
          <w:lang w:val="en-AU"/>
        </w:rPr>
        <w:t xml:space="preserve">Providers were grouped into two types: </w:t>
      </w:r>
      <w:r w:rsidR="00676783" w:rsidRPr="003408A6">
        <w:rPr>
          <w:lang w:val="en-AU"/>
        </w:rPr>
        <w:t>general practice</w:t>
      </w:r>
      <w:r w:rsidR="00422428" w:rsidRPr="003408A6">
        <w:rPr>
          <w:lang w:val="en-AU"/>
        </w:rPr>
        <w:t xml:space="preserve"> providers and non-general practice providers. Non-general practice</w:t>
      </w:r>
      <w:r w:rsidRPr="003408A6">
        <w:rPr>
          <w:lang w:val="en-AU"/>
        </w:rPr>
        <w:t xml:space="preserve"> providers include councils, </w:t>
      </w:r>
      <w:r w:rsidR="001320B0" w:rsidRPr="003408A6">
        <w:rPr>
          <w:lang w:val="en-AU"/>
        </w:rPr>
        <w:t>s</w:t>
      </w:r>
      <w:r w:rsidRPr="003408A6">
        <w:rPr>
          <w:lang w:val="en-AU"/>
        </w:rPr>
        <w:t>tate</w:t>
      </w:r>
      <w:r w:rsidR="001320B0" w:rsidRPr="003408A6">
        <w:rPr>
          <w:lang w:val="en-AU"/>
        </w:rPr>
        <w:t>/territory</w:t>
      </w:r>
      <w:r w:rsidRPr="003408A6">
        <w:rPr>
          <w:lang w:val="en-AU"/>
        </w:rPr>
        <w:t xml:space="preserve"> health departments and other community</w:t>
      </w:r>
      <w:r w:rsidR="00820D27">
        <w:rPr>
          <w:lang w:val="en-AU"/>
        </w:rPr>
        <w:t>-</w:t>
      </w:r>
      <w:r w:rsidRPr="003408A6">
        <w:rPr>
          <w:lang w:val="en-AU"/>
        </w:rPr>
        <w:t xml:space="preserve">based immunisation providers such as Aboriginal Medical Services and Family Planning Services. </w:t>
      </w:r>
    </w:p>
    <w:p w:rsidR="0070073B" w:rsidRPr="003408A6" w:rsidRDefault="0070073B" w:rsidP="00814DDD">
      <w:pPr>
        <w:pStyle w:val="BodyText"/>
        <w:rPr>
          <w:lang w:val="en-AU"/>
        </w:rPr>
      </w:pPr>
      <w:r w:rsidRPr="003408A6">
        <w:rPr>
          <w:lang w:val="en-AU"/>
        </w:rPr>
        <w:t>Indigenous status is a non</w:t>
      </w:r>
      <w:r w:rsidR="0008507F" w:rsidRPr="003408A6">
        <w:rPr>
          <w:lang w:val="en-AU"/>
        </w:rPr>
        <w:t>-</w:t>
      </w:r>
      <w:r w:rsidRPr="003408A6">
        <w:rPr>
          <w:lang w:val="en-AU"/>
        </w:rPr>
        <w:t>mandatory field for reporting and was deemed to be of adequate completeness for analysis for the catch</w:t>
      </w:r>
      <w:r w:rsidR="0043033C" w:rsidRPr="003408A6">
        <w:rPr>
          <w:lang w:val="en-AU"/>
        </w:rPr>
        <w:t>-</w:t>
      </w:r>
      <w:r w:rsidRPr="003408A6">
        <w:rPr>
          <w:lang w:val="en-AU"/>
        </w:rPr>
        <w:t xml:space="preserve">up program cohorts in the </w:t>
      </w:r>
      <w:r w:rsidR="008B39E1" w:rsidRPr="003408A6">
        <w:rPr>
          <w:rFonts w:eastAsia="Calibri"/>
          <w:color w:val="000000"/>
          <w:lang w:val="en-AU"/>
        </w:rPr>
        <w:t>Northern Territory</w:t>
      </w:r>
      <w:r w:rsidRPr="003408A6">
        <w:rPr>
          <w:lang w:val="en-AU"/>
        </w:rPr>
        <w:t xml:space="preserve"> and Queensland. </w:t>
      </w:r>
    </w:p>
    <w:p w:rsidR="0008507F" w:rsidRPr="003408A6" w:rsidRDefault="0070073B" w:rsidP="00814DDD">
      <w:pPr>
        <w:pStyle w:val="BodyText"/>
        <w:rPr>
          <w:lang w:val="en-AU"/>
        </w:rPr>
      </w:pPr>
      <w:r w:rsidRPr="003408A6">
        <w:rPr>
          <w:lang w:val="en-AU"/>
        </w:rPr>
        <w:t xml:space="preserve">For assessment of timeliness, </w:t>
      </w:r>
      <w:r w:rsidR="0008507F" w:rsidRPr="003408A6">
        <w:rPr>
          <w:lang w:val="en-AU"/>
        </w:rPr>
        <w:t xml:space="preserve">the </w:t>
      </w:r>
      <w:r w:rsidRPr="003408A6">
        <w:rPr>
          <w:lang w:val="en-AU"/>
        </w:rPr>
        <w:t xml:space="preserve">proportion completing the course within 6 </w:t>
      </w:r>
      <w:r w:rsidR="0008507F" w:rsidRPr="003408A6">
        <w:rPr>
          <w:lang w:val="en-AU"/>
        </w:rPr>
        <w:t xml:space="preserve">or </w:t>
      </w:r>
      <w:r w:rsidRPr="003408A6">
        <w:rPr>
          <w:lang w:val="en-AU"/>
        </w:rPr>
        <w:t>12 months of receiving their first dose of vaccine (recommended schedule for vaccination is 0,</w:t>
      </w:r>
      <w:r w:rsidR="0008507F" w:rsidRPr="003408A6">
        <w:rPr>
          <w:lang w:val="en-AU"/>
        </w:rPr>
        <w:t xml:space="preserve"> </w:t>
      </w:r>
      <w:r w:rsidRPr="003408A6">
        <w:rPr>
          <w:lang w:val="en-AU"/>
        </w:rPr>
        <w:t>2,</w:t>
      </w:r>
      <w:r w:rsidR="0008507F" w:rsidRPr="003408A6">
        <w:rPr>
          <w:lang w:val="en-AU"/>
        </w:rPr>
        <w:t xml:space="preserve"> </w:t>
      </w:r>
      <w:r w:rsidRPr="003408A6">
        <w:rPr>
          <w:lang w:val="en-AU"/>
        </w:rPr>
        <w:t xml:space="preserve">6 months) was estimated </w:t>
      </w:r>
      <w:r w:rsidR="00FE6981" w:rsidRPr="003408A6">
        <w:rPr>
          <w:lang w:val="en-AU"/>
        </w:rPr>
        <w:t>for each</w:t>
      </w:r>
      <w:r w:rsidRPr="003408A6">
        <w:rPr>
          <w:lang w:val="en-AU"/>
        </w:rPr>
        <w:t xml:space="preserve"> calendar year</w:t>
      </w:r>
      <w:r w:rsidR="00FE6981" w:rsidRPr="003408A6">
        <w:rPr>
          <w:lang w:val="en-AU"/>
        </w:rPr>
        <w:t>, with the denominator being persons recorded as receiving</w:t>
      </w:r>
      <w:r w:rsidRPr="003408A6">
        <w:rPr>
          <w:lang w:val="en-AU"/>
        </w:rPr>
        <w:t xml:space="preserve"> the third of 3 valid doses within that year (</w:t>
      </w:r>
      <w:r w:rsidR="00FE6981" w:rsidRPr="003408A6">
        <w:rPr>
          <w:lang w:val="en-AU"/>
        </w:rPr>
        <w:t xml:space="preserve">i.e. </w:t>
      </w:r>
      <w:r w:rsidRPr="003408A6">
        <w:rPr>
          <w:lang w:val="en-AU"/>
        </w:rPr>
        <w:t xml:space="preserve">completing the full course). </w:t>
      </w:r>
    </w:p>
    <w:p w:rsidR="0070073B" w:rsidRPr="003408A6" w:rsidRDefault="0070073B" w:rsidP="00814DDD">
      <w:pPr>
        <w:pStyle w:val="BodyText"/>
        <w:rPr>
          <w:lang w:val="en-AU"/>
        </w:rPr>
      </w:pPr>
      <w:r w:rsidRPr="003408A6">
        <w:rPr>
          <w:lang w:val="en-AU"/>
        </w:rPr>
        <w:t>A secondary analysis was undertaken using Medicare enrolment data for females as the denominator, which was provided as at 30 June 2007 at the LGA level. Coverage was calculated by age group (12</w:t>
      </w:r>
      <w:r w:rsidR="0008507F" w:rsidRPr="003408A6">
        <w:rPr>
          <w:lang w:val="en-AU"/>
        </w:rPr>
        <w:t>–</w:t>
      </w:r>
      <w:r w:rsidRPr="003408A6">
        <w:rPr>
          <w:lang w:val="en-AU"/>
        </w:rPr>
        <w:t>17 years and 18</w:t>
      </w:r>
      <w:r w:rsidR="0008507F" w:rsidRPr="003408A6">
        <w:rPr>
          <w:lang w:val="en-AU"/>
        </w:rPr>
        <w:t>–</w:t>
      </w:r>
      <w:r w:rsidRPr="003408A6">
        <w:rPr>
          <w:lang w:val="en-AU"/>
        </w:rPr>
        <w:t>26 years) and by geographical area. Spatial analysis was performed using ESRI ArcMap 10.3.</w:t>
      </w:r>
    </w:p>
    <w:p w:rsidR="0070073B" w:rsidRPr="003408A6" w:rsidRDefault="0070073B" w:rsidP="00DE0897">
      <w:pPr>
        <w:spacing w:line="360" w:lineRule="auto"/>
        <w:rPr>
          <w:rFonts w:cs="Arial"/>
          <w:szCs w:val="22"/>
        </w:rPr>
      </w:pPr>
      <w:r w:rsidRPr="003408A6">
        <w:rPr>
          <w:rFonts w:cs="Arial"/>
          <w:szCs w:val="22"/>
        </w:rPr>
        <w:t xml:space="preserve">A secondary analysis was also </w:t>
      </w:r>
      <w:r w:rsidRPr="003408A6">
        <w:t>undertaken</w:t>
      </w:r>
      <w:r w:rsidRPr="003408A6">
        <w:rPr>
          <w:rFonts w:cs="Arial"/>
          <w:szCs w:val="22"/>
        </w:rPr>
        <w:t xml:space="preserve"> using ‘episode dose number’, which is the dose number reported by the provider, instead of </w:t>
      </w:r>
      <w:r w:rsidR="0008507F" w:rsidRPr="003408A6">
        <w:rPr>
          <w:rFonts w:cs="Arial"/>
          <w:szCs w:val="22"/>
        </w:rPr>
        <w:t xml:space="preserve">the </w:t>
      </w:r>
      <w:r w:rsidRPr="003408A6">
        <w:rPr>
          <w:rFonts w:cs="Arial"/>
          <w:szCs w:val="22"/>
        </w:rPr>
        <w:t xml:space="preserve">implied dose number. </w:t>
      </w:r>
    </w:p>
    <w:p w:rsidR="0070073B" w:rsidRPr="003408A6" w:rsidRDefault="0070073B" w:rsidP="00814DDD">
      <w:pPr>
        <w:pStyle w:val="Heading3"/>
      </w:pPr>
      <w:r w:rsidRPr="003408A6">
        <w:t>Adverse events following immunisation</w:t>
      </w:r>
    </w:p>
    <w:p w:rsidR="00B442DA" w:rsidRPr="003408A6" w:rsidRDefault="00B442DA" w:rsidP="00814DDD">
      <w:pPr>
        <w:pStyle w:val="BodyText"/>
        <w:rPr>
          <w:lang w:val="en-AU"/>
        </w:rPr>
      </w:pPr>
      <w:r w:rsidRPr="003408A6">
        <w:rPr>
          <w:lang w:val="en-AU"/>
        </w:rPr>
        <w:t xml:space="preserve">De-identified information on all AEFI reports to the Therapeutic Goods Administration (TGA) and stored in the Adverse Drug Reaction System (ADRS) database were released to NCIRS. All the data associated with HPV vaccines from 1 April 2007 to 30 June 2013 were analysed to summarise Australian passive surveillance data for HPV-related adverse events and to describe reporting trends. The denominator data for HPV vaccine doses from the NHVPR </w:t>
      </w:r>
      <w:r w:rsidR="00820D27">
        <w:rPr>
          <w:lang w:val="en-AU"/>
        </w:rPr>
        <w:t>were</w:t>
      </w:r>
      <w:r w:rsidR="00820D27" w:rsidRPr="003408A6">
        <w:rPr>
          <w:lang w:val="en-AU"/>
        </w:rPr>
        <w:t xml:space="preserve"> </w:t>
      </w:r>
      <w:r w:rsidRPr="003408A6">
        <w:rPr>
          <w:lang w:val="en-AU"/>
        </w:rPr>
        <w:t xml:space="preserve">available from 1 April 2007 to 31 December 2011. </w:t>
      </w:r>
      <w:r w:rsidR="00820D27">
        <w:rPr>
          <w:lang w:val="en-AU"/>
        </w:rPr>
        <w:t>D</w:t>
      </w:r>
      <w:r w:rsidRPr="003408A6">
        <w:rPr>
          <w:lang w:val="en-AU"/>
        </w:rPr>
        <w:t>ata were analysed in two periods: 1 April 2007 to 31 December 2012 and 1 January 201</w:t>
      </w:r>
      <w:r w:rsidR="00820D27">
        <w:rPr>
          <w:lang w:val="en-AU"/>
        </w:rPr>
        <w:t>3</w:t>
      </w:r>
      <w:r w:rsidRPr="003408A6">
        <w:rPr>
          <w:lang w:val="en-AU"/>
        </w:rPr>
        <w:t xml:space="preserve"> to 30 June 2013.</w:t>
      </w:r>
    </w:p>
    <w:p w:rsidR="00B442DA" w:rsidRPr="003408A6" w:rsidRDefault="00B442DA" w:rsidP="00814DDD">
      <w:pPr>
        <w:pStyle w:val="BodyText"/>
        <w:rPr>
          <w:lang w:val="en-AU"/>
        </w:rPr>
      </w:pPr>
      <w:r w:rsidRPr="003408A6">
        <w:rPr>
          <w:lang w:val="en-AU"/>
        </w:rPr>
        <w:t xml:space="preserve">Reporting rates were calculated for the period 1 April 2007 to 31 December 2011. For subsequent periods, numbers and proportions of AEFI by age groups and jurisdictions are presented. </w:t>
      </w:r>
    </w:p>
    <w:p w:rsidR="00422428" w:rsidRPr="003408A6" w:rsidRDefault="00B442DA" w:rsidP="00814DDD">
      <w:pPr>
        <w:pStyle w:val="BodyText"/>
        <w:rPr>
          <w:lang w:val="en-AU"/>
        </w:rPr>
      </w:pPr>
      <w:r w:rsidRPr="003408A6">
        <w:rPr>
          <w:lang w:val="en-AU"/>
        </w:rPr>
        <w:t>A summary of vaccine safety issues associated with use of HPV vaccine in Australia, including a timeline of adverse events issues raised</w:t>
      </w:r>
      <w:r w:rsidR="00820D27">
        <w:rPr>
          <w:lang w:val="en-AU"/>
        </w:rPr>
        <w:t>,</w:t>
      </w:r>
      <w:r w:rsidRPr="003408A6">
        <w:rPr>
          <w:lang w:val="en-AU"/>
        </w:rPr>
        <w:t xml:space="preserve"> was also compiled.</w:t>
      </w:r>
    </w:p>
    <w:p w:rsidR="0070073B" w:rsidRPr="003408A6" w:rsidRDefault="0070073B" w:rsidP="00814DDD">
      <w:pPr>
        <w:pStyle w:val="Heading3"/>
      </w:pPr>
      <w:r w:rsidRPr="003408A6">
        <w:t>Disease impact</w:t>
      </w:r>
    </w:p>
    <w:p w:rsidR="0070073B" w:rsidRPr="003408A6" w:rsidRDefault="0070073B" w:rsidP="00814DDD">
      <w:pPr>
        <w:pStyle w:val="BodyText"/>
        <w:rPr>
          <w:color w:val="000000"/>
          <w:lang w:val="en-AU"/>
        </w:rPr>
      </w:pPr>
      <w:r w:rsidRPr="003408A6">
        <w:rPr>
          <w:lang w:val="en-AU"/>
        </w:rPr>
        <w:t xml:space="preserve">Disease impact was assessed using </w:t>
      </w:r>
      <w:r w:rsidR="00FE6981" w:rsidRPr="003408A6">
        <w:rPr>
          <w:lang w:val="en-AU"/>
        </w:rPr>
        <w:t>two sources of routinely collected data: 1)</w:t>
      </w:r>
      <w:r w:rsidR="00551528" w:rsidRPr="003408A6">
        <w:rPr>
          <w:lang w:val="en-AU"/>
        </w:rPr>
        <w:t xml:space="preserve"> </w:t>
      </w:r>
      <w:r w:rsidRPr="003408A6">
        <w:rPr>
          <w:lang w:val="en-AU"/>
        </w:rPr>
        <w:t xml:space="preserve">high-grade </w:t>
      </w:r>
      <w:r w:rsidR="00551528" w:rsidRPr="003408A6">
        <w:rPr>
          <w:lang w:val="en-AU"/>
        </w:rPr>
        <w:t xml:space="preserve">cervical </w:t>
      </w:r>
      <w:r w:rsidRPr="003408A6">
        <w:rPr>
          <w:lang w:val="en-AU"/>
        </w:rPr>
        <w:t>abnormalities</w:t>
      </w:r>
      <w:r w:rsidR="00FE6981" w:rsidRPr="003408A6">
        <w:rPr>
          <w:lang w:val="en-AU"/>
        </w:rPr>
        <w:t xml:space="preserve"> data</w:t>
      </w:r>
      <w:r w:rsidRPr="003408A6">
        <w:rPr>
          <w:lang w:val="en-AU"/>
        </w:rPr>
        <w:t xml:space="preserve"> from the</w:t>
      </w:r>
      <w:r w:rsidR="002C781A" w:rsidRPr="003408A6">
        <w:rPr>
          <w:lang w:val="en-AU"/>
        </w:rPr>
        <w:t xml:space="preserve"> </w:t>
      </w:r>
      <w:r w:rsidR="002C781A" w:rsidRPr="003408A6">
        <w:rPr>
          <w:i/>
          <w:lang w:val="en-AU"/>
        </w:rPr>
        <w:t>National</w:t>
      </w:r>
      <w:r w:rsidRPr="003408A6">
        <w:rPr>
          <w:i/>
          <w:lang w:val="en-AU"/>
        </w:rPr>
        <w:t xml:space="preserve"> Cervical Screening in Australia</w:t>
      </w:r>
      <w:r w:rsidRPr="003408A6">
        <w:rPr>
          <w:lang w:val="en-AU"/>
        </w:rPr>
        <w:t xml:space="preserve"> reports</w:t>
      </w:r>
      <w:r w:rsidR="00FE6981" w:rsidRPr="003408A6">
        <w:rPr>
          <w:lang w:val="en-AU"/>
        </w:rPr>
        <w:t>,</w:t>
      </w:r>
      <w:r w:rsidRPr="003408A6">
        <w:rPr>
          <w:lang w:val="en-AU"/>
        </w:rPr>
        <w:t xml:space="preserve"> and </w:t>
      </w:r>
      <w:r w:rsidR="00FE6981" w:rsidRPr="003408A6">
        <w:rPr>
          <w:lang w:val="en-AU"/>
        </w:rPr>
        <w:t xml:space="preserve">2) </w:t>
      </w:r>
      <w:r w:rsidRPr="003408A6">
        <w:rPr>
          <w:lang w:val="en-AU"/>
        </w:rPr>
        <w:t>hospitalisation</w:t>
      </w:r>
      <w:r w:rsidR="00820D27">
        <w:rPr>
          <w:lang w:val="en-AU"/>
        </w:rPr>
        <w:t>s</w:t>
      </w:r>
      <w:r w:rsidR="0008507F" w:rsidRPr="003408A6">
        <w:rPr>
          <w:lang w:val="en-AU"/>
        </w:rPr>
        <w:t xml:space="preserve"> </w:t>
      </w:r>
      <w:r w:rsidR="00FE6981" w:rsidRPr="003408A6">
        <w:rPr>
          <w:lang w:val="en-AU"/>
        </w:rPr>
        <w:t>with one or more codes associated with genital warts</w:t>
      </w:r>
      <w:r w:rsidRPr="003408A6">
        <w:rPr>
          <w:lang w:val="en-AU"/>
        </w:rPr>
        <w:t xml:space="preserve"> from the National Hospital Morbidity </w:t>
      </w:r>
      <w:r w:rsidR="00162DBD" w:rsidRPr="003408A6">
        <w:rPr>
          <w:lang w:val="en-AU"/>
        </w:rPr>
        <w:t>D</w:t>
      </w:r>
      <w:r w:rsidRPr="003408A6">
        <w:rPr>
          <w:lang w:val="en-AU"/>
        </w:rPr>
        <w:t>atabase (NHMD)</w:t>
      </w:r>
      <w:r w:rsidR="0008507F" w:rsidRPr="003408A6">
        <w:rPr>
          <w:lang w:val="en-AU"/>
        </w:rPr>
        <w:t xml:space="preserve"> of the</w:t>
      </w:r>
      <w:r w:rsidRPr="003408A6">
        <w:rPr>
          <w:lang w:val="en-AU"/>
        </w:rPr>
        <w:t xml:space="preserve"> Australian Institute </w:t>
      </w:r>
      <w:r w:rsidR="001302CA" w:rsidRPr="003408A6">
        <w:rPr>
          <w:lang w:val="en-AU"/>
        </w:rPr>
        <w:t xml:space="preserve">of </w:t>
      </w:r>
      <w:r w:rsidRPr="003408A6">
        <w:rPr>
          <w:lang w:val="en-AU"/>
        </w:rPr>
        <w:t>Health and Welfare (AIHW)</w:t>
      </w:r>
      <w:r w:rsidRPr="003408A6">
        <w:rPr>
          <w:color w:val="000000"/>
          <w:lang w:val="en-AU"/>
        </w:rPr>
        <w:t xml:space="preserve">. </w:t>
      </w:r>
    </w:p>
    <w:p w:rsidR="0070073B" w:rsidRPr="003408A6" w:rsidRDefault="00FE6981" w:rsidP="00814DDD">
      <w:pPr>
        <w:pStyle w:val="BodyText"/>
        <w:rPr>
          <w:lang w:val="en-AU"/>
        </w:rPr>
      </w:pPr>
      <w:r w:rsidRPr="003408A6">
        <w:rPr>
          <w:lang w:val="en-AU"/>
        </w:rPr>
        <w:t>For</w:t>
      </w:r>
      <w:r w:rsidR="00551528" w:rsidRPr="003408A6">
        <w:rPr>
          <w:lang w:val="en-AU"/>
        </w:rPr>
        <w:t xml:space="preserve"> </w:t>
      </w:r>
      <w:r w:rsidR="0070073B" w:rsidRPr="003408A6">
        <w:rPr>
          <w:lang w:val="en-AU"/>
        </w:rPr>
        <w:t>high-grade cervical abnorma</w:t>
      </w:r>
      <w:r w:rsidR="0043548C" w:rsidRPr="003408A6">
        <w:rPr>
          <w:lang w:val="en-AU"/>
        </w:rPr>
        <w:t>lities</w:t>
      </w:r>
      <w:r w:rsidRPr="003408A6">
        <w:rPr>
          <w:lang w:val="en-AU"/>
        </w:rPr>
        <w:t>, data</w:t>
      </w:r>
      <w:r w:rsidR="0043548C" w:rsidRPr="003408A6">
        <w:rPr>
          <w:lang w:val="en-AU"/>
        </w:rPr>
        <w:t xml:space="preserve"> were</w:t>
      </w:r>
      <w:r w:rsidR="0070073B" w:rsidRPr="003408A6">
        <w:rPr>
          <w:lang w:val="en-AU"/>
        </w:rPr>
        <w:t xml:space="preserve"> analysed using an ecologic design </w:t>
      </w:r>
      <w:r w:rsidRPr="003408A6">
        <w:rPr>
          <w:lang w:val="en-AU"/>
        </w:rPr>
        <w:t>comparing the pre-vaccine period</w:t>
      </w:r>
      <w:r w:rsidR="0070073B" w:rsidRPr="003408A6">
        <w:rPr>
          <w:lang w:val="en-AU"/>
        </w:rPr>
        <w:t xml:space="preserve"> </w:t>
      </w:r>
      <w:r w:rsidRPr="003408A6">
        <w:rPr>
          <w:lang w:val="en-AU"/>
        </w:rPr>
        <w:t>(</w:t>
      </w:r>
      <w:r w:rsidR="0070073B" w:rsidRPr="003408A6">
        <w:rPr>
          <w:lang w:val="en-AU"/>
        </w:rPr>
        <w:t>2004</w:t>
      </w:r>
      <w:r w:rsidR="0008507F" w:rsidRPr="003408A6">
        <w:rPr>
          <w:lang w:val="en-AU"/>
        </w:rPr>
        <w:t>–</w:t>
      </w:r>
      <w:r w:rsidR="0070073B" w:rsidRPr="003408A6">
        <w:rPr>
          <w:lang w:val="en-AU"/>
        </w:rPr>
        <w:t>2007</w:t>
      </w:r>
      <w:r w:rsidRPr="003408A6">
        <w:rPr>
          <w:lang w:val="en-AU"/>
        </w:rPr>
        <w:t>) with</w:t>
      </w:r>
      <w:r w:rsidR="0070073B" w:rsidRPr="003408A6">
        <w:rPr>
          <w:lang w:val="en-AU"/>
        </w:rPr>
        <w:t xml:space="preserve"> 2008</w:t>
      </w:r>
      <w:r w:rsidR="0008507F" w:rsidRPr="003408A6">
        <w:rPr>
          <w:lang w:val="en-AU"/>
        </w:rPr>
        <w:t>–</w:t>
      </w:r>
      <w:r w:rsidR="0070073B" w:rsidRPr="003408A6">
        <w:rPr>
          <w:lang w:val="en-AU"/>
        </w:rPr>
        <w:t xml:space="preserve">2011. </w:t>
      </w:r>
      <w:r w:rsidR="00551528" w:rsidRPr="003408A6">
        <w:rPr>
          <w:lang w:val="en-AU"/>
        </w:rPr>
        <w:t xml:space="preserve">High-grade abnormalities (HGA) </w:t>
      </w:r>
      <w:r w:rsidRPr="003408A6">
        <w:rPr>
          <w:lang w:val="en-AU"/>
        </w:rPr>
        <w:t xml:space="preserve">were </w:t>
      </w:r>
      <w:r w:rsidR="00551528" w:rsidRPr="003408A6">
        <w:rPr>
          <w:lang w:val="en-AU"/>
        </w:rPr>
        <w:t xml:space="preserve">defined </w:t>
      </w:r>
      <w:r w:rsidRPr="003408A6">
        <w:rPr>
          <w:lang w:val="en-AU"/>
        </w:rPr>
        <w:t>as</w:t>
      </w:r>
      <w:r w:rsidR="0070073B" w:rsidRPr="003408A6">
        <w:rPr>
          <w:lang w:val="en-AU"/>
        </w:rPr>
        <w:t xml:space="preserve"> lesions coded as cervical intraepithelial neoplasia of grade 2 (CIN 2) or 3 (CIN 3), adenocarcinoma in situ or endocervical dysplasia. </w:t>
      </w:r>
    </w:p>
    <w:p w:rsidR="0070073B" w:rsidRPr="003408A6" w:rsidRDefault="0070073B" w:rsidP="00814DDD">
      <w:pPr>
        <w:pStyle w:val="BodyText"/>
        <w:rPr>
          <w:lang w:val="en-AU"/>
        </w:rPr>
      </w:pPr>
      <w:r w:rsidRPr="003408A6">
        <w:rPr>
          <w:lang w:val="en-AU"/>
        </w:rPr>
        <w:t xml:space="preserve">The annual rate of females attending screening was assessed according to age using </w:t>
      </w:r>
      <w:r w:rsidR="00270D0B" w:rsidRPr="003408A6">
        <w:rPr>
          <w:lang w:val="en-AU"/>
        </w:rPr>
        <w:t>ABS</w:t>
      </w:r>
      <w:r w:rsidRPr="003408A6">
        <w:rPr>
          <w:lang w:val="en-AU"/>
        </w:rPr>
        <w:t xml:space="preserve"> census data as the denominator. The population was adjusted to include only females with an intact uterus and cervix using age-specific hysterectomy fractions derived from the NHMD. </w:t>
      </w:r>
    </w:p>
    <w:p w:rsidR="0070073B" w:rsidRPr="003408A6" w:rsidRDefault="0070073B" w:rsidP="00814DDD">
      <w:pPr>
        <w:pStyle w:val="BodyText"/>
        <w:rPr>
          <w:lang w:val="en-AU"/>
        </w:rPr>
      </w:pPr>
      <w:r w:rsidRPr="003408A6">
        <w:rPr>
          <w:lang w:val="en-AU"/>
        </w:rPr>
        <w:t xml:space="preserve">Data on numbers of females screened and numbers of </w:t>
      </w:r>
      <w:r w:rsidR="00551528" w:rsidRPr="003408A6">
        <w:rPr>
          <w:lang w:val="en-AU"/>
        </w:rPr>
        <w:t>HGAs</w:t>
      </w:r>
      <w:r w:rsidRPr="003408A6">
        <w:rPr>
          <w:lang w:val="en-AU"/>
        </w:rPr>
        <w:t xml:space="preserve"> detected from 2004 to 2011 (2004–2007</w:t>
      </w:r>
      <w:r w:rsidR="0008507F" w:rsidRPr="003408A6">
        <w:rPr>
          <w:lang w:val="en-AU"/>
        </w:rPr>
        <w:t>,</w:t>
      </w:r>
      <w:r w:rsidRPr="003408A6">
        <w:rPr>
          <w:lang w:val="en-AU"/>
        </w:rPr>
        <w:t xml:space="preserve"> 2008–2011 and individual years) were tabulated by age groups (&lt;20</w:t>
      </w:r>
      <w:r w:rsidR="00820D27">
        <w:rPr>
          <w:lang w:val="en-AU"/>
        </w:rPr>
        <w:t>,</w:t>
      </w:r>
      <w:r w:rsidRPr="003408A6">
        <w:rPr>
          <w:lang w:val="en-AU"/>
        </w:rPr>
        <w:t xml:space="preserve"> 20</w:t>
      </w:r>
      <w:r w:rsidR="0008507F" w:rsidRPr="003408A6">
        <w:rPr>
          <w:lang w:val="en-AU"/>
        </w:rPr>
        <w:t>–</w:t>
      </w:r>
      <w:r w:rsidRPr="003408A6">
        <w:rPr>
          <w:lang w:val="en-AU"/>
        </w:rPr>
        <w:t>24</w:t>
      </w:r>
      <w:r w:rsidR="00820D27">
        <w:rPr>
          <w:lang w:val="en-AU"/>
        </w:rPr>
        <w:t>,</w:t>
      </w:r>
      <w:r w:rsidRPr="003408A6">
        <w:rPr>
          <w:lang w:val="en-AU"/>
        </w:rPr>
        <w:t xml:space="preserve"> 25</w:t>
      </w:r>
      <w:r w:rsidR="0008507F" w:rsidRPr="003408A6">
        <w:rPr>
          <w:lang w:val="en-AU"/>
        </w:rPr>
        <w:t>–</w:t>
      </w:r>
      <w:r w:rsidRPr="003408A6">
        <w:rPr>
          <w:lang w:val="en-AU"/>
        </w:rPr>
        <w:t>29</w:t>
      </w:r>
      <w:r w:rsidR="00820D27">
        <w:rPr>
          <w:lang w:val="en-AU"/>
        </w:rPr>
        <w:t>,</w:t>
      </w:r>
      <w:r w:rsidRPr="003408A6">
        <w:rPr>
          <w:lang w:val="en-AU"/>
        </w:rPr>
        <w:t xml:space="preserve"> 30</w:t>
      </w:r>
      <w:r w:rsidR="0008507F" w:rsidRPr="003408A6">
        <w:rPr>
          <w:lang w:val="en-AU"/>
        </w:rPr>
        <w:t>–</w:t>
      </w:r>
      <w:r w:rsidRPr="003408A6">
        <w:rPr>
          <w:lang w:val="en-AU"/>
        </w:rPr>
        <w:t xml:space="preserve">34 </w:t>
      </w:r>
      <w:r w:rsidR="0008507F" w:rsidRPr="003408A6">
        <w:rPr>
          <w:lang w:val="en-AU"/>
        </w:rPr>
        <w:t xml:space="preserve">and </w:t>
      </w:r>
      <w:r w:rsidRPr="003408A6">
        <w:rPr>
          <w:lang w:val="en-AU"/>
        </w:rPr>
        <w:t>35</w:t>
      </w:r>
      <w:r w:rsidR="0008507F" w:rsidRPr="003408A6">
        <w:rPr>
          <w:lang w:val="en-AU"/>
        </w:rPr>
        <w:t>–</w:t>
      </w:r>
      <w:r w:rsidRPr="003408A6">
        <w:rPr>
          <w:lang w:val="en-AU"/>
        </w:rPr>
        <w:t>69</w:t>
      </w:r>
      <w:r w:rsidR="0008507F" w:rsidRPr="003408A6">
        <w:rPr>
          <w:lang w:val="en-AU"/>
        </w:rPr>
        <w:t xml:space="preserve"> years</w:t>
      </w:r>
      <w:r w:rsidRPr="003408A6">
        <w:rPr>
          <w:lang w:val="en-AU"/>
        </w:rPr>
        <w:t xml:space="preserve">) and by jurisdiction. Trends in </w:t>
      </w:r>
      <w:r w:rsidR="00551528" w:rsidRPr="003408A6">
        <w:rPr>
          <w:lang w:val="en-AU"/>
        </w:rPr>
        <w:t xml:space="preserve">the </w:t>
      </w:r>
      <w:r w:rsidRPr="003408A6">
        <w:rPr>
          <w:lang w:val="en-AU"/>
        </w:rPr>
        <w:t xml:space="preserve">rate of </w:t>
      </w:r>
      <w:r w:rsidR="00551528" w:rsidRPr="003408A6">
        <w:rPr>
          <w:lang w:val="en-AU"/>
        </w:rPr>
        <w:t>HGAs</w:t>
      </w:r>
      <w:r w:rsidRPr="003408A6">
        <w:rPr>
          <w:lang w:val="en-AU"/>
        </w:rPr>
        <w:t xml:space="preserve"> detected were examined. Absolute rates, rate ratios (RR) and 95% confidence intervals </w:t>
      </w:r>
      <w:r w:rsidR="0008507F" w:rsidRPr="003408A6">
        <w:rPr>
          <w:lang w:val="en-AU"/>
        </w:rPr>
        <w:t xml:space="preserve">(CI) </w:t>
      </w:r>
      <w:r w:rsidRPr="003408A6">
        <w:rPr>
          <w:lang w:val="en-AU"/>
        </w:rPr>
        <w:t xml:space="preserve">were used to quantify changes. </w:t>
      </w:r>
    </w:p>
    <w:p w:rsidR="00A93A2B" w:rsidRPr="003408A6" w:rsidRDefault="00A93A2B" w:rsidP="00814DDD">
      <w:pPr>
        <w:pStyle w:val="BodyText"/>
        <w:rPr>
          <w:highlight w:val="yellow"/>
          <w:lang w:val="en-AU"/>
        </w:rPr>
      </w:pPr>
      <w:r w:rsidRPr="003408A6">
        <w:rPr>
          <w:lang w:val="en-AU"/>
        </w:rPr>
        <w:t xml:space="preserve">For </w:t>
      </w:r>
      <w:r w:rsidR="00FE6981" w:rsidRPr="003408A6">
        <w:rPr>
          <w:lang w:val="en-AU"/>
        </w:rPr>
        <w:t xml:space="preserve">analysis of </w:t>
      </w:r>
      <w:r w:rsidRPr="003408A6">
        <w:rPr>
          <w:lang w:val="en-AU"/>
        </w:rPr>
        <w:t>genital wart hospital admissions</w:t>
      </w:r>
      <w:r w:rsidR="00FE6981" w:rsidRPr="003408A6">
        <w:rPr>
          <w:lang w:val="en-AU"/>
        </w:rPr>
        <w:t>, the included period was</w:t>
      </w:r>
      <w:r w:rsidRPr="003408A6">
        <w:rPr>
          <w:lang w:val="en-AU"/>
        </w:rPr>
        <w:t xml:space="preserve"> 1 July 1999 </w:t>
      </w:r>
      <w:r w:rsidR="00820D27">
        <w:rPr>
          <w:lang w:val="en-AU"/>
        </w:rPr>
        <w:t>to</w:t>
      </w:r>
      <w:r w:rsidR="00820D27" w:rsidRPr="003408A6">
        <w:rPr>
          <w:lang w:val="en-AU"/>
        </w:rPr>
        <w:t xml:space="preserve"> </w:t>
      </w:r>
      <w:r w:rsidRPr="003408A6">
        <w:rPr>
          <w:lang w:val="en-AU"/>
        </w:rPr>
        <w:t>30 June 2011. The NHMD is a comprehensive population-based dataset of routinely collected admissions data from all public and private hospitals in Australia. All admissions for genital warts (including those where genital warts was not the principal diagnostic code) were eligible. Trends in age-specific admission rates, defined by age groups eligible for the National HPV Vaccination Program from 2007, were compared</w:t>
      </w:r>
      <w:r w:rsidR="00820D27">
        <w:rPr>
          <w:lang w:val="en-AU"/>
        </w:rPr>
        <w:t xml:space="preserve"> for periods before and after </w:t>
      </w:r>
      <w:r w:rsidRPr="003408A6">
        <w:rPr>
          <w:lang w:val="en-AU"/>
        </w:rPr>
        <w:t>program implementation.</w:t>
      </w:r>
    </w:p>
    <w:p w:rsidR="0070073B" w:rsidRPr="003408A6" w:rsidRDefault="0070073B" w:rsidP="00814DDD">
      <w:pPr>
        <w:pStyle w:val="Heading2"/>
      </w:pPr>
      <w:bookmarkStart w:id="14" w:name="_Toc396926117"/>
      <w:r w:rsidRPr="003408A6">
        <w:t>Results</w:t>
      </w:r>
      <w:bookmarkEnd w:id="14"/>
      <w:r w:rsidRPr="003408A6">
        <w:t xml:space="preserve"> </w:t>
      </w:r>
    </w:p>
    <w:p w:rsidR="0070073B" w:rsidRPr="003408A6" w:rsidRDefault="0070073B" w:rsidP="00814DDD">
      <w:pPr>
        <w:pStyle w:val="Heading3"/>
        <w:rPr>
          <w:rFonts w:eastAsiaTheme="minorEastAsia"/>
          <w:snapToGrid w:val="0"/>
        </w:rPr>
      </w:pPr>
      <w:r w:rsidRPr="003408A6">
        <w:rPr>
          <w:rFonts w:eastAsiaTheme="minorEastAsia"/>
          <w:snapToGrid w:val="0"/>
        </w:rPr>
        <w:t>Process evaluation</w:t>
      </w:r>
    </w:p>
    <w:p w:rsidR="0070073B" w:rsidRPr="003408A6" w:rsidRDefault="0070073B" w:rsidP="00814DDD">
      <w:pPr>
        <w:pStyle w:val="BodyText"/>
        <w:rPr>
          <w:rFonts w:eastAsiaTheme="minorEastAsia"/>
          <w:snapToGrid w:val="0"/>
          <w:lang w:val="en-AU"/>
        </w:rPr>
      </w:pPr>
      <w:r w:rsidRPr="003408A6">
        <w:rPr>
          <w:rFonts w:eastAsiaTheme="minorEastAsia"/>
          <w:snapToGrid w:val="0"/>
          <w:lang w:val="en-AU"/>
        </w:rPr>
        <w:t xml:space="preserve">Key stakeholders </w:t>
      </w:r>
      <w:r w:rsidR="00FE6981" w:rsidRPr="003408A6">
        <w:rPr>
          <w:rFonts w:eastAsiaTheme="minorEastAsia"/>
          <w:snapToGrid w:val="0"/>
          <w:lang w:val="en-AU"/>
        </w:rPr>
        <w:t>all agreed that implementation of the National HPV Vaccination Program</w:t>
      </w:r>
      <w:r w:rsidR="00FE6981" w:rsidRPr="003408A6" w:rsidDel="00F72090">
        <w:rPr>
          <w:rFonts w:eastAsiaTheme="minorEastAsia"/>
          <w:snapToGrid w:val="0"/>
          <w:lang w:val="en-AU"/>
        </w:rPr>
        <w:t xml:space="preserve"> </w:t>
      </w:r>
      <w:r w:rsidR="00FE6981" w:rsidRPr="003408A6">
        <w:rPr>
          <w:rFonts w:eastAsiaTheme="minorEastAsia"/>
          <w:snapToGrid w:val="0"/>
          <w:lang w:val="en-AU"/>
        </w:rPr>
        <w:t xml:space="preserve">was successful, for </w:t>
      </w:r>
      <w:r w:rsidRPr="003408A6">
        <w:rPr>
          <w:rFonts w:eastAsiaTheme="minorEastAsia"/>
          <w:snapToGrid w:val="0"/>
          <w:lang w:val="en-AU"/>
        </w:rPr>
        <w:t xml:space="preserve">both the original female and the extended male program. Respondents reported that the extension of the HPV Vaccination Program to include adolescent males was less difficult to </w:t>
      </w:r>
      <w:r w:rsidRPr="003408A6">
        <w:rPr>
          <w:color w:val="000000"/>
          <w:lang w:val="en-AU"/>
        </w:rPr>
        <w:t>implement</w:t>
      </w:r>
      <w:r w:rsidRPr="003408A6">
        <w:rPr>
          <w:rFonts w:eastAsiaTheme="minorEastAsia"/>
          <w:snapToGrid w:val="0"/>
          <w:lang w:val="en-AU"/>
        </w:rPr>
        <w:t xml:space="preserve"> than the initial female program. </w:t>
      </w:r>
      <w:r w:rsidR="00FE6981" w:rsidRPr="003408A6">
        <w:rPr>
          <w:rFonts w:eastAsiaTheme="minorEastAsia"/>
          <w:snapToGrid w:val="0"/>
          <w:lang w:val="en-AU"/>
        </w:rPr>
        <w:t xml:space="preserve">However, some </w:t>
      </w:r>
      <w:r w:rsidRPr="003408A6">
        <w:rPr>
          <w:rFonts w:eastAsiaTheme="minorEastAsia"/>
          <w:snapToGrid w:val="0"/>
          <w:lang w:val="en-AU"/>
        </w:rPr>
        <w:t>issues were raised about the initial female program</w:t>
      </w:r>
      <w:r w:rsidR="00FE6981" w:rsidRPr="003408A6">
        <w:rPr>
          <w:rFonts w:eastAsiaTheme="minorEastAsia"/>
          <w:snapToGrid w:val="0"/>
          <w:lang w:val="en-AU"/>
        </w:rPr>
        <w:t>. These</w:t>
      </w:r>
      <w:r w:rsidRPr="003408A6">
        <w:rPr>
          <w:rFonts w:eastAsiaTheme="minorEastAsia"/>
          <w:snapToGrid w:val="0"/>
          <w:lang w:val="en-AU"/>
        </w:rPr>
        <w:t xml:space="preserve"> included the very short lead-time to organis</w:t>
      </w:r>
      <w:r w:rsidR="00FE6981" w:rsidRPr="003408A6">
        <w:rPr>
          <w:rFonts w:eastAsiaTheme="minorEastAsia"/>
          <w:snapToGrid w:val="0"/>
          <w:lang w:val="en-AU"/>
        </w:rPr>
        <w:t>e</w:t>
      </w:r>
      <w:r w:rsidRPr="003408A6">
        <w:rPr>
          <w:rFonts w:eastAsiaTheme="minorEastAsia"/>
          <w:snapToGrid w:val="0"/>
          <w:lang w:val="en-AU"/>
        </w:rPr>
        <w:t xml:space="preserve"> </w:t>
      </w:r>
      <w:r w:rsidR="00006FDF" w:rsidRPr="003408A6">
        <w:rPr>
          <w:rFonts w:eastAsiaTheme="minorEastAsia"/>
          <w:snapToGrid w:val="0"/>
          <w:lang w:val="en-AU"/>
        </w:rPr>
        <w:t xml:space="preserve">3 </w:t>
      </w:r>
      <w:r w:rsidRPr="003408A6">
        <w:rPr>
          <w:rFonts w:eastAsiaTheme="minorEastAsia"/>
          <w:snapToGrid w:val="0"/>
          <w:lang w:val="en-AU"/>
        </w:rPr>
        <w:t xml:space="preserve">doses for a large cohort of adolescent </w:t>
      </w:r>
      <w:r w:rsidR="00A42977" w:rsidRPr="003408A6">
        <w:rPr>
          <w:lang w:val="en-AU"/>
        </w:rPr>
        <w:t>females</w:t>
      </w:r>
      <w:r w:rsidRPr="003408A6">
        <w:rPr>
          <w:rFonts w:eastAsiaTheme="minorEastAsia"/>
          <w:snapToGrid w:val="0"/>
          <w:lang w:val="en-AU"/>
        </w:rPr>
        <w:t xml:space="preserve"> within the school year and the late availability of information resources. </w:t>
      </w:r>
      <w:r w:rsidR="00FE6981" w:rsidRPr="003408A6">
        <w:rPr>
          <w:rFonts w:eastAsiaTheme="minorEastAsia"/>
          <w:snapToGrid w:val="0"/>
          <w:lang w:val="en-AU"/>
        </w:rPr>
        <w:t xml:space="preserve">At that time, there was the added factor of </w:t>
      </w:r>
      <w:r w:rsidRPr="003408A6">
        <w:rPr>
          <w:rFonts w:eastAsiaTheme="minorEastAsia"/>
          <w:snapToGrid w:val="0"/>
          <w:lang w:val="en-AU"/>
        </w:rPr>
        <w:t>community concerns about vaccine safety</w:t>
      </w:r>
      <w:r w:rsidR="00FE6981" w:rsidRPr="003408A6">
        <w:rPr>
          <w:rFonts w:eastAsiaTheme="minorEastAsia"/>
          <w:snapToGrid w:val="0"/>
          <w:lang w:val="en-AU"/>
        </w:rPr>
        <w:t>,</w:t>
      </w:r>
      <w:r w:rsidRPr="003408A6">
        <w:rPr>
          <w:rFonts w:eastAsiaTheme="minorEastAsia"/>
          <w:snapToGrid w:val="0"/>
          <w:lang w:val="en-AU"/>
        </w:rPr>
        <w:t xml:space="preserve"> adverse events and </w:t>
      </w:r>
      <w:r w:rsidR="00FE6981" w:rsidRPr="003408A6">
        <w:rPr>
          <w:rFonts w:eastAsiaTheme="minorEastAsia"/>
          <w:snapToGrid w:val="0"/>
          <w:lang w:val="en-AU"/>
        </w:rPr>
        <w:t xml:space="preserve">the perception </w:t>
      </w:r>
      <w:r w:rsidRPr="003408A6">
        <w:rPr>
          <w:rFonts w:eastAsiaTheme="minorEastAsia"/>
          <w:snapToGrid w:val="0"/>
          <w:lang w:val="en-AU"/>
        </w:rPr>
        <w:t>that vaccinating against a sexually transmitted infection may encourage an early sexual debut in adolescent girls.</w:t>
      </w:r>
    </w:p>
    <w:p w:rsidR="00F60053" w:rsidRPr="003408A6" w:rsidRDefault="00C552EB" w:rsidP="00814DDD">
      <w:pPr>
        <w:pStyle w:val="BodyText"/>
        <w:rPr>
          <w:rFonts w:eastAsiaTheme="minorEastAsia"/>
          <w:snapToGrid w:val="0"/>
          <w:lang w:val="en-AU"/>
        </w:rPr>
      </w:pPr>
      <w:r w:rsidRPr="003408A6">
        <w:rPr>
          <w:rFonts w:eastAsiaTheme="minorEastAsia"/>
          <w:snapToGrid w:val="0"/>
          <w:lang w:val="en-AU"/>
        </w:rPr>
        <w:t>Most program managers and providers (n=14)</w:t>
      </w:r>
      <w:r w:rsidR="007A6255" w:rsidRPr="003408A6">
        <w:rPr>
          <w:rFonts w:eastAsiaTheme="minorEastAsia"/>
          <w:snapToGrid w:val="0"/>
          <w:lang w:val="en-AU"/>
        </w:rPr>
        <w:t xml:space="preserve"> </w:t>
      </w:r>
      <w:r w:rsidRPr="003408A6">
        <w:rPr>
          <w:rFonts w:eastAsiaTheme="minorEastAsia"/>
          <w:snapToGrid w:val="0"/>
          <w:lang w:val="en-AU"/>
        </w:rPr>
        <w:t>observed</w:t>
      </w:r>
      <w:r w:rsidR="00C27F10" w:rsidRPr="003408A6">
        <w:rPr>
          <w:rFonts w:eastAsiaTheme="minorEastAsia"/>
          <w:snapToGrid w:val="0"/>
          <w:lang w:val="en-AU"/>
        </w:rPr>
        <w:t xml:space="preserve"> </w:t>
      </w:r>
      <w:r w:rsidR="00105EE4" w:rsidRPr="003408A6">
        <w:rPr>
          <w:rFonts w:eastAsiaTheme="minorEastAsia"/>
          <w:snapToGrid w:val="0"/>
          <w:lang w:val="en-AU"/>
        </w:rPr>
        <w:t>that</w:t>
      </w:r>
      <w:r w:rsidR="007A6255" w:rsidRPr="003408A6">
        <w:rPr>
          <w:rFonts w:eastAsiaTheme="minorEastAsia"/>
          <w:snapToGrid w:val="0"/>
          <w:lang w:val="en-AU"/>
        </w:rPr>
        <w:t xml:space="preserve"> the male program was well</w:t>
      </w:r>
      <w:r w:rsidR="00105EE4" w:rsidRPr="003408A6">
        <w:rPr>
          <w:rFonts w:eastAsiaTheme="minorEastAsia"/>
          <w:snapToGrid w:val="0"/>
          <w:lang w:val="en-AU"/>
        </w:rPr>
        <w:t xml:space="preserve"> </w:t>
      </w:r>
      <w:r w:rsidR="007A6255" w:rsidRPr="003408A6">
        <w:rPr>
          <w:rFonts w:eastAsiaTheme="minorEastAsia"/>
          <w:snapToGrid w:val="0"/>
          <w:lang w:val="en-AU"/>
        </w:rPr>
        <w:t>accepted</w:t>
      </w:r>
      <w:r w:rsidR="00EE26E6">
        <w:rPr>
          <w:rFonts w:eastAsiaTheme="minorEastAsia"/>
          <w:snapToGrid w:val="0"/>
          <w:lang w:val="en-AU"/>
        </w:rPr>
        <w:t>.</w:t>
      </w:r>
      <w:r w:rsidR="00C27F10" w:rsidRPr="003408A6">
        <w:rPr>
          <w:rFonts w:eastAsiaTheme="minorEastAsia"/>
          <w:snapToGrid w:val="0"/>
          <w:lang w:val="en-AU"/>
        </w:rPr>
        <w:t xml:space="preserve"> </w:t>
      </w:r>
      <w:r w:rsidR="00EE26E6">
        <w:rPr>
          <w:rFonts w:eastAsiaTheme="minorEastAsia"/>
          <w:snapToGrid w:val="0"/>
          <w:lang w:val="en-AU"/>
        </w:rPr>
        <w:t>R</w:t>
      </w:r>
      <w:r w:rsidR="00C27F10" w:rsidRPr="003408A6">
        <w:rPr>
          <w:rFonts w:eastAsiaTheme="minorEastAsia"/>
          <w:snapToGrid w:val="0"/>
          <w:lang w:val="en-AU"/>
        </w:rPr>
        <w:t>easons for acceptance</w:t>
      </w:r>
      <w:r w:rsidR="007A6255" w:rsidRPr="003408A6">
        <w:rPr>
          <w:rFonts w:eastAsiaTheme="minorEastAsia"/>
          <w:snapToGrid w:val="0"/>
          <w:lang w:val="en-AU"/>
        </w:rPr>
        <w:t xml:space="preserve"> </w:t>
      </w:r>
      <w:r w:rsidR="00C27F10" w:rsidRPr="003408A6">
        <w:rPr>
          <w:rFonts w:eastAsiaTheme="minorEastAsia"/>
          <w:snapToGrid w:val="0"/>
          <w:lang w:val="en-AU"/>
        </w:rPr>
        <w:t>included</w:t>
      </w:r>
      <w:r w:rsidR="0070073B" w:rsidRPr="003408A6">
        <w:rPr>
          <w:rFonts w:eastAsiaTheme="minorEastAsia"/>
          <w:snapToGrid w:val="0"/>
          <w:lang w:val="en-AU"/>
        </w:rPr>
        <w:t xml:space="preserve"> the establishment of the female program on the National Immunisation Program (NIP)</w:t>
      </w:r>
      <w:r w:rsidR="00C27F10" w:rsidRPr="003408A6">
        <w:rPr>
          <w:rFonts w:eastAsiaTheme="minorEastAsia"/>
          <w:snapToGrid w:val="0"/>
          <w:lang w:val="en-AU"/>
        </w:rPr>
        <w:t>,</w:t>
      </w:r>
      <w:r w:rsidR="0070073B" w:rsidRPr="003408A6">
        <w:rPr>
          <w:rFonts w:eastAsiaTheme="minorEastAsia"/>
          <w:snapToGrid w:val="0"/>
          <w:lang w:val="en-AU"/>
        </w:rPr>
        <w:t xml:space="preserve"> </w:t>
      </w:r>
      <w:r w:rsidR="00C27F10" w:rsidRPr="003408A6">
        <w:rPr>
          <w:rFonts w:eastAsiaTheme="minorEastAsia"/>
          <w:snapToGrid w:val="0"/>
          <w:lang w:val="en-AU"/>
        </w:rPr>
        <w:t>the expectation that the vaccine would be extended to include males, greater knowledge of HPV and reduced parental concerns around a vaccine related to sexual health</w:t>
      </w:r>
      <w:r w:rsidR="0070073B" w:rsidRPr="003408A6">
        <w:rPr>
          <w:rFonts w:eastAsiaTheme="minorEastAsia"/>
          <w:snapToGrid w:val="0"/>
          <w:lang w:val="en-AU"/>
        </w:rPr>
        <w:t xml:space="preserve">. Lessons </w:t>
      </w:r>
      <w:r w:rsidR="0070073B" w:rsidRPr="003408A6">
        <w:rPr>
          <w:lang w:val="en-AU"/>
        </w:rPr>
        <w:t>learnt</w:t>
      </w:r>
      <w:r w:rsidR="0070073B" w:rsidRPr="003408A6">
        <w:rPr>
          <w:rFonts w:eastAsiaTheme="minorEastAsia"/>
          <w:snapToGrid w:val="0"/>
          <w:lang w:val="en-AU"/>
        </w:rPr>
        <w:t xml:space="preserve"> from the female program were applied when extending the program to males including development of comprehensive and accessible information resources and establishment of enhanced surveillance </w:t>
      </w:r>
      <w:r w:rsidR="000579E3" w:rsidRPr="003408A6">
        <w:rPr>
          <w:rFonts w:eastAsiaTheme="minorEastAsia"/>
          <w:snapToGrid w:val="0"/>
          <w:lang w:val="en-AU"/>
        </w:rPr>
        <w:t>activities</w:t>
      </w:r>
      <w:r w:rsidR="0070073B" w:rsidRPr="003408A6">
        <w:rPr>
          <w:rFonts w:eastAsiaTheme="minorEastAsia"/>
          <w:snapToGrid w:val="0"/>
          <w:lang w:val="en-AU"/>
        </w:rPr>
        <w:t xml:space="preserve"> for adverse events.</w:t>
      </w:r>
    </w:p>
    <w:p w:rsidR="007A6255" w:rsidRPr="003408A6" w:rsidRDefault="00F60053" w:rsidP="00814DDD">
      <w:pPr>
        <w:pStyle w:val="BodyText"/>
        <w:rPr>
          <w:rFonts w:eastAsiaTheme="minorEastAsia"/>
          <w:snapToGrid w:val="0"/>
          <w:lang w:val="en-AU"/>
        </w:rPr>
      </w:pPr>
      <w:r w:rsidRPr="003408A6">
        <w:rPr>
          <w:rFonts w:eastAsiaTheme="minorEastAsia"/>
          <w:snapToGrid w:val="0"/>
          <w:lang w:val="en-AU"/>
        </w:rPr>
        <w:t xml:space="preserve">Under the National Health Care </w:t>
      </w:r>
      <w:r w:rsidR="00717C9F" w:rsidRPr="003408A6">
        <w:rPr>
          <w:rFonts w:eastAsiaTheme="minorEastAsia"/>
          <w:snapToGrid w:val="0"/>
          <w:lang w:val="en-AU"/>
        </w:rPr>
        <w:t xml:space="preserve">Agreement, the </w:t>
      </w:r>
      <w:r w:rsidRPr="003408A6">
        <w:rPr>
          <w:rFonts w:eastAsiaTheme="minorEastAsia"/>
          <w:snapToGrid w:val="0"/>
          <w:lang w:val="en-AU"/>
        </w:rPr>
        <w:t xml:space="preserve">states and territories are responsible for providing service delivery of the HPV vaccination program while the Commonwealth is responsible for purchasing the vaccine. While recognising their responsibilities under the National Health Care Agreement, </w:t>
      </w:r>
      <w:r w:rsidR="00EE26E6">
        <w:rPr>
          <w:rFonts w:eastAsiaTheme="minorEastAsia"/>
          <w:snapToGrid w:val="0"/>
          <w:lang w:val="en-AU"/>
        </w:rPr>
        <w:t>j</w:t>
      </w:r>
      <w:r w:rsidRPr="003408A6">
        <w:rPr>
          <w:rFonts w:eastAsiaTheme="minorEastAsia"/>
          <w:snapToGrid w:val="0"/>
          <w:lang w:val="en-AU"/>
        </w:rPr>
        <w:t xml:space="preserve">urisdictional </w:t>
      </w:r>
      <w:r w:rsidR="00EE26E6">
        <w:rPr>
          <w:rFonts w:eastAsiaTheme="minorEastAsia"/>
          <w:snapToGrid w:val="0"/>
          <w:lang w:val="en-AU"/>
        </w:rPr>
        <w:t>m</w:t>
      </w:r>
      <w:r w:rsidRPr="003408A6">
        <w:rPr>
          <w:rFonts w:eastAsiaTheme="minorEastAsia"/>
          <w:snapToGrid w:val="0"/>
          <w:lang w:val="en-AU"/>
        </w:rPr>
        <w:t>anagers raised the lack of additional funding to support service delivery as t</w:t>
      </w:r>
      <w:r w:rsidR="0070073B" w:rsidRPr="003408A6">
        <w:rPr>
          <w:rFonts w:eastAsiaTheme="minorEastAsia"/>
          <w:snapToGrid w:val="0"/>
          <w:lang w:val="en-AU"/>
        </w:rPr>
        <w:t xml:space="preserve">he </w:t>
      </w:r>
      <w:r w:rsidR="00FE6981" w:rsidRPr="003408A6">
        <w:rPr>
          <w:rFonts w:eastAsiaTheme="minorEastAsia"/>
          <w:snapToGrid w:val="0"/>
          <w:lang w:val="en-AU"/>
        </w:rPr>
        <w:t xml:space="preserve">main </w:t>
      </w:r>
      <w:r w:rsidRPr="003408A6">
        <w:rPr>
          <w:rFonts w:eastAsiaTheme="minorEastAsia"/>
          <w:snapToGrid w:val="0"/>
          <w:lang w:val="en-AU"/>
        </w:rPr>
        <w:t xml:space="preserve">issue they faced when implementing </w:t>
      </w:r>
      <w:r w:rsidR="0070073B" w:rsidRPr="003408A6">
        <w:rPr>
          <w:rFonts w:eastAsiaTheme="minorEastAsia"/>
          <w:snapToGrid w:val="0"/>
          <w:lang w:val="en-AU"/>
        </w:rPr>
        <w:t xml:space="preserve">the </w:t>
      </w:r>
      <w:r w:rsidRPr="003408A6">
        <w:rPr>
          <w:rFonts w:eastAsiaTheme="minorEastAsia"/>
          <w:snapToGrid w:val="0"/>
          <w:lang w:val="en-AU"/>
        </w:rPr>
        <w:t xml:space="preserve">extended </w:t>
      </w:r>
      <w:r w:rsidR="0070073B" w:rsidRPr="003408A6">
        <w:rPr>
          <w:rFonts w:eastAsiaTheme="minorEastAsia"/>
          <w:snapToGrid w:val="0"/>
          <w:lang w:val="en-AU"/>
        </w:rPr>
        <w:t>program for males</w:t>
      </w:r>
      <w:r w:rsidRPr="003408A6">
        <w:rPr>
          <w:rFonts w:eastAsiaTheme="minorEastAsia"/>
          <w:snapToGrid w:val="0"/>
          <w:lang w:val="en-AU"/>
        </w:rPr>
        <w:t>.</w:t>
      </w:r>
      <w:r w:rsidR="0070073B" w:rsidRPr="003408A6">
        <w:rPr>
          <w:rFonts w:eastAsiaTheme="minorEastAsia"/>
          <w:snapToGrid w:val="0"/>
          <w:lang w:val="en-AU"/>
        </w:rPr>
        <w:t xml:space="preserve"> </w:t>
      </w:r>
      <w:r w:rsidR="003E66B7" w:rsidRPr="003408A6">
        <w:rPr>
          <w:rFonts w:eastAsiaTheme="minorEastAsia"/>
          <w:snapToGrid w:val="0"/>
          <w:lang w:val="en-AU"/>
        </w:rPr>
        <w:t xml:space="preserve">This was contrasted with the </w:t>
      </w:r>
      <w:r w:rsidR="00FE6981" w:rsidRPr="003408A6">
        <w:rPr>
          <w:rFonts w:eastAsiaTheme="minorEastAsia"/>
          <w:snapToGrid w:val="0"/>
          <w:lang w:val="en-AU"/>
        </w:rPr>
        <w:t>provisions</w:t>
      </w:r>
      <w:r w:rsidR="003E66B7" w:rsidRPr="003408A6">
        <w:rPr>
          <w:rFonts w:eastAsiaTheme="minorEastAsia"/>
          <w:snapToGrid w:val="0"/>
          <w:lang w:val="en-AU"/>
        </w:rPr>
        <w:t xml:space="preserve"> made by the Commonwealth for service delivery at the start of</w:t>
      </w:r>
      <w:r w:rsidR="00FE6981" w:rsidRPr="003408A6">
        <w:rPr>
          <w:rFonts w:eastAsiaTheme="minorEastAsia"/>
          <w:snapToGrid w:val="0"/>
          <w:lang w:val="en-AU"/>
        </w:rPr>
        <w:t xml:space="preserve"> the female program</w:t>
      </w:r>
      <w:r w:rsidR="0070073B" w:rsidRPr="003408A6">
        <w:rPr>
          <w:rFonts w:eastAsiaTheme="minorEastAsia"/>
          <w:snapToGrid w:val="0"/>
          <w:lang w:val="en-AU"/>
        </w:rPr>
        <w:t xml:space="preserve">. </w:t>
      </w:r>
      <w:r w:rsidR="007A6255" w:rsidRPr="003408A6">
        <w:rPr>
          <w:rFonts w:eastAsiaTheme="minorEastAsia"/>
          <w:snapToGrid w:val="0"/>
          <w:lang w:val="en-AU"/>
        </w:rPr>
        <w:t xml:space="preserve">With the inclusion of males, the National HPV Vaccination Program now involves delivering 3 doses of vaccine to a large cohort of students within the limited timeframe of the school year. </w:t>
      </w:r>
      <w:r w:rsidR="00FE6981" w:rsidRPr="003408A6">
        <w:rPr>
          <w:rFonts w:eastAsiaTheme="minorEastAsia"/>
          <w:snapToGrid w:val="0"/>
          <w:lang w:val="en-AU"/>
        </w:rPr>
        <w:t xml:space="preserve">It was noted that </w:t>
      </w:r>
      <w:r w:rsidR="003E66B7" w:rsidRPr="003408A6">
        <w:rPr>
          <w:rFonts w:eastAsiaTheme="minorEastAsia"/>
          <w:snapToGrid w:val="0"/>
          <w:lang w:val="en-AU"/>
        </w:rPr>
        <w:t>adding males to the</w:t>
      </w:r>
      <w:r w:rsidR="00FE6981" w:rsidRPr="003408A6">
        <w:rPr>
          <w:rFonts w:eastAsiaTheme="minorEastAsia"/>
          <w:snapToGrid w:val="0"/>
          <w:lang w:val="en-AU"/>
        </w:rPr>
        <w:t xml:space="preserve"> </w:t>
      </w:r>
      <w:r w:rsidR="00FE6981" w:rsidRPr="003408A6">
        <w:rPr>
          <w:lang w:val="en-AU"/>
        </w:rPr>
        <w:t>program</w:t>
      </w:r>
      <w:r w:rsidR="00FE6981" w:rsidRPr="003408A6">
        <w:rPr>
          <w:rFonts w:eastAsiaTheme="minorEastAsia"/>
          <w:snapToGrid w:val="0"/>
          <w:lang w:val="en-AU"/>
        </w:rPr>
        <w:t xml:space="preserve"> placed additional</w:t>
      </w:r>
      <w:r w:rsidR="0070073B" w:rsidRPr="003408A6">
        <w:rPr>
          <w:rFonts w:eastAsiaTheme="minorEastAsia"/>
          <w:snapToGrid w:val="0"/>
          <w:lang w:val="en-AU"/>
        </w:rPr>
        <w:t xml:space="preserve"> pressure on jurisdictional capacity in terms of staff levels and </w:t>
      </w:r>
      <w:r w:rsidR="00FE6981" w:rsidRPr="003408A6">
        <w:rPr>
          <w:rFonts w:eastAsiaTheme="minorEastAsia"/>
          <w:snapToGrid w:val="0"/>
          <w:lang w:val="en-AU"/>
        </w:rPr>
        <w:t xml:space="preserve">liaisons </w:t>
      </w:r>
      <w:r w:rsidR="0070073B" w:rsidRPr="003408A6">
        <w:rPr>
          <w:rFonts w:eastAsiaTheme="minorEastAsia"/>
          <w:snapToGrid w:val="0"/>
          <w:lang w:val="en-AU"/>
        </w:rPr>
        <w:t>with the school sector</w:t>
      </w:r>
      <w:r w:rsidR="003E66B7" w:rsidRPr="003408A6">
        <w:rPr>
          <w:rFonts w:eastAsiaTheme="minorEastAsia"/>
          <w:snapToGrid w:val="0"/>
          <w:lang w:val="en-AU"/>
        </w:rPr>
        <w:t>. The rollout of both the female and male programs was made more difficult by time</w:t>
      </w:r>
      <w:r w:rsidR="00EE26E6">
        <w:rPr>
          <w:rFonts w:eastAsiaTheme="minorEastAsia"/>
          <w:snapToGrid w:val="0"/>
          <w:lang w:val="en-AU"/>
        </w:rPr>
        <w:t xml:space="preserve"> </w:t>
      </w:r>
      <w:r w:rsidR="003E66B7" w:rsidRPr="003408A6">
        <w:rPr>
          <w:rFonts w:eastAsiaTheme="minorEastAsia"/>
          <w:snapToGrid w:val="0"/>
          <w:lang w:val="en-AU"/>
        </w:rPr>
        <w:t>pressures due to short</w:t>
      </w:r>
      <w:r w:rsidR="0070073B" w:rsidRPr="003408A6">
        <w:rPr>
          <w:rFonts w:eastAsiaTheme="minorEastAsia"/>
          <w:snapToGrid w:val="0"/>
          <w:lang w:val="en-AU"/>
        </w:rPr>
        <w:t xml:space="preserve"> lead-time</w:t>
      </w:r>
      <w:r w:rsidR="003E66B7" w:rsidRPr="003408A6">
        <w:rPr>
          <w:rFonts w:eastAsiaTheme="minorEastAsia"/>
          <w:snapToGrid w:val="0"/>
          <w:lang w:val="en-AU"/>
        </w:rPr>
        <w:t>s from the announcement (especially so for the female program)</w:t>
      </w:r>
      <w:r w:rsidR="0070073B" w:rsidRPr="003408A6">
        <w:rPr>
          <w:rFonts w:eastAsiaTheme="minorEastAsia"/>
          <w:snapToGrid w:val="0"/>
          <w:lang w:val="en-AU"/>
        </w:rPr>
        <w:t xml:space="preserve"> and </w:t>
      </w:r>
      <w:r w:rsidR="003E66B7" w:rsidRPr="003408A6">
        <w:rPr>
          <w:rFonts w:eastAsiaTheme="minorEastAsia"/>
          <w:snapToGrid w:val="0"/>
          <w:lang w:val="en-AU"/>
        </w:rPr>
        <w:t xml:space="preserve">the </w:t>
      </w:r>
      <w:r w:rsidR="0070073B" w:rsidRPr="003408A6">
        <w:rPr>
          <w:rFonts w:eastAsiaTheme="minorEastAsia"/>
          <w:snapToGrid w:val="0"/>
          <w:lang w:val="en-AU"/>
        </w:rPr>
        <w:t xml:space="preserve">late availability of </w:t>
      </w:r>
      <w:r w:rsidR="003E66B7" w:rsidRPr="003408A6">
        <w:rPr>
          <w:rFonts w:eastAsiaTheme="minorEastAsia"/>
          <w:snapToGrid w:val="0"/>
          <w:lang w:val="en-AU"/>
        </w:rPr>
        <w:t xml:space="preserve">information </w:t>
      </w:r>
      <w:r w:rsidR="0070073B" w:rsidRPr="003408A6">
        <w:rPr>
          <w:rFonts w:eastAsiaTheme="minorEastAsia"/>
          <w:snapToGrid w:val="0"/>
          <w:lang w:val="en-AU"/>
        </w:rPr>
        <w:t xml:space="preserve">resources. </w:t>
      </w:r>
    </w:p>
    <w:p w:rsidR="007A6255" w:rsidRPr="003408A6" w:rsidRDefault="007A6255" w:rsidP="00814DDD">
      <w:pPr>
        <w:pStyle w:val="BodyText"/>
        <w:rPr>
          <w:rFonts w:eastAsiaTheme="minorEastAsia"/>
          <w:snapToGrid w:val="0"/>
          <w:lang w:val="en-AU"/>
        </w:rPr>
      </w:pPr>
      <w:r w:rsidRPr="003408A6">
        <w:rPr>
          <w:rFonts w:eastAsiaTheme="minorEastAsia"/>
          <w:snapToGrid w:val="0"/>
          <w:lang w:val="en-AU"/>
        </w:rPr>
        <w:t xml:space="preserve">Stakeholders expressed a need for improved </w:t>
      </w:r>
      <w:r w:rsidR="003E66B7" w:rsidRPr="003408A6">
        <w:rPr>
          <w:rFonts w:eastAsiaTheme="minorEastAsia"/>
          <w:snapToGrid w:val="0"/>
          <w:lang w:val="en-AU"/>
        </w:rPr>
        <w:t xml:space="preserve">communication </w:t>
      </w:r>
      <w:r w:rsidRPr="003408A6">
        <w:rPr>
          <w:rFonts w:eastAsiaTheme="minorEastAsia"/>
          <w:snapToGrid w:val="0"/>
          <w:lang w:val="en-AU"/>
        </w:rPr>
        <w:t>mechanisms to share dosage information between the school-</w:t>
      </w:r>
      <w:r w:rsidRPr="003408A6">
        <w:rPr>
          <w:lang w:val="en-AU"/>
        </w:rPr>
        <w:t>based</w:t>
      </w:r>
      <w:r w:rsidRPr="003408A6">
        <w:rPr>
          <w:rFonts w:eastAsiaTheme="minorEastAsia"/>
          <w:snapToGrid w:val="0"/>
          <w:lang w:val="en-AU"/>
        </w:rPr>
        <w:t xml:space="preserve"> program and providers who deliver missed doses outside the school setting.</w:t>
      </w:r>
    </w:p>
    <w:p w:rsidR="0070073B" w:rsidRPr="003408A6" w:rsidRDefault="00A55D9C" w:rsidP="00814DDD">
      <w:pPr>
        <w:pStyle w:val="BodyText"/>
        <w:rPr>
          <w:rFonts w:eastAsiaTheme="minorEastAsia"/>
          <w:snapToGrid w:val="0"/>
          <w:lang w:val="en-AU"/>
        </w:rPr>
      </w:pPr>
      <w:r w:rsidRPr="003408A6">
        <w:rPr>
          <w:rFonts w:eastAsiaTheme="minorEastAsia"/>
          <w:snapToGrid w:val="0"/>
          <w:lang w:val="en-AU"/>
        </w:rPr>
        <w:t>Despite these challenges</w:t>
      </w:r>
      <w:r w:rsidR="0070073B" w:rsidRPr="003408A6">
        <w:rPr>
          <w:rFonts w:eastAsiaTheme="minorEastAsia"/>
          <w:snapToGrid w:val="0"/>
          <w:lang w:val="en-AU"/>
        </w:rPr>
        <w:t xml:space="preserve">, </w:t>
      </w:r>
      <w:r w:rsidR="003C41DF" w:rsidRPr="003408A6">
        <w:rPr>
          <w:lang w:val="en-AU"/>
        </w:rPr>
        <w:t>stakeholders</w:t>
      </w:r>
      <w:r w:rsidR="003C41DF" w:rsidRPr="003408A6">
        <w:rPr>
          <w:rFonts w:eastAsiaTheme="minorEastAsia"/>
          <w:snapToGrid w:val="0"/>
          <w:lang w:val="en-AU"/>
        </w:rPr>
        <w:t xml:space="preserve"> </w:t>
      </w:r>
      <w:r w:rsidR="0070073B" w:rsidRPr="003408A6">
        <w:rPr>
          <w:rFonts w:eastAsiaTheme="minorEastAsia"/>
          <w:snapToGrid w:val="0"/>
          <w:lang w:val="en-AU"/>
        </w:rPr>
        <w:t xml:space="preserve">expressed strong support for running the </w:t>
      </w:r>
      <w:r w:rsidR="003E66B7" w:rsidRPr="003408A6">
        <w:rPr>
          <w:rFonts w:eastAsiaTheme="minorEastAsia"/>
          <w:snapToGrid w:val="0"/>
          <w:lang w:val="en-AU"/>
        </w:rPr>
        <w:t xml:space="preserve">HPV vaccination program as a </w:t>
      </w:r>
      <w:r w:rsidR="0070073B" w:rsidRPr="003408A6">
        <w:rPr>
          <w:rFonts w:eastAsiaTheme="minorEastAsia"/>
          <w:snapToGrid w:val="0"/>
          <w:lang w:val="en-AU"/>
        </w:rPr>
        <w:t xml:space="preserve">school-based program and </w:t>
      </w:r>
      <w:r w:rsidRPr="003408A6">
        <w:rPr>
          <w:rFonts w:eastAsiaTheme="minorEastAsia"/>
          <w:snapToGrid w:val="0"/>
          <w:lang w:val="en-AU"/>
        </w:rPr>
        <w:t xml:space="preserve">noted </w:t>
      </w:r>
      <w:r w:rsidR="0070073B" w:rsidRPr="003408A6">
        <w:rPr>
          <w:rFonts w:eastAsiaTheme="minorEastAsia"/>
          <w:snapToGrid w:val="0"/>
          <w:lang w:val="en-AU"/>
        </w:rPr>
        <w:t>the advantages of the program in reaching adolescents and achieving good uptake of the HPV vaccine.</w:t>
      </w:r>
    </w:p>
    <w:p w:rsidR="005E0C3C" w:rsidRPr="003408A6" w:rsidRDefault="00563CAB" w:rsidP="00814DDD">
      <w:pPr>
        <w:pStyle w:val="Heading3"/>
        <w:rPr>
          <w:rFonts w:eastAsiaTheme="minorEastAsia"/>
          <w:snapToGrid w:val="0"/>
        </w:rPr>
      </w:pPr>
      <w:r w:rsidRPr="003408A6">
        <w:rPr>
          <w:rFonts w:eastAsiaTheme="minorEastAsia"/>
          <w:snapToGrid w:val="0"/>
        </w:rPr>
        <w:t>V</w:t>
      </w:r>
      <w:r w:rsidR="005E0C3C" w:rsidRPr="003408A6">
        <w:rPr>
          <w:rFonts w:eastAsiaTheme="minorEastAsia"/>
          <w:snapToGrid w:val="0"/>
        </w:rPr>
        <w:t xml:space="preserve">accination coverage </w:t>
      </w:r>
    </w:p>
    <w:p w:rsidR="005E0C3C" w:rsidRPr="003408A6" w:rsidRDefault="005E0C3C" w:rsidP="00814DDD">
      <w:pPr>
        <w:pStyle w:val="BodyText"/>
        <w:rPr>
          <w:rFonts w:eastAsiaTheme="minorEastAsia"/>
          <w:snapToGrid w:val="0"/>
          <w:lang w:val="en-AU"/>
        </w:rPr>
      </w:pPr>
      <w:r w:rsidRPr="003408A6">
        <w:rPr>
          <w:rFonts w:eastAsiaTheme="minorEastAsia"/>
          <w:snapToGrid w:val="0"/>
          <w:lang w:val="en-AU"/>
        </w:rPr>
        <w:t xml:space="preserve">As recorded on the NHVPR, coverage achieved in the female HPV vaccination catch-up program was substantial, with national coverage of 66/58/47% for doses 1/2/3, respectively, in the 12–26-year-old cohort overall. Actual coverage is undoubtedly higher, given the need for parental or patient consent to record doses on the NHVPR and likely under-notification of doses from providers outside of the school-based program. Providers outside schools were particularly important for women aged 18–26 years in 2007, among whom a population-based mobile phone survey </w:t>
      </w:r>
      <w:r w:rsidRPr="003408A6">
        <w:rPr>
          <w:lang w:val="en-AU"/>
        </w:rPr>
        <w:t>found</w:t>
      </w:r>
      <w:r w:rsidRPr="003408A6">
        <w:rPr>
          <w:rFonts w:eastAsiaTheme="minorEastAsia"/>
          <w:snapToGrid w:val="0"/>
          <w:lang w:val="en-AU"/>
        </w:rPr>
        <w:t xml:space="preserve"> self-reported coverage to be </w:t>
      </w:r>
      <w:r w:rsidR="005D37AB">
        <w:rPr>
          <w:rFonts w:eastAsiaTheme="minorEastAsia"/>
          <w:snapToGrid w:val="0"/>
          <w:lang w:val="en-AU"/>
        </w:rPr>
        <w:t>2</w:t>
      </w:r>
      <w:r w:rsidRPr="003408A6">
        <w:rPr>
          <w:rFonts w:eastAsiaTheme="minorEastAsia"/>
          <w:snapToGrid w:val="0"/>
          <w:lang w:val="en-AU"/>
        </w:rPr>
        <w:t>0/15/</w:t>
      </w:r>
      <w:r w:rsidR="005D37AB">
        <w:rPr>
          <w:rFonts w:eastAsiaTheme="minorEastAsia"/>
          <w:snapToGrid w:val="0"/>
          <w:lang w:val="en-AU"/>
        </w:rPr>
        <w:t>1</w:t>
      </w:r>
      <w:r w:rsidRPr="003408A6">
        <w:rPr>
          <w:rFonts w:eastAsiaTheme="minorEastAsia"/>
          <w:snapToGrid w:val="0"/>
          <w:lang w:val="en-AU"/>
        </w:rPr>
        <w:t xml:space="preserve">0% higher for doses 1/2/3, respectively, than that reported on the NHVPR, with a validation substudy able to verify 86% of self-reported doses. </w:t>
      </w:r>
    </w:p>
    <w:p w:rsidR="005E0C3C" w:rsidRPr="003408A6" w:rsidRDefault="005E0C3C" w:rsidP="00814DDD">
      <w:pPr>
        <w:pStyle w:val="BodyText"/>
        <w:rPr>
          <w:rFonts w:eastAsiaTheme="minorEastAsia"/>
          <w:snapToGrid w:val="0"/>
          <w:lang w:val="en-AU"/>
        </w:rPr>
      </w:pPr>
      <w:r w:rsidRPr="003408A6">
        <w:rPr>
          <w:rFonts w:eastAsiaTheme="minorEastAsia"/>
          <w:snapToGrid w:val="0"/>
          <w:lang w:val="en-AU"/>
        </w:rPr>
        <w:t xml:space="preserve">Within the school cohorts, coverage for 12–17-year olds (2007) was 83/78/70% for doses 1/2/3, respectively. Monitoring of coverage in the 15-year-old cohorts over time suggests relatively stable coverage. </w:t>
      </w:r>
      <w:r w:rsidRPr="003408A6">
        <w:rPr>
          <w:lang w:val="en-AU"/>
        </w:rPr>
        <w:t>There</w:t>
      </w:r>
      <w:r w:rsidRPr="003408A6">
        <w:rPr>
          <w:rFonts w:eastAsiaTheme="minorEastAsia"/>
          <w:snapToGrid w:val="0"/>
          <w:lang w:val="en-AU"/>
        </w:rPr>
        <w:t xml:space="preserve"> was and is some variation in coverage achieved by jurisdiction</w:t>
      </w:r>
      <w:r w:rsidR="00694473">
        <w:rPr>
          <w:rFonts w:eastAsiaTheme="minorEastAsia"/>
          <w:snapToGrid w:val="0"/>
          <w:lang w:val="en-AU"/>
        </w:rPr>
        <w:t>s</w:t>
      </w:r>
      <w:r w:rsidRPr="003408A6">
        <w:rPr>
          <w:rFonts w:eastAsiaTheme="minorEastAsia"/>
          <w:snapToGrid w:val="0"/>
          <w:lang w:val="en-AU"/>
        </w:rPr>
        <w:t xml:space="preserve"> suggesting more effective delivery in some states/territories than others. Also notable is the difference between dose 1 and dose 3 coverage, highlighting the need for attention to barriers to completing the course. </w:t>
      </w:r>
    </w:p>
    <w:p w:rsidR="005E0C3C" w:rsidRPr="003408A6" w:rsidRDefault="005E0C3C" w:rsidP="00814DDD">
      <w:pPr>
        <w:pStyle w:val="BodyText"/>
        <w:rPr>
          <w:rFonts w:eastAsiaTheme="minorEastAsia"/>
          <w:snapToGrid w:val="0"/>
          <w:lang w:val="en-AU"/>
        </w:rPr>
      </w:pPr>
      <w:r w:rsidRPr="003408A6">
        <w:rPr>
          <w:rFonts w:eastAsiaTheme="minorEastAsia"/>
          <w:snapToGrid w:val="0"/>
          <w:lang w:val="en-AU"/>
        </w:rPr>
        <w:t xml:space="preserve">In contrast to the uptake of cervical screening in adult women, the school-based delivery of HPV vaccination achieves almost equivalent uptake by socioeconomic status, with only a 5% difference between 3-dose coverage in areas of lowest and highest SES (and a &lt;1% difference for 1-dose coverage). Similarly, coverage is relatively equal by area of residence. Although data interpretation is limited primarily due to uncertainty surrounding denominator estimates, data from the </w:t>
      </w:r>
      <w:r w:rsidRPr="003408A6">
        <w:rPr>
          <w:rFonts w:eastAsia="Calibri"/>
          <w:color w:val="000000"/>
          <w:lang w:val="en-AU"/>
        </w:rPr>
        <w:t>Northern Territory</w:t>
      </w:r>
      <w:r w:rsidRPr="003408A6">
        <w:rPr>
          <w:rFonts w:eastAsiaTheme="minorEastAsia"/>
          <w:snapToGrid w:val="0"/>
          <w:lang w:val="en-AU"/>
        </w:rPr>
        <w:t xml:space="preserve"> and Queensland suggest lower coverage rates in Indigenous catch</w:t>
      </w:r>
      <w:r w:rsidR="00EE26E6">
        <w:rPr>
          <w:rFonts w:eastAsiaTheme="minorEastAsia"/>
          <w:snapToGrid w:val="0"/>
          <w:lang w:val="en-AU"/>
        </w:rPr>
        <w:t>-</w:t>
      </w:r>
      <w:r w:rsidRPr="003408A6">
        <w:rPr>
          <w:rFonts w:eastAsiaTheme="minorEastAsia"/>
          <w:snapToGrid w:val="0"/>
          <w:lang w:val="en-AU"/>
        </w:rPr>
        <w:t xml:space="preserve">up cohorts of school age. Data quality was not adequate to allow estimates of Indigenous coverage in other jurisdictions. </w:t>
      </w:r>
    </w:p>
    <w:p w:rsidR="005E0C3C" w:rsidRPr="003408A6" w:rsidRDefault="005E0C3C" w:rsidP="00814DDD">
      <w:pPr>
        <w:pStyle w:val="BodyText"/>
        <w:rPr>
          <w:rFonts w:eastAsiaTheme="minorEastAsia"/>
          <w:snapToGrid w:val="0"/>
          <w:lang w:val="en-AU"/>
        </w:rPr>
      </w:pPr>
      <w:r w:rsidRPr="003408A6">
        <w:rPr>
          <w:rFonts w:eastAsiaTheme="minorEastAsia"/>
          <w:snapToGrid w:val="0"/>
          <w:lang w:val="en-AU"/>
        </w:rPr>
        <w:t>Assessment of the impact of using Medicare enrolment data instead of ABS ERP estimates on coverage estimates from the catch-up program found that, overall, a small increase in coverage would result (about 0.5% in school cohorts and 2% in adult females). A third dose assumption applied to the catch-up program also improved 3-dose coverage estimates by a small amount (from 47% to 51% for th</w:t>
      </w:r>
      <w:r w:rsidRPr="003408A6">
        <w:rPr>
          <w:lang w:val="en-AU"/>
        </w:rPr>
        <w:t>e 12–16-year-old cohort overall.) The corresponding adverse impact on dose 1 and 2 coverage</w:t>
      </w:r>
      <w:r w:rsidRPr="003408A6">
        <w:rPr>
          <w:rFonts w:eastAsiaTheme="minorEastAsia"/>
          <w:snapToGrid w:val="0"/>
          <w:lang w:val="en-AU"/>
        </w:rPr>
        <w:t xml:space="preserve"> when provider-allocated dose numbering was used suggests that provider-reported dose number is not likely to be significantly more accurate than dose number assigned in date order by the NHVPR. </w:t>
      </w:r>
    </w:p>
    <w:p w:rsidR="005E0C3C" w:rsidRPr="003408A6" w:rsidRDefault="005E0C3C" w:rsidP="00814DDD">
      <w:pPr>
        <w:pStyle w:val="BodyText"/>
        <w:rPr>
          <w:rFonts w:eastAsiaTheme="minorEastAsia"/>
          <w:snapToGrid w:val="0"/>
          <w:lang w:val="en-AU"/>
        </w:rPr>
      </w:pPr>
      <w:r w:rsidRPr="003408A6">
        <w:rPr>
          <w:rFonts w:eastAsiaTheme="minorEastAsia"/>
          <w:snapToGrid w:val="0"/>
          <w:lang w:val="en-AU"/>
        </w:rPr>
        <w:t xml:space="preserve">Coverage measures at age 15 years </w:t>
      </w:r>
      <w:r w:rsidRPr="003408A6">
        <w:rPr>
          <w:lang w:val="en-AU"/>
        </w:rPr>
        <w:t>between</w:t>
      </w:r>
      <w:r w:rsidRPr="003408A6">
        <w:rPr>
          <w:rFonts w:eastAsiaTheme="minorEastAsia"/>
          <w:snapToGrid w:val="0"/>
          <w:lang w:val="en-AU"/>
        </w:rPr>
        <w:t xml:space="preserve"> 2007 and 2012 demonstrate that stable coverage of over 70% is being achieved over time. </w:t>
      </w:r>
    </w:p>
    <w:p w:rsidR="0070073B" w:rsidRPr="003408A6" w:rsidRDefault="0070073B" w:rsidP="00814DDD">
      <w:pPr>
        <w:pStyle w:val="Heading3"/>
        <w:rPr>
          <w:rFonts w:eastAsiaTheme="minorEastAsia"/>
          <w:snapToGrid w:val="0"/>
        </w:rPr>
      </w:pPr>
      <w:r w:rsidRPr="003408A6">
        <w:rPr>
          <w:rFonts w:eastAsiaTheme="minorEastAsia"/>
          <w:snapToGrid w:val="0"/>
        </w:rPr>
        <w:t>Adverse events following immunisation</w:t>
      </w:r>
    </w:p>
    <w:p w:rsidR="00040EA2" w:rsidRPr="003408A6" w:rsidRDefault="00040EA2" w:rsidP="00814DDD">
      <w:pPr>
        <w:pStyle w:val="BodyText"/>
        <w:rPr>
          <w:lang w:val="en-AU"/>
        </w:rPr>
      </w:pPr>
      <w:r w:rsidRPr="003408A6">
        <w:rPr>
          <w:lang w:val="en-AU"/>
        </w:rPr>
        <w:t>The ADRS database included a total of 2,460 AEFIs reported following receipt of HPV vaccine during the period 1 April 2007 to 30 June 2013. The highest annual number of cases (n=765</w:t>
      </w:r>
      <w:r w:rsidR="00EE26E6">
        <w:rPr>
          <w:lang w:val="en-AU"/>
        </w:rPr>
        <w:t xml:space="preserve">; </w:t>
      </w:r>
      <w:r w:rsidR="00EE26E6" w:rsidRPr="003408A6">
        <w:rPr>
          <w:lang w:val="en-AU"/>
        </w:rPr>
        <w:t>31%</w:t>
      </w:r>
      <w:r w:rsidRPr="003408A6">
        <w:rPr>
          <w:lang w:val="en-AU"/>
        </w:rPr>
        <w:t xml:space="preserve">) was reported in 2007 in the context of initial implementation of the school-based </w:t>
      </w:r>
      <w:r w:rsidRPr="003408A6">
        <w:rPr>
          <w:rFonts w:eastAsiaTheme="minorEastAsia"/>
          <w:bCs/>
          <w:snapToGrid w:val="0"/>
          <w:lang w:val="en-AU"/>
        </w:rPr>
        <w:t>National</w:t>
      </w:r>
      <w:r w:rsidRPr="003408A6">
        <w:rPr>
          <w:lang w:val="en-AU"/>
        </w:rPr>
        <w:t xml:space="preserve"> HPV Vaccination Program and catch-up program for young adult females commencing in April 2007. The number of reported AEFIs reduced substantially in the following years (</w:t>
      </w:r>
      <w:r w:rsidR="00EE26E6">
        <w:rPr>
          <w:lang w:val="en-AU"/>
        </w:rPr>
        <w:t xml:space="preserve">from </w:t>
      </w:r>
      <w:r w:rsidRPr="003408A6">
        <w:rPr>
          <w:lang w:val="en-AU"/>
        </w:rPr>
        <w:t xml:space="preserve">765 in 2007 </w:t>
      </w:r>
      <w:r w:rsidR="00EE26E6">
        <w:rPr>
          <w:lang w:val="en-AU"/>
        </w:rPr>
        <w:t>to</w:t>
      </w:r>
      <w:r w:rsidR="00EE26E6" w:rsidRPr="003408A6">
        <w:rPr>
          <w:lang w:val="en-AU"/>
        </w:rPr>
        <w:t xml:space="preserve"> </w:t>
      </w:r>
      <w:r w:rsidRPr="003408A6">
        <w:rPr>
          <w:lang w:val="en-AU"/>
        </w:rPr>
        <w:t xml:space="preserve">160 in 2012). As would be expected, the total number of reported AEFIs increased in 2013 (n=615) following the commencement of male vaccinations in February 2013 and the implementation of enhanced AEFI surveillance activities for both males and females in February 2013. Of the 615 AEFIs reported in 2013, 341 were </w:t>
      </w:r>
      <w:r w:rsidR="00EE26E6">
        <w:rPr>
          <w:lang w:val="en-AU"/>
        </w:rPr>
        <w:t>in</w:t>
      </w:r>
      <w:r w:rsidRPr="003408A6">
        <w:rPr>
          <w:lang w:val="en-AU"/>
        </w:rPr>
        <w:t xml:space="preserve"> male</w:t>
      </w:r>
      <w:r w:rsidR="00EE26E6">
        <w:rPr>
          <w:lang w:val="en-AU"/>
        </w:rPr>
        <w:t>s</w:t>
      </w:r>
      <w:r w:rsidRPr="003408A6">
        <w:rPr>
          <w:lang w:val="en-AU"/>
        </w:rPr>
        <w:t xml:space="preserve"> and 273 </w:t>
      </w:r>
      <w:r w:rsidR="00EE26E6">
        <w:rPr>
          <w:lang w:val="en-AU"/>
        </w:rPr>
        <w:t>in</w:t>
      </w:r>
      <w:r w:rsidRPr="003408A6">
        <w:rPr>
          <w:lang w:val="en-AU"/>
        </w:rPr>
        <w:t xml:space="preserve"> female</w:t>
      </w:r>
      <w:r w:rsidR="00EE26E6">
        <w:rPr>
          <w:lang w:val="en-AU"/>
        </w:rPr>
        <w:t>s</w:t>
      </w:r>
      <w:r w:rsidRPr="003408A6">
        <w:rPr>
          <w:lang w:val="en-AU"/>
        </w:rPr>
        <w:t xml:space="preserve">. </w:t>
      </w:r>
    </w:p>
    <w:p w:rsidR="00347C38" w:rsidRDefault="00040EA2" w:rsidP="00814DDD">
      <w:pPr>
        <w:pStyle w:val="BodyText"/>
        <w:rPr>
          <w:lang w:val="en-AU"/>
        </w:rPr>
      </w:pPr>
      <w:r w:rsidRPr="003408A6">
        <w:rPr>
          <w:lang w:val="en-AU"/>
        </w:rPr>
        <w:t xml:space="preserve">Over a period of almost 5 years, from 1 April 2007 to 31 December 2012, a total of 1,845 reports of AEFI </w:t>
      </w:r>
      <w:r w:rsidRPr="003408A6">
        <w:rPr>
          <w:rFonts w:eastAsiaTheme="minorEastAsia"/>
          <w:bCs/>
          <w:snapToGrid w:val="0"/>
          <w:lang w:val="en-AU"/>
        </w:rPr>
        <w:t>following</w:t>
      </w:r>
      <w:r w:rsidRPr="003408A6">
        <w:rPr>
          <w:lang w:val="en-AU"/>
        </w:rPr>
        <w:t xml:space="preserve"> receipt of HPV vaccine were received by the TGA. Of the 1,845 reports, 82% (n=1</w:t>
      </w:r>
      <w:r w:rsidR="00EE26E6">
        <w:rPr>
          <w:lang w:val="en-AU"/>
        </w:rPr>
        <w:t>,</w:t>
      </w:r>
      <w:r w:rsidRPr="003408A6">
        <w:rPr>
          <w:lang w:val="en-AU"/>
        </w:rPr>
        <w:t>505) were following administration of HPV vaccine alone. The most commonly reported AEFIs included headache (21%; n=381), nausea (16%; n=293) and dizziness (15%; n=273). Other reactions reported included fever (13%; n=231), syncope (11%; n=201), injection site reactions (10%; n=191), pruritus (9%; n=163) and urticaria (8%; n=155). A total of 16 cases of anaphylactic reaction were reported (1% of reports). The criteria for serious AEFI were met for 129 events (7%), including 6 cases of life-threatening events; no deaths were reported.</w:t>
      </w:r>
    </w:p>
    <w:p w:rsidR="00040EA2" w:rsidRPr="003408A6" w:rsidRDefault="00040EA2" w:rsidP="00814DDD">
      <w:pPr>
        <w:pStyle w:val="BodyText"/>
        <w:rPr>
          <w:lang w:val="en-AU"/>
        </w:rPr>
      </w:pPr>
      <w:r w:rsidRPr="003408A6">
        <w:rPr>
          <w:lang w:val="en-AU"/>
        </w:rPr>
        <w:t>As expected, the enhanced surveillance implemented prior to the introduction of the male program in February 2013 resulted in a higher number of HPV AEFI reports; however, the majority of these were mild and consistent with those expected. The most frequently reported reactions included syncope (48%; n=296), presyncope (11%), nausea and dizziness (8% each), headache (6%), vomiting and pyrexia (5% each).</w:t>
      </w:r>
    </w:p>
    <w:p w:rsidR="00040EA2" w:rsidRPr="003408A6" w:rsidRDefault="00040EA2" w:rsidP="00814DDD">
      <w:pPr>
        <w:pStyle w:val="BodyText"/>
        <w:rPr>
          <w:lang w:val="en-AU"/>
        </w:rPr>
      </w:pPr>
      <w:r w:rsidRPr="003408A6">
        <w:rPr>
          <w:lang w:val="en-AU"/>
        </w:rPr>
        <w:t xml:space="preserve">Overall, </w:t>
      </w:r>
      <w:r w:rsidR="001A1246" w:rsidRPr="003408A6">
        <w:rPr>
          <w:lang w:val="en-AU"/>
        </w:rPr>
        <w:t>the majority of AEFIs reported following implementation of the National HPV Vaccination Program for females and males were mild and transient. These national surveillance data provide evidence supporting the good safety profile of the HPV vaccine and are consistent with data from international spontaneous reporting systems.</w:t>
      </w:r>
    </w:p>
    <w:p w:rsidR="0070073B" w:rsidRPr="003408A6" w:rsidRDefault="0070073B" w:rsidP="00814DDD">
      <w:pPr>
        <w:pStyle w:val="Heading3"/>
        <w:rPr>
          <w:rFonts w:eastAsiaTheme="minorEastAsia"/>
          <w:snapToGrid w:val="0"/>
        </w:rPr>
      </w:pPr>
      <w:r w:rsidRPr="003408A6">
        <w:rPr>
          <w:rFonts w:eastAsiaTheme="minorEastAsia"/>
          <w:snapToGrid w:val="0"/>
        </w:rPr>
        <w:t xml:space="preserve">Disease </w:t>
      </w:r>
      <w:r w:rsidR="00563CAB" w:rsidRPr="003408A6">
        <w:rPr>
          <w:rFonts w:eastAsiaTheme="minorEastAsia"/>
          <w:snapToGrid w:val="0"/>
        </w:rPr>
        <w:t xml:space="preserve">impact </w:t>
      </w:r>
    </w:p>
    <w:p w:rsidR="0070073B" w:rsidRPr="003408A6" w:rsidRDefault="0070073B" w:rsidP="00814DDD">
      <w:pPr>
        <w:pStyle w:val="Heading4"/>
      </w:pPr>
      <w:r w:rsidRPr="003408A6">
        <w:t xml:space="preserve">High-grade </w:t>
      </w:r>
      <w:r w:rsidR="00551528" w:rsidRPr="003408A6">
        <w:t xml:space="preserve">cervical </w:t>
      </w:r>
      <w:r w:rsidRPr="003408A6">
        <w:t>abnormalities</w:t>
      </w:r>
    </w:p>
    <w:p w:rsidR="007A6255" w:rsidRPr="003408A6" w:rsidRDefault="00B823B4" w:rsidP="00814DDD">
      <w:pPr>
        <w:pStyle w:val="BodyText"/>
        <w:rPr>
          <w:lang w:val="en-AU"/>
        </w:rPr>
      </w:pPr>
      <w:r w:rsidRPr="003408A6">
        <w:rPr>
          <w:lang w:val="en-AU"/>
        </w:rPr>
        <w:t>A</w:t>
      </w:r>
      <w:r w:rsidR="006028B6" w:rsidRPr="003408A6">
        <w:rPr>
          <w:lang w:val="en-AU"/>
        </w:rPr>
        <w:t xml:space="preserve"> decline in </w:t>
      </w:r>
      <w:r w:rsidR="00EE26E6">
        <w:rPr>
          <w:lang w:val="en-AU"/>
        </w:rPr>
        <w:t xml:space="preserve">the </w:t>
      </w:r>
      <w:r w:rsidR="006028B6" w:rsidRPr="003408A6">
        <w:rPr>
          <w:lang w:val="en-AU"/>
        </w:rPr>
        <w:t>rate of HGA</w:t>
      </w:r>
      <w:r w:rsidR="00EE26E6">
        <w:rPr>
          <w:lang w:val="en-AU"/>
        </w:rPr>
        <w:t>s</w:t>
      </w:r>
      <w:r w:rsidR="006028B6" w:rsidRPr="003408A6">
        <w:rPr>
          <w:lang w:val="en-AU"/>
        </w:rPr>
        <w:t xml:space="preserve"> detected per 1</w:t>
      </w:r>
      <w:r w:rsidR="00786C85" w:rsidRPr="003408A6">
        <w:rPr>
          <w:lang w:val="en-AU"/>
        </w:rPr>
        <w:t>,</w:t>
      </w:r>
      <w:r w:rsidR="006028B6" w:rsidRPr="003408A6">
        <w:rPr>
          <w:lang w:val="en-AU"/>
        </w:rPr>
        <w:t xml:space="preserve">000 women screened was observed between 2004 and 2011 in females </w:t>
      </w:r>
      <w:r w:rsidR="00EE26E6">
        <w:rPr>
          <w:lang w:val="en-AU"/>
        </w:rPr>
        <w:t xml:space="preserve">aged </w:t>
      </w:r>
      <w:r w:rsidR="006028B6" w:rsidRPr="003408A6">
        <w:rPr>
          <w:lang w:val="en-AU"/>
        </w:rPr>
        <w:t xml:space="preserve">&lt;20 years. In the first full year </w:t>
      </w:r>
      <w:r w:rsidR="00EE26E6">
        <w:rPr>
          <w:lang w:val="en-AU"/>
        </w:rPr>
        <w:t>of the</w:t>
      </w:r>
      <w:r w:rsidR="00EE26E6" w:rsidRPr="003408A6">
        <w:rPr>
          <w:lang w:val="en-AU"/>
        </w:rPr>
        <w:t xml:space="preserve"> </w:t>
      </w:r>
      <w:r w:rsidR="006028B6" w:rsidRPr="003408A6">
        <w:rPr>
          <w:lang w:val="en-AU"/>
        </w:rPr>
        <w:t>program (2008), the rate of HGA</w:t>
      </w:r>
      <w:r w:rsidR="007A6255" w:rsidRPr="003408A6">
        <w:rPr>
          <w:lang w:val="en-AU"/>
        </w:rPr>
        <w:t xml:space="preserve"> was 10.8 (95%</w:t>
      </w:r>
      <w:r w:rsidR="00EE26E6">
        <w:rPr>
          <w:lang w:val="en-AU"/>
        </w:rPr>
        <w:t xml:space="preserve"> </w:t>
      </w:r>
      <w:r w:rsidR="007A6255" w:rsidRPr="003408A6">
        <w:rPr>
          <w:lang w:val="en-AU"/>
        </w:rPr>
        <w:t>CI</w:t>
      </w:r>
      <w:r w:rsidR="00C80348" w:rsidRPr="003408A6">
        <w:rPr>
          <w:lang w:val="en-AU"/>
        </w:rPr>
        <w:t>:</w:t>
      </w:r>
      <w:r w:rsidR="007A6255" w:rsidRPr="003408A6">
        <w:rPr>
          <w:lang w:val="en-AU"/>
        </w:rPr>
        <w:t xml:space="preserve"> 10.0–11.6) per 1</w:t>
      </w:r>
      <w:r w:rsidR="00105EE4" w:rsidRPr="003408A6">
        <w:rPr>
          <w:lang w:val="en-AU"/>
        </w:rPr>
        <w:t>,</w:t>
      </w:r>
      <w:r w:rsidR="007A6255" w:rsidRPr="003408A6">
        <w:rPr>
          <w:lang w:val="en-AU"/>
        </w:rPr>
        <w:t xml:space="preserve">000 females screened, an 18% (95% CI: 11–25%) reduction from the </w:t>
      </w:r>
      <w:r w:rsidR="007A6255" w:rsidRPr="003408A6">
        <w:rPr>
          <w:szCs w:val="24"/>
          <w:lang w:val="en-AU"/>
        </w:rPr>
        <w:t>rate</w:t>
      </w:r>
      <w:r w:rsidR="007A6255" w:rsidRPr="003408A6">
        <w:rPr>
          <w:lang w:val="en-AU"/>
        </w:rPr>
        <w:t xml:space="preserve"> during the pre-vaccine period (2004–2007) of 13.1 (95%</w:t>
      </w:r>
      <w:r w:rsidR="00105EE4" w:rsidRPr="003408A6">
        <w:rPr>
          <w:lang w:val="en-AU"/>
        </w:rPr>
        <w:t xml:space="preserve"> </w:t>
      </w:r>
      <w:r w:rsidR="007A6255" w:rsidRPr="003408A6">
        <w:rPr>
          <w:lang w:val="en-AU"/>
        </w:rPr>
        <w:t>CI: 12.7–13.6) per 1</w:t>
      </w:r>
      <w:r w:rsidR="00105EE4" w:rsidRPr="003408A6">
        <w:rPr>
          <w:lang w:val="en-AU"/>
        </w:rPr>
        <w:t>,</w:t>
      </w:r>
      <w:r w:rsidR="007A6255" w:rsidRPr="003408A6">
        <w:rPr>
          <w:lang w:val="en-AU"/>
        </w:rPr>
        <w:t xml:space="preserve">000 females screened. The rates further declined in 2009, </w:t>
      </w:r>
      <w:r w:rsidR="007F14FA" w:rsidRPr="003408A6">
        <w:rPr>
          <w:lang w:val="en-AU"/>
        </w:rPr>
        <w:t>by</w:t>
      </w:r>
      <w:r w:rsidR="007A6255" w:rsidRPr="003408A6">
        <w:rPr>
          <w:lang w:val="en-AU"/>
        </w:rPr>
        <w:t xml:space="preserve"> 33% (95%</w:t>
      </w:r>
      <w:r w:rsidR="00C80348" w:rsidRPr="003408A6">
        <w:rPr>
          <w:lang w:val="en-AU"/>
        </w:rPr>
        <w:t xml:space="preserve"> </w:t>
      </w:r>
      <w:r w:rsidR="007A6255" w:rsidRPr="003408A6">
        <w:rPr>
          <w:lang w:val="en-AU"/>
        </w:rPr>
        <w:t>CI</w:t>
      </w:r>
      <w:r w:rsidR="00105EE4" w:rsidRPr="003408A6">
        <w:rPr>
          <w:lang w:val="en-AU"/>
        </w:rPr>
        <w:t>:</w:t>
      </w:r>
      <w:r w:rsidR="007A6255" w:rsidRPr="003408A6">
        <w:rPr>
          <w:lang w:val="en-AU"/>
        </w:rPr>
        <w:t xml:space="preserve"> 26–39%)</w:t>
      </w:r>
      <w:r w:rsidR="00EE26E6">
        <w:rPr>
          <w:lang w:val="en-AU"/>
        </w:rPr>
        <w:t>,</w:t>
      </w:r>
      <w:r w:rsidR="007A6255" w:rsidRPr="003408A6">
        <w:rPr>
          <w:lang w:val="en-AU"/>
        </w:rPr>
        <w:t xml:space="preserve"> and </w:t>
      </w:r>
      <w:r w:rsidR="007F14FA" w:rsidRPr="003408A6">
        <w:rPr>
          <w:lang w:val="en-AU"/>
        </w:rPr>
        <w:t>in 2010</w:t>
      </w:r>
      <w:r w:rsidR="00EE26E6">
        <w:rPr>
          <w:lang w:val="en-AU"/>
        </w:rPr>
        <w:t>,</w:t>
      </w:r>
      <w:r w:rsidR="007F14FA" w:rsidRPr="003408A6">
        <w:rPr>
          <w:lang w:val="en-AU"/>
        </w:rPr>
        <w:t xml:space="preserve"> by </w:t>
      </w:r>
      <w:r w:rsidR="007A6255" w:rsidRPr="003408A6">
        <w:rPr>
          <w:lang w:val="en-AU"/>
        </w:rPr>
        <w:t>41% (95%</w:t>
      </w:r>
      <w:r w:rsidR="00105EE4" w:rsidRPr="003408A6">
        <w:rPr>
          <w:lang w:val="en-AU"/>
        </w:rPr>
        <w:t xml:space="preserve"> </w:t>
      </w:r>
      <w:r w:rsidR="007A6255" w:rsidRPr="003408A6">
        <w:rPr>
          <w:lang w:val="en-AU"/>
        </w:rPr>
        <w:t>CI</w:t>
      </w:r>
      <w:r w:rsidR="00105EE4" w:rsidRPr="003408A6">
        <w:rPr>
          <w:lang w:val="en-AU"/>
        </w:rPr>
        <w:t>:</w:t>
      </w:r>
      <w:r w:rsidR="007A6255" w:rsidRPr="003408A6">
        <w:rPr>
          <w:lang w:val="en-AU"/>
        </w:rPr>
        <w:t xml:space="preserve"> 34–47%)</w:t>
      </w:r>
      <w:r w:rsidR="00EE26E6">
        <w:rPr>
          <w:lang w:val="en-AU"/>
        </w:rPr>
        <w:t>,</w:t>
      </w:r>
      <w:r w:rsidR="007A6255" w:rsidRPr="003408A6">
        <w:rPr>
          <w:lang w:val="en-AU"/>
        </w:rPr>
        <w:t xml:space="preserve"> compared to the pre-vaccine period. </w:t>
      </w:r>
      <w:r w:rsidR="007F14FA" w:rsidRPr="003408A6">
        <w:rPr>
          <w:lang w:val="en-AU"/>
        </w:rPr>
        <w:t>The most pronounced decline occurred i</w:t>
      </w:r>
      <w:r w:rsidR="007A6255" w:rsidRPr="003408A6">
        <w:rPr>
          <w:lang w:val="en-AU"/>
        </w:rPr>
        <w:t>n the most recent post-vaccine year (2011)</w:t>
      </w:r>
      <w:r w:rsidR="007F14FA" w:rsidRPr="003408A6">
        <w:rPr>
          <w:lang w:val="en-AU"/>
        </w:rPr>
        <w:t>:</w:t>
      </w:r>
      <w:r w:rsidR="007A6255" w:rsidRPr="003408A6">
        <w:rPr>
          <w:lang w:val="en-AU"/>
        </w:rPr>
        <w:t xml:space="preserve"> </w:t>
      </w:r>
      <w:r w:rsidR="007F14FA" w:rsidRPr="003408A6">
        <w:rPr>
          <w:lang w:val="en-AU"/>
        </w:rPr>
        <w:t xml:space="preserve">the rate was </w:t>
      </w:r>
      <w:r w:rsidR="007A6255" w:rsidRPr="003408A6">
        <w:rPr>
          <w:lang w:val="en-AU"/>
        </w:rPr>
        <w:t>46% (95%</w:t>
      </w:r>
      <w:r w:rsidR="007F14FA" w:rsidRPr="003408A6">
        <w:rPr>
          <w:lang w:val="en-AU"/>
        </w:rPr>
        <w:t xml:space="preserve"> </w:t>
      </w:r>
      <w:r w:rsidR="007A6255" w:rsidRPr="003408A6">
        <w:rPr>
          <w:lang w:val="en-AU"/>
        </w:rPr>
        <w:t>CI: 40</w:t>
      </w:r>
      <w:r w:rsidR="007F14FA" w:rsidRPr="003408A6">
        <w:rPr>
          <w:lang w:val="en-AU"/>
        </w:rPr>
        <w:t>–</w:t>
      </w:r>
      <w:r w:rsidR="007A6255" w:rsidRPr="003408A6">
        <w:rPr>
          <w:lang w:val="en-AU"/>
        </w:rPr>
        <w:t>51%) lower than the rate during the pre-vaccine period.</w:t>
      </w:r>
    </w:p>
    <w:p w:rsidR="0070073B" w:rsidRPr="003408A6" w:rsidRDefault="0044523B" w:rsidP="00814DDD">
      <w:pPr>
        <w:pStyle w:val="BodyText"/>
        <w:rPr>
          <w:lang w:val="en-AU"/>
        </w:rPr>
      </w:pPr>
      <w:r w:rsidRPr="003408A6">
        <w:rPr>
          <w:lang w:val="en-AU"/>
        </w:rPr>
        <w:t xml:space="preserve">In females </w:t>
      </w:r>
      <w:r w:rsidR="00EE26E6">
        <w:rPr>
          <w:lang w:val="en-AU"/>
        </w:rPr>
        <w:t xml:space="preserve">aged </w:t>
      </w:r>
      <w:r w:rsidRPr="003408A6">
        <w:rPr>
          <w:lang w:val="en-AU"/>
        </w:rPr>
        <w:t>20–24 years, who would have been</w:t>
      </w:r>
      <w:r w:rsidR="006028B6" w:rsidRPr="003408A6">
        <w:rPr>
          <w:lang w:val="en-AU"/>
        </w:rPr>
        <w:t xml:space="preserve"> aged 16</w:t>
      </w:r>
      <w:r w:rsidR="00EE26E6">
        <w:rPr>
          <w:lang w:val="en-AU"/>
        </w:rPr>
        <w:t>–</w:t>
      </w:r>
      <w:r w:rsidR="006028B6" w:rsidRPr="003408A6">
        <w:rPr>
          <w:lang w:val="en-AU"/>
        </w:rPr>
        <w:t>20 years in 2007, a</w:t>
      </w:r>
      <w:r w:rsidRPr="003408A6">
        <w:rPr>
          <w:lang w:val="en-AU"/>
        </w:rPr>
        <w:t xml:space="preserve"> significant reduction in </w:t>
      </w:r>
      <w:r w:rsidR="00EE26E6">
        <w:rPr>
          <w:lang w:val="en-AU"/>
        </w:rPr>
        <w:t xml:space="preserve">the </w:t>
      </w:r>
      <w:r w:rsidRPr="003408A6">
        <w:rPr>
          <w:lang w:val="en-AU"/>
        </w:rPr>
        <w:t>HGA rate</w:t>
      </w:r>
      <w:r w:rsidR="00EE26E6">
        <w:rPr>
          <w:lang w:val="en-AU"/>
        </w:rPr>
        <w:t>,</w:t>
      </w:r>
      <w:r w:rsidRPr="003408A6">
        <w:rPr>
          <w:lang w:val="en-AU"/>
        </w:rPr>
        <w:t xml:space="preserve"> compared to the pre-vaccine period rates</w:t>
      </w:r>
      <w:r w:rsidR="00EE26E6">
        <w:rPr>
          <w:lang w:val="en-AU"/>
        </w:rPr>
        <w:t>,</w:t>
      </w:r>
      <w:r w:rsidRPr="003408A6">
        <w:rPr>
          <w:lang w:val="en-AU"/>
        </w:rPr>
        <w:t xml:space="preserve"> was first observed in 2011 (RR=0.87</w:t>
      </w:r>
      <w:r w:rsidR="00EE26E6">
        <w:rPr>
          <w:lang w:val="en-AU"/>
        </w:rPr>
        <w:t>;</w:t>
      </w:r>
      <w:r w:rsidRPr="003408A6">
        <w:rPr>
          <w:lang w:val="en-AU"/>
        </w:rPr>
        <w:t xml:space="preserve"> 95% CI: 0.83–0.90).</w:t>
      </w:r>
    </w:p>
    <w:p w:rsidR="0070073B" w:rsidRPr="003408A6" w:rsidRDefault="003408A6" w:rsidP="00814DDD">
      <w:pPr>
        <w:pStyle w:val="Heading4"/>
        <w:rPr>
          <w:lang w:eastAsia="en-US"/>
        </w:rPr>
      </w:pPr>
      <w:r>
        <w:rPr>
          <w:lang w:eastAsia="en-US"/>
        </w:rPr>
        <w:t>Anog</w:t>
      </w:r>
      <w:r w:rsidR="0070073B" w:rsidRPr="003408A6">
        <w:rPr>
          <w:lang w:eastAsia="en-US"/>
        </w:rPr>
        <w:t>enital warts</w:t>
      </w:r>
    </w:p>
    <w:p w:rsidR="00F019D2" w:rsidRPr="003408A6" w:rsidRDefault="0070073B" w:rsidP="00AF34E5">
      <w:pPr>
        <w:pStyle w:val="BodyText"/>
        <w:rPr>
          <w:lang w:val="en-AU"/>
        </w:rPr>
      </w:pPr>
      <w:r w:rsidRPr="003408A6">
        <w:rPr>
          <w:lang w:val="en-AU"/>
        </w:rPr>
        <w:t>There were 39,350 eligible hospitalisations (24,811 in females</w:t>
      </w:r>
      <w:r w:rsidR="00EE26E6">
        <w:rPr>
          <w:lang w:val="en-AU"/>
        </w:rPr>
        <w:t>;</w:t>
      </w:r>
      <w:r w:rsidRPr="003408A6">
        <w:rPr>
          <w:lang w:val="en-AU"/>
        </w:rPr>
        <w:t xml:space="preserve"> 14,539 in males)</w:t>
      </w:r>
      <w:r w:rsidR="00650481" w:rsidRPr="003408A6">
        <w:rPr>
          <w:lang w:val="en-AU"/>
        </w:rPr>
        <w:t xml:space="preserve"> </w:t>
      </w:r>
      <w:r w:rsidR="00C80348" w:rsidRPr="003408A6">
        <w:rPr>
          <w:lang w:val="en-AU"/>
        </w:rPr>
        <w:t>for genital warts</w:t>
      </w:r>
      <w:r w:rsidR="00650481" w:rsidRPr="003408A6">
        <w:rPr>
          <w:lang w:val="en-AU"/>
        </w:rPr>
        <w:t xml:space="preserve"> </w:t>
      </w:r>
      <w:r w:rsidRPr="003408A6">
        <w:rPr>
          <w:lang w:val="en-AU"/>
        </w:rPr>
        <w:t>over the study period. Substantial decreases in hospitalisation rates were observed from mid-2007 in females aged 12</w:t>
      </w:r>
      <w:r w:rsidR="0031555E" w:rsidRPr="003408A6">
        <w:rPr>
          <w:lang w:val="en-AU"/>
        </w:rPr>
        <w:t>–</w:t>
      </w:r>
      <w:r w:rsidRPr="003408A6">
        <w:rPr>
          <w:lang w:val="en-AU"/>
        </w:rPr>
        <w:t>17 years, and from mid-2008 in both females and males aged 18</w:t>
      </w:r>
      <w:r w:rsidR="0031555E" w:rsidRPr="003408A6">
        <w:rPr>
          <w:lang w:val="en-AU"/>
        </w:rPr>
        <w:t>–</w:t>
      </w:r>
      <w:r w:rsidRPr="003408A6">
        <w:rPr>
          <w:lang w:val="en-AU"/>
        </w:rPr>
        <w:t>26 years. In females aged 12</w:t>
      </w:r>
      <w:r w:rsidR="0031555E" w:rsidRPr="003408A6">
        <w:rPr>
          <w:lang w:val="en-AU"/>
        </w:rPr>
        <w:t>–</w:t>
      </w:r>
      <w:r w:rsidRPr="003408A6">
        <w:rPr>
          <w:lang w:val="en-AU"/>
        </w:rPr>
        <w:t>17 years, the estimated annual decline was 44.1% (95% CI: 35.4</w:t>
      </w:r>
      <w:r w:rsidR="0031555E" w:rsidRPr="003408A6">
        <w:rPr>
          <w:lang w:val="en-AU"/>
        </w:rPr>
        <w:t>–</w:t>
      </w:r>
      <w:r w:rsidRPr="003408A6">
        <w:rPr>
          <w:lang w:val="en-AU"/>
        </w:rPr>
        <w:t xml:space="preserve">51.6%) from mid-2007 to 2011. Among persons </w:t>
      </w:r>
      <w:r w:rsidR="0031555E" w:rsidRPr="003408A6">
        <w:rPr>
          <w:lang w:val="en-AU"/>
        </w:rPr>
        <w:t xml:space="preserve">aged </w:t>
      </w:r>
      <w:r w:rsidRPr="003408A6">
        <w:rPr>
          <w:lang w:val="en-AU"/>
        </w:rPr>
        <w:t>18</w:t>
      </w:r>
      <w:r w:rsidR="0031555E" w:rsidRPr="003408A6">
        <w:rPr>
          <w:lang w:val="en-AU"/>
        </w:rPr>
        <w:t>–</w:t>
      </w:r>
      <w:r w:rsidRPr="003408A6">
        <w:rPr>
          <w:lang w:val="en-AU"/>
        </w:rPr>
        <w:t>26 years, the declines were 31.8% (95% CI: 28.4</w:t>
      </w:r>
      <w:r w:rsidR="0031555E" w:rsidRPr="003408A6">
        <w:rPr>
          <w:lang w:val="en-AU"/>
        </w:rPr>
        <w:t>–</w:t>
      </w:r>
      <w:r w:rsidRPr="003408A6">
        <w:rPr>
          <w:lang w:val="en-AU"/>
        </w:rPr>
        <w:t>35.2%) and 14.0% (95% CI: 5.1</w:t>
      </w:r>
      <w:r w:rsidR="0031555E" w:rsidRPr="003408A6">
        <w:rPr>
          <w:lang w:val="en-AU"/>
        </w:rPr>
        <w:t>–</w:t>
      </w:r>
      <w:r w:rsidRPr="003408A6">
        <w:rPr>
          <w:lang w:val="en-AU"/>
        </w:rPr>
        <w:t>22.1%) since mid-2008 in females and males</w:t>
      </w:r>
      <w:r w:rsidR="00506CAE" w:rsidRPr="003408A6">
        <w:rPr>
          <w:lang w:val="en-AU"/>
        </w:rPr>
        <w:t>,</w:t>
      </w:r>
      <w:r w:rsidRPr="003408A6">
        <w:rPr>
          <w:lang w:val="en-AU"/>
        </w:rPr>
        <w:t xml:space="preserve"> respectively. The overall observed reduction in coded hospitalisations in 2010</w:t>
      </w:r>
      <w:r w:rsidR="00EE26E6">
        <w:rPr>
          <w:lang w:val="en-AU"/>
        </w:rPr>
        <w:t>–</w:t>
      </w:r>
      <w:r w:rsidRPr="003408A6">
        <w:rPr>
          <w:lang w:val="en-AU"/>
        </w:rPr>
        <w:t xml:space="preserve">2011, compared to </w:t>
      </w:r>
      <w:r w:rsidRPr="003408A6">
        <w:rPr>
          <w:szCs w:val="24"/>
          <w:lang w:val="en-AU"/>
        </w:rPr>
        <w:t>2006</w:t>
      </w:r>
      <w:r w:rsidR="00EF3CFA">
        <w:rPr>
          <w:lang w:val="en-AU"/>
        </w:rPr>
        <w:t>–</w:t>
      </w:r>
      <w:r w:rsidRPr="003408A6">
        <w:rPr>
          <w:lang w:val="en-AU"/>
        </w:rPr>
        <w:t>2007, was 89.9% (95%</w:t>
      </w:r>
      <w:r w:rsidR="0031555E" w:rsidRPr="003408A6">
        <w:rPr>
          <w:lang w:val="en-AU"/>
        </w:rPr>
        <w:t xml:space="preserve"> </w:t>
      </w:r>
      <w:r w:rsidRPr="003408A6">
        <w:rPr>
          <w:lang w:val="en-AU"/>
        </w:rPr>
        <w:t>CI: 84.4</w:t>
      </w:r>
      <w:r w:rsidR="0031555E" w:rsidRPr="003408A6">
        <w:rPr>
          <w:lang w:val="en-AU"/>
        </w:rPr>
        <w:t>–</w:t>
      </w:r>
      <w:r w:rsidRPr="003408A6">
        <w:rPr>
          <w:lang w:val="en-AU"/>
        </w:rPr>
        <w:t>93.4%) for females aged 12</w:t>
      </w:r>
      <w:r w:rsidR="0031555E" w:rsidRPr="003408A6">
        <w:rPr>
          <w:lang w:val="en-AU"/>
        </w:rPr>
        <w:t>–</w:t>
      </w:r>
      <w:r w:rsidRPr="003408A6">
        <w:rPr>
          <w:lang w:val="en-AU"/>
        </w:rPr>
        <w:t>17 years, 72.7% (95%</w:t>
      </w:r>
      <w:r w:rsidR="0031555E" w:rsidRPr="003408A6">
        <w:rPr>
          <w:lang w:val="en-AU"/>
        </w:rPr>
        <w:t xml:space="preserve"> </w:t>
      </w:r>
      <w:r w:rsidRPr="003408A6">
        <w:rPr>
          <w:lang w:val="en-AU"/>
        </w:rPr>
        <w:t>CI</w:t>
      </w:r>
      <w:r w:rsidR="00C80348" w:rsidRPr="003408A6">
        <w:rPr>
          <w:lang w:val="en-AU"/>
        </w:rPr>
        <w:t>:</w:t>
      </w:r>
      <w:r w:rsidRPr="003408A6">
        <w:rPr>
          <w:lang w:val="en-AU"/>
        </w:rPr>
        <w:t xml:space="preserve"> 67.0</w:t>
      </w:r>
      <w:r w:rsidR="0031555E" w:rsidRPr="003408A6">
        <w:rPr>
          <w:lang w:val="en-AU"/>
        </w:rPr>
        <w:t>–</w:t>
      </w:r>
      <w:r w:rsidRPr="003408A6">
        <w:rPr>
          <w:lang w:val="en-AU"/>
        </w:rPr>
        <w:t>77.5%) for females aged 18</w:t>
      </w:r>
      <w:r w:rsidR="0031555E" w:rsidRPr="003408A6">
        <w:rPr>
          <w:lang w:val="en-AU"/>
        </w:rPr>
        <w:t>–</w:t>
      </w:r>
      <w:r w:rsidRPr="003408A6">
        <w:rPr>
          <w:lang w:val="en-AU"/>
        </w:rPr>
        <w:t>26 years and 38.3% (95%</w:t>
      </w:r>
      <w:r w:rsidR="0031555E" w:rsidRPr="003408A6">
        <w:rPr>
          <w:lang w:val="en-AU"/>
        </w:rPr>
        <w:t xml:space="preserve"> </w:t>
      </w:r>
      <w:r w:rsidRPr="003408A6">
        <w:rPr>
          <w:lang w:val="en-AU"/>
        </w:rPr>
        <w:t>CI: 27.7</w:t>
      </w:r>
      <w:r w:rsidR="0031555E" w:rsidRPr="003408A6">
        <w:rPr>
          <w:lang w:val="en-AU"/>
        </w:rPr>
        <w:t>–</w:t>
      </w:r>
      <w:r w:rsidRPr="003408A6">
        <w:rPr>
          <w:lang w:val="en-AU"/>
        </w:rPr>
        <w:t>47.2%) for males aged 18</w:t>
      </w:r>
      <w:r w:rsidR="0031555E" w:rsidRPr="003408A6">
        <w:rPr>
          <w:lang w:val="en-AU"/>
        </w:rPr>
        <w:t>–</w:t>
      </w:r>
      <w:r w:rsidRPr="003408A6">
        <w:rPr>
          <w:lang w:val="en-AU"/>
        </w:rPr>
        <w:t xml:space="preserve">26 years. </w:t>
      </w:r>
    </w:p>
    <w:p w:rsidR="0070073B" w:rsidRPr="003408A6" w:rsidRDefault="0070073B" w:rsidP="00AF34E5">
      <w:pPr>
        <w:pStyle w:val="BodyText"/>
        <w:rPr>
          <w:lang w:val="en-AU"/>
        </w:rPr>
      </w:pPr>
      <w:r w:rsidRPr="003408A6">
        <w:rPr>
          <w:lang w:val="en-AU"/>
        </w:rPr>
        <w:t xml:space="preserve">Among hospitalisations in jurisdictions for which Indigenous status could be analysed, there were 322 in Indigenous </w:t>
      </w:r>
      <w:r w:rsidRPr="003408A6">
        <w:rPr>
          <w:szCs w:val="24"/>
          <w:lang w:val="en-AU"/>
        </w:rPr>
        <w:t>females</w:t>
      </w:r>
      <w:r w:rsidRPr="003408A6">
        <w:rPr>
          <w:lang w:val="en-AU"/>
        </w:rPr>
        <w:t xml:space="preserve"> and 11,590 in females not identified as Indigenous in the </w:t>
      </w:r>
      <w:r w:rsidR="0031555E" w:rsidRPr="003408A6">
        <w:rPr>
          <w:lang w:val="en-AU"/>
        </w:rPr>
        <w:t xml:space="preserve">15–24 years </w:t>
      </w:r>
      <w:r w:rsidRPr="003408A6">
        <w:rPr>
          <w:lang w:val="en-AU"/>
        </w:rPr>
        <w:t xml:space="preserve">age group. </w:t>
      </w:r>
      <w:r w:rsidR="00EF3CFA">
        <w:rPr>
          <w:lang w:val="en-AU"/>
        </w:rPr>
        <w:t>The r</w:t>
      </w:r>
      <w:r w:rsidRPr="003408A6">
        <w:rPr>
          <w:lang w:val="en-AU"/>
        </w:rPr>
        <w:t xml:space="preserve">eduction in hospitalisations </w:t>
      </w:r>
      <w:r w:rsidR="0059399E" w:rsidRPr="003408A6">
        <w:rPr>
          <w:lang w:val="en-AU"/>
        </w:rPr>
        <w:t xml:space="preserve">that </w:t>
      </w:r>
      <w:r w:rsidRPr="003408A6">
        <w:rPr>
          <w:lang w:val="en-AU"/>
        </w:rPr>
        <w:t>includ</w:t>
      </w:r>
      <w:r w:rsidR="0059399E" w:rsidRPr="003408A6">
        <w:rPr>
          <w:lang w:val="en-AU"/>
        </w:rPr>
        <w:t>ed</w:t>
      </w:r>
      <w:r w:rsidRPr="003408A6">
        <w:rPr>
          <w:lang w:val="en-AU"/>
        </w:rPr>
        <w:t xml:space="preserve"> a genital warts code </w:t>
      </w:r>
      <w:r w:rsidR="00EF3CFA">
        <w:rPr>
          <w:lang w:val="en-AU"/>
        </w:rPr>
        <w:t>in the post-vaccine period</w:t>
      </w:r>
      <w:r w:rsidRPr="003408A6">
        <w:rPr>
          <w:lang w:val="en-AU"/>
        </w:rPr>
        <w:t xml:space="preserve"> </w:t>
      </w:r>
      <w:r w:rsidR="0059399E" w:rsidRPr="003408A6">
        <w:rPr>
          <w:lang w:val="en-AU"/>
        </w:rPr>
        <w:t xml:space="preserve">was </w:t>
      </w:r>
      <w:r w:rsidRPr="003408A6">
        <w:rPr>
          <w:lang w:val="en-AU"/>
        </w:rPr>
        <w:t>similar for Indigenous females (86.7%; 95%</w:t>
      </w:r>
      <w:r w:rsidR="0031555E" w:rsidRPr="003408A6">
        <w:rPr>
          <w:lang w:val="en-AU"/>
        </w:rPr>
        <w:t xml:space="preserve"> </w:t>
      </w:r>
      <w:r w:rsidRPr="003408A6">
        <w:rPr>
          <w:lang w:val="en-AU"/>
        </w:rPr>
        <w:t>CI: 76.0</w:t>
      </w:r>
      <w:r w:rsidR="0031555E" w:rsidRPr="003408A6">
        <w:rPr>
          <w:lang w:val="en-AU"/>
        </w:rPr>
        <w:t>–</w:t>
      </w:r>
      <w:r w:rsidRPr="003408A6">
        <w:rPr>
          <w:lang w:val="en-AU"/>
        </w:rPr>
        <w:t>92.7%; N=185 in this age group) and other Australian females (76.1%; 95% CI: 71.6</w:t>
      </w:r>
      <w:r w:rsidR="0031555E" w:rsidRPr="003408A6">
        <w:rPr>
          <w:lang w:val="en-AU"/>
        </w:rPr>
        <w:t>–</w:t>
      </w:r>
      <w:r w:rsidRPr="003408A6">
        <w:rPr>
          <w:lang w:val="en-AU"/>
        </w:rPr>
        <w:t xml:space="preserve">79.9%). Numbers of Indigenous males were too small for meaningful analysis. </w:t>
      </w:r>
    </w:p>
    <w:p w:rsidR="0070073B" w:rsidRPr="003408A6" w:rsidRDefault="0070073B" w:rsidP="00AF34E5">
      <w:pPr>
        <w:pStyle w:val="BodyText"/>
        <w:rPr>
          <w:lang w:val="en-AU"/>
        </w:rPr>
      </w:pPr>
      <w:r w:rsidRPr="003408A6">
        <w:rPr>
          <w:lang w:val="en-AU"/>
        </w:rPr>
        <w:t xml:space="preserve">Although there have been several previous reports </w:t>
      </w:r>
      <w:r w:rsidR="0031555E" w:rsidRPr="003408A6">
        <w:rPr>
          <w:lang w:val="en-AU"/>
        </w:rPr>
        <w:t>on</w:t>
      </w:r>
      <w:r w:rsidRPr="003408A6">
        <w:rPr>
          <w:lang w:val="en-AU"/>
        </w:rPr>
        <w:t xml:space="preserve"> genital wart diagnoses before and after the introduction of quadrivalent HPV vaccine into Australia’s </w:t>
      </w:r>
      <w:r w:rsidR="007520A3" w:rsidRPr="003408A6">
        <w:rPr>
          <w:lang w:val="en-AU"/>
        </w:rPr>
        <w:t>NIP</w:t>
      </w:r>
      <w:r w:rsidRPr="003408A6">
        <w:rPr>
          <w:lang w:val="en-AU"/>
        </w:rPr>
        <w:t xml:space="preserve">, this is </w:t>
      </w:r>
      <w:r w:rsidR="0059399E" w:rsidRPr="003408A6">
        <w:rPr>
          <w:lang w:val="en-AU"/>
        </w:rPr>
        <w:t xml:space="preserve">the first </w:t>
      </w:r>
      <w:r w:rsidRPr="003408A6">
        <w:rPr>
          <w:lang w:val="en-AU"/>
        </w:rPr>
        <w:t xml:space="preserve">at national level, </w:t>
      </w:r>
      <w:r w:rsidR="0059399E" w:rsidRPr="003408A6">
        <w:rPr>
          <w:lang w:val="en-AU"/>
        </w:rPr>
        <w:t xml:space="preserve">based on </w:t>
      </w:r>
      <w:r w:rsidRPr="003408A6">
        <w:rPr>
          <w:lang w:val="en-AU"/>
        </w:rPr>
        <w:t xml:space="preserve">hospitalisations coded as related to genital warts in both public and private hospitals. The marked decline </w:t>
      </w:r>
      <w:r w:rsidR="0031555E" w:rsidRPr="003408A6">
        <w:rPr>
          <w:lang w:val="en-AU"/>
        </w:rPr>
        <w:t xml:space="preserve">identified </w:t>
      </w:r>
      <w:r w:rsidRPr="003408A6">
        <w:rPr>
          <w:lang w:val="en-AU"/>
        </w:rPr>
        <w:t>in admissions involving a diagnosis of genital warts in young females and young males in Australia is consistent with other evidence from Australia reporting that the program had a rapid and substantial impact on genital warts in young people. These data add to earlier evidence of indirect benefits to males from the female vaccination program and provide the first indication that the impact of HPV vaccine in young Indigenous females is similar to that in other Australian females.</w:t>
      </w:r>
    </w:p>
    <w:p w:rsidR="0070073B" w:rsidRPr="003408A6" w:rsidRDefault="0059399E" w:rsidP="00AF34E5">
      <w:pPr>
        <w:pStyle w:val="Heading4"/>
      </w:pPr>
      <w:r w:rsidRPr="003408A6">
        <w:t>Strengths and limitations of data sources in the evaluation</w:t>
      </w:r>
    </w:p>
    <w:p w:rsidR="0070073B" w:rsidRPr="003408A6" w:rsidRDefault="0070073B" w:rsidP="00AF34E5">
      <w:pPr>
        <w:pStyle w:val="BodyText"/>
        <w:rPr>
          <w:lang w:val="en-AU"/>
        </w:rPr>
      </w:pPr>
      <w:r w:rsidRPr="003408A6">
        <w:rPr>
          <w:lang w:val="en-AU"/>
        </w:rPr>
        <w:t xml:space="preserve">Data sources used in the evaluation of the </w:t>
      </w:r>
      <w:r w:rsidR="00DE56C1" w:rsidRPr="003408A6">
        <w:rPr>
          <w:lang w:val="en-AU"/>
        </w:rPr>
        <w:t xml:space="preserve">National </w:t>
      </w:r>
      <w:r w:rsidRPr="003408A6">
        <w:rPr>
          <w:lang w:val="en-AU"/>
        </w:rPr>
        <w:t xml:space="preserve">HPV </w:t>
      </w:r>
      <w:r w:rsidR="00DE56C1" w:rsidRPr="003408A6">
        <w:rPr>
          <w:lang w:val="en-AU"/>
        </w:rPr>
        <w:t>V</w:t>
      </w:r>
      <w:r w:rsidRPr="003408A6">
        <w:rPr>
          <w:lang w:val="en-AU"/>
        </w:rPr>
        <w:t xml:space="preserve">accination </w:t>
      </w:r>
      <w:r w:rsidR="00DE56C1" w:rsidRPr="003408A6">
        <w:rPr>
          <w:lang w:val="en-AU"/>
        </w:rPr>
        <w:t>P</w:t>
      </w:r>
      <w:r w:rsidRPr="003408A6">
        <w:rPr>
          <w:lang w:val="en-AU"/>
        </w:rPr>
        <w:t>rogram have inherent strengths and limitations with respect to determining the impact of the vaccine program on the burden of disease. A strength is the availability of hospitalisation data for genital warts coded using the ICD-10-AM (International Statistical Classification of Diseases and Related Health Problems, 10th edition, Australian modification) system which are consistent over time (</w:t>
      </w:r>
      <w:r w:rsidR="0031555E" w:rsidRPr="003408A6">
        <w:rPr>
          <w:lang w:val="en-AU"/>
        </w:rPr>
        <w:t>before and after</w:t>
      </w:r>
      <w:r w:rsidRPr="003408A6">
        <w:rPr>
          <w:lang w:val="en-AU"/>
        </w:rPr>
        <w:t xml:space="preserve"> the vaccination program), available nationally and reasonably specific. However, there is considerable lag in data availability, data on immunisation status are not available</w:t>
      </w:r>
      <w:r w:rsidR="00EF3CFA">
        <w:rPr>
          <w:lang w:val="en-AU"/>
        </w:rPr>
        <w:t>,</w:t>
      </w:r>
      <w:r w:rsidRPr="003408A6">
        <w:rPr>
          <w:lang w:val="en-AU"/>
        </w:rPr>
        <w:t xml:space="preserve"> and admissions represent only a small proportion of the disease burden as genital warts are mostly managed in general practice and sexual health clinics and hospitalisations represent the majority of severe cases.</w:t>
      </w:r>
      <w:r w:rsidR="00957019" w:rsidRPr="003408A6">
        <w:rPr>
          <w:lang w:val="en-AU"/>
        </w:rPr>
        <w:t xml:space="preserve"> Also, in females, HGA detection may vary between </w:t>
      </w:r>
      <w:r w:rsidR="00786C85" w:rsidRPr="003408A6">
        <w:rPr>
          <w:lang w:val="en-AU"/>
        </w:rPr>
        <w:t xml:space="preserve">states </w:t>
      </w:r>
      <w:r w:rsidR="00957019" w:rsidRPr="003408A6">
        <w:rPr>
          <w:lang w:val="en-AU"/>
        </w:rPr>
        <w:t xml:space="preserve">and </w:t>
      </w:r>
      <w:r w:rsidR="00786C85" w:rsidRPr="003408A6">
        <w:rPr>
          <w:lang w:val="en-AU"/>
        </w:rPr>
        <w:t xml:space="preserve">territories </w:t>
      </w:r>
      <w:r w:rsidR="00957019" w:rsidRPr="003408A6">
        <w:rPr>
          <w:lang w:val="en-AU"/>
        </w:rPr>
        <w:t xml:space="preserve">due to random variation with small populations; underlying differences in HPV exposure or persistence (due to different sexual behaviours or mixing patterns due to age structures or geography or cofactors such as smoking); </w:t>
      </w:r>
      <w:r w:rsidR="00367658" w:rsidRPr="00367658">
        <w:rPr>
          <w:lang w:val="en-AU"/>
        </w:rPr>
        <w:t xml:space="preserve">or </w:t>
      </w:r>
      <w:r w:rsidR="005C1D8F">
        <w:rPr>
          <w:lang w:val="en-AU"/>
        </w:rPr>
        <w:t>decline in</w:t>
      </w:r>
      <w:r w:rsidR="00367658" w:rsidRPr="00367658">
        <w:rPr>
          <w:lang w:val="en-AU"/>
        </w:rPr>
        <w:t xml:space="preserve"> screening</w:t>
      </w:r>
      <w:r w:rsidR="005C1D8F">
        <w:rPr>
          <w:lang w:val="en-AU"/>
        </w:rPr>
        <w:t xml:space="preserve"> rates</w:t>
      </w:r>
      <w:r w:rsidR="00367658">
        <w:rPr>
          <w:lang w:val="en-AU"/>
        </w:rPr>
        <w:t>;</w:t>
      </w:r>
      <w:r w:rsidR="00367658" w:rsidRPr="00367658">
        <w:rPr>
          <w:lang w:val="en-AU"/>
        </w:rPr>
        <w:t xml:space="preserve"> </w:t>
      </w:r>
      <w:r w:rsidR="00367658">
        <w:rPr>
          <w:lang w:val="en-AU"/>
        </w:rPr>
        <w:t xml:space="preserve">or </w:t>
      </w:r>
      <w:r w:rsidR="00957019" w:rsidRPr="003408A6">
        <w:rPr>
          <w:lang w:val="en-AU"/>
        </w:rPr>
        <w:t>differences in the completeness of histology reporting from laboratories to the registers</w:t>
      </w:r>
      <w:r w:rsidR="00EF3CFA">
        <w:rPr>
          <w:lang w:val="en-AU"/>
        </w:rPr>
        <w:t>;</w:t>
      </w:r>
      <w:r w:rsidR="00957019" w:rsidRPr="003408A6">
        <w:rPr>
          <w:lang w:val="en-AU"/>
        </w:rPr>
        <w:t xml:space="preserve"> or differences in the quality of specimen collection, processing and interpretation.</w:t>
      </w:r>
      <w:r w:rsidR="00C30CE9" w:rsidRPr="003408A6">
        <w:rPr>
          <w:lang w:val="en-AU"/>
        </w:rPr>
        <w:t xml:space="preserve"> </w:t>
      </w:r>
    </w:p>
    <w:p w:rsidR="0070073B" w:rsidRPr="003408A6" w:rsidRDefault="0070073B" w:rsidP="00AF34E5">
      <w:pPr>
        <w:pStyle w:val="BodyText"/>
        <w:rPr>
          <w:lang w:val="en-AU"/>
        </w:rPr>
      </w:pPr>
      <w:r w:rsidRPr="003408A6">
        <w:rPr>
          <w:lang w:val="en-AU"/>
        </w:rPr>
        <w:t xml:space="preserve">Coverage estimates from the NHVPR are likely to under-estimate actual levels of coverage. Key challenges remaining include better measurement of Indigenous coverage, an ability to accurately monitor ongoing coverage by school populations rather than age, closing the gap between dose 1 and dose 3 coverage, ensuring the </w:t>
      </w:r>
      <w:r w:rsidR="00A25E36">
        <w:rPr>
          <w:lang w:val="en-AU"/>
        </w:rPr>
        <w:t>doses delivered in general practice</w:t>
      </w:r>
      <w:r w:rsidRPr="003408A6">
        <w:rPr>
          <w:lang w:val="en-AU"/>
        </w:rPr>
        <w:t xml:space="preserve"> are notified to the </w:t>
      </w:r>
      <w:r w:rsidR="0083757A" w:rsidRPr="003408A6">
        <w:rPr>
          <w:lang w:val="en-AU"/>
        </w:rPr>
        <w:t>NHVPR</w:t>
      </w:r>
      <w:r w:rsidRPr="003408A6">
        <w:rPr>
          <w:lang w:val="en-AU"/>
        </w:rPr>
        <w:t xml:space="preserve"> and lifting </w:t>
      </w:r>
      <w:r w:rsidR="00006FDF" w:rsidRPr="003408A6">
        <w:rPr>
          <w:lang w:val="en-AU"/>
        </w:rPr>
        <w:t>3-</w:t>
      </w:r>
      <w:r w:rsidRPr="003408A6">
        <w:rPr>
          <w:lang w:val="en-AU"/>
        </w:rPr>
        <w:t>dose coverage.</w:t>
      </w:r>
    </w:p>
    <w:p w:rsidR="0070073B" w:rsidRPr="003408A6" w:rsidRDefault="0070073B" w:rsidP="00AF34E5">
      <w:pPr>
        <w:pStyle w:val="BodyText"/>
        <w:rPr>
          <w:lang w:val="en-AU"/>
        </w:rPr>
      </w:pPr>
      <w:r w:rsidRPr="003408A6">
        <w:rPr>
          <w:lang w:val="en-AU"/>
        </w:rPr>
        <w:t xml:space="preserve">For AEFI, there are a diverse range of approaches to passive surveillance employed by jurisdictions across Australia. This leads to differences in the quality, accuracy and timeliness of AEFI reports and the potential for discrepancies in aggregated data. The reforms to the existing system suggested in the Horvath Review </w:t>
      </w:r>
      <w:r w:rsidR="00EF3CFA">
        <w:rPr>
          <w:lang w:val="en-AU"/>
        </w:rPr>
        <w:t xml:space="preserve">of 2011 </w:t>
      </w:r>
      <w:r w:rsidRPr="003408A6">
        <w:rPr>
          <w:lang w:val="en-AU"/>
        </w:rPr>
        <w:t xml:space="preserve">would assist in improving existing AEFI surveillance in Australia. </w:t>
      </w:r>
    </w:p>
    <w:p w:rsidR="0070073B" w:rsidRPr="003408A6" w:rsidRDefault="0070073B" w:rsidP="00AF34E5">
      <w:pPr>
        <w:pStyle w:val="Heading2"/>
      </w:pPr>
      <w:bookmarkStart w:id="15" w:name="_Toc396926118"/>
      <w:r w:rsidRPr="003408A6">
        <w:t>Conclusion</w:t>
      </w:r>
      <w:bookmarkEnd w:id="15"/>
    </w:p>
    <w:p w:rsidR="004B6371" w:rsidRPr="003408A6" w:rsidRDefault="0070073B" w:rsidP="00AF34E5">
      <w:pPr>
        <w:pStyle w:val="BodyText"/>
        <w:rPr>
          <w:highlight w:val="yellow"/>
          <w:lang w:val="en-AU"/>
        </w:rPr>
      </w:pPr>
      <w:r w:rsidRPr="003408A6">
        <w:rPr>
          <w:lang w:val="en-AU"/>
        </w:rPr>
        <w:t xml:space="preserve">The HPV vaccine has been successfully incorporated into Australia’s </w:t>
      </w:r>
      <w:r w:rsidR="007520A3" w:rsidRPr="003408A6">
        <w:rPr>
          <w:lang w:val="en-AU"/>
        </w:rPr>
        <w:t>NIP</w:t>
      </w:r>
      <w:r w:rsidR="0059399E" w:rsidRPr="003408A6">
        <w:rPr>
          <w:lang w:val="en-AU"/>
        </w:rPr>
        <w:t>.</w:t>
      </w:r>
      <w:r w:rsidRPr="003408A6">
        <w:rPr>
          <w:lang w:val="en-AU"/>
        </w:rPr>
        <w:t xml:space="preserve"> </w:t>
      </w:r>
      <w:r w:rsidR="0059399E" w:rsidRPr="003408A6">
        <w:rPr>
          <w:lang w:val="en-AU"/>
        </w:rPr>
        <w:t>T</w:t>
      </w:r>
      <w:r w:rsidRPr="003408A6">
        <w:rPr>
          <w:lang w:val="en-AU"/>
        </w:rPr>
        <w:t xml:space="preserve">he implementation process </w:t>
      </w:r>
      <w:r w:rsidR="0059399E" w:rsidRPr="003408A6">
        <w:rPr>
          <w:lang w:val="en-AU"/>
        </w:rPr>
        <w:t xml:space="preserve">was </w:t>
      </w:r>
      <w:r w:rsidRPr="003408A6">
        <w:rPr>
          <w:lang w:val="en-AU"/>
        </w:rPr>
        <w:t xml:space="preserve">viewed as successful by </w:t>
      </w:r>
      <w:r w:rsidR="0059399E" w:rsidRPr="003408A6">
        <w:rPr>
          <w:lang w:val="en-AU"/>
        </w:rPr>
        <w:t>all</w:t>
      </w:r>
      <w:r w:rsidRPr="003408A6">
        <w:rPr>
          <w:lang w:val="en-AU"/>
        </w:rPr>
        <w:t xml:space="preserve"> stakeholders</w:t>
      </w:r>
      <w:r w:rsidR="0059399E" w:rsidRPr="003408A6">
        <w:rPr>
          <w:lang w:val="en-AU"/>
        </w:rPr>
        <w:t>, but a number of areas for potential improvement</w:t>
      </w:r>
      <w:r w:rsidR="00C80348" w:rsidRPr="003408A6">
        <w:rPr>
          <w:lang w:val="en-AU"/>
        </w:rPr>
        <w:t xml:space="preserve"> were identified by stakeholders</w:t>
      </w:r>
      <w:r w:rsidR="0059399E" w:rsidRPr="003408A6">
        <w:rPr>
          <w:lang w:val="en-AU"/>
        </w:rPr>
        <w:t xml:space="preserve">, especially with respect to lead-time </w:t>
      </w:r>
      <w:r w:rsidR="00071440" w:rsidRPr="003408A6">
        <w:rPr>
          <w:lang w:val="en-AU"/>
        </w:rPr>
        <w:t xml:space="preserve">between the announcement and start of the program </w:t>
      </w:r>
      <w:r w:rsidR="0059399E" w:rsidRPr="003408A6">
        <w:rPr>
          <w:lang w:val="en-AU"/>
        </w:rPr>
        <w:t>and</w:t>
      </w:r>
      <w:r w:rsidR="00071440" w:rsidRPr="003408A6">
        <w:rPr>
          <w:lang w:val="en-AU"/>
        </w:rPr>
        <w:t xml:space="preserve"> early availability of</w:t>
      </w:r>
      <w:r w:rsidR="0059399E" w:rsidRPr="003408A6">
        <w:rPr>
          <w:lang w:val="en-AU"/>
        </w:rPr>
        <w:t xml:space="preserve"> </w:t>
      </w:r>
      <w:r w:rsidR="00071440" w:rsidRPr="003408A6">
        <w:rPr>
          <w:lang w:val="en-AU"/>
        </w:rPr>
        <w:t xml:space="preserve">information </w:t>
      </w:r>
      <w:r w:rsidR="0059399E" w:rsidRPr="003408A6">
        <w:rPr>
          <w:lang w:val="en-AU"/>
        </w:rPr>
        <w:t>resources</w:t>
      </w:r>
      <w:r w:rsidRPr="003408A6">
        <w:rPr>
          <w:lang w:val="en-AU"/>
        </w:rPr>
        <w:t xml:space="preserve">. The </w:t>
      </w:r>
      <w:r w:rsidR="0059399E" w:rsidRPr="003408A6">
        <w:rPr>
          <w:lang w:val="en-AU"/>
        </w:rPr>
        <w:t xml:space="preserve">available data on high-grade cervical abnormalities and genital warts show that the </w:t>
      </w:r>
      <w:r w:rsidRPr="003408A6">
        <w:rPr>
          <w:lang w:val="en-AU"/>
        </w:rPr>
        <w:t xml:space="preserve">routine school-based program has </w:t>
      </w:r>
      <w:r w:rsidR="0059399E" w:rsidRPr="003408A6">
        <w:rPr>
          <w:lang w:val="en-AU"/>
        </w:rPr>
        <w:t xml:space="preserve">substantially </w:t>
      </w:r>
      <w:r w:rsidRPr="003408A6">
        <w:rPr>
          <w:lang w:val="en-AU"/>
        </w:rPr>
        <w:t xml:space="preserve">reduced the burden of high-grade </w:t>
      </w:r>
      <w:r w:rsidR="00551528" w:rsidRPr="003408A6">
        <w:rPr>
          <w:lang w:val="en-AU"/>
        </w:rPr>
        <w:t xml:space="preserve">cervical </w:t>
      </w:r>
      <w:r w:rsidRPr="003408A6">
        <w:rPr>
          <w:lang w:val="en-AU"/>
        </w:rPr>
        <w:t>abnormalities and genital warts in the vaccine</w:t>
      </w:r>
      <w:r w:rsidR="00EF3CFA">
        <w:rPr>
          <w:lang w:val="en-AU"/>
        </w:rPr>
        <w:t>-</w:t>
      </w:r>
      <w:r w:rsidRPr="003408A6">
        <w:rPr>
          <w:lang w:val="en-AU"/>
        </w:rPr>
        <w:t>eligible group</w:t>
      </w:r>
      <w:r w:rsidR="0059399E" w:rsidRPr="003408A6">
        <w:rPr>
          <w:lang w:val="en-AU"/>
        </w:rPr>
        <w:t xml:space="preserve"> and also provided substantial indirect disease reduction in population groups not targeted for HPV vaccine</w:t>
      </w:r>
      <w:r w:rsidRPr="003408A6">
        <w:rPr>
          <w:lang w:val="en-AU"/>
        </w:rPr>
        <w:t xml:space="preserve">. This is reflective of the rapid uptake of the HPV vaccine such that more than half of Australia’s young adult </w:t>
      </w:r>
      <w:r w:rsidR="004E397F" w:rsidRPr="003408A6">
        <w:rPr>
          <w:lang w:val="en-AU"/>
        </w:rPr>
        <w:t xml:space="preserve">females </w:t>
      </w:r>
      <w:r w:rsidRPr="003408A6">
        <w:rPr>
          <w:lang w:val="en-AU"/>
        </w:rPr>
        <w:t xml:space="preserve">(aged </w:t>
      </w:r>
      <w:r w:rsidR="0031555E" w:rsidRPr="003408A6">
        <w:rPr>
          <w:lang w:val="en-AU"/>
        </w:rPr>
        <w:t>&lt;</w:t>
      </w:r>
      <w:r w:rsidRPr="003408A6">
        <w:rPr>
          <w:lang w:val="en-AU"/>
        </w:rPr>
        <w:t>30 years) are currently fully vaccinated. The NHVPR is providing an effective way to improve coverage over and above jurisdictional systems, as evidence</w:t>
      </w:r>
      <w:r w:rsidR="0031555E" w:rsidRPr="003408A6">
        <w:rPr>
          <w:lang w:val="en-AU"/>
        </w:rPr>
        <w:t>d</w:t>
      </w:r>
      <w:r w:rsidRPr="003408A6">
        <w:rPr>
          <w:lang w:val="en-AU"/>
        </w:rPr>
        <w:t xml:space="preserve"> by responses to overdue dose reports and vaccination history statements. </w:t>
      </w:r>
      <w:r w:rsidR="007A6255" w:rsidRPr="003408A6">
        <w:rPr>
          <w:lang w:val="en-AU"/>
        </w:rPr>
        <w:t>More reliable notification of Indigenous status to the NHVPR is needed to allow a comprehensive calculation of coverage for Indigenous adolescents</w:t>
      </w:r>
      <w:r w:rsidR="007F14FA" w:rsidRPr="003408A6">
        <w:rPr>
          <w:lang w:val="en-AU"/>
        </w:rPr>
        <w:t>.</w:t>
      </w:r>
      <w:r w:rsidR="007A6255" w:rsidRPr="003408A6">
        <w:rPr>
          <w:lang w:val="en-AU"/>
        </w:rPr>
        <w:t xml:space="preserve"> </w:t>
      </w:r>
      <w:r w:rsidRPr="003408A6">
        <w:rPr>
          <w:lang w:val="en-AU"/>
        </w:rPr>
        <w:t xml:space="preserve">The reported AEFI were predominantly mild and transient in nature and the vaccine has a safety record comparable with other more established vaccines on the NIP. </w:t>
      </w:r>
      <w:r w:rsidR="007A6255" w:rsidRPr="003408A6">
        <w:rPr>
          <w:lang w:val="en-AU"/>
        </w:rPr>
        <w:t xml:space="preserve">Stakeholders did not raise any major issues around reporting </w:t>
      </w:r>
      <w:r w:rsidR="007F14FA" w:rsidRPr="003408A6">
        <w:rPr>
          <w:lang w:val="en-AU"/>
        </w:rPr>
        <w:t xml:space="preserve">of </w:t>
      </w:r>
      <w:r w:rsidR="007A6255" w:rsidRPr="003408A6">
        <w:rPr>
          <w:lang w:val="en-AU"/>
        </w:rPr>
        <w:t xml:space="preserve">AEFI. </w:t>
      </w:r>
      <w:r w:rsidRPr="003408A6">
        <w:rPr>
          <w:color w:val="000000"/>
          <w:lang w:val="en-AU"/>
        </w:rPr>
        <w:t xml:space="preserve">Continued monitoring of coverage, AEFI and disease epidemiology is needed to determine if these results can be sustained or improved in the future, particularly in light of the extension of the program to males in early 2013. </w:t>
      </w:r>
      <w:bookmarkStart w:id="16" w:name="_Toc305598713"/>
      <w:r w:rsidR="004B6371" w:rsidRPr="003408A6">
        <w:rPr>
          <w:lang w:val="en-AU"/>
        </w:rPr>
        <w:br w:type="page"/>
      </w:r>
    </w:p>
    <w:p w:rsidR="00782244" w:rsidRPr="003408A6" w:rsidRDefault="0085789A" w:rsidP="006D1A8B">
      <w:pPr>
        <w:pStyle w:val="Heading1"/>
      </w:pPr>
      <w:bookmarkStart w:id="17" w:name="_Toc396926119"/>
      <w:r w:rsidRPr="003408A6">
        <w:t>C</w:t>
      </w:r>
      <w:r w:rsidR="002032BD" w:rsidRPr="003408A6">
        <w:t>HAPTER 1</w:t>
      </w:r>
      <w:r w:rsidR="00782244" w:rsidRPr="003408A6">
        <w:t xml:space="preserve">. </w:t>
      </w:r>
      <w:bookmarkEnd w:id="0"/>
      <w:r w:rsidR="002032BD" w:rsidRPr="003408A6">
        <w:t>Introduction</w:t>
      </w:r>
      <w:bookmarkEnd w:id="16"/>
      <w:bookmarkEnd w:id="17"/>
    </w:p>
    <w:p w:rsidR="000035F4" w:rsidRDefault="00E923BE" w:rsidP="00AF34E5">
      <w:pPr>
        <w:pStyle w:val="BodyText"/>
        <w:rPr>
          <w:lang w:val="en-AU"/>
        </w:rPr>
      </w:pPr>
      <w:r w:rsidRPr="003408A6">
        <w:rPr>
          <w:lang w:val="en-AU"/>
        </w:rPr>
        <w:br w:type="page"/>
      </w:r>
      <w:bookmarkStart w:id="18" w:name="_Toc305598714"/>
    </w:p>
    <w:p w:rsidR="000035F4" w:rsidRDefault="000035F4" w:rsidP="000035F4">
      <w:pPr>
        <w:pStyle w:val="Heading2"/>
      </w:pPr>
      <w:r>
        <w:t>Background</w:t>
      </w:r>
    </w:p>
    <w:p w:rsidR="00317F28" w:rsidRPr="003408A6" w:rsidRDefault="00317F28" w:rsidP="000035F4">
      <w:pPr>
        <w:spacing w:after="120" w:line="360" w:lineRule="auto"/>
      </w:pPr>
      <w:r w:rsidRPr="003408A6">
        <w:t>Human papillomaviruses (HPVs) are non-enveloped</w:t>
      </w:r>
      <w:r w:rsidR="00EF3CFA">
        <w:t>,</w:t>
      </w:r>
      <w:r w:rsidRPr="003408A6">
        <w:t xml:space="preserve"> double-stranded, epitheli</w:t>
      </w:r>
      <w:r w:rsidR="00EF3CFA">
        <w:t>o</w:t>
      </w:r>
      <w:r w:rsidRPr="003408A6">
        <w:t>tropic DNA viruses with an icosahedral capsid. HPVs are designated as specific types according to sequence variation in the major genes</w:t>
      </w:r>
      <w:r w:rsidR="00C86D58" w:rsidRPr="003408A6">
        <w:t xml:space="preserve">; there are </w:t>
      </w:r>
      <w:r w:rsidRPr="003408A6">
        <w:t xml:space="preserve">more than 40 types </w:t>
      </w:r>
      <w:r w:rsidR="00C86D58" w:rsidRPr="003408A6">
        <w:t xml:space="preserve">that </w:t>
      </w:r>
      <w:r w:rsidRPr="003408A6">
        <w:t xml:space="preserve">infect the mucosal epithelium of males and females. Some HPV types, including types 16, 18, 31, 33, 35, 45, 52 and 58, are designated as ‘high-risk’ as they are causally associated with the development of cancer of the cervix as well as some anal, vaginal, vulval, penile, </w:t>
      </w:r>
      <w:r w:rsidR="00C86D58" w:rsidRPr="003408A6">
        <w:t xml:space="preserve">and </w:t>
      </w:r>
      <w:r w:rsidRPr="003408A6">
        <w:t>head and neck cancers. Other HPV types, including types 6, 11, 40, 42, 43, 44, 54, 61, 70, 72, 81 and 89, have been classified as ‘low-risk’ and are predominantly associated with non-malignant lesions such as genital warts.</w:t>
      </w:r>
      <w:hyperlink w:anchor="_ENREF_1" w:tooltip="Muñoz, 2003 #779" w:history="1">
        <w:r w:rsidR="00F27F90" w:rsidRPr="003408A6">
          <w:fldChar w:fldCharType="begin">
            <w:fldData xml:space="preserve">PEVuZE5vdGU+PENpdGU+PEF1dGhvcj5NdcOxb3o8L0F1dGhvcj48WWVhcj4yMDAzPC9ZZWFyPjxS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</w:fldData>
          </w:fldChar>
        </w:r>
        <w:r w:rsidR="00F27F90" w:rsidRPr="003408A6">
          <w:instrText xml:space="preserve"> ADDIN EN.CITE </w:instrText>
        </w:r>
        <w:r w:rsidR="00F27F90" w:rsidRPr="003408A6">
          <w:fldChar w:fldCharType="begin">
            <w:fldData xml:space="preserve">PEVuZE5vdGU+PENpdGU+PEF1dGhvcj5NdcOxb3o8L0F1dGhvcj48WWVhcj4yMDAzPC9ZZWFyPjxS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w:t>
        </w:r>
        <w:r w:rsidR="00F27F90" w:rsidRPr="003408A6">
          <w:fldChar w:fldCharType="end"/>
        </w:r>
      </w:hyperlink>
      <w:r w:rsidRPr="003408A6">
        <w:t xml:space="preserve"> </w:t>
      </w:r>
    </w:p>
    <w:p w:rsidR="00317F28" w:rsidRPr="003408A6" w:rsidRDefault="00317F28" w:rsidP="000035F4">
      <w:pPr>
        <w:spacing w:after="120" w:line="360" w:lineRule="auto"/>
      </w:pPr>
      <w:r w:rsidRPr="003408A6">
        <w:t>The most common mode of transmission of HPV infection is through close skin</w:t>
      </w:r>
      <w:r w:rsidR="00EF3CFA">
        <w:t>-</w:t>
      </w:r>
      <w:r w:rsidRPr="003408A6">
        <w:t>to</w:t>
      </w:r>
      <w:r w:rsidR="00EF3CFA">
        <w:t>-</w:t>
      </w:r>
      <w:r w:rsidRPr="003408A6">
        <w:t>skin or mucosa</w:t>
      </w:r>
      <w:r w:rsidR="00EF3CFA">
        <w:t>-</w:t>
      </w:r>
      <w:r w:rsidRPr="003408A6">
        <w:t>to</w:t>
      </w:r>
      <w:r w:rsidR="00EF3CFA">
        <w:t>-</w:t>
      </w:r>
      <w:r w:rsidRPr="003408A6">
        <w:t>mucosa contact.</w:t>
      </w:r>
      <w:hyperlink w:anchor="_ENREF_2" w:tooltip="Franco, 1995 #451" w:history="1">
        <w:r w:rsidR="00F27F90" w:rsidRPr="003408A6">
          <w:fldChar w:fldCharType="begin">
            <w:fldData xml:space="preserve">PEVuZE5vdGU+PENpdGU+PEF1dGhvcj5GcmFuY288L0F1dGhvcj48WWVhcj4xOTk1PC9ZZWFyPjxS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</w:fldData>
          </w:fldChar>
        </w:r>
        <w:r w:rsidR="00F27F90" w:rsidRPr="003408A6">
          <w:instrText xml:space="preserve"> ADDIN EN.CITE </w:instrText>
        </w:r>
        <w:r w:rsidR="00F27F90" w:rsidRPr="003408A6">
          <w:fldChar w:fldCharType="begin">
            <w:fldData xml:space="preserve">PEVuZE5vdGU+PENpdGU+PEF1dGhvcj5GcmFuY288L0F1dGhvcj48WWVhcj4xOTk1PC9ZZWFyPjxS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2</w:t>
        </w:r>
        <w:r w:rsidR="00F27F90" w:rsidRPr="003408A6">
          <w:fldChar w:fldCharType="end"/>
        </w:r>
      </w:hyperlink>
      <w:r w:rsidRPr="003408A6">
        <w:t xml:space="preserve"> The primary route for anogenital transmission of HPV is sexual intercourse</w:t>
      </w:r>
      <w:r w:rsidR="00BA4CBB">
        <w:t>;</w:t>
      </w:r>
      <w:r w:rsidRPr="003408A6">
        <w:t xml:space="preserve"> perinatal transmission of HPV </w:t>
      </w:r>
      <w:r w:rsidR="00BA4CBB">
        <w:t xml:space="preserve">is </w:t>
      </w:r>
      <w:r w:rsidRPr="003408A6">
        <w:t xml:space="preserve">also possible, though </w:t>
      </w:r>
      <w:r w:rsidR="00C86D58" w:rsidRPr="003408A6">
        <w:t xml:space="preserve">this </w:t>
      </w:r>
      <w:r w:rsidRPr="003408A6">
        <w:t>occurs infrequently.</w:t>
      </w:r>
      <w:hyperlink w:anchor="_ENREF_3" w:tooltip="Burchell, 2006 #252" w:history="1">
        <w:r w:rsidR="00F27F90" w:rsidRPr="003408A6">
          <w:fldChar w:fldCharType="begin">
            <w:fldData xml:space="preserve">PEVuZE5vdGU+PENpdGU+PEF1dGhvcj5CdXJjaGVsbDwvQXV0aG9yPjxZZWFyPjIwMDY8L1llYXI+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</w:fldData>
          </w:fldChar>
        </w:r>
        <w:r w:rsidR="00F27F90" w:rsidRPr="003408A6">
          <w:instrText xml:space="preserve"> ADDIN EN.CITE </w:instrText>
        </w:r>
        <w:r w:rsidR="00F27F90" w:rsidRPr="003408A6">
          <w:fldChar w:fldCharType="begin">
            <w:fldData xml:space="preserve">PEVuZE5vdGU+PENpdGU+PEF1dGhvcj5CdXJjaGVsbDwvQXV0aG9yPjxZZWFyPjIwMDY8L1llYXI+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3</w:t>
        </w:r>
        <w:r w:rsidR="00F27F90" w:rsidRPr="003408A6">
          <w:fldChar w:fldCharType="end"/>
        </w:r>
      </w:hyperlink>
      <w:r w:rsidRPr="003408A6">
        <w:t xml:space="preserve"> HPV infections are transient and asymptomatic, with only a small proportion of persistent infections progressing to disease.</w:t>
      </w:r>
      <w:hyperlink w:anchor="_ENREF_4" w:tooltip="Dillner, 1999 #387" w:history="1">
        <w:r w:rsidR="00F27F90" w:rsidRPr="003408A6">
          <w:fldChar w:fldCharType="begin">
            <w:fldData xml:space="preserve">PEVuZE5vdGU+PENpdGU+PEF1dGhvcj5EaWxsbmVyPC9BdXRob3I+PFllYXI+MTk5OTwvWWVhcj48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</w:fldData>
          </w:fldChar>
        </w:r>
        <w:r w:rsidR="00F27F90" w:rsidRPr="003408A6">
          <w:instrText xml:space="preserve"> ADDIN EN.CITE </w:instrText>
        </w:r>
        <w:r w:rsidR="00F27F90" w:rsidRPr="003408A6">
          <w:fldChar w:fldCharType="begin">
            <w:fldData xml:space="preserve">PEVuZE5vdGU+PENpdGU+PEF1dGhvcj5EaWxsbmVyPC9BdXRob3I+PFllYXI+MTk5OTwvWWVhcj48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4</w:t>
        </w:r>
        <w:r w:rsidR="00F27F90" w:rsidRPr="003408A6">
          <w:fldChar w:fldCharType="end"/>
        </w:r>
      </w:hyperlink>
      <w:r w:rsidRPr="003408A6">
        <w:t xml:space="preserve"> Dependent on the infecting HPV type, </w:t>
      </w:r>
      <w:r w:rsidR="00C86D58" w:rsidRPr="003408A6">
        <w:t xml:space="preserve">infection </w:t>
      </w:r>
      <w:r w:rsidRPr="003408A6">
        <w:t>may result in lesions that include cutaneous warts, genital warts, cervical and other anogenital tract abnormalities and cancers, and respiratory papillomatosis.</w:t>
      </w:r>
      <w:hyperlink w:anchor="_ENREF_5" w:tooltip="Georgieva, 2009 #471" w:history="1">
        <w:r w:rsidR="00F27F90" w:rsidRPr="003408A6">
          <w:fldChar w:fldCharType="begin">
            <w:fldData xml:space="preserve">PEVuZE5vdGU+PENpdGU+PEF1dGhvcj5HZW9yZ2lldmE8L0F1dGhvcj48WWVhcj4yMDA5PC9ZZWFy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</w:fldData>
          </w:fldChar>
        </w:r>
        <w:r w:rsidR="00F27F90" w:rsidRPr="003408A6">
          <w:instrText xml:space="preserve"> ADDIN EN.CITE </w:instrText>
        </w:r>
        <w:r w:rsidR="00F27F90" w:rsidRPr="003408A6">
          <w:fldChar w:fldCharType="begin">
            <w:fldData xml:space="preserve">PEVuZE5vdGU+PENpdGU+PEF1dGhvcj5HZW9yZ2lldmE8L0F1dGhvcj48WWVhcj4yMDA5PC9ZZWFy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5</w:t>
        </w:r>
        <w:r w:rsidR="00F27F90" w:rsidRPr="003408A6">
          <w:fldChar w:fldCharType="end"/>
        </w:r>
      </w:hyperlink>
    </w:p>
    <w:p w:rsidR="00317F28" w:rsidRPr="003408A6" w:rsidRDefault="00317F28" w:rsidP="000035F4">
      <w:pPr>
        <w:spacing w:after="120" w:line="360" w:lineRule="auto"/>
      </w:pPr>
      <w:r w:rsidRPr="003408A6">
        <w:t>HPV infection rates vary greatly between geographic regions and population groups, but it is estimated that up to 79% of women worldwide will be infected with HPV at some point in their lives.</w:t>
      </w:r>
      <w:hyperlink w:anchor="_ENREF_6" w:tooltip="Koutsky, 1997 #644" w:history="1">
        <w:r w:rsidR="00F27F90" w:rsidRPr="003408A6">
          <w:fldChar w:fldCharType="begin">
            <w:fldData xml:space="preserve">PEVuZE5vdGU+PENpdGU+PEF1dGhvcj5Lb3V0c2t5PC9BdXRob3I+PFllYXI+MTk5NzwvWWVhcj48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</w:fldData>
          </w:fldChar>
        </w:r>
        <w:r w:rsidR="00F27F90" w:rsidRPr="003408A6">
          <w:instrText xml:space="preserve"> ADDIN EN.CITE </w:instrText>
        </w:r>
        <w:r w:rsidR="00F27F90" w:rsidRPr="003408A6">
          <w:fldChar w:fldCharType="begin">
            <w:fldData xml:space="preserve">PEVuZE5vdGU+PENpdGU+PEF1dGhvcj5Lb3V0c2t5PC9BdXRob3I+PFllYXI+MTk5NzwvWWVhcj48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6</w:t>
        </w:r>
        <w:r w:rsidR="00F27F90" w:rsidRPr="003408A6">
          <w:fldChar w:fldCharType="end"/>
        </w:r>
      </w:hyperlink>
      <w:r w:rsidRPr="003408A6">
        <w:t xml:space="preserve"> HPV infection rates are highest among young women, usually peaking soon after the age when most young women become sexually active.</w:t>
      </w:r>
      <w:hyperlink w:anchor="_ENREF_7" w:tooltip="Dunne, 2006 #404" w:history="1">
        <w:r w:rsidR="00F27F90" w:rsidRPr="003408A6">
          <w:fldChar w:fldCharType="begin">
            <w:fldData xml:space="preserve">PEVuZE5vdGU+PENpdGU+PEF1dGhvcj5EdW5uZTwvQXV0aG9yPjxZZWFyPjIwMDY8L1llYXI+PFJl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</w:fldData>
          </w:fldChar>
        </w:r>
        <w:r w:rsidR="00F27F90" w:rsidRPr="003408A6">
          <w:instrText xml:space="preserve"> ADDIN EN.CITE </w:instrText>
        </w:r>
        <w:r w:rsidR="00F27F90" w:rsidRPr="003408A6">
          <w:fldChar w:fldCharType="begin">
            <w:fldData xml:space="preserve">PEVuZE5vdGU+PENpdGU+PEF1dGhvcj5EdW5uZTwvQXV0aG9yPjxZZWFyPjIwMDY8L1llYXI+PFJl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7</w:t>
        </w:r>
        <w:r w:rsidR="00F27F90" w:rsidRPr="003408A6">
          <w:fldChar w:fldCharType="end"/>
        </w:r>
      </w:hyperlink>
      <w:r w:rsidRPr="003408A6">
        <w:t xml:space="preserve"> A woman’s lifetime number of sex partners is the most important predictor of HPV acquisition. In a study of monogamous women, 48% acquired HPV infection within 3 years of becoming sexually active despite only having one partner.</w:t>
      </w:r>
      <w:hyperlink w:anchor="_ENREF_8" w:tooltip="Winer, 2008 #1208" w:history="1">
        <w:r w:rsidR="00F27F90" w:rsidRPr="003408A6">
          <w:fldChar w:fldCharType="begin">
            <w:fldData xml:space="preserve">PEVuZE5vdGU+PENpdGU+PEF1dGhvcj5XaW5lcjwvQXV0aG9yPjxZZWFyPjIwMDg8L1llYXI+PFJl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</w:fldData>
          </w:fldChar>
        </w:r>
        <w:r w:rsidR="00F27F90" w:rsidRPr="003408A6">
          <w:instrText xml:space="preserve"> ADDIN EN.CITE </w:instrText>
        </w:r>
        <w:r w:rsidR="00F27F90" w:rsidRPr="003408A6">
          <w:fldChar w:fldCharType="begin">
            <w:fldData xml:space="preserve">PEVuZE5vdGU+PENpdGU+PEF1dGhvcj5XaW5lcjwvQXV0aG9yPjxZZWFyPjIwMDg8L1llYXI+PFJl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8</w:t>
        </w:r>
        <w:r w:rsidR="00F27F90" w:rsidRPr="003408A6">
          <w:fldChar w:fldCharType="end"/>
        </w:r>
      </w:hyperlink>
    </w:p>
    <w:p w:rsidR="00317F28" w:rsidRPr="003408A6" w:rsidRDefault="00317F28" w:rsidP="000035F4">
      <w:pPr>
        <w:spacing w:after="120" w:line="360" w:lineRule="auto"/>
      </w:pPr>
      <w:r w:rsidRPr="003408A6">
        <w:t>Australia has one of the lowest rates of incidence and mortality from cervical cancer in the world.</w:t>
      </w:r>
      <w:hyperlink w:anchor="_ENREF_9" w:tooltip="International Agency for Research on Cancer, 2012 #1209" w:history="1">
        <w:r w:rsidR="00F27F90" w:rsidRPr="003408A6">
          <w:fldChar w:fldCharType="begin"/>
        </w:r>
        <w:r w:rsidR="00F27F90" w:rsidRPr="003408A6">
          <w:instrText xml:space="preserve"> ADDIN EN.CITE &lt;EndNote&gt;&lt;Cite&gt;&lt;Author&gt;International Agency for Research on Cancer&lt;/Author&gt;&lt;Year&gt;2012&lt;/Year&gt;&lt;RecNum&gt;1209&lt;/RecNum&gt;&lt;DisplayText&gt;&lt;style face="superscript"&gt;9&lt;/style&gt;&lt;/DisplayText&gt;&lt;record&gt;&lt;rec-number&gt;1209&lt;/rec-number&gt;&lt;foreign-keys&gt;&lt;key app="EN" db-id="dda0wweazfww9besetpx2r5pt0asp9ztvs95"&gt;1209&lt;/key&gt;&lt;/foreign-keys&gt;&lt;ref-type name="Web Page"&gt;12&lt;/ref-type&gt;&lt;contributors&gt;&lt;authors&gt;&lt;author&gt;International Agency for Research on Cancer,&lt;/author&gt;&lt;/authors&gt;&lt;/contributors&gt;&lt;titles&gt;&lt;title&gt;CANCERMondial&lt;/title&gt;&lt;/titles&gt;&lt;volume&gt;2012&lt;/volume&gt;&lt;number&gt;11 July 2012&lt;/number&gt;&lt;dates&gt;&lt;year&gt;2012&lt;/year&gt;&lt;/dates&gt;&lt;urls&gt;&lt;related-urls&gt;&lt;url&gt;http://www-dep.iarc.fr/&lt;/url&gt;&lt;/related-urls&gt;&lt;/urls&gt;&lt;/record&gt;&lt;/Cite&gt;&lt;/EndNote&gt;</w:instrText>
        </w:r>
        <w:r w:rsidR="00F27F90" w:rsidRPr="003408A6">
          <w:fldChar w:fldCharType="separate"/>
        </w:r>
        <w:r w:rsidR="00F27F90" w:rsidRPr="003408A6">
          <w:rPr>
            <w:noProof/>
            <w:vertAlign w:val="superscript"/>
          </w:rPr>
          <w:t>9</w:t>
        </w:r>
        <w:r w:rsidR="00F27F90" w:rsidRPr="003408A6">
          <w:fldChar w:fldCharType="end"/>
        </w:r>
      </w:hyperlink>
      <w:r w:rsidRPr="003408A6">
        <w:t xml:space="preserve"> In 2008</w:t>
      </w:r>
      <w:r w:rsidR="00C86D58" w:rsidRPr="003408A6">
        <w:t>,</w:t>
      </w:r>
      <w:r w:rsidRPr="003408A6">
        <w:t xml:space="preserve"> there were 9 new cases of cervical cancer per 100,000 women of all ages</w:t>
      </w:r>
      <w:r w:rsidR="00BA4CBB">
        <w:t>,</w:t>
      </w:r>
      <w:r w:rsidRPr="003408A6">
        <w:t xml:space="preserve"> and in 2007</w:t>
      </w:r>
      <w:r w:rsidR="00BA4CBB">
        <w:t>,</w:t>
      </w:r>
      <w:r w:rsidRPr="003408A6">
        <w:t xml:space="preserve"> the age-standardised mortality rate from cervical cancer was 2 deaths per 100,000.</w:t>
      </w:r>
      <w:hyperlink w:anchor="_ENREF_10" w:tooltip="Australian Institute of Health and Welfare (AIHW), 2012 #1212" w:history="1">
        <w:r w:rsidR="00F27F90" w:rsidRPr="003408A6">
          <w:fldChar w:fldCharType="begin"/>
        </w:r>
        <w:r w:rsidR="00F27F90" w:rsidRPr="003408A6">
          <w:instrText xml:space="preserve"> ADDIN EN.CITE &lt;EndNote&gt;&lt;Cite&gt;&lt;Author&gt;Australian Institute of Health and Welfare (AIHW)&lt;/Author&gt;&lt;Year&gt;2012&lt;/Year&gt;&lt;RecNum&gt;1212&lt;/RecNum&gt;&lt;DisplayText&gt;&lt;style face="superscript"&gt;10&lt;/style&gt;&lt;/DisplayText&gt;&lt;record&gt;&lt;rec-number&gt;1212&lt;/rec-number&gt;&lt;foreign-keys&gt;&lt;key app="EN" db-id="dda0wweazfww9besetpx2r5pt0asp9ztvs95"&gt;1212&lt;/key&gt;&lt;/foreign-keys&gt;&lt;ref-type name="Report"&gt;27&lt;/ref-type&gt;&lt;contributors&gt;&lt;authors&gt;&lt;author&gt;Australian Institute of Health and Welfare (AIHW),&lt;/author&gt;&lt;/authors&gt;&lt;/contributors&gt;&lt;titles&gt;&lt;title&gt;Cervical screening in Australia 2009-2010. Cancer series no. 67. Cat. no. CAN 63&lt;/title&gt;&lt;/titles&gt;&lt;dates&gt;&lt;year&gt;2012&lt;/year&gt;&lt;/dates&gt;&lt;pub-location&gt;Canberra&lt;/pub-location&gt;&lt;publisher&gt;AIHW&lt;/publisher&gt;&lt;urls&gt;&lt;/urls&gt;&lt;/record&gt;&lt;/Cite&gt;&lt;/EndNote&gt;</w:instrText>
        </w:r>
        <w:r w:rsidR="00F27F90" w:rsidRPr="003408A6">
          <w:fldChar w:fldCharType="separate"/>
        </w:r>
        <w:r w:rsidR="00F27F90" w:rsidRPr="003408A6">
          <w:rPr>
            <w:noProof/>
            <w:vertAlign w:val="superscript"/>
          </w:rPr>
          <w:t>10</w:t>
        </w:r>
        <w:r w:rsidR="00F27F90" w:rsidRPr="003408A6">
          <w:fldChar w:fldCharType="end"/>
        </w:r>
      </w:hyperlink>
      <w:r w:rsidRPr="003408A6">
        <w:t xml:space="preserve"> These are the lowest rates observed to date. Cervical cancer in Australia now occurs predomina</w:t>
      </w:r>
      <w:r w:rsidR="00C86D58" w:rsidRPr="003408A6">
        <w:t>n</w:t>
      </w:r>
      <w:r w:rsidRPr="003408A6">
        <w:t xml:space="preserve">tly in unscreened or under-screened women. Indigenous women have more than double the risk of developing cervical cancer and a mortality rate over </w:t>
      </w:r>
      <w:r w:rsidR="00BA4CBB">
        <w:t>5</w:t>
      </w:r>
      <w:r w:rsidR="00BA4CBB" w:rsidRPr="003408A6">
        <w:t xml:space="preserve"> </w:t>
      </w:r>
      <w:r w:rsidRPr="003408A6">
        <w:t>times that of non-Indigenous women.</w:t>
      </w:r>
      <w:r w:rsidR="006D1565" w:rsidRPr="003408A6">
        <w:fldChar w:fldCharType="begin"/>
      </w:r>
      <w:r w:rsidR="006D1565" w:rsidRPr="003408A6">
        <w:instrText xml:space="preserve"> ADDIN EN.CITE &lt;EndNote&gt;&lt;Cite&gt;&lt;Author&gt;Condon&lt;/Author&gt;&lt;Year&gt;2005&lt;/Year&gt;&lt;RecNum&gt;1211&lt;/RecNum&gt;&lt;DisplayText&gt;&lt;style face="superscript"&gt;10,11&lt;/style&gt;&lt;/DisplayText&gt;&lt;record&gt;&lt;rec-number&gt;1211&lt;/rec-number&gt;&lt;foreign-keys&gt;&lt;key app="EN" db-id="dda0wweazfww9besetpx2r5pt0asp9ztvs95"&gt;1211&lt;/key&gt;&lt;/foreign-keys&gt;&lt;ref-type name="Journal Article"&gt;17&lt;/ref-type&gt;&lt;contributors&gt;&lt;authors&gt;&lt;author&gt;Condon, JR&lt;/author&gt;&lt;author&gt;Armstrong, BK&lt;/author&gt;&lt;author&gt;Barnes, TT&lt;/author&gt;&lt;author&gt;Zhao, YY &lt;/author&gt;&lt;/authors&gt;&lt;/contributors&gt;&lt;titles&gt;&lt;title&gt;Cancer incidence and survival for indigenous Australians in the Northern Territory&lt;/title&gt;&lt;secondary-title&gt;Australian and New Zealand Journal of Public Health&lt;/secondary-title&gt;&lt;/titles&gt;&lt;periodical&gt;&lt;full-title&gt;Australian and New Zealand Journal of Public Health&lt;/full-title&gt;&lt;abbr-1&gt;Aust. N. Z. J. Public Health&lt;/abbr-1&gt;&lt;abbr-2&gt;Aust N Z J Public Health&lt;/abbr-2&gt;&lt;abbr-3&gt;Australian &amp;amp; New Zealand Journal of Public Health&lt;/abbr-3&gt;&lt;/periodical&gt;&lt;pages&gt;123-8&lt;/pages&gt;&lt;volume&gt;29&lt;/volume&gt;&lt;number&gt;2&lt;/number&gt;&lt;dates&gt;&lt;year&gt;2005&lt;/year&gt;&lt;/dates&gt;&lt;urls&gt;&lt;/urls&gt;&lt;/record&gt;&lt;/Cite&gt;&lt;Cite&gt;&lt;Author&gt;Australian Institute of Health and Welfare (AIHW)&lt;/Author&gt;&lt;Year&gt;2012&lt;/Year&gt;&lt;RecNum&gt;1212&lt;/RecNum&gt;&lt;record&gt;&lt;rec-number&gt;1212&lt;/rec-number&gt;&lt;foreign-keys&gt;&lt;key app="EN" db-id="dda0wweazfww9besetpx2r5pt0asp9ztvs95"&gt;1212&lt;/key&gt;&lt;/foreign-keys&gt;&lt;ref-type name="Report"&gt;27&lt;/ref-type&gt;&lt;contributors&gt;&lt;authors&gt;&lt;author&gt;Australian Institute of Health and Welfare (AIHW),&lt;/author&gt;&lt;/authors&gt;&lt;/contributors&gt;&lt;titles&gt;&lt;title&gt;Cervical screening in Australia 2009-2010. Cancer series no. 67. Cat. no. CAN 63&lt;/title&gt;&lt;/titles&gt;&lt;dates&gt;&lt;year&gt;2012&lt;/year&gt;&lt;/dates&gt;&lt;pub-location&gt;Canberra&lt;/pub-location&gt;&lt;publisher&gt;AIHW&lt;/publisher&gt;&lt;urls&gt;&lt;/urls&gt;&lt;/record&gt;&lt;/Cite&gt;&lt;/EndNote&gt;</w:instrText>
      </w:r>
      <w:r w:rsidR="006D1565" w:rsidRPr="003408A6">
        <w:fldChar w:fldCharType="separate"/>
      </w:r>
      <w:hyperlink w:anchor="_ENREF_10" w:tooltip="Australian Institute of Health and Welfare (AIHW), 2012 #1212" w:history="1">
        <w:r w:rsidR="00F27F90" w:rsidRPr="003408A6">
          <w:rPr>
            <w:noProof/>
            <w:vertAlign w:val="superscript"/>
          </w:rPr>
          <w:t>10</w:t>
        </w:r>
      </w:hyperlink>
      <w:r w:rsidR="006D1565" w:rsidRPr="003408A6">
        <w:rPr>
          <w:noProof/>
          <w:vertAlign w:val="superscript"/>
        </w:rPr>
        <w:t>,</w:t>
      </w:r>
      <w:hyperlink w:anchor="_ENREF_11" w:tooltip="Condon, 2005 #1211" w:history="1">
        <w:r w:rsidR="00F27F90" w:rsidRPr="003408A6">
          <w:rPr>
            <w:noProof/>
            <w:vertAlign w:val="superscript"/>
          </w:rPr>
          <w:t>11</w:t>
        </w:r>
      </w:hyperlink>
      <w:r w:rsidR="006D1565" w:rsidRPr="003408A6">
        <w:fldChar w:fldCharType="end"/>
      </w:r>
      <w:r w:rsidRPr="003408A6">
        <w:t xml:space="preserve"> HPV types 16 and 18 are responsible for the largest burden of cervical cancers and for over 80% of HPV-typed cancers of the anus, penis</w:t>
      </w:r>
      <w:r w:rsidR="00BA4CBB">
        <w:t>,</w:t>
      </w:r>
      <w:r w:rsidRPr="003408A6">
        <w:t xml:space="preserve"> and head and neck.</w:t>
      </w:r>
      <w:hyperlink w:anchor="_ENREF_12" w:tooltip="de Sanjose, 2010 #363" w:history="1">
        <w:r w:rsidR="00F27F90" w:rsidRPr="003408A6">
          <w:fldChar w:fldCharType="begin">
            <w:fldData xml:space="preserve">PEVuZE5vdGU+PENpdGU+PEF1dGhvcj5kZSBTYW5qb3NlPC9BdXRob3I+PFllYXI+MjAxMDwvWWVh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</w:fldData>
          </w:fldChar>
        </w:r>
        <w:r w:rsidR="00F27F90" w:rsidRPr="003408A6">
          <w:instrText xml:space="preserve"> ADDIN EN.CITE </w:instrText>
        </w:r>
        <w:r w:rsidR="00F27F90" w:rsidRPr="003408A6">
          <w:fldChar w:fldCharType="begin">
            <w:fldData xml:space="preserve">PEVuZE5vdGU+PENpdGU+PEF1dGhvcj5kZSBTYW5qb3NlPC9BdXRob3I+PFllYXI+MjAxMDwvWWVh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12</w:t>
        </w:r>
        <w:r w:rsidR="00F27F90" w:rsidRPr="003408A6">
          <w:fldChar w:fldCharType="end"/>
        </w:r>
      </w:hyperlink>
      <w:r w:rsidRPr="003408A6">
        <w:t xml:space="preserve"> Of the low</w:t>
      </w:r>
      <w:r w:rsidR="00BA4CBB">
        <w:t>-</w:t>
      </w:r>
      <w:r w:rsidRPr="003408A6">
        <w:t>risk genital HPV types, types 6 and 11 cause approximately 95% of genital warts.</w:t>
      </w:r>
      <w:hyperlink w:anchor="_ENREF_13" w:tooltip="Garland, 2009 #1206" w:history="1">
        <w:r w:rsidR="00F27F90" w:rsidRPr="003408A6">
          <w:fldChar w:fldCharType="begin"/>
        </w:r>
        <w:r w:rsidR="00F27F90" w:rsidRPr="003408A6">
          <w:instrText xml:space="preserve"> ADDIN EN.CITE &lt;EndNote&gt;&lt;Cite&gt;&lt;Author&gt;Garland&lt;/Author&gt;&lt;Year&gt;2009&lt;/Year&gt;&lt;RecNum&gt;1206&lt;/RecNum&gt;&lt;DisplayText&gt;&lt;style face="superscript"&gt;13&lt;/style&gt;&lt;/DisplayText&gt;&lt;record&gt;&lt;rec-number&gt;1206&lt;/rec-number&gt;&lt;foreign-keys&gt;&lt;key app="EN" db-id="dda0wweazfww9besetpx2r5pt0asp9ztvs95"&gt;1206&lt;/key&gt;&lt;/foreign-keys&gt;&lt;ref-type name="Journal Article"&gt;17&lt;/ref-type&gt;&lt;contributors&gt;&lt;authors&gt;&lt;author&gt;Garland, SM&lt;/author&gt;&lt;author&gt;Steben, M&lt;/author&gt;&lt;author&gt;Sings, HL&lt;/author&gt;&lt;author&gt;James, M&lt;/author&gt;&lt;author&gt;Lu, S&lt;/author&gt;&lt;author&gt;Railkar, R&lt;/author&gt;&lt;author&gt;Barr, E&lt;/author&gt;&lt;author&gt;Haupt, RM&lt;/author&gt;&lt;author&gt;Joura, EA&lt;/author&gt;&lt;/authors&gt;&lt;/contributors&gt;&lt;titles&gt;&lt;title&gt;Natural history of genital warts: analysis of the placebo arm of 2 randomized phase III trials of a quadrivalent human papillomavirus (types 6, 11, 16, and 18) vaccine&lt;/title&gt;&lt;secondary-title&gt;Journal of Infectious Diseases&lt;/secondary-title&gt;&lt;/titles&gt;&lt;periodical&gt;&lt;full-title&gt;Journal of Infectious Diseases&lt;/full-title&gt;&lt;abbr-1&gt;J. Infect. Dis.&lt;/abbr-1&gt;&lt;abbr-2&gt;J Infect Dis&lt;/abbr-2&gt;&lt;/periodical&gt;&lt;pages&gt;805-814&lt;/pages&gt;&lt;volume&gt;199&lt;/volume&gt;&lt;dates&gt;&lt;year&gt;2009&lt;/year&gt;&lt;/dates&gt;&lt;urls&gt;&lt;/urls&gt;&lt;/record&gt;&lt;/Cite&gt;&lt;/EndNote&gt;</w:instrText>
        </w:r>
        <w:r w:rsidR="00F27F90" w:rsidRPr="003408A6">
          <w:fldChar w:fldCharType="separate"/>
        </w:r>
        <w:r w:rsidR="00F27F90" w:rsidRPr="003408A6">
          <w:rPr>
            <w:noProof/>
            <w:vertAlign w:val="superscript"/>
          </w:rPr>
          <w:t>13</w:t>
        </w:r>
        <w:r w:rsidR="00F27F90" w:rsidRPr="003408A6">
          <w:fldChar w:fldCharType="end"/>
        </w:r>
      </w:hyperlink>
      <w:r w:rsidRPr="003408A6">
        <w:t xml:space="preserve"> An Australian serosurvey from 2006 found 24% of females and 18% of males aged 0–69 years were seropositive to at least </w:t>
      </w:r>
      <w:r w:rsidR="00C86D58" w:rsidRPr="003408A6">
        <w:t>one</w:t>
      </w:r>
      <w:r w:rsidRPr="003408A6">
        <w:t xml:space="preserve"> of the </w:t>
      </w:r>
      <w:r w:rsidR="00C86D58" w:rsidRPr="003408A6">
        <w:t>four</w:t>
      </w:r>
      <w:r w:rsidRPr="003408A6">
        <w:t xml:space="preserve"> HPV types 6, 11, 16 and 18</w:t>
      </w:r>
      <w:r w:rsidR="00C86D58" w:rsidRPr="003408A6">
        <w:t>;</w:t>
      </w:r>
      <w:hyperlink w:anchor="_ENREF_14" w:tooltip="Newall, 2008 #1207" w:history="1">
        <w:r w:rsidR="00F27F90" w:rsidRPr="003408A6">
          <w:fldChar w:fldCharType="begin">
            <w:fldData xml:space="preserve">PEVuZE5vdGU+PENpdGU+PEF1dGhvcj5OZXdhbGw8L0F1dGhvcj48WWVhcj4yMDA4PC9ZZWFyPjxS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</w:fldData>
          </w:fldChar>
        </w:r>
        <w:r w:rsidR="00F27F90" w:rsidRPr="003408A6">
          <w:instrText xml:space="preserve"> ADDIN EN.CITE </w:instrText>
        </w:r>
        <w:r w:rsidR="00F27F90" w:rsidRPr="003408A6">
          <w:fldChar w:fldCharType="begin">
            <w:fldData xml:space="preserve">PEVuZE5vdGU+PENpdGU+PEF1dGhvcj5OZXdhbGw8L0F1dGhvcj48WWVhcj4yMDA4PC9ZZWFyPjxS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14</w:t>
        </w:r>
        <w:r w:rsidR="00F27F90" w:rsidRPr="003408A6">
          <w:fldChar w:fldCharType="end"/>
        </w:r>
      </w:hyperlink>
      <w:r w:rsidRPr="003408A6">
        <w:t xml:space="preserve"> however</w:t>
      </w:r>
      <w:r w:rsidR="00C86D58" w:rsidRPr="003408A6">
        <w:t>,</w:t>
      </w:r>
      <w:r w:rsidRPr="003408A6">
        <w:t xml:space="preserve"> fewer than 60% of women, and an even lower proportion of men, who are infected with HPV develop antibodies.</w:t>
      </w:r>
      <w:hyperlink w:anchor="_ENREF_4" w:tooltip="Dillner, 1999 #387" w:history="1">
        <w:r w:rsidR="00F27F90" w:rsidRPr="003408A6">
          <w:fldChar w:fldCharType="begin">
            <w:fldData xml:space="preserve">PEVuZE5vdGU+PENpdGU+PEF1dGhvcj5EaWxsbmVyPC9BdXRob3I+PFllYXI+MTk5OTwvWWVhcj48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</w:fldData>
          </w:fldChar>
        </w:r>
        <w:r w:rsidR="00F27F90" w:rsidRPr="003408A6">
          <w:instrText xml:space="preserve"> ADDIN EN.CITE </w:instrText>
        </w:r>
        <w:r w:rsidR="00F27F90" w:rsidRPr="003408A6">
          <w:fldChar w:fldCharType="begin">
            <w:fldData xml:space="preserve">PEVuZE5vdGU+PENpdGU+PEF1dGhvcj5EaWxsbmVyPC9BdXRob3I+PFllYXI+MTk5OTwvWWVhcj48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4</w:t>
        </w:r>
        <w:r w:rsidR="00F27F90" w:rsidRPr="003408A6">
          <w:fldChar w:fldCharType="end"/>
        </w:r>
      </w:hyperlink>
      <w:r w:rsidRPr="003408A6">
        <w:t xml:space="preserve">  </w:t>
      </w:r>
    </w:p>
    <w:p w:rsidR="00317F28" w:rsidRPr="003408A6" w:rsidRDefault="00317F28" w:rsidP="000035F4">
      <w:pPr>
        <w:spacing w:after="120" w:line="360" w:lineRule="auto"/>
      </w:pPr>
      <w:r w:rsidRPr="003408A6">
        <w:t>The population incidence of benign HPV-associated lesions, such as anogenital warts, is much higher than the incidence of HPV-associated cancers. In Australia, the estimated annual incidence of anogenital warts in 2000–2006 was 206 per 100</w:t>
      </w:r>
      <w:r w:rsidR="00C86D58" w:rsidRPr="003408A6">
        <w:t>,</w:t>
      </w:r>
      <w:r w:rsidRPr="003408A6">
        <w:t>000 in males and 231 per 100</w:t>
      </w:r>
      <w:r w:rsidR="00C86D58" w:rsidRPr="003408A6">
        <w:t>,</w:t>
      </w:r>
      <w:r w:rsidRPr="003408A6">
        <w:t>000 in females. The age group of peak incidence was 25–29 years for men (rate 740 per 100</w:t>
      </w:r>
      <w:r w:rsidR="00C86D58" w:rsidRPr="003408A6">
        <w:t>,</w:t>
      </w:r>
      <w:r w:rsidRPr="003408A6">
        <w:t>000) and 20–24 years for women (rate 861 per 100</w:t>
      </w:r>
      <w:r w:rsidR="00BA4CBB">
        <w:t>,</w:t>
      </w:r>
      <w:r w:rsidRPr="003408A6">
        <w:t>000). In Australia, 4.0% of men and 4.4% of women aged 16–59 years reported ever being diagnosed with genital warts.</w:t>
      </w:r>
      <w:hyperlink w:anchor="_ENREF_15" w:tooltip="Pirotta, 2010 #881" w:history="1">
        <w:r w:rsidR="00F27F90" w:rsidRPr="003408A6">
          <w:fldChar w:fldCharType="begin">
            <w:fldData xml:space="preserve">PEVuZE5vdGU+PENpdGU+PEF1dGhvcj5QaXJvdHRhPC9BdXRob3I+PFllYXI+MjAxMDwvWWVhcj48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</w:fldData>
          </w:fldChar>
        </w:r>
        <w:r w:rsidR="00F27F90" w:rsidRPr="003408A6">
          <w:instrText xml:space="preserve"> ADDIN EN.CITE </w:instrText>
        </w:r>
        <w:r w:rsidR="00F27F90" w:rsidRPr="003408A6">
          <w:fldChar w:fldCharType="begin">
            <w:fldData xml:space="preserve">PEVuZE5vdGU+PENpdGU+PEF1dGhvcj5QaXJvdHRhPC9BdXRob3I+PFllYXI+MjAxMDwvWWVhcj48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15</w:t>
        </w:r>
        <w:r w:rsidR="00F27F90" w:rsidRPr="003408A6">
          <w:fldChar w:fldCharType="end"/>
        </w:r>
      </w:hyperlink>
    </w:p>
    <w:p w:rsidR="00317F28" w:rsidRPr="003408A6" w:rsidRDefault="00317F28" w:rsidP="000035F4">
      <w:pPr>
        <w:spacing w:after="120" w:line="360" w:lineRule="auto"/>
      </w:pPr>
      <w:r w:rsidRPr="003408A6">
        <w:t>The National Cervical Screening Program’s regular Pap testing allows the early detection and treatment of HPV-related cervical abnormalities prior to the development of cervical cancer. Every year in Australia, Pap testing detects low-grade cervical abnormalities in about 92,000 women and high-grade cervical abnormalities in a further 50</w:t>
      </w:r>
      <w:r w:rsidR="00C86D58" w:rsidRPr="003408A6">
        <w:t>,</w:t>
      </w:r>
      <w:r w:rsidRPr="003408A6">
        <w:t>000 women. The incidence of both low- and high-grade abnormalities peaks in women aged 20–24 years.</w:t>
      </w:r>
      <w:hyperlink w:anchor="_ENREF_10" w:tooltip="Australian Institute of Health and Welfare (AIHW), 2012 #1212" w:history="1">
        <w:r w:rsidR="00F27F90" w:rsidRPr="003408A6">
          <w:fldChar w:fldCharType="begin"/>
        </w:r>
        <w:r w:rsidR="00F27F90" w:rsidRPr="003408A6">
          <w:instrText xml:space="preserve"> ADDIN EN.CITE &lt;EndNote&gt;&lt;Cite&gt;&lt;Author&gt;Australian Institute of Health and Welfare (AIHW)&lt;/Author&gt;&lt;Year&gt;2012&lt;/Year&gt;&lt;RecNum&gt;1212&lt;/RecNum&gt;&lt;DisplayText&gt;&lt;style face="superscript"&gt;10&lt;/style&gt;&lt;/DisplayText&gt;&lt;record&gt;&lt;rec-number&gt;1212&lt;/rec-number&gt;&lt;foreign-keys&gt;&lt;key app="EN" db-id="dda0wweazfww9besetpx2r5pt0asp9ztvs95"&gt;1212&lt;/key&gt;&lt;/foreign-keys&gt;&lt;ref-type name="Report"&gt;27&lt;/ref-type&gt;&lt;contributors&gt;&lt;authors&gt;&lt;author&gt;Australian Institute of Health and Welfare (AIHW),&lt;/author&gt;&lt;/authors&gt;&lt;/contributors&gt;&lt;titles&gt;&lt;title&gt;Cervical screening in Australia 2009-2010. Cancer series no. 67. Cat. no. CAN 63&lt;/title&gt;&lt;/titles&gt;&lt;dates&gt;&lt;year&gt;2012&lt;/year&gt;&lt;/dates&gt;&lt;pub-location&gt;Canberra&lt;/pub-location&gt;&lt;publisher&gt;AIHW&lt;/publisher&gt;&lt;urls&gt;&lt;/urls&gt;&lt;/record&gt;&lt;/Cite&gt;&lt;/EndNote&gt;</w:instrText>
        </w:r>
        <w:r w:rsidR="00F27F90" w:rsidRPr="003408A6">
          <w:fldChar w:fldCharType="separate"/>
        </w:r>
        <w:r w:rsidR="00F27F90" w:rsidRPr="003408A6">
          <w:rPr>
            <w:noProof/>
            <w:vertAlign w:val="superscript"/>
          </w:rPr>
          <w:t>10</w:t>
        </w:r>
        <w:r w:rsidR="00F27F90" w:rsidRPr="003408A6">
          <w:fldChar w:fldCharType="end"/>
        </w:r>
      </w:hyperlink>
    </w:p>
    <w:p w:rsidR="00317F28" w:rsidRPr="003408A6" w:rsidRDefault="00317F28" w:rsidP="000035F4">
      <w:pPr>
        <w:spacing w:after="120" w:line="360" w:lineRule="auto"/>
      </w:pPr>
      <w:r w:rsidRPr="003408A6">
        <w:t>Successfully applied molecular biology techniques have underpinned the development of two prophylactic HPV vaccines. The bivalent vaccine (Cervarix</w:t>
      </w:r>
      <w:r w:rsidRPr="003408A6">
        <w:rPr>
          <w:vertAlign w:val="superscript"/>
        </w:rPr>
        <w:t>®</w:t>
      </w:r>
      <w:r w:rsidRPr="003408A6">
        <w:t>, GlaxoSmithKline) contains virus-like particles (VLPs) of HPV types 16 and 18;</w:t>
      </w:r>
      <w:hyperlink w:anchor="_ENREF_16" w:tooltip="GlaxoSmithKline Australia, 2011 #1203" w:history="1">
        <w:r w:rsidR="00F27F90" w:rsidRPr="003408A6">
          <w:fldChar w:fldCharType="begin"/>
        </w:r>
        <w:r w:rsidR="00F27F90">
          <w:instrText xml:space="preserve"> ADDIN EN.CITE &lt;EndNote&gt;&lt;Cite&gt;&lt;Author&gt;GlaxoSmithKline Australia&lt;/Author&gt;&lt;Year&gt;2011&lt;/Year&gt;&lt;RecNum&gt;1203&lt;/RecNum&gt;&lt;DisplayText&gt;&lt;style face="superscript"&gt;16&lt;/style&gt;&lt;/DisplayText&gt;&lt;record&gt;&lt;rec-number&gt;1203&lt;/rec-number&gt;&lt;foreign-keys&gt;&lt;key app="EN" db-id="dda0wweazfww9besetpx2r5pt0asp9ztvs95"&gt;1203&lt;/key&gt;&lt;/foreign-keys&gt;&lt;ref-type name="Pamphlet"&gt;24&lt;/ref-type&gt;&lt;contributors&gt;&lt;authors&gt;&lt;author&gt;GlaxoSmithKline Australia,&lt;/author&gt;&lt;/authors&gt;&lt;/contributors&gt;&lt;titles&gt;&lt;title&gt;&lt;style face="normal" font="default" size="100%"&gt;Cervarix&lt;/style&gt;&lt;style face="superscript" font="default" size="100%"&gt; &lt;/style&gt;&lt;style face="normal" font="default" size="100%"&gt;product information. Human papillomavirus vaccine types 16 and 18 (recombinant, AS04 adjuvanted)&lt;/style&gt;&lt;/title&gt;&lt;/titles&gt;&lt;dates&gt;&lt;year&gt;2011&lt;/year&gt;&lt;/dates&gt;&lt;urls&gt;&lt;/urls&gt;&lt;/record&gt;&lt;/Cite&gt;&lt;/EndNote&gt;</w:instrText>
        </w:r>
        <w:r w:rsidR="00F27F90" w:rsidRPr="003408A6">
          <w:fldChar w:fldCharType="separate"/>
        </w:r>
        <w:r w:rsidR="00F27F90" w:rsidRPr="003408A6">
          <w:rPr>
            <w:noProof/>
            <w:vertAlign w:val="superscript"/>
          </w:rPr>
          <w:t>16</w:t>
        </w:r>
        <w:r w:rsidR="00F27F90" w:rsidRPr="003408A6">
          <w:fldChar w:fldCharType="end"/>
        </w:r>
      </w:hyperlink>
      <w:r w:rsidRPr="003408A6">
        <w:t xml:space="preserve"> the quadrivalent vaccine (Gardasil</w:t>
      </w:r>
      <w:r w:rsidRPr="003408A6">
        <w:rPr>
          <w:vertAlign w:val="superscript"/>
        </w:rPr>
        <w:t>®</w:t>
      </w:r>
      <w:r w:rsidRPr="003408A6">
        <w:t xml:space="preserve">, </w:t>
      </w:r>
      <w:r w:rsidR="0043033C" w:rsidRPr="003408A6">
        <w:t>CSL Biotherapies/</w:t>
      </w:r>
      <w:r w:rsidRPr="003408A6">
        <w:t>Merck &amp; Co. Inc.)</w:t>
      </w:r>
      <w:hyperlink w:anchor="_ENREF_14" w:tooltip="Newall, 2008 #1207" w:history="1">
        <w:r w:rsidR="00F27F90" w:rsidRPr="003408A6">
          <w:fldChar w:fldCharType="begin">
            <w:fldData xml:space="preserve">PEVuZE5vdGU+PENpdGU+PEF1dGhvcj5OZXdhbGw8L0F1dGhvcj48WWVhcj4yMDA4PC9ZZWFyPjxS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</w:fldData>
          </w:fldChar>
        </w:r>
        <w:r w:rsidR="00F27F90" w:rsidRPr="003408A6">
          <w:instrText xml:space="preserve"> ADDIN EN.CITE </w:instrText>
        </w:r>
        <w:r w:rsidR="00F27F90" w:rsidRPr="003408A6">
          <w:fldChar w:fldCharType="begin">
            <w:fldData xml:space="preserve">PEVuZE5vdGU+PENpdGU+PEF1dGhvcj5OZXdhbGw8L0F1dGhvcj48WWVhcj4yMDA4PC9ZZWFyPjxS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14</w:t>
        </w:r>
        <w:r w:rsidR="00F27F90" w:rsidRPr="003408A6">
          <w:fldChar w:fldCharType="end"/>
        </w:r>
      </w:hyperlink>
      <w:r w:rsidRPr="003408A6">
        <w:t xml:space="preserve"> contains VLPs of HPV types 16, 18, 6 and 11. The primary vaccination course consists of </w:t>
      </w:r>
      <w:r w:rsidR="00006FDF" w:rsidRPr="003408A6">
        <w:t xml:space="preserve">3 </w:t>
      </w:r>
      <w:r w:rsidRPr="003408A6">
        <w:t>doses over 6</w:t>
      </w:r>
      <w:r w:rsidR="00006FDF" w:rsidRPr="003408A6">
        <w:t xml:space="preserve"> </w:t>
      </w:r>
      <w:r w:rsidRPr="003408A6">
        <w:t xml:space="preserve">months though </w:t>
      </w:r>
      <w:r w:rsidR="00C86D58" w:rsidRPr="003408A6">
        <w:t xml:space="preserve">the </w:t>
      </w:r>
      <w:r w:rsidRPr="003408A6">
        <w:t>need for a booster has not yet been established. Overall</w:t>
      </w:r>
      <w:r w:rsidR="00C86D58" w:rsidRPr="003408A6">
        <w:t>,</w:t>
      </w:r>
      <w:r w:rsidRPr="003408A6">
        <w:t xml:space="preserve"> seroconversion occurs in 99–100% of those vaccinated and vaccination protects against 90</w:t>
      </w:r>
      <w:r w:rsidR="00C86D58" w:rsidRPr="003408A6">
        <w:t>–</w:t>
      </w:r>
      <w:r w:rsidRPr="003408A6">
        <w:t>100%</w:t>
      </w:r>
      <w:r w:rsidR="00C86D58" w:rsidRPr="003408A6">
        <w:t xml:space="preserve"> of</w:t>
      </w:r>
      <w:r w:rsidRPr="003408A6">
        <w:t xml:space="preserve"> persistent infection</w:t>
      </w:r>
      <w:r w:rsidR="00C86D58" w:rsidRPr="003408A6">
        <w:t>s</w:t>
      </w:r>
      <w:r w:rsidRPr="003408A6">
        <w:t xml:space="preserve"> and cervical abnormalities caused by HPV types in the vaccine.</w:t>
      </w:r>
      <w:r w:rsidR="006D1565" w:rsidRPr="003408A6">
        <w:fldChar w:fldCharType="begin">
          <w:fldData xml:space="preserve">PEVuZE5vdGU+PENpdGU+PEF1dGhvcj5WaWxsYTwvQXV0aG9yPjxZZWFyPjIwMDU8L1llYXI+PFJl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</w:fldData>
        </w:fldChar>
      </w:r>
      <w:r w:rsidR="006D1565" w:rsidRPr="003408A6">
        <w:instrText xml:space="preserve"> ADDIN EN.CITE </w:instrText>
      </w:r>
      <w:r w:rsidR="006D1565" w:rsidRPr="003408A6">
        <w:fldChar w:fldCharType="begin">
          <w:fldData xml:space="preserve">PEVuZE5vdGU+PENpdGU+PEF1dGhvcj5WaWxsYTwvQXV0aG9yPjxZZWFyPjIwMDU8L1llYXI+PFJl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</w:fldData>
        </w:fldChar>
      </w:r>
      <w:r w:rsidR="006D1565" w:rsidRPr="003408A6">
        <w:instrText xml:space="preserve"> ADDIN EN.CITE.DATA </w:instrText>
      </w:r>
      <w:r w:rsidR="006D1565" w:rsidRPr="003408A6">
        <w:fldChar w:fldCharType="end"/>
      </w:r>
      <w:r w:rsidR="006D1565" w:rsidRPr="003408A6">
        <w:fldChar w:fldCharType="separate"/>
      </w:r>
      <w:hyperlink w:anchor="_ENREF_17" w:tooltip="Villa, 2005 #1126" w:history="1">
        <w:r w:rsidR="00F27F90" w:rsidRPr="003408A6">
          <w:rPr>
            <w:noProof/>
            <w:vertAlign w:val="superscript"/>
          </w:rPr>
          <w:t>17</w:t>
        </w:r>
      </w:hyperlink>
      <w:r w:rsidR="006D1565" w:rsidRPr="003408A6">
        <w:rPr>
          <w:noProof/>
          <w:vertAlign w:val="superscript"/>
        </w:rPr>
        <w:t>,</w:t>
      </w:r>
      <w:hyperlink w:anchor="_ENREF_18" w:tooltip="Harper, 2004 #523" w:history="1">
        <w:r w:rsidR="00F27F90" w:rsidRPr="003408A6">
          <w:rPr>
            <w:noProof/>
            <w:vertAlign w:val="superscript"/>
          </w:rPr>
          <w:t>18</w:t>
        </w:r>
      </w:hyperlink>
      <w:r w:rsidR="006D1565" w:rsidRPr="003408A6">
        <w:fldChar w:fldCharType="end"/>
      </w:r>
      <w:r w:rsidRPr="003408A6">
        <w:t xml:space="preserve"> The duration of immunity is not yet known though current evidence suggests it is at least </w:t>
      </w:r>
      <w:r w:rsidR="00C86D58" w:rsidRPr="003408A6">
        <w:t xml:space="preserve">5 </w:t>
      </w:r>
      <w:r w:rsidRPr="003408A6">
        <w:t>years</w:t>
      </w:r>
      <w:r w:rsidR="00C86D58" w:rsidRPr="003408A6">
        <w:t>;</w:t>
      </w:r>
      <w:hyperlink w:anchor="_ENREF_19" w:tooltip="Harper, 2006 #524" w:history="1">
        <w:r w:rsidR="00F27F90" w:rsidRPr="003408A6">
          <w:fldChar w:fldCharType="begin">
            <w:fldData xml:space="preserve">PEVuZE5vdGU+PENpdGU+PEF1dGhvcj5IYXJwZXI8L0F1dGhvcj48WWVhcj4yMDA2PC9ZZWFyPjxS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</w:fldData>
          </w:fldChar>
        </w:r>
        <w:r w:rsidR="00F27F90" w:rsidRPr="003408A6">
          <w:instrText xml:space="preserve"> ADDIN EN.CITE </w:instrText>
        </w:r>
        <w:r w:rsidR="00F27F90" w:rsidRPr="003408A6">
          <w:fldChar w:fldCharType="begin">
            <w:fldData xml:space="preserve">PEVuZE5vdGU+PENpdGU+PEF1dGhvcj5IYXJwZXI8L0F1dGhvcj48WWVhcj4yMDA2PC9ZZWFyPjxS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</w:fldData>
          </w:fldChar>
        </w:r>
        <w:r w:rsidR="00F27F90" w:rsidRPr="003408A6">
          <w:instrText xml:space="preserve"> ADDIN EN.CITE.DATA </w:instrText>
        </w:r>
        <w:r w:rsidR="00F27F90" w:rsidRPr="003408A6">
          <w:fldChar w:fldCharType="end"/>
        </w:r>
        <w:r w:rsidR="00F27F90" w:rsidRPr="003408A6">
          <w:fldChar w:fldCharType="separate"/>
        </w:r>
        <w:r w:rsidR="00F27F90" w:rsidRPr="003408A6">
          <w:rPr>
            <w:noProof/>
            <w:vertAlign w:val="superscript"/>
          </w:rPr>
          <w:t>19</w:t>
        </w:r>
        <w:r w:rsidR="00F27F90" w:rsidRPr="003408A6">
          <w:fldChar w:fldCharType="end"/>
        </w:r>
      </w:hyperlink>
      <w:r w:rsidRPr="003408A6">
        <w:t xml:space="preserve"> long-term studies</w:t>
      </w:r>
      <w:r w:rsidR="00C86D58" w:rsidRPr="003408A6">
        <w:t xml:space="preserve"> are</w:t>
      </w:r>
      <w:r w:rsidRPr="003408A6">
        <w:t xml:space="preserve"> ongoing. </w:t>
      </w:r>
    </w:p>
    <w:p w:rsidR="00317F28" w:rsidRPr="003408A6" w:rsidRDefault="00317F28" w:rsidP="000035F4">
      <w:pPr>
        <w:pStyle w:val="Heading2"/>
      </w:pPr>
      <w:r w:rsidRPr="003408A6">
        <w:t xml:space="preserve">Human papillomavirus vaccination in Australia </w:t>
      </w:r>
    </w:p>
    <w:p w:rsidR="00317F28" w:rsidRPr="003408A6" w:rsidRDefault="008C1C40" w:rsidP="00AF34E5">
      <w:pPr>
        <w:pStyle w:val="BodyText"/>
        <w:rPr>
          <w:lang w:val="en-AU"/>
        </w:rPr>
      </w:pPr>
      <w:r w:rsidRPr="003408A6">
        <w:rPr>
          <w:lang w:val="en-AU"/>
        </w:rPr>
        <w:t xml:space="preserve">From June </w:t>
      </w:r>
      <w:r w:rsidR="00317F28" w:rsidRPr="003408A6">
        <w:rPr>
          <w:lang w:val="en-AU"/>
        </w:rPr>
        <w:t>2006</w:t>
      </w:r>
      <w:r w:rsidRPr="003408A6">
        <w:rPr>
          <w:lang w:val="en-AU"/>
        </w:rPr>
        <w:t>,</w:t>
      </w:r>
      <w:r w:rsidR="00317F28" w:rsidRPr="003408A6">
        <w:rPr>
          <w:lang w:val="en-AU"/>
        </w:rPr>
        <w:t xml:space="preserve"> the quadrivalent HPV vaccine, Gardasil</w:t>
      </w:r>
      <w:r w:rsidR="00317F28" w:rsidRPr="003408A6">
        <w:rPr>
          <w:vertAlign w:val="superscript"/>
          <w:lang w:val="en-AU"/>
        </w:rPr>
        <w:t>®</w:t>
      </w:r>
      <w:r w:rsidR="00317F28" w:rsidRPr="003408A6">
        <w:rPr>
          <w:lang w:val="en-AU"/>
        </w:rPr>
        <w:t xml:space="preserve"> (CSL Biotherapies/Merck &amp; Co. Inc.)</w:t>
      </w:r>
      <w:r w:rsidR="00074734" w:rsidRPr="003408A6">
        <w:rPr>
          <w:lang w:val="en-AU"/>
        </w:rPr>
        <w:t>,</w:t>
      </w:r>
      <w:hyperlink w:anchor="_ENREF_20" w:tooltip="Merck Sharp &amp; Dohme Pty Limited, 2011 #1204" w:history="1">
        <w:r w:rsidR="00F27F90" w:rsidRPr="003408A6">
          <w:rPr>
            <w:lang w:val="en-AU"/>
          </w:rPr>
          <w:fldChar w:fldCharType="begin"/>
        </w:r>
        <w:r w:rsidR="00F27F90" w:rsidRPr="003408A6">
          <w:rPr>
            <w:lang w:val="en-AU"/>
          </w:rPr>
          <w:instrText xml:space="preserve"> ADDIN EN.CITE &lt;EndNote&gt;&lt;Cite&gt;&lt;Author&gt;Merck Sharp &amp;amp; Dohme Pty Limited&lt;/Author&gt;&lt;Year&gt;2011&lt;/Year&gt;&lt;RecNum&gt;1204&lt;/RecNum&gt;&lt;DisplayText&gt;&lt;style face="superscript"&gt;20&lt;/style&gt;&lt;/DisplayText&gt;&lt;record&gt;&lt;rec-number&gt;1204&lt;/rec-number&gt;&lt;foreign-keys&gt;&lt;key app="EN" db-id="dda0wweazfww9besetpx2r5pt0asp9ztvs95"&gt;1204&lt;/key&gt;&lt;/foreign-keys&gt;&lt;ref-type name="Pamphlet"&gt;24&lt;/ref-type&gt;&lt;contributors&gt;&lt;authors&gt;&lt;author&gt;Merck Sharp &amp;amp; Dohme Pty Limited,&lt;/author&gt;&lt;/authors&gt;&lt;/contributors&gt;&lt;titles&gt;&lt;title&gt;Gardasil product information (Quadrivalent human papillomavirus (types 6, 11, 16, 18) recombinant vaccine)&lt;/title&gt;&lt;/titles&gt;&lt;dates&gt;&lt;year&gt;2011&lt;/year&gt;&lt;/dates&gt;&lt;urls&gt;&lt;/urls&gt;&lt;/record&gt;&lt;/Cite&gt;&lt;/EndNote&gt;</w:instrText>
        </w:r>
        <w:r w:rsidR="00F27F90" w:rsidRPr="003408A6">
          <w:rPr>
            <w:lang w:val="en-AU"/>
          </w:rPr>
          <w:fldChar w:fldCharType="separate"/>
        </w:r>
        <w:r w:rsidR="00F27F90" w:rsidRPr="003408A6">
          <w:rPr>
            <w:noProof/>
            <w:vertAlign w:val="superscript"/>
            <w:lang w:val="en-AU"/>
          </w:rPr>
          <w:t>20</w:t>
        </w:r>
        <w:r w:rsidR="00F27F90" w:rsidRPr="003408A6">
          <w:rPr>
            <w:lang w:val="en-AU"/>
          </w:rPr>
          <w:fldChar w:fldCharType="end"/>
        </w:r>
      </w:hyperlink>
      <w:r w:rsidR="00317F28" w:rsidRPr="003408A6">
        <w:rPr>
          <w:lang w:val="en-AU"/>
        </w:rPr>
        <w:t xml:space="preserve"> was registered for use in females aged 9–26 years with the bivalent HPV vaccine, Cervarix</w:t>
      </w:r>
      <w:r w:rsidR="00317F28" w:rsidRPr="003408A6">
        <w:rPr>
          <w:vertAlign w:val="superscript"/>
          <w:lang w:val="en-AU"/>
        </w:rPr>
        <w:t xml:space="preserve">® </w:t>
      </w:r>
      <w:r w:rsidR="00317F28" w:rsidRPr="003408A6">
        <w:rPr>
          <w:lang w:val="en-AU"/>
        </w:rPr>
        <w:t>(GlaxoSmithKline)</w:t>
      </w:r>
      <w:r w:rsidR="002E5293" w:rsidRPr="003408A6">
        <w:rPr>
          <w:lang w:val="en-AU"/>
        </w:rPr>
        <w:t>,</w:t>
      </w:r>
      <w:hyperlink w:anchor="_ENREF_16" w:tooltip="GlaxoSmithKline Australia, 2011 #1203" w:history="1">
        <w:r w:rsidR="00F27F90" w:rsidRPr="003408A6">
          <w:rPr>
            <w:lang w:val="en-AU"/>
          </w:rPr>
          <w:fldChar w:fldCharType="begin"/>
        </w:r>
        <w:r w:rsidR="00F27F90">
          <w:rPr>
            <w:lang w:val="en-AU"/>
          </w:rPr>
          <w:instrText xml:space="preserve"> ADDIN EN.CITE &lt;EndNote&gt;&lt;Cite&gt;&lt;Author&gt;GlaxoSmithKline Australia&lt;/Author&gt;&lt;Year&gt;2011&lt;/Year&gt;&lt;RecNum&gt;1203&lt;/RecNum&gt;&lt;DisplayText&gt;&lt;style face="superscript"&gt;16&lt;/style&gt;&lt;/DisplayText&gt;&lt;record&gt;&lt;rec-number&gt;1203&lt;/rec-number&gt;&lt;foreign-keys&gt;&lt;key app="EN" db-id="dda0wweazfww9besetpx2r5pt0asp9ztvs95"&gt;1203&lt;/key&gt;&lt;/foreign-keys&gt;&lt;ref-type name="Pamphlet"&gt;24&lt;/ref-type&gt;&lt;contributors&gt;&lt;authors&gt;&lt;author&gt;GlaxoSmithKline Australia,&lt;/author&gt;&lt;/authors&gt;&lt;/contributors&gt;&lt;titles&gt;&lt;title&gt;&lt;style face="normal" font="default" size="100%"&gt;Cervarix&lt;/style&gt;&lt;style face="superscript" font="default" size="100%"&gt; &lt;/style&gt;&lt;style face="normal" font="default" size="100%"&gt;product information. Human papillomavirus vaccine types 16 and 18 (recombinant, AS04 adjuvanted)&lt;/style&gt;&lt;/title&gt;&lt;/titles&gt;&lt;dates&gt;&lt;year&gt;2011&lt;/year&gt;&lt;/dates&gt;&lt;urls&gt;&lt;/urls&gt;&lt;/record&gt;&lt;/Cite&gt;&lt;/EndNote&gt;</w:instrText>
        </w:r>
        <w:r w:rsidR="00F27F90" w:rsidRPr="003408A6">
          <w:rPr>
            <w:lang w:val="en-AU"/>
          </w:rPr>
          <w:fldChar w:fldCharType="separate"/>
        </w:r>
        <w:r w:rsidR="00F27F90" w:rsidRPr="003408A6">
          <w:rPr>
            <w:noProof/>
            <w:vertAlign w:val="superscript"/>
            <w:lang w:val="en-AU"/>
          </w:rPr>
          <w:t>16</w:t>
        </w:r>
        <w:r w:rsidR="00F27F90" w:rsidRPr="003408A6">
          <w:rPr>
            <w:lang w:val="en-AU"/>
          </w:rPr>
          <w:fldChar w:fldCharType="end"/>
        </w:r>
      </w:hyperlink>
      <w:r w:rsidR="00317F28" w:rsidRPr="003408A6">
        <w:rPr>
          <w:vertAlign w:val="superscript"/>
          <w:lang w:val="en-AU"/>
        </w:rPr>
        <w:t xml:space="preserve"> </w:t>
      </w:r>
      <w:r w:rsidR="00317F28" w:rsidRPr="003408A6">
        <w:rPr>
          <w:lang w:val="en-AU"/>
        </w:rPr>
        <w:t xml:space="preserve">registered in March 2007 for females </w:t>
      </w:r>
      <w:r w:rsidR="002E5293" w:rsidRPr="003408A6">
        <w:rPr>
          <w:lang w:val="en-AU"/>
        </w:rPr>
        <w:t xml:space="preserve">aged </w:t>
      </w:r>
      <w:r w:rsidR="00317F28" w:rsidRPr="003408A6">
        <w:rPr>
          <w:lang w:val="en-AU"/>
        </w:rPr>
        <w:t>10–45 years. From mid-2010</w:t>
      </w:r>
      <w:r w:rsidR="002E5293" w:rsidRPr="003408A6">
        <w:rPr>
          <w:lang w:val="en-AU"/>
        </w:rPr>
        <w:t>,</w:t>
      </w:r>
      <w:r w:rsidR="00317F28" w:rsidRPr="003408A6">
        <w:rPr>
          <w:lang w:val="en-AU"/>
        </w:rPr>
        <w:t xml:space="preserve"> the registered indication for Gardasil</w:t>
      </w:r>
      <w:r w:rsidR="00317F28" w:rsidRPr="003408A6">
        <w:rPr>
          <w:vertAlign w:val="superscript"/>
          <w:lang w:val="en-AU"/>
        </w:rPr>
        <w:t xml:space="preserve">® </w:t>
      </w:r>
      <w:r w:rsidR="00317F28" w:rsidRPr="003408A6">
        <w:rPr>
          <w:lang w:val="en-AU"/>
        </w:rPr>
        <w:t xml:space="preserve">in Australia was extended to females aged 45 years and males </w:t>
      </w:r>
      <w:r w:rsidR="002E5293" w:rsidRPr="003408A6">
        <w:rPr>
          <w:lang w:val="en-AU"/>
        </w:rPr>
        <w:t xml:space="preserve">aged </w:t>
      </w:r>
      <w:r w:rsidR="00317F28" w:rsidRPr="003408A6">
        <w:rPr>
          <w:lang w:val="en-AU"/>
        </w:rPr>
        <w:t>9</w:t>
      </w:r>
      <w:r w:rsidR="002E5293" w:rsidRPr="003408A6">
        <w:rPr>
          <w:lang w:val="en-AU"/>
        </w:rPr>
        <w:t>–</w:t>
      </w:r>
      <w:r w:rsidR="00317F28" w:rsidRPr="003408A6">
        <w:rPr>
          <w:lang w:val="en-AU"/>
        </w:rPr>
        <w:t>26 years.</w:t>
      </w:r>
      <w:hyperlink w:anchor="_ENREF_21" w:tooltip="Theraputic Goods Administration, 2011 #1205" w:history="1">
        <w:r w:rsidR="00F27F90" w:rsidRPr="003408A6">
          <w:rPr>
            <w:lang w:val="en-AU"/>
          </w:rPr>
          <w:fldChar w:fldCharType="begin"/>
        </w:r>
        <w:r w:rsidR="00F27F90" w:rsidRPr="003408A6">
          <w:rPr>
            <w:lang w:val="en-AU"/>
          </w:rPr>
          <w:instrText xml:space="preserve"> ADDIN EN.CITE &lt;EndNote&gt;&lt;Cite&gt;&lt;Author&gt;Theraputic Goods Administration&lt;/Author&gt;&lt;Year&gt;2011&lt;/Year&gt;&lt;RecNum&gt;1205&lt;/RecNum&gt;&lt;DisplayText&gt;&lt;style face="superscript"&gt;21&lt;/style&gt;&lt;/DisplayText&gt;&lt;record&gt;&lt;rec-number&gt;1205&lt;/rec-number&gt;&lt;foreign-keys&gt;&lt;key app="EN" db-id="dda0wweazfww9besetpx2r5pt0asp9ztvs95"&gt;1205&lt;/key&gt;&lt;/foreign-keys&gt;&lt;ref-type name="Report"&gt;27&lt;/ref-type&gt;&lt;contributors&gt;&lt;authors&gt;&lt;author&gt;Theraputic Goods Administration,&lt;/author&gt;&lt;/authors&gt;&lt;/contributors&gt;&lt;titles&gt;&lt;title&gt;Australian Public Assessment Report for Gardasil&lt;/title&gt;&lt;/titles&gt;&lt;dates&gt;&lt;year&gt;2011&lt;/year&gt;&lt;/dates&gt;&lt;pub-location&gt;Canberra&lt;/pub-location&gt;&lt;publisher&gt;Commonwealth of Australia&lt;/publisher&gt;&lt;urls&gt;&lt;related-urls&gt;&lt;url&gt;http://www.tga.gov.au/pdf/auspar/auspar-gardasil.pdf&lt;/url&gt;&lt;/related-urls&gt;&lt;/urls&gt;&lt;access-date&gt;13 December 2013&lt;/access-date&gt;&lt;/record&gt;&lt;/Cite&gt;&lt;/EndNote&gt;</w:instrText>
        </w:r>
        <w:r w:rsidR="00F27F90" w:rsidRPr="003408A6">
          <w:rPr>
            <w:lang w:val="en-AU"/>
          </w:rPr>
          <w:fldChar w:fldCharType="separate"/>
        </w:r>
        <w:r w:rsidR="00F27F90" w:rsidRPr="003408A6">
          <w:rPr>
            <w:noProof/>
            <w:vertAlign w:val="superscript"/>
            <w:lang w:val="en-AU"/>
          </w:rPr>
          <w:t>21</w:t>
        </w:r>
        <w:r w:rsidR="00F27F90" w:rsidRPr="003408A6">
          <w:rPr>
            <w:lang w:val="en-AU"/>
          </w:rPr>
          <w:fldChar w:fldCharType="end"/>
        </w:r>
      </w:hyperlink>
    </w:p>
    <w:p w:rsidR="00317F28" w:rsidRPr="003408A6" w:rsidRDefault="00317F28" w:rsidP="00AF34E5">
      <w:pPr>
        <w:pStyle w:val="BodyText"/>
        <w:rPr>
          <w:lang w:val="en-AU"/>
        </w:rPr>
      </w:pPr>
      <w:r w:rsidRPr="003408A6">
        <w:rPr>
          <w:lang w:val="en-AU"/>
        </w:rPr>
        <w:t>Australia was the first country to implement a funded national HPV vaccination program with Gardasil</w:t>
      </w:r>
      <w:r w:rsidRPr="003408A6">
        <w:rPr>
          <w:vertAlign w:val="superscript"/>
          <w:lang w:val="en-AU"/>
        </w:rPr>
        <w:t>®</w:t>
      </w:r>
      <w:r w:rsidRPr="003408A6">
        <w:rPr>
          <w:lang w:val="en-AU"/>
        </w:rPr>
        <w:t xml:space="preserve"> </w:t>
      </w:r>
      <w:r w:rsidR="00E264E5">
        <w:rPr>
          <w:lang w:val="en-AU"/>
        </w:rPr>
        <w:t xml:space="preserve">added to the National Immunisation Program (NIP) </w:t>
      </w:r>
      <w:r w:rsidRPr="003408A6">
        <w:rPr>
          <w:lang w:val="en-AU"/>
        </w:rPr>
        <w:t>from April 2007.</w:t>
      </w:r>
      <w:hyperlink w:anchor="_ENREF_22" w:tooltip="Abbott, 2006 #1202" w:history="1">
        <w:r w:rsidR="00F27F90" w:rsidRPr="003408A6">
          <w:rPr>
            <w:lang w:val="en-AU"/>
          </w:rPr>
          <w:fldChar w:fldCharType="begin"/>
        </w:r>
        <w:r w:rsidR="00F27F90" w:rsidRPr="003408A6">
          <w:rPr>
            <w:lang w:val="en-AU"/>
          </w:rPr>
          <w:instrText xml:space="preserve"> ADDIN EN.CITE &lt;EndNote&gt;&lt;Cite&gt;&lt;Author&gt;Abbott&lt;/Author&gt;&lt;Year&gt;2006&lt;/Year&gt;&lt;RecNum&gt;1202&lt;/RecNum&gt;&lt;DisplayText&gt;&lt;style face="superscript"&gt;22&lt;/style&gt;&lt;/DisplayText&gt;&lt;record&gt;&lt;rec-number&gt;1202&lt;/rec-number&gt;&lt;foreign-keys&gt;&lt;key app="EN" db-id="dda0wweazfww9besetpx2r5pt0asp9ztvs95"&gt;1202&lt;/key&gt;&lt;/foreign-keys&gt;&lt;ref-type name="Web Page"&gt;12&lt;/ref-type&gt;&lt;contributors&gt;&lt;authors&gt;&lt;author&gt;Abbott, T&lt;/author&gt;&lt;/authors&gt;&lt;/contributors&gt;&lt;titles&gt;&lt;title&gt;Media release: Government funds Gardasil&lt;/title&gt;&lt;/titles&gt;&lt;volume&gt;2012&lt;/volume&gt;&lt;number&gt;9 July 2012&lt;/number&gt;&lt;dates&gt;&lt;year&gt;2006&lt;/year&gt;&lt;/dates&gt;&lt;publisher&gt;Australian Government Department of Health and Ageing&lt;/publisher&gt;&lt;urls&gt;&lt;related-urls&gt;&lt;url&gt;http://www.health.gov.au/internet/ministers/publishing.nsf/Content/487014123B6EBBA1CA257234008126EC/$File/abb155.pdf&lt;/url&gt;&lt;/related-urls&gt;&lt;/urls&gt;&lt;/record&gt;&lt;/Cite&gt;&lt;/EndNote&gt;</w:instrText>
        </w:r>
        <w:r w:rsidR="00F27F90" w:rsidRPr="003408A6">
          <w:rPr>
            <w:lang w:val="en-AU"/>
          </w:rPr>
          <w:fldChar w:fldCharType="separate"/>
        </w:r>
        <w:r w:rsidR="00F27F90" w:rsidRPr="003408A6">
          <w:rPr>
            <w:noProof/>
            <w:vertAlign w:val="superscript"/>
            <w:lang w:val="en-AU"/>
          </w:rPr>
          <w:t>22</w:t>
        </w:r>
        <w:r w:rsidR="00F27F90" w:rsidRPr="003408A6">
          <w:rPr>
            <w:lang w:val="en-AU"/>
          </w:rPr>
          <w:fldChar w:fldCharType="end"/>
        </w:r>
      </w:hyperlink>
      <w:r w:rsidRPr="003408A6">
        <w:rPr>
          <w:lang w:val="en-AU"/>
        </w:rPr>
        <w:t xml:space="preserve"> The continuing component of the </w:t>
      </w:r>
      <w:r w:rsidR="00E264E5">
        <w:rPr>
          <w:lang w:val="en-AU"/>
        </w:rPr>
        <w:t>N</w:t>
      </w:r>
      <w:r w:rsidR="00E264E5" w:rsidRPr="003408A6">
        <w:rPr>
          <w:lang w:val="en-AU"/>
        </w:rPr>
        <w:t xml:space="preserve">ational HPV </w:t>
      </w:r>
      <w:r w:rsidR="00E264E5">
        <w:rPr>
          <w:lang w:val="en-AU"/>
        </w:rPr>
        <w:t>V</w:t>
      </w:r>
      <w:r w:rsidR="00E264E5" w:rsidRPr="003408A6">
        <w:rPr>
          <w:lang w:val="en-AU"/>
        </w:rPr>
        <w:t xml:space="preserve">accination </w:t>
      </w:r>
      <w:r w:rsidR="00E264E5">
        <w:rPr>
          <w:lang w:val="en-AU"/>
        </w:rPr>
        <w:t>P</w:t>
      </w:r>
      <w:r w:rsidRPr="003408A6">
        <w:rPr>
          <w:lang w:val="en-AU"/>
        </w:rPr>
        <w:t xml:space="preserve">rogram targets </w:t>
      </w:r>
      <w:r w:rsidR="00A42977" w:rsidRPr="003408A6">
        <w:rPr>
          <w:lang w:val="en-AU"/>
        </w:rPr>
        <w:t>females</w:t>
      </w:r>
      <w:r w:rsidRPr="003408A6">
        <w:rPr>
          <w:lang w:val="en-AU"/>
        </w:rPr>
        <w:t xml:space="preserve"> </w:t>
      </w:r>
      <w:r w:rsidR="00BA4CBB">
        <w:rPr>
          <w:lang w:val="en-AU"/>
        </w:rPr>
        <w:t xml:space="preserve">aged </w:t>
      </w:r>
      <w:r w:rsidRPr="003408A6">
        <w:rPr>
          <w:lang w:val="en-AU"/>
        </w:rPr>
        <w:t xml:space="preserve">12–13 years with 3 doses of the vaccine routinely offered through state/territory school-based vaccination programs. Arrangements for catch-up vaccination differ between </w:t>
      </w:r>
      <w:r w:rsidR="001320B0" w:rsidRPr="003408A6">
        <w:rPr>
          <w:lang w:val="en-AU"/>
        </w:rPr>
        <w:t>jurisdictions</w:t>
      </w:r>
      <w:r w:rsidRPr="003408A6">
        <w:rPr>
          <w:lang w:val="en-AU"/>
        </w:rPr>
        <w:t xml:space="preserve">. Approaches include vaccine offered </w:t>
      </w:r>
      <w:r w:rsidR="002E5293" w:rsidRPr="003408A6">
        <w:rPr>
          <w:lang w:val="en-AU"/>
        </w:rPr>
        <w:t xml:space="preserve">at </w:t>
      </w:r>
      <w:r w:rsidRPr="003408A6">
        <w:rPr>
          <w:lang w:val="en-AU"/>
        </w:rPr>
        <w:t xml:space="preserve">subsequent school visits, dedicated catch-up clinics at </w:t>
      </w:r>
      <w:r w:rsidR="002E5293" w:rsidRPr="003408A6">
        <w:rPr>
          <w:lang w:val="en-AU"/>
        </w:rPr>
        <w:t xml:space="preserve">the </w:t>
      </w:r>
      <w:r w:rsidRPr="003408A6">
        <w:rPr>
          <w:lang w:val="en-AU"/>
        </w:rPr>
        <w:t>end of the school year and vaccine available at the local general practice.</w:t>
      </w:r>
      <w:hyperlink w:anchor="_ENREF_23" w:tooltip="Ward, 2013 #1223" w:history="1">
        <w:r w:rsidR="00F27F90" w:rsidRPr="003408A6">
          <w:rPr>
            <w:lang w:val="en-AU"/>
          </w:rPr>
          <w:fldChar w:fldCharType="begin"/>
        </w:r>
        <w:r w:rsidR="00F27F90" w:rsidRPr="003408A6">
          <w:rPr>
            <w:lang w:val="en-AU"/>
          </w:rPr>
          <w:instrText xml:space="preserve"> ADDIN EN.CITE &lt;EndNote&gt;&lt;Cite&gt;&lt;Author&gt;Ward&lt;/Author&gt;&lt;Year&gt;2013&lt;/Year&gt;&lt;RecNum&gt;1223&lt;/RecNum&gt;&lt;DisplayText&gt;&lt;style face="superscript"&gt;23&lt;/style&gt;&lt;/DisplayText&gt;&lt;record&gt;&lt;rec-number&gt;1223&lt;/rec-number&gt;&lt;foreign-keys&gt;&lt;key app="EN" db-id="dda0wweazfww9besetpx2r5pt0asp9ztvs95"&gt;1223&lt;/key&gt;&lt;/foreign-keys&gt;&lt;ref-type name="Journal Article"&gt;17&lt;/ref-type&gt;&lt;contributors&gt;&lt;authors&gt;&lt;author&gt;Ward, K&lt;/author&gt;&lt;author&gt;Quinn, H&lt;/author&gt;&lt;author&gt;Bachelor, M&lt;/author&gt;&lt;author&gt;Bryant, V&lt;/author&gt;&lt;author&gt;Campbell-Llyod, S&lt;/author&gt;&lt;author&gt;Newbound, A&lt;/author&gt;&lt;author&gt;Skully, M&lt;/author&gt;&lt;author&gt;Webby, R&lt;/author&gt;&lt;author&gt;McIntyre, P&lt;/author&gt;&lt;/authors&gt;&lt;/contributors&gt;&lt;titles&gt;&lt;title&gt;Adolescent school-based vaccination in Australia&lt;/title&gt;&lt;secondary-title&gt;Communicable Diseases Intelligence&lt;/secondary-title&gt;&lt;/titles&gt;&lt;periodical&gt;&lt;full-title&gt;Communicable Diseases Intelligence&lt;/full-title&gt;&lt;abbr-1&gt;Commun. Dis. Intell.&lt;/abbr-1&gt;&lt;abbr-2&gt;Commun Dis Intell&lt;/abbr-2&gt;&lt;/periodical&gt;&lt;pages&gt;E156-167&lt;/pages&gt;&lt;volume&gt;37&lt;/volume&gt;&lt;dates&gt;&lt;year&gt;2013&lt;/year&gt;&lt;/dates&gt;&lt;urls&gt;&lt;/urls&gt;&lt;/record&gt;&lt;/Cite&gt;&lt;/EndNote&gt;</w:instrText>
        </w:r>
        <w:r w:rsidR="00F27F90" w:rsidRPr="003408A6">
          <w:rPr>
            <w:lang w:val="en-AU"/>
          </w:rPr>
          <w:fldChar w:fldCharType="separate"/>
        </w:r>
        <w:r w:rsidR="00F27F90" w:rsidRPr="003408A6">
          <w:rPr>
            <w:noProof/>
            <w:vertAlign w:val="superscript"/>
            <w:lang w:val="en-AU"/>
          </w:rPr>
          <w:t>23</w:t>
        </w:r>
        <w:r w:rsidR="00F27F90" w:rsidRPr="003408A6">
          <w:rPr>
            <w:lang w:val="en-AU"/>
          </w:rPr>
          <w:fldChar w:fldCharType="end"/>
        </w:r>
      </w:hyperlink>
      <w:r w:rsidRPr="003408A6">
        <w:rPr>
          <w:lang w:val="en-AU"/>
        </w:rPr>
        <w:t xml:space="preserve"> There were two catch-up </w:t>
      </w:r>
      <w:r w:rsidR="002C0571" w:rsidRPr="003408A6">
        <w:rPr>
          <w:lang w:val="en-AU"/>
        </w:rPr>
        <w:t xml:space="preserve">cohorts </w:t>
      </w:r>
      <w:r w:rsidRPr="003408A6">
        <w:rPr>
          <w:lang w:val="en-AU"/>
        </w:rPr>
        <w:t xml:space="preserve">for the female-only program between July 2007 and December 2009. These targeted 13–17-year-old </w:t>
      </w:r>
      <w:r w:rsidR="002E5293" w:rsidRPr="003408A6">
        <w:rPr>
          <w:lang w:val="en-AU"/>
        </w:rPr>
        <w:t xml:space="preserve">adolescent </w:t>
      </w:r>
      <w:r w:rsidR="00A42977" w:rsidRPr="003408A6">
        <w:rPr>
          <w:lang w:val="en-AU"/>
        </w:rPr>
        <w:t>females</w:t>
      </w:r>
      <w:r w:rsidRPr="003408A6">
        <w:rPr>
          <w:lang w:val="en-AU"/>
        </w:rPr>
        <w:t xml:space="preserve"> through school-based vaccination programs as well as 18–26-year-old </w:t>
      </w:r>
      <w:r w:rsidR="002E5293" w:rsidRPr="003408A6">
        <w:rPr>
          <w:lang w:val="en-AU"/>
        </w:rPr>
        <w:t xml:space="preserve">adult females </w:t>
      </w:r>
      <w:r w:rsidRPr="003408A6">
        <w:rPr>
          <w:lang w:val="en-AU"/>
        </w:rPr>
        <w:t>through general practice and in community settings.</w:t>
      </w:r>
      <w:hyperlink w:anchor="_ENREF_22" w:tooltip="Abbott, 2006 #1202" w:history="1">
        <w:r w:rsidR="00F27F90" w:rsidRPr="003408A6">
          <w:rPr>
            <w:lang w:val="en-AU"/>
          </w:rPr>
          <w:fldChar w:fldCharType="begin"/>
        </w:r>
        <w:r w:rsidR="00F27F90" w:rsidRPr="003408A6">
          <w:rPr>
            <w:lang w:val="en-AU"/>
          </w:rPr>
          <w:instrText xml:space="preserve"> ADDIN EN.CITE &lt;EndNote&gt;&lt;Cite&gt;&lt;Author&gt;Abbott&lt;/Author&gt;&lt;Year&gt;2006&lt;/Year&gt;&lt;RecNum&gt;1202&lt;/RecNum&gt;&lt;DisplayText&gt;&lt;style face="superscript"&gt;22&lt;/style&gt;&lt;/DisplayText&gt;&lt;record&gt;&lt;rec-number&gt;1202&lt;/rec-number&gt;&lt;foreign-keys&gt;&lt;key app="EN" db-id="dda0wweazfww9besetpx2r5pt0asp9ztvs95"&gt;1202&lt;/key&gt;&lt;/foreign-keys&gt;&lt;ref-type name="Web Page"&gt;12&lt;/ref-type&gt;&lt;contributors&gt;&lt;authors&gt;&lt;author&gt;Abbott, T&lt;/author&gt;&lt;/authors&gt;&lt;/contributors&gt;&lt;titles&gt;&lt;title&gt;Media release: Government funds Gardasil&lt;/title&gt;&lt;/titles&gt;&lt;volume&gt;2012&lt;/volume&gt;&lt;number&gt;9 July 2012&lt;/number&gt;&lt;dates&gt;&lt;year&gt;2006&lt;/year&gt;&lt;/dates&gt;&lt;publisher&gt;Australian Government Department of Health and Ageing&lt;/publisher&gt;&lt;urls&gt;&lt;related-urls&gt;&lt;url&gt;http://www.health.gov.au/internet/ministers/publishing.nsf/Content/487014123B6EBBA1CA257234008126EC/$File/abb155.pdf&lt;/url&gt;&lt;/related-urls&gt;&lt;/urls&gt;&lt;/record&gt;&lt;/Cite&gt;&lt;/EndNote&gt;</w:instrText>
        </w:r>
        <w:r w:rsidR="00F27F90" w:rsidRPr="003408A6">
          <w:rPr>
            <w:lang w:val="en-AU"/>
          </w:rPr>
          <w:fldChar w:fldCharType="separate"/>
        </w:r>
        <w:r w:rsidR="00F27F90" w:rsidRPr="003408A6">
          <w:rPr>
            <w:noProof/>
            <w:vertAlign w:val="superscript"/>
            <w:lang w:val="en-AU"/>
          </w:rPr>
          <w:t>22</w:t>
        </w:r>
        <w:r w:rsidR="00F27F90" w:rsidRPr="003408A6">
          <w:rPr>
            <w:lang w:val="en-AU"/>
          </w:rPr>
          <w:fldChar w:fldCharType="end"/>
        </w:r>
      </w:hyperlink>
      <w:r w:rsidRPr="003408A6">
        <w:rPr>
          <w:lang w:val="en-AU"/>
        </w:rPr>
        <w:t xml:space="preserve"> </w:t>
      </w:r>
      <w:r w:rsidR="00BA4CBB">
        <w:rPr>
          <w:lang w:val="en-AU"/>
        </w:rPr>
        <w:t>The</w:t>
      </w:r>
      <w:r w:rsidRPr="003408A6">
        <w:rPr>
          <w:lang w:val="en-AU"/>
        </w:rPr>
        <w:t xml:space="preserve"> </w:t>
      </w:r>
      <w:r w:rsidR="002E5293" w:rsidRPr="003408A6">
        <w:rPr>
          <w:lang w:val="en-AU"/>
        </w:rPr>
        <w:t>N</w:t>
      </w:r>
      <w:r w:rsidRPr="003408A6">
        <w:rPr>
          <w:lang w:val="en-AU"/>
        </w:rPr>
        <w:t xml:space="preserve">ational HPV </w:t>
      </w:r>
      <w:r w:rsidR="002E5293" w:rsidRPr="003408A6">
        <w:rPr>
          <w:lang w:val="en-AU"/>
        </w:rPr>
        <w:t>V</w:t>
      </w:r>
      <w:r w:rsidRPr="003408A6">
        <w:rPr>
          <w:lang w:val="en-AU"/>
        </w:rPr>
        <w:t xml:space="preserve">accination </w:t>
      </w:r>
      <w:r w:rsidR="002E5293" w:rsidRPr="003408A6">
        <w:rPr>
          <w:lang w:val="en-AU"/>
        </w:rPr>
        <w:t>Program R</w:t>
      </w:r>
      <w:r w:rsidRPr="003408A6">
        <w:rPr>
          <w:lang w:val="en-AU"/>
        </w:rPr>
        <w:t xml:space="preserve">egister </w:t>
      </w:r>
      <w:r w:rsidR="00BA4CBB">
        <w:rPr>
          <w:lang w:val="en-AU"/>
        </w:rPr>
        <w:t>(NHVPR) was</w:t>
      </w:r>
      <w:r w:rsidRPr="003408A6">
        <w:rPr>
          <w:lang w:val="en-AU"/>
        </w:rPr>
        <w:t xml:space="preserve"> established to record vaccine delivery and allow monitoring and evaluation of the program.</w:t>
      </w:r>
      <w:hyperlink w:anchor="_ENREF_24" w:tooltip="Victorian Cytology Service (VCS), 2010 #115" w:history="1">
        <w:r w:rsidR="00F27F90" w:rsidRPr="003408A6">
          <w:rPr>
            <w:lang w:val="en-AU"/>
          </w:rPr>
          <w:fldChar w:fldCharType="begin"/>
        </w:r>
        <w:r w:rsidR="00F27F90" w:rsidRPr="003408A6">
          <w:rPr>
            <w:lang w:val="en-AU"/>
          </w:rPr>
          <w:instrText xml:space="preserve"> ADDIN EN.CITE &lt;EndNote&gt;&lt;Cite&gt;&lt;Author&gt;Victorian Cytology Service (VCS)&lt;/Author&gt;&lt;Year&gt;2010&lt;/Year&gt;&lt;RecNum&gt;115&lt;/RecNum&gt;&lt;DisplayText&gt;&lt;style face="superscript"&gt;24&lt;/style&gt;&lt;/DisplayText&gt;&lt;record&gt;&lt;rec-number&gt;115&lt;/rec-number&gt;&lt;foreign-keys&gt;&lt;key app="EN" db-id="dda0wweazfww9besetpx2r5pt0asp9ztvs95"&gt;115&lt;/key&gt;&lt;/foreign-keys&gt;&lt;ref-type name="Web Page"&gt;12&lt;/ref-type&gt;&lt;contributors&gt;&lt;authors&gt;&lt;author&gt;Victorian Cytology Service (VCS), &lt;/author&gt;&lt;/authors&gt;&lt;/contributors&gt;&lt;titles&gt;&lt;title&gt;The National Human Papillomavirus (HPV) Vaccination Program Register&lt;/title&gt;&lt;/titles&gt;&lt;volume&gt;2011&lt;/volume&gt;&lt;number&gt;7 March 2011&lt;/number&gt;&lt;dates&gt;&lt;year&gt;2010&lt;/year&gt;&lt;/dates&gt;&lt;urls&gt;&lt;related-urls&gt;&lt;url&gt;www.hpvregister.org.au&lt;/url&gt;&lt;/related-urls&gt;&lt;/urls&gt;&lt;/record&gt;&lt;/Cite&gt;&lt;/EndNote&gt;</w:instrText>
        </w:r>
        <w:r w:rsidR="00F27F90" w:rsidRPr="003408A6">
          <w:rPr>
            <w:lang w:val="en-AU"/>
          </w:rPr>
          <w:fldChar w:fldCharType="separate"/>
        </w:r>
        <w:r w:rsidR="00F27F90" w:rsidRPr="003408A6">
          <w:rPr>
            <w:noProof/>
            <w:vertAlign w:val="superscript"/>
            <w:lang w:val="en-AU"/>
          </w:rPr>
          <w:t>24</w:t>
        </w:r>
        <w:r w:rsidR="00F27F90" w:rsidRPr="003408A6">
          <w:rPr>
            <w:lang w:val="en-AU"/>
          </w:rPr>
          <w:fldChar w:fldCharType="end"/>
        </w:r>
      </w:hyperlink>
      <w:r w:rsidRPr="003408A6">
        <w:rPr>
          <w:lang w:val="en-AU"/>
        </w:rPr>
        <w:t xml:space="preserve"> </w:t>
      </w:r>
    </w:p>
    <w:p w:rsidR="00317F28" w:rsidRPr="003408A6" w:rsidRDefault="00317F28" w:rsidP="00AF34E5">
      <w:pPr>
        <w:pStyle w:val="BodyText"/>
        <w:rPr>
          <w:lang w:val="en-AU"/>
        </w:rPr>
      </w:pPr>
      <w:r w:rsidRPr="003408A6">
        <w:rPr>
          <w:lang w:val="en-AU"/>
        </w:rPr>
        <w:t xml:space="preserve">In November 2011, the </w:t>
      </w:r>
      <w:r w:rsidR="007520A3" w:rsidRPr="003408A6">
        <w:rPr>
          <w:lang w:val="en-AU"/>
        </w:rPr>
        <w:t>Pharmaceutical Benefits Advisory Committee (</w:t>
      </w:r>
      <w:r w:rsidRPr="003408A6">
        <w:rPr>
          <w:lang w:val="en-AU"/>
        </w:rPr>
        <w:t>PBAC</w:t>
      </w:r>
      <w:r w:rsidR="007520A3" w:rsidRPr="003408A6">
        <w:rPr>
          <w:lang w:val="en-AU"/>
        </w:rPr>
        <w:t>)</w:t>
      </w:r>
      <w:r w:rsidRPr="003408A6">
        <w:rPr>
          <w:lang w:val="en-AU"/>
        </w:rPr>
        <w:t xml:space="preserve"> recommended extension of the NIP listing of Gardasil</w:t>
      </w:r>
      <w:r w:rsidRPr="003408A6">
        <w:rPr>
          <w:vertAlign w:val="superscript"/>
          <w:lang w:val="en-AU"/>
        </w:rPr>
        <w:t xml:space="preserve">® </w:t>
      </w:r>
      <w:r w:rsidRPr="003408A6">
        <w:rPr>
          <w:lang w:val="en-AU"/>
        </w:rPr>
        <w:t xml:space="preserve">to include ongoing administration to males </w:t>
      </w:r>
      <w:r w:rsidR="00BA4CBB">
        <w:rPr>
          <w:lang w:val="en-AU"/>
        </w:rPr>
        <w:t xml:space="preserve">aged </w:t>
      </w:r>
      <w:r w:rsidRPr="003408A6">
        <w:rPr>
          <w:lang w:val="en-AU"/>
        </w:rPr>
        <w:t>approximately 12–13 years in a school-based program</w:t>
      </w:r>
      <w:r w:rsidR="00BA4CBB">
        <w:rPr>
          <w:lang w:val="en-AU"/>
        </w:rPr>
        <w:t>, with a catch-up program</w:t>
      </w:r>
      <w:r w:rsidRPr="003408A6">
        <w:rPr>
          <w:lang w:val="en-AU"/>
        </w:rPr>
        <w:t xml:space="preserve"> for two cohorts </w:t>
      </w:r>
      <w:r w:rsidR="00BA4CBB">
        <w:rPr>
          <w:lang w:val="en-AU"/>
        </w:rPr>
        <w:t>(</w:t>
      </w:r>
      <w:r w:rsidRPr="003408A6">
        <w:rPr>
          <w:lang w:val="en-AU"/>
        </w:rPr>
        <w:t xml:space="preserve">all males </w:t>
      </w:r>
      <w:r w:rsidR="00BA4CBB">
        <w:rPr>
          <w:lang w:val="en-AU"/>
        </w:rPr>
        <w:t xml:space="preserve">in the </w:t>
      </w:r>
      <w:r w:rsidRPr="003408A6">
        <w:rPr>
          <w:lang w:val="en-AU"/>
        </w:rPr>
        <w:t>two school</w:t>
      </w:r>
      <w:r w:rsidR="00006FDF" w:rsidRPr="003408A6">
        <w:rPr>
          <w:lang w:val="en-AU"/>
        </w:rPr>
        <w:t>-</w:t>
      </w:r>
      <w:r w:rsidRPr="003408A6">
        <w:rPr>
          <w:lang w:val="en-AU"/>
        </w:rPr>
        <w:t>year</w:t>
      </w:r>
      <w:r w:rsidR="00BA4CBB">
        <w:rPr>
          <w:lang w:val="en-AU"/>
        </w:rPr>
        <w:t>s</w:t>
      </w:r>
      <w:r w:rsidRPr="003408A6">
        <w:rPr>
          <w:lang w:val="en-AU"/>
        </w:rPr>
        <w:t xml:space="preserve"> above the ongoing cohort</w:t>
      </w:r>
      <w:r w:rsidR="00BA4CBB">
        <w:rPr>
          <w:lang w:val="en-AU"/>
        </w:rPr>
        <w:t>)</w:t>
      </w:r>
      <w:r w:rsidRPr="003408A6">
        <w:rPr>
          <w:lang w:val="en-AU"/>
        </w:rPr>
        <w:t xml:space="preserve">, delivered over </w:t>
      </w:r>
      <w:r w:rsidR="00006FDF" w:rsidRPr="003408A6">
        <w:rPr>
          <w:lang w:val="en-AU"/>
        </w:rPr>
        <w:t xml:space="preserve">2 </w:t>
      </w:r>
      <w:r w:rsidRPr="003408A6">
        <w:rPr>
          <w:lang w:val="en-AU"/>
        </w:rPr>
        <w:t>years.</w:t>
      </w:r>
      <w:hyperlink w:anchor="_ENREF_25" w:tooltip="Pharmacutical Benefits Advisory Committee (PBAC), 2011 #1213" w:history="1">
        <w:r w:rsidR="00F27F90" w:rsidRPr="003408A6">
          <w:rPr>
            <w:lang w:val="en-AU"/>
          </w:rPr>
          <w:fldChar w:fldCharType="begin"/>
        </w:r>
        <w:r w:rsidR="00F27F90" w:rsidRPr="003408A6">
          <w:rPr>
            <w:lang w:val="en-AU"/>
          </w:rPr>
          <w:instrText xml:space="preserve"> ADDIN EN.CITE &lt;EndNote&gt;&lt;Cite&gt;&lt;Author&gt;Pharmacutical Benefits Advisory Committee (PBAC)&lt;/Author&gt;&lt;Year&gt;2011&lt;/Year&gt;&lt;RecNum&gt;1213&lt;/RecNum&gt;&lt;DisplayText&gt;&lt;style face="superscript"&gt;25&lt;/style&gt;&lt;/DisplayText&gt;&lt;record&gt;&lt;rec-number&gt;1213&lt;/rec-number&gt;&lt;foreign-keys&gt;&lt;key app="EN" db-id="dda0wweazfww9besetpx2r5pt0asp9ztvs95"&gt;1213&lt;/key&gt;&lt;/foreign-keys&gt;&lt;ref-type name="Web Page"&gt;12&lt;/ref-type&gt;&lt;contributors&gt;&lt;authors&gt;&lt;author&gt;Pharmacutical Benefits Advisory Committee (PBAC),&lt;/author&gt;&lt;/authors&gt;&lt;/contributors&gt;&lt;titles&gt;&lt;title&gt;November 2011 PBAC outcomes - positive recommendations&lt;/title&gt;&lt;/titles&gt;&lt;volume&gt;2012&lt;/volume&gt;&lt;number&gt;13 December 2013&lt;/number&gt;&lt;dates&gt;&lt;year&gt;2011&lt;/year&gt;&lt;/dates&gt;&lt;urls&gt;&lt;related-urls&gt;&lt;url&gt;http://www.pbs.gov.au/info/industry/listing/elements/pbac-meetings/pbac-outcomes/2011-11/positive-recommendations&lt;/url&gt;&lt;/related-urls&gt;&lt;/urls&gt;&lt;/record&gt;&lt;/Cite&gt;&lt;/EndNote&gt;</w:instrText>
        </w:r>
        <w:r w:rsidR="00F27F90" w:rsidRPr="003408A6">
          <w:rPr>
            <w:lang w:val="en-AU"/>
          </w:rPr>
          <w:fldChar w:fldCharType="separate"/>
        </w:r>
        <w:r w:rsidR="00F27F90" w:rsidRPr="003408A6">
          <w:rPr>
            <w:noProof/>
            <w:vertAlign w:val="superscript"/>
            <w:lang w:val="en-AU"/>
          </w:rPr>
          <w:t>25</w:t>
        </w:r>
        <w:r w:rsidR="00F27F90" w:rsidRPr="003408A6">
          <w:rPr>
            <w:lang w:val="en-AU"/>
          </w:rPr>
          <w:fldChar w:fldCharType="end"/>
        </w:r>
      </w:hyperlink>
      <w:r w:rsidRPr="003408A6">
        <w:rPr>
          <w:lang w:val="en-AU"/>
        </w:rPr>
        <w:t xml:space="preserve"> In July 2012, the Australian </w:t>
      </w:r>
      <w:r w:rsidR="001B3B24" w:rsidRPr="003408A6">
        <w:rPr>
          <w:lang w:val="en-AU"/>
        </w:rPr>
        <w:t>g</w:t>
      </w:r>
      <w:r w:rsidRPr="003408A6">
        <w:rPr>
          <w:lang w:val="en-AU"/>
        </w:rPr>
        <w:t>overnment announced that these recommendations would be supported by NIP funding with the program to commence from the 2013 school year.</w:t>
      </w:r>
      <w:hyperlink w:anchor="_ENREF_26" w:tooltip="Plibersek, 2012 #1218" w:history="1">
        <w:r w:rsidR="00F27F90" w:rsidRPr="003408A6">
          <w:rPr>
            <w:lang w:val="en-AU"/>
          </w:rPr>
          <w:fldChar w:fldCharType="begin"/>
        </w:r>
        <w:r w:rsidR="00F27F90" w:rsidRPr="003408A6">
          <w:rPr>
            <w:lang w:val="en-AU"/>
          </w:rPr>
          <w:instrText xml:space="preserve"> ADDIN EN.CITE &lt;EndNote&gt;&lt;Cite&gt;&lt;Author&gt;Plibersek&lt;/Author&gt;&lt;Year&gt;2012&lt;/Year&gt;&lt;RecNum&gt;1218&lt;/RecNum&gt;&lt;DisplayText&gt;&lt;style face="superscript"&gt;26&lt;/style&gt;&lt;/DisplayText&gt;&lt;record&gt;&lt;rec-number&gt;1218&lt;/rec-number&gt;&lt;foreign-keys&gt;&lt;key app="EN" db-id="dda0wweazfww9besetpx2r5pt0asp9ztvs95"&gt;1218&lt;/key&gt;&lt;/foreign-keys&gt;&lt;ref-type name="Web Page"&gt;12&lt;/ref-type&gt;&lt;contributors&gt;&lt;authors&gt;&lt;author&gt;Plibersek, T&lt;/author&gt;&lt;/authors&gt;&lt;/contributors&gt;&lt;titles&gt;&lt;title&gt;Media release: HPV vaccine extended to boys&lt;/title&gt;&lt;/titles&gt;&lt;volume&gt;2012&lt;/volume&gt;&lt;number&gt;12 July 2013&lt;/number&gt;&lt;dates&gt;&lt;year&gt;2012&lt;/year&gt;&lt;/dates&gt;&lt;urls&gt;&lt;related-urls&gt;&lt;url&gt;http://www.health.gov.au/internet/ministers/publishing.nsf/Content/59C397F61CACF02FCA257A390000C65A/$File/TP059.pdf&lt;/url&gt;&lt;/related-urls&gt;&lt;/urls&gt;&lt;/record&gt;&lt;/Cite&gt;&lt;/EndNote&gt;</w:instrText>
        </w:r>
        <w:r w:rsidR="00F27F90" w:rsidRPr="003408A6">
          <w:rPr>
            <w:lang w:val="en-AU"/>
          </w:rPr>
          <w:fldChar w:fldCharType="separate"/>
        </w:r>
        <w:r w:rsidR="00F27F90" w:rsidRPr="003408A6">
          <w:rPr>
            <w:noProof/>
            <w:vertAlign w:val="superscript"/>
            <w:lang w:val="en-AU"/>
          </w:rPr>
          <w:t>26</w:t>
        </w:r>
        <w:r w:rsidR="00F27F90" w:rsidRPr="003408A6">
          <w:rPr>
            <w:lang w:val="en-AU"/>
          </w:rPr>
          <w:fldChar w:fldCharType="end"/>
        </w:r>
      </w:hyperlink>
      <w:r w:rsidRPr="003408A6">
        <w:rPr>
          <w:lang w:val="en-AU"/>
        </w:rPr>
        <w:t xml:space="preserve"> </w:t>
      </w:r>
    </w:p>
    <w:p w:rsidR="008454B0" w:rsidRPr="003408A6" w:rsidRDefault="008454B0" w:rsidP="00AF34E5">
      <w:pPr>
        <w:pStyle w:val="BodyText"/>
        <w:rPr>
          <w:lang w:val="en-AU"/>
        </w:rPr>
      </w:pPr>
      <w:bookmarkStart w:id="19" w:name="_Aim"/>
      <w:bookmarkEnd w:id="18"/>
      <w:bookmarkEnd w:id="19"/>
    </w:p>
    <w:p w:rsidR="008454B0" w:rsidRPr="003408A6" w:rsidRDefault="008454B0" w:rsidP="00AF34E5">
      <w:pPr>
        <w:pStyle w:val="BodyText"/>
        <w:rPr>
          <w:lang w:val="en-AU"/>
        </w:rPr>
        <w:sectPr w:rsidR="008454B0" w:rsidRPr="003408A6" w:rsidSect="00D07C02">
          <w:headerReference w:type="even" r:id="rId15"/>
          <w:headerReference w:type="default" r:id="rId16"/>
          <w:footerReference w:type="default" r:id="rId17"/>
          <w:headerReference w:type="first" r:id="rId18"/>
          <w:pgSz w:w="11906" w:h="16838"/>
          <w:pgMar w:top="1440" w:right="1440" w:bottom="1440" w:left="1440" w:header="720" w:footer="720" w:gutter="0"/>
          <w:cols w:space="720"/>
          <w:docGrid w:linePitch="299"/>
        </w:sectPr>
      </w:pPr>
    </w:p>
    <w:p w:rsidR="008454B0" w:rsidRPr="003408A6" w:rsidRDefault="008454B0" w:rsidP="006D1A8B">
      <w:pPr>
        <w:pStyle w:val="Heading1"/>
      </w:pPr>
      <w:bookmarkStart w:id="20" w:name="_Toc396926120"/>
      <w:r w:rsidRPr="003408A6">
        <w:t>CHAPTER 2. Process evaluation</w:t>
      </w:r>
      <w:bookmarkEnd w:id="20"/>
      <w:r w:rsidRPr="003408A6">
        <w:t xml:space="preserve"> </w:t>
      </w:r>
    </w:p>
    <w:p w:rsidR="008454B0" w:rsidRPr="003408A6" w:rsidRDefault="008454B0" w:rsidP="008454B0">
      <w:pPr>
        <w:pStyle w:val="Heading2"/>
      </w:pPr>
      <w:r w:rsidRPr="003408A6">
        <w:br w:type="page"/>
      </w:r>
      <w:bookmarkStart w:id="21" w:name="_Toc373497083"/>
      <w:bookmarkStart w:id="22" w:name="_Toc396926121"/>
      <w:r w:rsidRPr="003408A6">
        <w:t>Aims</w:t>
      </w:r>
      <w:bookmarkEnd w:id="21"/>
      <w:bookmarkEnd w:id="22"/>
    </w:p>
    <w:p w:rsidR="008454B0" w:rsidRPr="003408A6" w:rsidRDefault="008454B0" w:rsidP="00AF34E5">
      <w:pPr>
        <w:pStyle w:val="BodyText"/>
        <w:rPr>
          <w:lang w:val="en-AU"/>
        </w:rPr>
      </w:pPr>
      <w:r w:rsidRPr="003408A6">
        <w:rPr>
          <w:lang w:val="en-AU"/>
        </w:rPr>
        <w:t xml:space="preserve">To describe National HPV Vaccination Program implementation </w:t>
      </w:r>
      <w:r w:rsidR="00DA36E7" w:rsidRPr="003408A6">
        <w:rPr>
          <w:lang w:val="en-AU"/>
        </w:rPr>
        <w:t xml:space="preserve">in 2007 for females and 2013 for males </w:t>
      </w:r>
      <w:r w:rsidRPr="003408A6">
        <w:rPr>
          <w:lang w:val="en-AU"/>
        </w:rPr>
        <w:t xml:space="preserve">and identify strengths, challenges and satisfaction of key groups implementing the </w:t>
      </w:r>
      <w:r w:rsidR="002E5293" w:rsidRPr="003408A6">
        <w:rPr>
          <w:lang w:val="en-AU"/>
        </w:rPr>
        <w:t>p</w:t>
      </w:r>
      <w:r w:rsidRPr="003408A6">
        <w:rPr>
          <w:lang w:val="en-AU"/>
        </w:rPr>
        <w:t xml:space="preserve">rogram. </w:t>
      </w:r>
    </w:p>
    <w:p w:rsidR="008454B0" w:rsidRPr="003408A6" w:rsidRDefault="008454B0" w:rsidP="00AF34E5">
      <w:pPr>
        <w:pStyle w:val="Heading2"/>
      </w:pPr>
      <w:bookmarkStart w:id="23" w:name="_Toc373497084"/>
      <w:bookmarkStart w:id="24" w:name="_Toc396926122"/>
      <w:r w:rsidRPr="003408A6">
        <w:t>Methods</w:t>
      </w:r>
      <w:bookmarkEnd w:id="23"/>
      <w:bookmarkEnd w:id="24"/>
    </w:p>
    <w:p w:rsidR="008454B0" w:rsidRPr="003408A6" w:rsidRDefault="008454B0" w:rsidP="00AF34E5">
      <w:pPr>
        <w:pStyle w:val="BodyText"/>
        <w:rPr>
          <w:lang w:val="en-AU"/>
        </w:rPr>
      </w:pPr>
      <w:r w:rsidRPr="003408A6">
        <w:rPr>
          <w:lang w:val="en-AU"/>
        </w:rPr>
        <w:t xml:space="preserve">A mixed methods </w:t>
      </w:r>
      <w:r w:rsidR="002E5293" w:rsidRPr="003408A6">
        <w:rPr>
          <w:lang w:val="en-AU"/>
        </w:rPr>
        <w:t xml:space="preserve">approach </w:t>
      </w:r>
      <w:r w:rsidRPr="003408A6">
        <w:rPr>
          <w:lang w:val="en-AU"/>
        </w:rPr>
        <w:t>was used in the process evaluation</w:t>
      </w:r>
      <w:r w:rsidR="002E5293" w:rsidRPr="003408A6">
        <w:rPr>
          <w:lang w:val="en-AU"/>
        </w:rPr>
        <w:t>.</w:t>
      </w:r>
      <w:r w:rsidRPr="003408A6">
        <w:rPr>
          <w:lang w:val="en-AU"/>
        </w:rPr>
        <w:t xml:space="preserve"> </w:t>
      </w:r>
      <w:r w:rsidR="002E5293" w:rsidRPr="003408A6">
        <w:rPr>
          <w:lang w:val="en-AU"/>
        </w:rPr>
        <w:t>T</w:t>
      </w:r>
      <w:r w:rsidRPr="003408A6">
        <w:rPr>
          <w:lang w:val="en-AU"/>
        </w:rPr>
        <w:t xml:space="preserve">his included a </w:t>
      </w:r>
      <w:r w:rsidR="00ED44AF" w:rsidRPr="003408A6">
        <w:rPr>
          <w:lang w:val="en-AU"/>
        </w:rPr>
        <w:t xml:space="preserve">review of published </w:t>
      </w:r>
      <w:r w:rsidRPr="003408A6">
        <w:rPr>
          <w:lang w:val="en-AU"/>
        </w:rPr>
        <w:t xml:space="preserve">literature, </w:t>
      </w:r>
      <w:r w:rsidR="00300374" w:rsidRPr="003408A6">
        <w:rPr>
          <w:lang w:val="en-AU"/>
        </w:rPr>
        <w:t xml:space="preserve">a review of stories in the Australian media, </w:t>
      </w:r>
      <w:r w:rsidR="00905789">
        <w:rPr>
          <w:lang w:val="en-AU"/>
        </w:rPr>
        <w:t xml:space="preserve">and </w:t>
      </w:r>
      <w:r w:rsidRPr="003408A6">
        <w:rPr>
          <w:lang w:val="en-AU"/>
        </w:rPr>
        <w:t xml:space="preserve">an online survey and interviews with key stakeholders involved in the implementation of the National HPV Vaccination Program. Key stakeholders from </w:t>
      </w:r>
      <w:r w:rsidR="001320B0" w:rsidRPr="003408A6">
        <w:rPr>
          <w:lang w:val="en-AU"/>
        </w:rPr>
        <w:t xml:space="preserve">each </w:t>
      </w:r>
      <w:r w:rsidRPr="003408A6">
        <w:rPr>
          <w:lang w:val="en-AU"/>
        </w:rPr>
        <w:t>state and territor</w:t>
      </w:r>
      <w:r w:rsidR="001320B0" w:rsidRPr="003408A6">
        <w:rPr>
          <w:lang w:val="en-AU"/>
        </w:rPr>
        <w:t>y</w:t>
      </w:r>
      <w:r w:rsidRPr="003408A6">
        <w:rPr>
          <w:lang w:val="en-AU"/>
        </w:rPr>
        <w:t xml:space="preserve"> participated in a structured online survey and a semi-structure</w:t>
      </w:r>
      <w:r w:rsidR="002A4ADE" w:rsidRPr="003408A6">
        <w:rPr>
          <w:lang w:val="en-AU"/>
        </w:rPr>
        <w:t>d</w:t>
      </w:r>
      <w:r w:rsidRPr="003408A6">
        <w:rPr>
          <w:lang w:val="en-AU"/>
        </w:rPr>
        <w:t xml:space="preserve"> telephone interview. In addition, </w:t>
      </w:r>
      <w:r w:rsidR="00DA36E7" w:rsidRPr="003408A6">
        <w:rPr>
          <w:lang w:val="en-AU"/>
        </w:rPr>
        <w:t xml:space="preserve">National </w:t>
      </w:r>
      <w:r w:rsidR="002E5293" w:rsidRPr="003408A6">
        <w:rPr>
          <w:lang w:val="en-AU"/>
        </w:rPr>
        <w:t>C</w:t>
      </w:r>
      <w:r w:rsidRPr="003408A6">
        <w:rPr>
          <w:lang w:val="en-AU"/>
        </w:rPr>
        <w:t xml:space="preserve">ervical </w:t>
      </w:r>
      <w:r w:rsidR="002E5293" w:rsidRPr="003408A6">
        <w:rPr>
          <w:lang w:val="en-AU"/>
        </w:rPr>
        <w:t>S</w:t>
      </w:r>
      <w:r w:rsidRPr="003408A6">
        <w:rPr>
          <w:lang w:val="en-AU"/>
        </w:rPr>
        <w:t xml:space="preserve">creening </w:t>
      </w:r>
      <w:r w:rsidR="002E5293" w:rsidRPr="003408A6">
        <w:rPr>
          <w:lang w:val="en-AU"/>
        </w:rPr>
        <w:t>P</w:t>
      </w:r>
      <w:r w:rsidRPr="003408A6">
        <w:rPr>
          <w:lang w:val="en-AU"/>
        </w:rPr>
        <w:t xml:space="preserve">rogram managers from each jurisdiction completed an online survey. </w:t>
      </w:r>
    </w:p>
    <w:p w:rsidR="008454B0" w:rsidRPr="003408A6" w:rsidRDefault="008454B0" w:rsidP="008454B0">
      <w:pPr>
        <w:pStyle w:val="Heading3"/>
      </w:pPr>
      <w:bookmarkStart w:id="25" w:name="_Toc373497085"/>
      <w:r w:rsidRPr="003408A6">
        <w:t>Literature review</w:t>
      </w:r>
      <w:bookmarkEnd w:id="25"/>
    </w:p>
    <w:p w:rsidR="008454B0" w:rsidRPr="003408A6" w:rsidRDefault="008454B0" w:rsidP="00AF34E5">
      <w:pPr>
        <w:pStyle w:val="BodyText"/>
        <w:rPr>
          <w:lang w:val="en-AU"/>
        </w:rPr>
      </w:pPr>
      <w:r w:rsidRPr="003408A6">
        <w:rPr>
          <w:lang w:val="en-AU"/>
        </w:rPr>
        <w:t xml:space="preserve">A literature review of the peer-reviewed literature was undertaken to identify published studies and reports of evaluations of HPV vaccination programs that included Australia. </w:t>
      </w:r>
    </w:p>
    <w:p w:rsidR="008337DD" w:rsidRPr="003408A6" w:rsidRDefault="008337DD" w:rsidP="008337DD">
      <w:pPr>
        <w:pStyle w:val="Heading3"/>
      </w:pPr>
      <w:bookmarkStart w:id="26" w:name="_Toc373497086"/>
      <w:r w:rsidRPr="003408A6">
        <w:t>Review of Australian media</w:t>
      </w:r>
    </w:p>
    <w:p w:rsidR="008337DD" w:rsidRPr="003408A6" w:rsidRDefault="008337DD" w:rsidP="008337DD">
      <w:pPr>
        <w:pStyle w:val="BodyText"/>
        <w:rPr>
          <w:lang w:val="en-AU"/>
        </w:rPr>
      </w:pPr>
      <w:r w:rsidRPr="003408A6">
        <w:rPr>
          <w:lang w:val="en-AU"/>
        </w:rPr>
        <w:t xml:space="preserve">Regular searches of the Australian print and electronic news media for articles and reports on the male and female HPV vaccination programs were made between 2010 and 2013. In addition, a search of the </w:t>
      </w:r>
      <w:r>
        <w:rPr>
          <w:lang w:val="en-AU"/>
        </w:rPr>
        <w:t>Factiva</w:t>
      </w:r>
      <w:r w:rsidRPr="003408A6">
        <w:rPr>
          <w:lang w:val="en-AU"/>
        </w:rPr>
        <w:t xml:space="preserve"> database was conducted for the years 2006 to 2009 for Australian newspaper articles and electronic media reports on the rollout and implementation of the female HPV vaccination program. </w:t>
      </w:r>
    </w:p>
    <w:p w:rsidR="008337DD" w:rsidRPr="003408A6" w:rsidRDefault="008337DD" w:rsidP="008337DD">
      <w:pPr>
        <w:pStyle w:val="BodyText"/>
        <w:rPr>
          <w:lang w:val="en-AU"/>
        </w:rPr>
      </w:pPr>
      <w:r w:rsidRPr="003408A6">
        <w:rPr>
          <w:lang w:val="en-AU"/>
        </w:rPr>
        <w:t xml:space="preserve">The main messages were analysed for content of positive and negative messages around the program. Positive messages included factual information around program implementation as well as promotional and supportive editorials, opinions and </w:t>
      </w:r>
      <w:r>
        <w:rPr>
          <w:lang w:val="en-AU"/>
        </w:rPr>
        <w:t>‘</w:t>
      </w:r>
      <w:r w:rsidRPr="003408A6">
        <w:rPr>
          <w:lang w:val="en-AU"/>
        </w:rPr>
        <w:t>good news</w:t>
      </w:r>
      <w:r>
        <w:rPr>
          <w:lang w:val="en-AU"/>
        </w:rPr>
        <w:t>’</w:t>
      </w:r>
      <w:r w:rsidRPr="003408A6">
        <w:rPr>
          <w:lang w:val="en-AU"/>
        </w:rPr>
        <w:t xml:space="preserve"> stories. Negative messages include information about adverse events as well as critical editorials or opinions and negative reader correspondence. </w:t>
      </w:r>
    </w:p>
    <w:p w:rsidR="008454B0" w:rsidRPr="003408A6" w:rsidRDefault="003408A6" w:rsidP="008454B0">
      <w:pPr>
        <w:pStyle w:val="Heading3"/>
      </w:pPr>
      <w:r>
        <w:t>Recruitment of k</w:t>
      </w:r>
      <w:r w:rsidR="008454B0" w:rsidRPr="003408A6">
        <w:t xml:space="preserve">ey </w:t>
      </w:r>
      <w:bookmarkEnd w:id="26"/>
      <w:r w:rsidR="008454B0" w:rsidRPr="003408A6">
        <w:t xml:space="preserve">stakeholders </w:t>
      </w:r>
    </w:p>
    <w:p w:rsidR="008454B0" w:rsidRPr="003408A6" w:rsidRDefault="008454B0" w:rsidP="00AF34E5">
      <w:pPr>
        <w:pStyle w:val="BodyText"/>
        <w:rPr>
          <w:lang w:val="en-AU"/>
        </w:rPr>
      </w:pPr>
      <w:r w:rsidRPr="003408A6">
        <w:rPr>
          <w:lang w:val="en-AU"/>
        </w:rPr>
        <w:t>Purposive sampling was used to recruit a sample that included key stakeholder groups and jurisdictions. A sampling matrix was used to ensure representativeness across these areas and set the quota of participants required for each stakeholder group (</w:t>
      </w:r>
      <w:r w:rsidR="00905789">
        <w:rPr>
          <w:lang w:val="en-AU"/>
        </w:rPr>
        <w:t>s</w:t>
      </w:r>
      <w:r w:rsidRPr="003408A6">
        <w:rPr>
          <w:lang w:val="en-AU"/>
        </w:rPr>
        <w:t xml:space="preserve">ee </w:t>
      </w:r>
      <w:r w:rsidRPr="003408A6">
        <w:rPr>
          <w:b/>
          <w:lang w:val="en-AU"/>
        </w:rPr>
        <w:t>Appendix 2.1</w:t>
      </w:r>
      <w:r w:rsidRPr="003408A6">
        <w:rPr>
          <w:lang w:val="en-AU"/>
        </w:rPr>
        <w:t xml:space="preserve">). Key </w:t>
      </w:r>
      <w:r w:rsidR="003C41DF" w:rsidRPr="003408A6">
        <w:rPr>
          <w:rFonts w:eastAsiaTheme="minorEastAsia"/>
          <w:bCs/>
          <w:snapToGrid w:val="0"/>
          <w:lang w:val="en-AU"/>
        </w:rPr>
        <w:t>stakeholders</w:t>
      </w:r>
      <w:r w:rsidRPr="003408A6">
        <w:rPr>
          <w:lang w:val="en-AU"/>
        </w:rPr>
        <w:t xml:space="preserve"> interviewed included </w:t>
      </w:r>
      <w:r w:rsidR="008B39E1" w:rsidRPr="003408A6">
        <w:rPr>
          <w:lang w:val="en-AU"/>
        </w:rPr>
        <w:t>s</w:t>
      </w:r>
      <w:r w:rsidRPr="003408A6">
        <w:rPr>
          <w:lang w:val="en-AU"/>
        </w:rPr>
        <w:t xml:space="preserve">tate and </w:t>
      </w:r>
      <w:r w:rsidR="008B39E1" w:rsidRPr="003408A6">
        <w:rPr>
          <w:lang w:val="en-AU"/>
        </w:rPr>
        <w:t>t</w:t>
      </w:r>
      <w:r w:rsidRPr="003408A6">
        <w:rPr>
          <w:lang w:val="en-AU"/>
        </w:rPr>
        <w:t xml:space="preserve">erritory </w:t>
      </w:r>
      <w:r w:rsidR="008B39E1" w:rsidRPr="003408A6">
        <w:rPr>
          <w:lang w:val="en-AU"/>
        </w:rPr>
        <w:t>i</w:t>
      </w:r>
      <w:r w:rsidRPr="003408A6">
        <w:rPr>
          <w:lang w:val="en-AU"/>
        </w:rPr>
        <w:t xml:space="preserve">mmunisation </w:t>
      </w:r>
      <w:r w:rsidR="008B39E1" w:rsidRPr="003408A6">
        <w:rPr>
          <w:lang w:val="en-AU"/>
        </w:rPr>
        <w:t>p</w:t>
      </w:r>
      <w:r w:rsidRPr="003408A6">
        <w:rPr>
          <w:lang w:val="en-AU"/>
        </w:rPr>
        <w:t xml:space="preserve">rogram </w:t>
      </w:r>
      <w:r w:rsidR="008B39E1" w:rsidRPr="003408A6">
        <w:rPr>
          <w:lang w:val="en-AU"/>
        </w:rPr>
        <w:t>m</w:t>
      </w:r>
      <w:r w:rsidRPr="003408A6">
        <w:rPr>
          <w:lang w:val="en-AU"/>
        </w:rPr>
        <w:t xml:space="preserve">anagers, regional state/territory immunisation coordinators, school-based vaccination coordinators, </w:t>
      </w:r>
      <w:r w:rsidR="00905789">
        <w:rPr>
          <w:lang w:val="en-AU"/>
        </w:rPr>
        <w:t xml:space="preserve">representatives of </w:t>
      </w:r>
      <w:r w:rsidRPr="003408A6">
        <w:rPr>
          <w:lang w:val="en-AU"/>
        </w:rPr>
        <w:t>Medicare Locals, general practitioners and practice nurses. An expert from the NHVPR</w:t>
      </w:r>
      <w:r w:rsidR="00C54B65" w:rsidRPr="003408A6">
        <w:rPr>
          <w:lang w:val="en-AU"/>
        </w:rPr>
        <w:t xml:space="preserve">, </w:t>
      </w:r>
      <w:r w:rsidRPr="003408A6">
        <w:rPr>
          <w:lang w:val="en-AU"/>
        </w:rPr>
        <w:t xml:space="preserve">surveillance officers from the Therapeutic Goods </w:t>
      </w:r>
      <w:r w:rsidR="00FC3220" w:rsidRPr="003408A6">
        <w:rPr>
          <w:lang w:val="en-AU"/>
        </w:rPr>
        <w:t>Administration</w:t>
      </w:r>
      <w:r w:rsidRPr="003408A6">
        <w:rPr>
          <w:lang w:val="en-AU"/>
        </w:rPr>
        <w:t xml:space="preserve"> </w:t>
      </w:r>
      <w:r w:rsidR="007520A3" w:rsidRPr="003408A6">
        <w:rPr>
          <w:lang w:val="en-AU"/>
        </w:rPr>
        <w:t>(TGA)</w:t>
      </w:r>
      <w:r w:rsidR="00C54B65" w:rsidRPr="003408A6">
        <w:rPr>
          <w:lang w:val="en-AU"/>
        </w:rPr>
        <w:t xml:space="preserve"> and a representative from the Australian </w:t>
      </w:r>
      <w:r w:rsidR="00DC19CA">
        <w:rPr>
          <w:lang w:val="en-AU"/>
        </w:rPr>
        <w:t xml:space="preserve">Government </w:t>
      </w:r>
      <w:r w:rsidR="00C54B65" w:rsidRPr="003408A6">
        <w:rPr>
          <w:lang w:val="en-AU"/>
        </w:rPr>
        <w:t>Department of Health</w:t>
      </w:r>
      <w:r w:rsidR="00DC19CA">
        <w:rPr>
          <w:lang w:val="en-AU"/>
        </w:rPr>
        <w:t xml:space="preserve"> </w:t>
      </w:r>
      <w:r w:rsidRPr="003408A6">
        <w:rPr>
          <w:lang w:val="en-AU"/>
        </w:rPr>
        <w:t xml:space="preserve">were also interviewed. </w:t>
      </w:r>
    </w:p>
    <w:p w:rsidR="008454B0" w:rsidRPr="003408A6" w:rsidRDefault="008B39E1" w:rsidP="00AF34E5">
      <w:pPr>
        <w:pStyle w:val="BodyText"/>
        <w:rPr>
          <w:lang w:val="en-AU"/>
        </w:rPr>
      </w:pPr>
      <w:r w:rsidRPr="003408A6">
        <w:rPr>
          <w:lang w:val="en-AU"/>
        </w:rPr>
        <w:t>I</w:t>
      </w:r>
      <w:r w:rsidR="008454B0" w:rsidRPr="003408A6">
        <w:rPr>
          <w:lang w:val="en-AU"/>
        </w:rPr>
        <w:t xml:space="preserve">mmunisation program managers were invited from each state and </w:t>
      </w:r>
      <w:r w:rsidRPr="003408A6">
        <w:rPr>
          <w:lang w:val="en-AU"/>
        </w:rPr>
        <w:t>t</w:t>
      </w:r>
      <w:r w:rsidR="008454B0" w:rsidRPr="003408A6">
        <w:rPr>
          <w:lang w:val="en-AU"/>
        </w:rPr>
        <w:t xml:space="preserve">erritory and all agreed to participate. Other </w:t>
      </w:r>
      <w:r w:rsidR="003C41DF" w:rsidRPr="003408A6">
        <w:rPr>
          <w:rFonts w:eastAsiaTheme="minorEastAsia"/>
          <w:bCs/>
          <w:snapToGrid w:val="0"/>
          <w:lang w:val="en-AU"/>
        </w:rPr>
        <w:t>stakeholders</w:t>
      </w:r>
      <w:r w:rsidR="008454B0" w:rsidRPr="003408A6">
        <w:rPr>
          <w:lang w:val="en-AU"/>
        </w:rPr>
        <w:t xml:space="preserve"> were </w:t>
      </w:r>
      <w:r w:rsidR="002E5293" w:rsidRPr="003408A6">
        <w:rPr>
          <w:lang w:val="en-AU"/>
        </w:rPr>
        <w:t xml:space="preserve">either </w:t>
      </w:r>
      <w:r w:rsidR="008454B0" w:rsidRPr="003408A6">
        <w:rPr>
          <w:lang w:val="en-AU"/>
        </w:rPr>
        <w:t>approached directly or were referred by other participants (respondent-driven sampling).</w:t>
      </w:r>
    </w:p>
    <w:p w:rsidR="005623C0" w:rsidRPr="003408A6" w:rsidRDefault="005623C0" w:rsidP="00C223EE">
      <w:pPr>
        <w:pStyle w:val="Heading3"/>
      </w:pPr>
      <w:r w:rsidRPr="003408A6">
        <w:t>Stakeholder interviews</w:t>
      </w:r>
    </w:p>
    <w:p w:rsidR="008454B0" w:rsidRPr="003408A6" w:rsidRDefault="008454B0" w:rsidP="00AF34E5">
      <w:pPr>
        <w:pStyle w:val="BodyText"/>
        <w:rPr>
          <w:lang w:val="en-AU"/>
        </w:rPr>
      </w:pPr>
      <w:r w:rsidRPr="003408A6">
        <w:rPr>
          <w:lang w:val="en-AU"/>
        </w:rPr>
        <w:t xml:space="preserve">Key stakeholder interviews were conducted between July and October 2013 to gain an in-depth understanding of program implementation as well as strengths and challenges of the program implementation. A structured interview questionnaire was developed by staff </w:t>
      </w:r>
      <w:r w:rsidR="003806B6" w:rsidRPr="003408A6">
        <w:rPr>
          <w:lang w:val="en-AU"/>
        </w:rPr>
        <w:t xml:space="preserve">at the National Centre for Immunisation Research and Surveillance (NCIRS) </w:t>
      </w:r>
      <w:r w:rsidRPr="003408A6">
        <w:rPr>
          <w:lang w:val="en-AU"/>
        </w:rPr>
        <w:t>based on previous national immunisation program evaluations</w:t>
      </w:r>
      <w:r w:rsidR="007423D7">
        <w:rPr>
          <w:lang w:val="en-AU"/>
        </w:rPr>
        <w:t xml:space="preserve"> (see </w:t>
      </w:r>
      <w:r w:rsidR="007423D7" w:rsidRPr="008337DD">
        <w:rPr>
          <w:b/>
          <w:lang w:val="en-AU"/>
        </w:rPr>
        <w:t>Appendix 2.</w:t>
      </w:r>
      <w:r w:rsidR="00AD0B3C">
        <w:rPr>
          <w:b/>
          <w:lang w:val="en-AU"/>
        </w:rPr>
        <w:t>2</w:t>
      </w:r>
      <w:r w:rsidR="007423D7">
        <w:rPr>
          <w:lang w:val="en-AU"/>
        </w:rPr>
        <w:t>)</w:t>
      </w:r>
      <w:r w:rsidRPr="003408A6">
        <w:rPr>
          <w:lang w:val="en-AU"/>
        </w:rPr>
        <w:t>. The questionnaire included open and closed questions on the following topics:</w:t>
      </w:r>
    </w:p>
    <w:p w:rsidR="008454B0" w:rsidRPr="003408A6" w:rsidRDefault="008454B0" w:rsidP="00AF34E5">
      <w:pPr>
        <w:pStyle w:val="Bodytextbullets"/>
        <w:rPr>
          <w:lang w:val="en-AU"/>
        </w:rPr>
      </w:pPr>
      <w:r w:rsidRPr="003408A6">
        <w:rPr>
          <w:lang w:val="en-AU"/>
        </w:rPr>
        <w:t>Communication and resources</w:t>
      </w:r>
    </w:p>
    <w:p w:rsidR="008454B0" w:rsidRPr="003408A6" w:rsidRDefault="008454B0" w:rsidP="00AF34E5">
      <w:pPr>
        <w:pStyle w:val="Bodytextbullets"/>
        <w:rPr>
          <w:lang w:val="en-AU"/>
        </w:rPr>
      </w:pPr>
      <w:r w:rsidRPr="003408A6">
        <w:rPr>
          <w:lang w:val="en-AU"/>
        </w:rPr>
        <w:t>Program planning and rollout</w:t>
      </w:r>
    </w:p>
    <w:p w:rsidR="008454B0" w:rsidRPr="003408A6" w:rsidRDefault="008454B0" w:rsidP="00AF34E5">
      <w:pPr>
        <w:pStyle w:val="Bodytextbullets"/>
        <w:rPr>
          <w:lang w:val="en-AU"/>
        </w:rPr>
      </w:pPr>
      <w:r w:rsidRPr="003408A6">
        <w:rPr>
          <w:lang w:val="en-AU"/>
        </w:rPr>
        <w:t>Ongoing service delivery</w:t>
      </w:r>
    </w:p>
    <w:p w:rsidR="008454B0" w:rsidRPr="003408A6" w:rsidRDefault="008454B0" w:rsidP="00AF34E5">
      <w:pPr>
        <w:pStyle w:val="Bodytextbullets"/>
        <w:rPr>
          <w:lang w:val="en-AU"/>
        </w:rPr>
      </w:pPr>
      <w:r w:rsidRPr="003408A6">
        <w:rPr>
          <w:lang w:val="en-AU"/>
        </w:rPr>
        <w:t>Collaboration across sectors</w:t>
      </w:r>
    </w:p>
    <w:p w:rsidR="008454B0" w:rsidRPr="003408A6" w:rsidRDefault="008454B0" w:rsidP="00AF34E5">
      <w:pPr>
        <w:pStyle w:val="Bodytextbullets"/>
        <w:rPr>
          <w:lang w:val="en-AU"/>
        </w:rPr>
      </w:pPr>
      <w:r w:rsidRPr="003408A6">
        <w:rPr>
          <w:lang w:val="en-AU"/>
        </w:rPr>
        <w:t>Data collection and reporting</w:t>
      </w:r>
    </w:p>
    <w:p w:rsidR="008454B0" w:rsidRPr="003408A6" w:rsidRDefault="008454B0" w:rsidP="00AF34E5">
      <w:pPr>
        <w:pStyle w:val="Bodytextbullets"/>
        <w:rPr>
          <w:lang w:val="en-AU"/>
        </w:rPr>
      </w:pPr>
      <w:r w:rsidRPr="003408A6">
        <w:rPr>
          <w:lang w:val="en-AU"/>
        </w:rPr>
        <w:t>Strengths and challenges of the program</w:t>
      </w:r>
    </w:p>
    <w:p w:rsidR="008454B0" w:rsidRPr="003408A6" w:rsidRDefault="008454B0" w:rsidP="00AF34E5">
      <w:pPr>
        <w:pStyle w:val="Bodytextbullets"/>
        <w:rPr>
          <w:lang w:val="en-AU"/>
        </w:rPr>
      </w:pPr>
      <w:r w:rsidRPr="003408A6">
        <w:rPr>
          <w:lang w:val="en-AU"/>
        </w:rPr>
        <w:t>Recommendations for implementing future national immunisation programs</w:t>
      </w:r>
      <w:r w:rsidR="00905789">
        <w:rPr>
          <w:lang w:val="en-AU"/>
        </w:rPr>
        <w:t>.</w:t>
      </w:r>
      <w:r w:rsidRPr="003408A6">
        <w:rPr>
          <w:lang w:val="en-AU"/>
        </w:rPr>
        <w:t xml:space="preserve"> </w:t>
      </w:r>
    </w:p>
    <w:p w:rsidR="008454B0" w:rsidRPr="003408A6" w:rsidRDefault="008454B0" w:rsidP="00AF34E5">
      <w:pPr>
        <w:pStyle w:val="BodyText"/>
        <w:rPr>
          <w:lang w:val="en-AU"/>
        </w:rPr>
      </w:pPr>
      <w:r w:rsidRPr="003408A6">
        <w:rPr>
          <w:lang w:val="en-AU"/>
        </w:rPr>
        <w:t xml:space="preserve">The interview questionnaire was modified to ensure the questions were relevant for each key </w:t>
      </w:r>
      <w:r w:rsidR="003C41DF" w:rsidRPr="003408A6">
        <w:rPr>
          <w:rFonts w:eastAsiaTheme="minorEastAsia"/>
          <w:bCs/>
          <w:snapToGrid w:val="0"/>
          <w:lang w:val="en-AU"/>
        </w:rPr>
        <w:t>stakeholder</w:t>
      </w:r>
      <w:r w:rsidRPr="003408A6">
        <w:rPr>
          <w:lang w:val="en-AU"/>
        </w:rPr>
        <w:t xml:space="preserve"> group (e.g. school-based coordinators, immunisation program managers).</w:t>
      </w:r>
      <w:r w:rsidR="00E923BE" w:rsidRPr="003408A6">
        <w:rPr>
          <w:lang w:val="en-AU"/>
        </w:rPr>
        <w:t xml:space="preserve"> </w:t>
      </w:r>
      <w:r w:rsidRPr="003408A6">
        <w:rPr>
          <w:lang w:val="en-AU"/>
        </w:rPr>
        <w:t xml:space="preserve">Prior to the interview, key </w:t>
      </w:r>
      <w:r w:rsidR="003C41DF" w:rsidRPr="003408A6">
        <w:rPr>
          <w:rFonts w:eastAsiaTheme="minorEastAsia"/>
          <w:bCs/>
          <w:snapToGrid w:val="0"/>
          <w:lang w:val="en-AU"/>
        </w:rPr>
        <w:t>stakeholders</w:t>
      </w:r>
      <w:r w:rsidRPr="003408A6">
        <w:rPr>
          <w:lang w:val="en-AU"/>
        </w:rPr>
        <w:t xml:space="preserve"> were sent the questionnaire by email to allow collection of relevant information for discussion at the interview. Most interviews were audio-digitally recorded with the consent of the respondent. Where consent for recording was not given, detailed notes were taken. Responses were professionally transcribed and drafts sent back to participants for respondent validation with amendments and additions incorporated into the final interview transcripts.</w:t>
      </w:r>
    </w:p>
    <w:p w:rsidR="005623C0" w:rsidRPr="003408A6" w:rsidRDefault="005623C0" w:rsidP="00AF34E5">
      <w:pPr>
        <w:pStyle w:val="Heading3"/>
      </w:pPr>
      <w:r w:rsidRPr="003408A6">
        <w:t>Stakeholder online survey</w:t>
      </w:r>
    </w:p>
    <w:p w:rsidR="008454B0" w:rsidRPr="003408A6" w:rsidRDefault="008454B0" w:rsidP="00AF34E5">
      <w:pPr>
        <w:pStyle w:val="BodyText"/>
        <w:rPr>
          <w:lang w:val="en-AU"/>
        </w:rPr>
      </w:pPr>
      <w:r w:rsidRPr="003408A6">
        <w:rPr>
          <w:lang w:val="en-AU"/>
        </w:rPr>
        <w:t>An online questionnaire was developed to survey respondents’ experiences and perceptions of aspects of the National HPV Vaccination Program using a series of rating tasks and short answer questions. Topics in the online survey included:</w:t>
      </w:r>
    </w:p>
    <w:p w:rsidR="008454B0" w:rsidRPr="003408A6" w:rsidRDefault="008454B0" w:rsidP="00AF34E5">
      <w:pPr>
        <w:pStyle w:val="Bodytextbullets"/>
        <w:rPr>
          <w:lang w:val="en-AU"/>
        </w:rPr>
      </w:pPr>
      <w:r w:rsidRPr="003408A6">
        <w:rPr>
          <w:lang w:val="en-AU"/>
        </w:rPr>
        <w:t xml:space="preserve">Usefulness of communication resources </w:t>
      </w:r>
    </w:p>
    <w:p w:rsidR="008454B0" w:rsidRPr="003408A6" w:rsidRDefault="008454B0" w:rsidP="00AF34E5">
      <w:pPr>
        <w:pStyle w:val="Bodytextbullets"/>
        <w:rPr>
          <w:lang w:val="en-AU"/>
        </w:rPr>
      </w:pPr>
      <w:r w:rsidRPr="003408A6">
        <w:rPr>
          <w:lang w:val="en-AU"/>
        </w:rPr>
        <w:t xml:space="preserve">Perceived acceptance of each component of the National HPV Vaccination </w:t>
      </w:r>
      <w:r w:rsidR="00DE56C1" w:rsidRPr="003408A6">
        <w:rPr>
          <w:lang w:val="en-AU"/>
        </w:rPr>
        <w:t>P</w:t>
      </w:r>
      <w:r w:rsidRPr="003408A6">
        <w:rPr>
          <w:lang w:val="en-AU"/>
        </w:rPr>
        <w:t>rogram by parents, students, schools and providers</w:t>
      </w:r>
    </w:p>
    <w:p w:rsidR="008454B0" w:rsidRPr="003408A6" w:rsidRDefault="008454B0" w:rsidP="00AF34E5">
      <w:pPr>
        <w:pStyle w:val="Bodytextbullets"/>
        <w:rPr>
          <w:lang w:val="en-AU"/>
        </w:rPr>
      </w:pPr>
      <w:r w:rsidRPr="003408A6">
        <w:rPr>
          <w:lang w:val="en-AU"/>
        </w:rPr>
        <w:t>Experiences of the rollout of the female and male programs</w:t>
      </w:r>
    </w:p>
    <w:p w:rsidR="008454B0" w:rsidRPr="003408A6" w:rsidRDefault="008454B0" w:rsidP="00AF34E5">
      <w:pPr>
        <w:pStyle w:val="Bodytextbullets"/>
        <w:rPr>
          <w:lang w:val="en-AU"/>
        </w:rPr>
      </w:pPr>
      <w:r w:rsidRPr="003408A6">
        <w:rPr>
          <w:lang w:val="en-AU"/>
        </w:rPr>
        <w:t>Overall value and success of the program</w:t>
      </w:r>
      <w:r w:rsidR="00F861B2">
        <w:rPr>
          <w:lang w:val="en-AU"/>
        </w:rPr>
        <w:t>.</w:t>
      </w:r>
    </w:p>
    <w:p w:rsidR="008454B0" w:rsidRPr="003408A6" w:rsidRDefault="008454B0" w:rsidP="00AF34E5">
      <w:pPr>
        <w:pStyle w:val="BodyText"/>
        <w:rPr>
          <w:lang w:val="en-AU"/>
        </w:rPr>
      </w:pPr>
      <w:r w:rsidRPr="003408A6">
        <w:rPr>
          <w:lang w:val="en-AU"/>
        </w:rPr>
        <w:t xml:space="preserve">Most questions involved using a </w:t>
      </w:r>
      <w:r w:rsidR="00F861B2">
        <w:rPr>
          <w:lang w:val="en-AU"/>
        </w:rPr>
        <w:t>five-</w:t>
      </w:r>
      <w:r w:rsidR="005C7572" w:rsidRPr="003408A6">
        <w:rPr>
          <w:lang w:val="en-AU"/>
        </w:rPr>
        <w:t xml:space="preserve">level </w:t>
      </w:r>
      <w:r w:rsidR="00A24F59" w:rsidRPr="003408A6">
        <w:rPr>
          <w:lang w:val="en-AU"/>
        </w:rPr>
        <w:t xml:space="preserve">ordinal response scale </w:t>
      </w:r>
      <w:r w:rsidRPr="003408A6">
        <w:rPr>
          <w:lang w:val="en-AU"/>
        </w:rPr>
        <w:t xml:space="preserve">to </w:t>
      </w:r>
      <w:r w:rsidR="005C7572" w:rsidRPr="003408A6">
        <w:rPr>
          <w:lang w:val="en-AU"/>
        </w:rPr>
        <w:t xml:space="preserve">allow respondents to rate </w:t>
      </w:r>
      <w:r w:rsidRPr="003408A6">
        <w:rPr>
          <w:lang w:val="en-AU"/>
        </w:rPr>
        <w:t>the</w:t>
      </w:r>
      <w:r w:rsidR="00A24F59" w:rsidRPr="003408A6">
        <w:rPr>
          <w:lang w:val="en-AU"/>
        </w:rPr>
        <w:t>ir</w:t>
      </w:r>
      <w:r w:rsidRPr="003408A6">
        <w:rPr>
          <w:lang w:val="en-AU"/>
        </w:rPr>
        <w:t xml:space="preserve"> </w:t>
      </w:r>
      <w:r w:rsidR="00A24F59" w:rsidRPr="003408A6">
        <w:rPr>
          <w:lang w:val="en-AU"/>
        </w:rPr>
        <w:t xml:space="preserve">strength </w:t>
      </w:r>
      <w:r w:rsidR="005C7572" w:rsidRPr="003408A6">
        <w:rPr>
          <w:lang w:val="en-AU"/>
        </w:rPr>
        <w:t>of</w:t>
      </w:r>
      <w:r w:rsidRPr="003408A6">
        <w:rPr>
          <w:lang w:val="en-AU"/>
        </w:rPr>
        <w:t xml:space="preserve"> agreement </w:t>
      </w:r>
      <w:r w:rsidR="005C7572" w:rsidRPr="003408A6">
        <w:rPr>
          <w:lang w:val="en-AU"/>
        </w:rPr>
        <w:t xml:space="preserve">with </w:t>
      </w:r>
      <w:r w:rsidRPr="003408A6">
        <w:rPr>
          <w:lang w:val="en-AU"/>
        </w:rPr>
        <w:t>a series of statements.</w:t>
      </w:r>
      <w:r w:rsidR="005623C0" w:rsidRPr="003408A6">
        <w:rPr>
          <w:lang w:val="en-AU"/>
        </w:rPr>
        <w:t xml:space="preserve"> The scale had categories of response from strongly negative opinions to strongly positive</w:t>
      </w:r>
      <w:r w:rsidR="005C7572" w:rsidRPr="003408A6">
        <w:rPr>
          <w:lang w:val="en-AU"/>
        </w:rPr>
        <w:t xml:space="preserve"> </w:t>
      </w:r>
      <w:r w:rsidR="00F861B2">
        <w:rPr>
          <w:lang w:val="en-AU"/>
        </w:rPr>
        <w:t>(i.e.</w:t>
      </w:r>
      <w:r w:rsidR="005623C0" w:rsidRPr="003408A6">
        <w:rPr>
          <w:lang w:val="en-AU"/>
        </w:rPr>
        <w:t xml:space="preserve"> </w:t>
      </w:r>
      <w:r w:rsidR="00F861B2">
        <w:rPr>
          <w:lang w:val="en-AU"/>
        </w:rPr>
        <w:t>‘</w:t>
      </w:r>
      <w:r w:rsidR="005623C0" w:rsidRPr="003408A6">
        <w:rPr>
          <w:lang w:val="en-AU"/>
        </w:rPr>
        <w:t>Strongly disagree</w:t>
      </w:r>
      <w:r w:rsidR="00F861B2">
        <w:rPr>
          <w:lang w:val="en-AU"/>
        </w:rPr>
        <w:t>’</w:t>
      </w:r>
      <w:r w:rsidR="005623C0" w:rsidRPr="003408A6">
        <w:rPr>
          <w:lang w:val="en-AU"/>
        </w:rPr>
        <w:t xml:space="preserve">, </w:t>
      </w:r>
      <w:r w:rsidR="00F861B2">
        <w:rPr>
          <w:lang w:val="en-AU"/>
        </w:rPr>
        <w:t>‘</w:t>
      </w:r>
      <w:r w:rsidR="005623C0" w:rsidRPr="003408A6">
        <w:rPr>
          <w:lang w:val="en-AU"/>
        </w:rPr>
        <w:t>Disagree</w:t>
      </w:r>
      <w:r w:rsidR="00F861B2">
        <w:rPr>
          <w:lang w:val="en-AU"/>
        </w:rPr>
        <w:t>’</w:t>
      </w:r>
      <w:r w:rsidR="005623C0" w:rsidRPr="003408A6">
        <w:rPr>
          <w:lang w:val="en-AU"/>
        </w:rPr>
        <w:t xml:space="preserve">, </w:t>
      </w:r>
      <w:r w:rsidR="00F861B2">
        <w:rPr>
          <w:lang w:val="en-AU"/>
        </w:rPr>
        <w:t>‘</w:t>
      </w:r>
      <w:r w:rsidR="005623C0" w:rsidRPr="003408A6">
        <w:rPr>
          <w:lang w:val="en-AU"/>
        </w:rPr>
        <w:t>Neutral</w:t>
      </w:r>
      <w:r w:rsidR="00F861B2">
        <w:rPr>
          <w:lang w:val="en-AU"/>
        </w:rPr>
        <w:t>’</w:t>
      </w:r>
      <w:r w:rsidR="005623C0" w:rsidRPr="003408A6">
        <w:rPr>
          <w:lang w:val="en-AU"/>
        </w:rPr>
        <w:t xml:space="preserve">, </w:t>
      </w:r>
      <w:r w:rsidR="00F861B2">
        <w:rPr>
          <w:lang w:val="en-AU"/>
        </w:rPr>
        <w:t>‘</w:t>
      </w:r>
      <w:r w:rsidR="005623C0" w:rsidRPr="003408A6">
        <w:rPr>
          <w:lang w:val="en-AU"/>
        </w:rPr>
        <w:t>Agree</w:t>
      </w:r>
      <w:r w:rsidR="00F861B2">
        <w:rPr>
          <w:lang w:val="en-AU"/>
        </w:rPr>
        <w:t>’</w:t>
      </w:r>
      <w:r w:rsidR="005623C0" w:rsidRPr="003408A6">
        <w:rPr>
          <w:lang w:val="en-AU"/>
        </w:rPr>
        <w:t xml:space="preserve"> and </w:t>
      </w:r>
      <w:r w:rsidR="00F861B2">
        <w:rPr>
          <w:lang w:val="en-AU"/>
        </w:rPr>
        <w:t>‘</w:t>
      </w:r>
      <w:r w:rsidR="005623C0" w:rsidRPr="003408A6">
        <w:rPr>
          <w:lang w:val="en-AU"/>
        </w:rPr>
        <w:t>Strongly Agree</w:t>
      </w:r>
      <w:r w:rsidR="00F861B2">
        <w:rPr>
          <w:lang w:val="en-AU"/>
        </w:rPr>
        <w:t>’</w:t>
      </w:r>
      <w:r w:rsidR="005623C0" w:rsidRPr="003408A6">
        <w:rPr>
          <w:lang w:val="en-AU"/>
        </w:rPr>
        <w:t xml:space="preserve">. </w:t>
      </w:r>
      <w:r w:rsidRPr="003408A6">
        <w:rPr>
          <w:lang w:val="en-AU"/>
        </w:rPr>
        <w:t xml:space="preserve">The online survey was chosen as a more efficient method to collect responses to a series of rating questions rather than via the telephone interview. Once they had agreed to participate in the evaluation, respondents were sent a link to the online survey to complete either before or after the telephone interview. Any respondent who had not completed the online survey was sent up to two reminders within the month following his/her interview, after which it was assumed the respondent did not wish to participate in the online survey. Respondents could complete the survey up until its close at the end of October 2013. </w:t>
      </w:r>
    </w:p>
    <w:p w:rsidR="008454B0" w:rsidRPr="003408A6" w:rsidRDefault="003408A6" w:rsidP="00AF34E5">
      <w:pPr>
        <w:pStyle w:val="Heading3"/>
      </w:pPr>
      <w:bookmarkStart w:id="27" w:name="_Toc373497087"/>
      <w:r>
        <w:t xml:space="preserve">Survey of </w:t>
      </w:r>
      <w:r w:rsidR="002C781A" w:rsidRPr="003408A6">
        <w:t xml:space="preserve">National </w:t>
      </w:r>
      <w:r w:rsidR="008454B0" w:rsidRPr="003408A6">
        <w:t xml:space="preserve">Cervical Screening Program </w:t>
      </w:r>
      <w:r w:rsidR="00844392" w:rsidRPr="003408A6">
        <w:t>m</w:t>
      </w:r>
      <w:r w:rsidR="008454B0" w:rsidRPr="003408A6">
        <w:t>anagers</w:t>
      </w:r>
      <w:bookmarkEnd w:id="27"/>
    </w:p>
    <w:p w:rsidR="00FE32A9" w:rsidRPr="003408A6" w:rsidRDefault="008454B0" w:rsidP="00AF34E5">
      <w:pPr>
        <w:pStyle w:val="BodyText"/>
        <w:rPr>
          <w:lang w:val="en-AU"/>
        </w:rPr>
      </w:pPr>
      <w:r w:rsidRPr="003408A6">
        <w:rPr>
          <w:lang w:val="en-AU"/>
        </w:rPr>
        <w:t xml:space="preserve">A separate online survey was also developed for </w:t>
      </w:r>
      <w:r w:rsidR="00844392" w:rsidRPr="003408A6">
        <w:rPr>
          <w:lang w:val="en-AU"/>
        </w:rPr>
        <w:t>m</w:t>
      </w:r>
      <w:r w:rsidRPr="003408A6">
        <w:rPr>
          <w:lang w:val="en-AU"/>
        </w:rPr>
        <w:t xml:space="preserve">anagers of the National Cervical Screening Program in each jurisdiction. The survey included questions on the involvement of each jurisdiction’s cervical screening program in the National HPV Vaccination Program and the </w:t>
      </w:r>
      <w:r w:rsidR="00844392" w:rsidRPr="003408A6">
        <w:rPr>
          <w:lang w:val="en-AU"/>
        </w:rPr>
        <w:t>m</w:t>
      </w:r>
      <w:r w:rsidRPr="003408A6">
        <w:rPr>
          <w:lang w:val="en-AU"/>
        </w:rPr>
        <w:t xml:space="preserve">anagers’ perceptions of the impact of the vaccination program on the </w:t>
      </w:r>
      <w:r w:rsidR="002C781A" w:rsidRPr="003408A6">
        <w:rPr>
          <w:lang w:val="en-AU"/>
        </w:rPr>
        <w:t>National C</w:t>
      </w:r>
      <w:r w:rsidRPr="003408A6">
        <w:rPr>
          <w:lang w:val="en-AU"/>
        </w:rPr>
        <w:t xml:space="preserve">ervical </w:t>
      </w:r>
      <w:r w:rsidR="002C781A" w:rsidRPr="003408A6">
        <w:rPr>
          <w:lang w:val="en-AU"/>
        </w:rPr>
        <w:t>S</w:t>
      </w:r>
      <w:r w:rsidRPr="003408A6">
        <w:rPr>
          <w:lang w:val="en-AU"/>
        </w:rPr>
        <w:t xml:space="preserve">creening </w:t>
      </w:r>
      <w:r w:rsidR="002C781A" w:rsidRPr="003408A6">
        <w:rPr>
          <w:lang w:val="en-AU"/>
        </w:rPr>
        <w:t>P</w:t>
      </w:r>
      <w:r w:rsidRPr="003408A6">
        <w:rPr>
          <w:lang w:val="en-AU"/>
        </w:rPr>
        <w:t>rogram.</w:t>
      </w:r>
      <w:r w:rsidR="00E923BE" w:rsidRPr="003408A6">
        <w:rPr>
          <w:lang w:val="en-AU"/>
        </w:rPr>
        <w:t xml:space="preserve"> </w:t>
      </w:r>
      <w:r w:rsidRPr="003408A6">
        <w:rPr>
          <w:lang w:val="en-AU"/>
        </w:rPr>
        <w:t xml:space="preserve">Managers or coordinators of the </w:t>
      </w:r>
      <w:r w:rsidR="002C781A" w:rsidRPr="003408A6">
        <w:rPr>
          <w:lang w:val="en-AU"/>
        </w:rPr>
        <w:t xml:space="preserve">National </w:t>
      </w:r>
      <w:r w:rsidR="00844392" w:rsidRPr="003408A6">
        <w:rPr>
          <w:lang w:val="en-AU"/>
        </w:rPr>
        <w:t>C</w:t>
      </w:r>
      <w:r w:rsidRPr="003408A6">
        <w:rPr>
          <w:lang w:val="en-AU"/>
        </w:rPr>
        <w:t xml:space="preserve">ervical </w:t>
      </w:r>
      <w:r w:rsidR="00844392" w:rsidRPr="003408A6">
        <w:rPr>
          <w:lang w:val="en-AU"/>
        </w:rPr>
        <w:t>S</w:t>
      </w:r>
      <w:r w:rsidRPr="003408A6">
        <w:rPr>
          <w:lang w:val="en-AU"/>
        </w:rPr>
        <w:t xml:space="preserve">creening </w:t>
      </w:r>
      <w:r w:rsidR="00844392" w:rsidRPr="003408A6">
        <w:rPr>
          <w:lang w:val="en-AU"/>
        </w:rPr>
        <w:t>P</w:t>
      </w:r>
      <w:r w:rsidRPr="003408A6">
        <w:rPr>
          <w:lang w:val="en-AU"/>
        </w:rPr>
        <w:t xml:space="preserve">rogram were approached by email or phone and invited to participate. Those who agreed were sent a link to the online survey. </w:t>
      </w:r>
    </w:p>
    <w:p w:rsidR="00FE32A9" w:rsidRPr="003408A6" w:rsidRDefault="00FE32A9" w:rsidP="00AF34E5">
      <w:pPr>
        <w:pStyle w:val="BodyText"/>
        <w:rPr>
          <w:lang w:val="en-AU"/>
        </w:rPr>
      </w:pPr>
      <w:r w:rsidRPr="003408A6">
        <w:rPr>
          <w:lang w:val="en-AU"/>
        </w:rPr>
        <w:br w:type="page"/>
      </w:r>
    </w:p>
    <w:p w:rsidR="008454B0" w:rsidRPr="003408A6" w:rsidRDefault="008454B0" w:rsidP="008454B0">
      <w:pPr>
        <w:pStyle w:val="Heading2"/>
      </w:pPr>
      <w:bookmarkStart w:id="28" w:name="_Toc373497088"/>
      <w:bookmarkStart w:id="29" w:name="_Toc396926123"/>
      <w:r w:rsidRPr="003408A6">
        <w:t>Results</w:t>
      </w:r>
      <w:bookmarkStart w:id="30" w:name="_Toc373497089"/>
      <w:bookmarkEnd w:id="28"/>
      <w:bookmarkEnd w:id="29"/>
    </w:p>
    <w:p w:rsidR="008454B0" w:rsidRPr="003408A6" w:rsidRDefault="008454B0" w:rsidP="008454B0">
      <w:pPr>
        <w:pStyle w:val="Heading3"/>
      </w:pPr>
      <w:r w:rsidRPr="003408A6">
        <w:t xml:space="preserve">Jurisdictional </w:t>
      </w:r>
      <w:r w:rsidR="00786C85" w:rsidRPr="003408A6">
        <w:t xml:space="preserve">program implementation </w:t>
      </w:r>
      <w:r w:rsidRPr="003408A6">
        <w:t>2013 to 2014</w:t>
      </w:r>
      <w:bookmarkEnd w:id="30"/>
    </w:p>
    <w:p w:rsidR="00E923BE" w:rsidRPr="003408A6" w:rsidRDefault="008454B0" w:rsidP="00AF34E5">
      <w:pPr>
        <w:pStyle w:val="BodyText"/>
        <w:rPr>
          <w:lang w:val="en-AU"/>
        </w:rPr>
      </w:pPr>
      <w:r w:rsidRPr="003408A6">
        <w:rPr>
          <w:lang w:val="en-AU"/>
        </w:rPr>
        <w:t xml:space="preserve">All jurisdictions commenced vaccinating adolescent males </w:t>
      </w:r>
      <w:r w:rsidR="00786C85" w:rsidRPr="003408A6">
        <w:rPr>
          <w:lang w:val="en-AU"/>
        </w:rPr>
        <w:t>from February</w:t>
      </w:r>
      <w:r w:rsidRPr="003408A6">
        <w:rPr>
          <w:lang w:val="en-AU"/>
        </w:rPr>
        <w:t xml:space="preserve"> 2013 through school</w:t>
      </w:r>
      <w:r w:rsidR="00F861B2">
        <w:rPr>
          <w:lang w:val="en-AU"/>
        </w:rPr>
        <w:t>-based vaccination</w:t>
      </w:r>
      <w:r w:rsidRPr="003408A6">
        <w:rPr>
          <w:lang w:val="en-AU"/>
        </w:rPr>
        <w:t xml:space="preserve"> program</w:t>
      </w:r>
      <w:r w:rsidR="00F861B2">
        <w:rPr>
          <w:lang w:val="en-AU"/>
        </w:rPr>
        <w:t>s</w:t>
      </w:r>
      <w:r w:rsidRPr="003408A6">
        <w:rPr>
          <w:lang w:val="en-AU"/>
        </w:rPr>
        <w:t xml:space="preserve">. However, the strategies for rolling out the extended </w:t>
      </w:r>
      <w:r w:rsidR="00DA36E7" w:rsidRPr="003408A6">
        <w:rPr>
          <w:lang w:val="en-AU"/>
        </w:rPr>
        <w:t xml:space="preserve">National </w:t>
      </w:r>
      <w:r w:rsidRPr="003408A6">
        <w:rPr>
          <w:lang w:val="en-AU"/>
        </w:rPr>
        <w:t xml:space="preserve">HPV Vaccination Program varied </w:t>
      </w:r>
      <w:r w:rsidR="002E5293" w:rsidRPr="003408A6">
        <w:rPr>
          <w:lang w:val="en-AU"/>
        </w:rPr>
        <w:t xml:space="preserve">between </w:t>
      </w:r>
      <w:r w:rsidRPr="003408A6">
        <w:rPr>
          <w:lang w:val="en-AU"/>
        </w:rPr>
        <w:t>the jurisdictions. Reasons for these variations included differences in the commencement age in high school, jurisdictional capacity</w:t>
      </w:r>
      <w:r w:rsidR="00786C85" w:rsidRPr="003408A6">
        <w:rPr>
          <w:lang w:val="en-AU"/>
        </w:rPr>
        <w:t>,</w:t>
      </w:r>
      <w:r w:rsidRPr="003408A6">
        <w:rPr>
          <w:lang w:val="en-AU"/>
        </w:rPr>
        <w:t xml:space="preserve"> funding constraints and existing commitments that had been planned prior to the announcement of the program. The schedule for each jurisdiction is summarised in </w:t>
      </w:r>
      <w:r w:rsidRPr="003408A6">
        <w:rPr>
          <w:b/>
          <w:lang w:val="en-AU"/>
        </w:rPr>
        <w:t>Table 2.1</w:t>
      </w:r>
      <w:r w:rsidRPr="003408A6">
        <w:rPr>
          <w:lang w:val="en-AU"/>
        </w:rPr>
        <w:t>.</w:t>
      </w:r>
    </w:p>
    <w:p w:rsidR="008454B0" w:rsidRPr="003408A6" w:rsidRDefault="008454B0" w:rsidP="00AF34E5">
      <w:pPr>
        <w:pStyle w:val="Tableheading"/>
        <w:rPr>
          <w:lang w:val="en-AU"/>
        </w:rPr>
      </w:pPr>
      <w:bookmarkStart w:id="31" w:name="_Toc396475522"/>
      <w:bookmarkStart w:id="32" w:name="_Toc397000750"/>
      <w:r w:rsidRPr="003408A6">
        <w:rPr>
          <w:lang w:val="en-AU"/>
        </w:rPr>
        <w:t>Table 2.</w:t>
      </w:r>
      <w:r w:rsidR="000B298C" w:rsidRPr="003408A6">
        <w:rPr>
          <w:lang w:val="en-AU"/>
        </w:rPr>
        <w:t>1</w:t>
      </w:r>
      <w:r w:rsidR="00506CAE" w:rsidRPr="003408A6">
        <w:rPr>
          <w:lang w:val="en-AU"/>
        </w:rPr>
        <w:t>.</w:t>
      </w:r>
      <w:r w:rsidR="00901C17" w:rsidRPr="003408A6">
        <w:rPr>
          <w:lang w:val="en-AU"/>
        </w:rPr>
        <w:tab/>
      </w:r>
      <w:r w:rsidRPr="003408A6">
        <w:rPr>
          <w:lang w:val="en-AU"/>
        </w:rPr>
        <w:t>School-based HPV vaccination schedule by jurisdiction</w:t>
      </w:r>
      <w:r w:rsidR="00627C33">
        <w:rPr>
          <w:lang w:val="en-AU"/>
        </w:rPr>
        <w:t>,</w:t>
      </w:r>
      <w:r w:rsidRPr="003408A6">
        <w:rPr>
          <w:lang w:val="en-AU"/>
        </w:rPr>
        <w:t xml:space="preserve"> 2013 to 2015</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42"/>
        <w:gridCol w:w="1142"/>
        <w:gridCol w:w="1143"/>
        <w:gridCol w:w="1142"/>
        <w:gridCol w:w="1142"/>
        <w:gridCol w:w="1143"/>
      </w:tblGrid>
      <w:tr w:rsidR="008454B0" w:rsidRPr="003408A6" w:rsidTr="008337DD">
        <w:tc>
          <w:tcPr>
            <w:tcW w:w="1668" w:type="dxa"/>
            <w:shd w:val="clear" w:color="auto" w:fill="auto"/>
            <w:vAlign w:val="center"/>
          </w:tcPr>
          <w:p w:rsidR="008454B0" w:rsidRPr="003408A6" w:rsidRDefault="00AF34E5" w:rsidP="00AF34E5">
            <w:pPr>
              <w:pStyle w:val="Tablecolumnheading"/>
              <w:rPr>
                <w:lang w:val="en-AU"/>
              </w:rPr>
            </w:pPr>
            <w:r w:rsidRPr="003408A6">
              <w:rPr>
                <w:lang w:val="en-AU"/>
              </w:rPr>
              <w:t>Jurisdiction</w:t>
            </w:r>
          </w:p>
        </w:tc>
        <w:tc>
          <w:tcPr>
            <w:tcW w:w="1142" w:type="dxa"/>
            <w:shd w:val="clear" w:color="auto" w:fill="auto"/>
            <w:vAlign w:val="center"/>
          </w:tcPr>
          <w:p w:rsidR="008454B0" w:rsidRPr="003408A6" w:rsidRDefault="008454B0" w:rsidP="008337DD">
            <w:pPr>
              <w:pStyle w:val="Tablecolumnheadings"/>
            </w:pPr>
            <w:r w:rsidRPr="003408A6">
              <w:t>2013</w:t>
            </w:r>
          </w:p>
          <w:p w:rsidR="008454B0" w:rsidRPr="003408A6" w:rsidRDefault="008454B0" w:rsidP="008337DD">
            <w:pPr>
              <w:pStyle w:val="Tablecolumnheadings"/>
            </w:pPr>
            <w:r w:rsidRPr="003408A6">
              <w:t>Females</w:t>
            </w:r>
          </w:p>
        </w:tc>
        <w:tc>
          <w:tcPr>
            <w:tcW w:w="1142" w:type="dxa"/>
            <w:shd w:val="clear" w:color="auto" w:fill="auto"/>
            <w:vAlign w:val="center"/>
          </w:tcPr>
          <w:p w:rsidR="008454B0" w:rsidRPr="003408A6" w:rsidRDefault="008454B0" w:rsidP="008337DD">
            <w:pPr>
              <w:pStyle w:val="Tablecolumnheadings"/>
            </w:pPr>
            <w:r w:rsidRPr="003408A6">
              <w:t>2013</w:t>
            </w:r>
          </w:p>
          <w:p w:rsidR="008454B0" w:rsidRPr="003408A6" w:rsidRDefault="008454B0" w:rsidP="008337DD">
            <w:pPr>
              <w:pStyle w:val="Tablecolumnheadings"/>
            </w:pPr>
            <w:r w:rsidRPr="003408A6">
              <w:t>Males</w:t>
            </w:r>
          </w:p>
        </w:tc>
        <w:tc>
          <w:tcPr>
            <w:tcW w:w="1143" w:type="dxa"/>
            <w:shd w:val="clear" w:color="auto" w:fill="auto"/>
            <w:vAlign w:val="center"/>
          </w:tcPr>
          <w:p w:rsidR="008454B0" w:rsidRPr="003408A6" w:rsidRDefault="008454B0" w:rsidP="008337DD">
            <w:pPr>
              <w:pStyle w:val="Tablecolumnheadings"/>
            </w:pPr>
            <w:r w:rsidRPr="003408A6">
              <w:t>2014</w:t>
            </w:r>
          </w:p>
          <w:p w:rsidR="008454B0" w:rsidRPr="003408A6" w:rsidRDefault="008454B0" w:rsidP="008337DD">
            <w:pPr>
              <w:pStyle w:val="Tablecolumnheadings"/>
            </w:pPr>
            <w:r w:rsidRPr="003408A6">
              <w:t>Females</w:t>
            </w:r>
          </w:p>
        </w:tc>
        <w:tc>
          <w:tcPr>
            <w:tcW w:w="1142" w:type="dxa"/>
            <w:shd w:val="clear" w:color="auto" w:fill="auto"/>
            <w:vAlign w:val="center"/>
          </w:tcPr>
          <w:p w:rsidR="008454B0" w:rsidRPr="003408A6" w:rsidRDefault="008454B0" w:rsidP="008337DD">
            <w:pPr>
              <w:pStyle w:val="Tablecolumnheadings"/>
            </w:pPr>
            <w:r w:rsidRPr="003408A6">
              <w:t>2014</w:t>
            </w:r>
          </w:p>
          <w:p w:rsidR="008454B0" w:rsidRPr="003408A6" w:rsidRDefault="008454B0" w:rsidP="008337DD">
            <w:pPr>
              <w:pStyle w:val="Tablecolumnheadings"/>
            </w:pPr>
            <w:r w:rsidRPr="003408A6">
              <w:t>Males</w:t>
            </w:r>
          </w:p>
        </w:tc>
        <w:tc>
          <w:tcPr>
            <w:tcW w:w="1142" w:type="dxa"/>
            <w:shd w:val="clear" w:color="auto" w:fill="auto"/>
            <w:vAlign w:val="center"/>
          </w:tcPr>
          <w:p w:rsidR="008454B0" w:rsidRPr="003408A6" w:rsidRDefault="008454B0" w:rsidP="008337DD">
            <w:pPr>
              <w:pStyle w:val="Tablecolumnheadings"/>
            </w:pPr>
            <w:r w:rsidRPr="003408A6">
              <w:t>2015</w:t>
            </w:r>
          </w:p>
          <w:p w:rsidR="008454B0" w:rsidRPr="003408A6" w:rsidRDefault="008454B0" w:rsidP="008337DD">
            <w:pPr>
              <w:pStyle w:val="Tablecolumnheadings"/>
            </w:pPr>
            <w:r w:rsidRPr="003408A6">
              <w:t>Females</w:t>
            </w:r>
          </w:p>
        </w:tc>
        <w:tc>
          <w:tcPr>
            <w:tcW w:w="1143" w:type="dxa"/>
            <w:shd w:val="clear" w:color="auto" w:fill="auto"/>
            <w:vAlign w:val="center"/>
          </w:tcPr>
          <w:p w:rsidR="008454B0" w:rsidRPr="003408A6" w:rsidRDefault="008454B0" w:rsidP="008337DD">
            <w:pPr>
              <w:pStyle w:val="Tablecolumnheadings"/>
            </w:pPr>
            <w:r w:rsidRPr="003408A6">
              <w:t>2015</w:t>
            </w:r>
          </w:p>
          <w:p w:rsidR="008454B0" w:rsidRPr="003408A6" w:rsidRDefault="008454B0" w:rsidP="008337DD">
            <w:pPr>
              <w:pStyle w:val="Tablecolumnheadings"/>
            </w:pPr>
            <w:r w:rsidRPr="003408A6">
              <w:t>Males</w:t>
            </w:r>
          </w:p>
        </w:tc>
      </w:tr>
      <w:tr w:rsidR="008454B0" w:rsidRPr="003408A6" w:rsidTr="00784EDA">
        <w:trPr>
          <w:trHeight w:val="586"/>
        </w:trPr>
        <w:tc>
          <w:tcPr>
            <w:tcW w:w="1668" w:type="dxa"/>
            <w:shd w:val="clear" w:color="auto" w:fill="auto"/>
            <w:vAlign w:val="center"/>
          </w:tcPr>
          <w:p w:rsidR="008454B0" w:rsidRPr="003408A6" w:rsidRDefault="008454B0" w:rsidP="00AF34E5">
            <w:pPr>
              <w:pStyle w:val="Tabletext"/>
              <w:rPr>
                <w:lang w:val="en-AU"/>
              </w:rPr>
            </w:pPr>
            <w:r w:rsidRPr="003408A6">
              <w:rPr>
                <w:lang w:val="en-AU"/>
              </w:rPr>
              <w:t>ACT</w:t>
            </w:r>
          </w:p>
        </w:tc>
        <w:tc>
          <w:tcPr>
            <w:tcW w:w="1142" w:type="dxa"/>
            <w:shd w:val="clear" w:color="auto" w:fill="auto"/>
            <w:vAlign w:val="center"/>
          </w:tcPr>
          <w:p w:rsidR="008454B0" w:rsidRPr="003408A6" w:rsidRDefault="008454B0" w:rsidP="00151DC6">
            <w:pPr>
              <w:pStyle w:val="Tabletextcentred"/>
            </w:pPr>
            <w:r w:rsidRPr="003408A6">
              <w:t>Year 7</w:t>
            </w:r>
          </w:p>
        </w:tc>
        <w:tc>
          <w:tcPr>
            <w:tcW w:w="1142" w:type="dxa"/>
            <w:shd w:val="clear" w:color="auto" w:fill="auto"/>
            <w:vAlign w:val="center"/>
          </w:tcPr>
          <w:p w:rsidR="008454B0" w:rsidRPr="003408A6" w:rsidRDefault="008454B0" w:rsidP="00151DC6">
            <w:pPr>
              <w:pStyle w:val="Tabletextcentred"/>
            </w:pPr>
            <w:r w:rsidRPr="003408A6">
              <w:t>Year 7</w:t>
            </w:r>
            <w:r w:rsidR="00BF3F7D" w:rsidRPr="00F861B2">
              <w:t>*</w:t>
            </w:r>
          </w:p>
        </w:tc>
        <w:tc>
          <w:tcPr>
            <w:tcW w:w="1143" w:type="dxa"/>
            <w:shd w:val="clear" w:color="auto" w:fill="auto"/>
            <w:vAlign w:val="center"/>
          </w:tcPr>
          <w:p w:rsidR="008454B0" w:rsidRPr="003408A6" w:rsidRDefault="008454B0" w:rsidP="00151DC6">
            <w:pPr>
              <w:pStyle w:val="Tabletextcentred"/>
            </w:pPr>
            <w:r w:rsidRPr="003408A6">
              <w:t>Year 7</w:t>
            </w:r>
          </w:p>
        </w:tc>
        <w:tc>
          <w:tcPr>
            <w:tcW w:w="1142" w:type="dxa"/>
            <w:shd w:val="clear" w:color="auto" w:fill="auto"/>
            <w:vAlign w:val="center"/>
          </w:tcPr>
          <w:p w:rsidR="008454B0" w:rsidRPr="003408A6" w:rsidRDefault="008454B0" w:rsidP="00151DC6">
            <w:pPr>
              <w:pStyle w:val="Tabletextcentred"/>
            </w:pPr>
            <w:r w:rsidRPr="003408A6">
              <w:t>Year 7</w:t>
            </w:r>
          </w:p>
          <w:p w:rsidR="008454B0" w:rsidRPr="003408A6" w:rsidRDefault="008454B0" w:rsidP="00151DC6">
            <w:pPr>
              <w:pStyle w:val="Tabletextcentred"/>
            </w:pPr>
            <w:r w:rsidRPr="003408A6">
              <w:t>Year 9</w:t>
            </w:r>
            <w:r w:rsidR="00BF3F7D" w:rsidRPr="00F861B2">
              <w:rPr>
                <w:sz w:val="18"/>
                <w:szCs w:val="18"/>
              </w:rPr>
              <w:t>*</w:t>
            </w:r>
          </w:p>
        </w:tc>
        <w:tc>
          <w:tcPr>
            <w:tcW w:w="1142" w:type="dxa"/>
            <w:shd w:val="clear" w:color="auto" w:fill="auto"/>
            <w:vAlign w:val="center"/>
          </w:tcPr>
          <w:p w:rsidR="008454B0" w:rsidRPr="003408A6" w:rsidRDefault="008454B0" w:rsidP="00151DC6">
            <w:pPr>
              <w:pStyle w:val="Tabletextcentred"/>
            </w:pPr>
            <w:r w:rsidRPr="003408A6">
              <w:t>Year 7</w:t>
            </w:r>
          </w:p>
        </w:tc>
        <w:tc>
          <w:tcPr>
            <w:tcW w:w="1143" w:type="dxa"/>
            <w:shd w:val="clear" w:color="auto" w:fill="auto"/>
            <w:vAlign w:val="center"/>
          </w:tcPr>
          <w:p w:rsidR="008454B0" w:rsidRPr="003408A6" w:rsidRDefault="008454B0" w:rsidP="00151DC6">
            <w:pPr>
              <w:pStyle w:val="Tabletextcentred"/>
            </w:pPr>
            <w:r w:rsidRPr="003408A6">
              <w:t>Year 7</w:t>
            </w:r>
          </w:p>
        </w:tc>
      </w:tr>
      <w:tr w:rsidR="006E57F2" w:rsidRPr="003408A6" w:rsidTr="00784EDA">
        <w:trPr>
          <w:trHeight w:val="586"/>
        </w:trPr>
        <w:tc>
          <w:tcPr>
            <w:tcW w:w="1668" w:type="dxa"/>
            <w:shd w:val="clear" w:color="auto" w:fill="auto"/>
            <w:vAlign w:val="center"/>
          </w:tcPr>
          <w:p w:rsidR="006E57F2" w:rsidRPr="003408A6" w:rsidRDefault="006E57F2" w:rsidP="00AF34E5">
            <w:pPr>
              <w:pStyle w:val="Tabletext"/>
              <w:rPr>
                <w:lang w:val="en-AU"/>
              </w:rPr>
            </w:pPr>
            <w:r w:rsidRPr="003408A6">
              <w:rPr>
                <w:lang w:val="en-AU"/>
              </w:rPr>
              <w:t>NSW</w:t>
            </w:r>
          </w:p>
        </w:tc>
        <w:tc>
          <w:tcPr>
            <w:tcW w:w="1142"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3"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2" w:type="dxa"/>
            <w:shd w:val="clear" w:color="auto" w:fill="auto"/>
            <w:vAlign w:val="center"/>
          </w:tcPr>
          <w:p w:rsidR="006E57F2" w:rsidRPr="003408A6" w:rsidRDefault="006E57F2" w:rsidP="00151DC6">
            <w:pPr>
              <w:pStyle w:val="Tabletextcentred"/>
            </w:pPr>
            <w:r w:rsidRPr="003408A6">
              <w:t>Year 7</w:t>
            </w:r>
          </w:p>
        </w:tc>
        <w:tc>
          <w:tcPr>
            <w:tcW w:w="1143" w:type="dxa"/>
            <w:shd w:val="clear" w:color="auto" w:fill="auto"/>
            <w:vAlign w:val="center"/>
          </w:tcPr>
          <w:p w:rsidR="006E57F2" w:rsidRPr="003408A6" w:rsidRDefault="006E57F2" w:rsidP="00151DC6">
            <w:pPr>
              <w:pStyle w:val="Tabletextcentred"/>
            </w:pPr>
            <w:r w:rsidRPr="003408A6">
              <w:t>Year 7</w:t>
            </w:r>
          </w:p>
        </w:tc>
      </w:tr>
      <w:tr w:rsidR="006E57F2" w:rsidRPr="003408A6" w:rsidTr="00784EDA">
        <w:trPr>
          <w:trHeight w:val="586"/>
        </w:trPr>
        <w:tc>
          <w:tcPr>
            <w:tcW w:w="1668" w:type="dxa"/>
            <w:shd w:val="clear" w:color="auto" w:fill="auto"/>
            <w:vAlign w:val="center"/>
          </w:tcPr>
          <w:p w:rsidR="006E57F2" w:rsidRPr="003408A6" w:rsidRDefault="006E57F2" w:rsidP="00AF34E5">
            <w:pPr>
              <w:pStyle w:val="Tabletext"/>
              <w:rPr>
                <w:lang w:val="en-AU"/>
              </w:rPr>
            </w:pPr>
            <w:r w:rsidRPr="003408A6">
              <w:rPr>
                <w:lang w:val="en-AU"/>
              </w:rPr>
              <w:t>NT</w:t>
            </w:r>
          </w:p>
        </w:tc>
        <w:tc>
          <w:tcPr>
            <w:tcW w:w="1142"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3"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2" w:type="dxa"/>
            <w:shd w:val="clear" w:color="auto" w:fill="auto"/>
            <w:vAlign w:val="center"/>
          </w:tcPr>
          <w:p w:rsidR="006E57F2" w:rsidRPr="003408A6" w:rsidRDefault="006E57F2" w:rsidP="00151DC6">
            <w:pPr>
              <w:pStyle w:val="Tabletextcentred"/>
            </w:pPr>
            <w:r w:rsidRPr="003408A6">
              <w:t>Year 7</w:t>
            </w:r>
          </w:p>
        </w:tc>
        <w:tc>
          <w:tcPr>
            <w:tcW w:w="1143" w:type="dxa"/>
            <w:shd w:val="clear" w:color="auto" w:fill="auto"/>
            <w:vAlign w:val="center"/>
          </w:tcPr>
          <w:p w:rsidR="006E57F2" w:rsidRPr="003408A6" w:rsidRDefault="006E57F2" w:rsidP="00151DC6">
            <w:pPr>
              <w:pStyle w:val="Tabletextcentred"/>
            </w:pPr>
            <w:r w:rsidRPr="003408A6">
              <w:t>Year 7</w:t>
            </w:r>
          </w:p>
        </w:tc>
      </w:tr>
      <w:tr w:rsidR="006E57F2" w:rsidRPr="003408A6" w:rsidTr="00784EDA">
        <w:trPr>
          <w:trHeight w:val="586"/>
        </w:trPr>
        <w:tc>
          <w:tcPr>
            <w:tcW w:w="1668" w:type="dxa"/>
            <w:shd w:val="clear" w:color="auto" w:fill="auto"/>
            <w:vAlign w:val="center"/>
          </w:tcPr>
          <w:p w:rsidR="006E57F2" w:rsidRPr="003408A6" w:rsidRDefault="006E57F2" w:rsidP="00AF34E5">
            <w:pPr>
              <w:pStyle w:val="Tabletext"/>
              <w:rPr>
                <w:lang w:val="en-AU"/>
              </w:rPr>
            </w:pPr>
            <w:r w:rsidRPr="003408A6">
              <w:rPr>
                <w:lang w:val="en-AU"/>
              </w:rPr>
              <w:t>QLD</w:t>
            </w:r>
          </w:p>
        </w:tc>
        <w:tc>
          <w:tcPr>
            <w:tcW w:w="1142" w:type="dxa"/>
            <w:shd w:val="clear" w:color="auto" w:fill="auto"/>
            <w:vAlign w:val="center"/>
          </w:tcPr>
          <w:p w:rsidR="006E57F2" w:rsidRPr="003408A6" w:rsidRDefault="006E57F2" w:rsidP="00151DC6">
            <w:pPr>
              <w:pStyle w:val="Tabletextcentred"/>
            </w:pPr>
            <w:r w:rsidRPr="003408A6">
              <w:t>Year 8</w:t>
            </w:r>
          </w:p>
        </w:tc>
        <w:tc>
          <w:tcPr>
            <w:tcW w:w="1142" w:type="dxa"/>
            <w:shd w:val="clear" w:color="auto" w:fill="auto"/>
            <w:vAlign w:val="center"/>
          </w:tcPr>
          <w:p w:rsidR="006E57F2" w:rsidRPr="003408A6" w:rsidRDefault="006E57F2" w:rsidP="00151DC6">
            <w:pPr>
              <w:pStyle w:val="Tabletextcentred"/>
            </w:pPr>
            <w:r w:rsidRPr="003408A6">
              <w:t>Year 8</w:t>
            </w:r>
          </w:p>
          <w:p w:rsidR="006E57F2" w:rsidRPr="003408A6" w:rsidRDefault="006E57F2" w:rsidP="00151DC6">
            <w:pPr>
              <w:pStyle w:val="Tabletextcentred"/>
            </w:pPr>
            <w:r w:rsidRPr="003408A6">
              <w:t>Year 10</w:t>
            </w:r>
            <w:r w:rsidR="00BF3F7D" w:rsidRPr="003408A6">
              <w:rPr>
                <w:sz w:val="18"/>
                <w:szCs w:val="18"/>
              </w:rPr>
              <w:t>*</w:t>
            </w:r>
          </w:p>
        </w:tc>
        <w:tc>
          <w:tcPr>
            <w:tcW w:w="1143" w:type="dxa"/>
            <w:shd w:val="clear" w:color="auto" w:fill="auto"/>
            <w:vAlign w:val="center"/>
          </w:tcPr>
          <w:p w:rsidR="006E57F2" w:rsidRPr="003408A6" w:rsidRDefault="006E57F2" w:rsidP="00151DC6">
            <w:pPr>
              <w:pStyle w:val="Tabletextcentred"/>
            </w:pPr>
            <w:r w:rsidRPr="003408A6">
              <w:t>Year 8</w:t>
            </w:r>
          </w:p>
        </w:tc>
        <w:tc>
          <w:tcPr>
            <w:tcW w:w="1142" w:type="dxa"/>
            <w:shd w:val="clear" w:color="auto" w:fill="auto"/>
            <w:vAlign w:val="center"/>
          </w:tcPr>
          <w:p w:rsidR="006E57F2" w:rsidRPr="003408A6" w:rsidRDefault="006E57F2" w:rsidP="00151DC6">
            <w:pPr>
              <w:pStyle w:val="Tabletextcentred"/>
            </w:pPr>
            <w:r w:rsidRPr="003408A6">
              <w:t>Year 8</w:t>
            </w:r>
          </w:p>
          <w:p w:rsidR="006E57F2" w:rsidRPr="003408A6" w:rsidRDefault="006E57F2" w:rsidP="00151DC6">
            <w:pPr>
              <w:pStyle w:val="Tabletextcentred"/>
            </w:pPr>
            <w:r w:rsidRPr="003408A6">
              <w:t>Year 10</w:t>
            </w:r>
            <w:r w:rsidR="00BF3F7D" w:rsidRPr="003408A6">
              <w:rPr>
                <w:sz w:val="18"/>
                <w:szCs w:val="18"/>
              </w:rPr>
              <w:t>*</w:t>
            </w:r>
          </w:p>
        </w:tc>
        <w:tc>
          <w:tcPr>
            <w:tcW w:w="1142" w:type="dxa"/>
            <w:shd w:val="clear" w:color="auto" w:fill="auto"/>
            <w:vAlign w:val="center"/>
          </w:tcPr>
          <w:p w:rsidR="006E57F2" w:rsidRPr="003408A6" w:rsidRDefault="006E57F2" w:rsidP="00151DC6">
            <w:pPr>
              <w:pStyle w:val="Tabletextcentred"/>
            </w:pPr>
            <w:r w:rsidRPr="003408A6">
              <w:t>Year 8</w:t>
            </w:r>
          </w:p>
        </w:tc>
        <w:tc>
          <w:tcPr>
            <w:tcW w:w="1143" w:type="dxa"/>
            <w:shd w:val="clear" w:color="auto" w:fill="auto"/>
            <w:vAlign w:val="center"/>
          </w:tcPr>
          <w:p w:rsidR="006E57F2" w:rsidRPr="003408A6" w:rsidRDefault="006E57F2" w:rsidP="00151DC6">
            <w:pPr>
              <w:pStyle w:val="Tabletextcentred"/>
            </w:pPr>
            <w:r w:rsidRPr="003408A6">
              <w:t>Year 8</w:t>
            </w:r>
          </w:p>
        </w:tc>
      </w:tr>
      <w:tr w:rsidR="008454B0" w:rsidRPr="003408A6" w:rsidTr="00784EDA">
        <w:tc>
          <w:tcPr>
            <w:tcW w:w="1668" w:type="dxa"/>
            <w:shd w:val="clear" w:color="auto" w:fill="auto"/>
            <w:vAlign w:val="center"/>
          </w:tcPr>
          <w:p w:rsidR="008454B0" w:rsidRPr="003408A6" w:rsidRDefault="008454B0" w:rsidP="00AF34E5">
            <w:pPr>
              <w:pStyle w:val="Tabletext"/>
              <w:rPr>
                <w:lang w:val="en-AU"/>
              </w:rPr>
            </w:pPr>
            <w:r w:rsidRPr="003408A6">
              <w:rPr>
                <w:lang w:val="en-AU"/>
              </w:rPr>
              <w:t>SA</w:t>
            </w:r>
          </w:p>
        </w:tc>
        <w:tc>
          <w:tcPr>
            <w:tcW w:w="1142" w:type="dxa"/>
            <w:shd w:val="clear" w:color="auto" w:fill="auto"/>
            <w:vAlign w:val="center"/>
          </w:tcPr>
          <w:p w:rsidR="008454B0" w:rsidRPr="003408A6" w:rsidRDefault="008454B0" w:rsidP="00151DC6">
            <w:pPr>
              <w:pStyle w:val="Tabletextcentred"/>
            </w:pPr>
            <w:r w:rsidRPr="003408A6">
              <w:t>Year 8</w:t>
            </w:r>
          </w:p>
        </w:tc>
        <w:tc>
          <w:tcPr>
            <w:tcW w:w="1142" w:type="dxa"/>
            <w:shd w:val="clear" w:color="auto" w:fill="auto"/>
            <w:vAlign w:val="center"/>
          </w:tcPr>
          <w:p w:rsidR="008454B0" w:rsidRPr="003408A6" w:rsidRDefault="008454B0" w:rsidP="00151DC6">
            <w:pPr>
              <w:pStyle w:val="Tabletextcentred"/>
            </w:pPr>
            <w:r w:rsidRPr="003408A6">
              <w:t>Year 9</w:t>
            </w:r>
          </w:p>
        </w:tc>
        <w:tc>
          <w:tcPr>
            <w:tcW w:w="1143" w:type="dxa"/>
            <w:shd w:val="clear" w:color="auto" w:fill="auto"/>
            <w:vAlign w:val="center"/>
          </w:tcPr>
          <w:p w:rsidR="008454B0" w:rsidRPr="003408A6" w:rsidRDefault="008454B0" w:rsidP="00151DC6">
            <w:pPr>
              <w:pStyle w:val="Tabletextcentred"/>
            </w:pPr>
            <w:r w:rsidRPr="003408A6">
              <w:t>Year 8</w:t>
            </w:r>
          </w:p>
        </w:tc>
        <w:tc>
          <w:tcPr>
            <w:tcW w:w="1142" w:type="dxa"/>
            <w:shd w:val="clear" w:color="auto" w:fill="auto"/>
            <w:vAlign w:val="center"/>
          </w:tcPr>
          <w:p w:rsidR="008454B0" w:rsidRPr="003408A6" w:rsidRDefault="008454B0" w:rsidP="00151DC6">
            <w:pPr>
              <w:pStyle w:val="Tabletextcentred"/>
            </w:pPr>
            <w:r w:rsidRPr="003408A6">
              <w:t>Year 8</w:t>
            </w:r>
          </w:p>
          <w:p w:rsidR="008454B0" w:rsidRPr="003408A6" w:rsidRDefault="008454B0" w:rsidP="00151DC6">
            <w:pPr>
              <w:pStyle w:val="Tabletextcentred"/>
            </w:pPr>
            <w:r w:rsidRPr="003408A6">
              <w:t>Year 9</w:t>
            </w:r>
          </w:p>
        </w:tc>
        <w:tc>
          <w:tcPr>
            <w:tcW w:w="1142" w:type="dxa"/>
            <w:shd w:val="clear" w:color="auto" w:fill="auto"/>
            <w:vAlign w:val="center"/>
          </w:tcPr>
          <w:p w:rsidR="008454B0" w:rsidRPr="003408A6" w:rsidRDefault="008454B0" w:rsidP="00151DC6">
            <w:pPr>
              <w:pStyle w:val="Tabletextcentred"/>
            </w:pPr>
            <w:r w:rsidRPr="003408A6">
              <w:t>Year 8</w:t>
            </w:r>
          </w:p>
        </w:tc>
        <w:tc>
          <w:tcPr>
            <w:tcW w:w="1143" w:type="dxa"/>
            <w:shd w:val="clear" w:color="auto" w:fill="auto"/>
            <w:vAlign w:val="center"/>
          </w:tcPr>
          <w:p w:rsidR="008454B0" w:rsidRPr="003408A6" w:rsidRDefault="008454B0" w:rsidP="00151DC6">
            <w:pPr>
              <w:pStyle w:val="Tabletextcentred"/>
            </w:pPr>
            <w:r w:rsidRPr="003408A6">
              <w:t>Year 8</w:t>
            </w:r>
          </w:p>
        </w:tc>
      </w:tr>
      <w:tr w:rsidR="006E57F2" w:rsidRPr="003408A6" w:rsidTr="00784EDA">
        <w:tc>
          <w:tcPr>
            <w:tcW w:w="1668" w:type="dxa"/>
            <w:shd w:val="clear" w:color="auto" w:fill="auto"/>
            <w:vAlign w:val="center"/>
          </w:tcPr>
          <w:p w:rsidR="006E57F2" w:rsidRPr="003408A6" w:rsidRDefault="006E57F2" w:rsidP="00AF34E5">
            <w:pPr>
              <w:pStyle w:val="Tabletext"/>
              <w:rPr>
                <w:lang w:val="en-AU"/>
              </w:rPr>
            </w:pPr>
            <w:r w:rsidRPr="003408A6">
              <w:rPr>
                <w:lang w:val="en-AU"/>
              </w:rPr>
              <w:t>TAS</w:t>
            </w:r>
          </w:p>
        </w:tc>
        <w:tc>
          <w:tcPr>
            <w:tcW w:w="1142"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3"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2" w:type="dxa"/>
            <w:shd w:val="clear" w:color="auto" w:fill="auto"/>
            <w:vAlign w:val="center"/>
          </w:tcPr>
          <w:p w:rsidR="006E57F2" w:rsidRPr="003408A6" w:rsidRDefault="006E57F2" w:rsidP="00151DC6">
            <w:pPr>
              <w:pStyle w:val="Tabletextcentred"/>
            </w:pPr>
            <w:r w:rsidRPr="003408A6">
              <w:t>Year 7</w:t>
            </w:r>
          </w:p>
        </w:tc>
        <w:tc>
          <w:tcPr>
            <w:tcW w:w="1143" w:type="dxa"/>
            <w:shd w:val="clear" w:color="auto" w:fill="auto"/>
            <w:vAlign w:val="center"/>
          </w:tcPr>
          <w:p w:rsidR="006E57F2" w:rsidRPr="003408A6" w:rsidRDefault="006E57F2" w:rsidP="00151DC6">
            <w:pPr>
              <w:pStyle w:val="Tabletextcentred"/>
            </w:pPr>
            <w:r w:rsidRPr="003408A6">
              <w:t>Year 7</w:t>
            </w:r>
          </w:p>
        </w:tc>
      </w:tr>
      <w:tr w:rsidR="006E57F2" w:rsidRPr="003408A6" w:rsidTr="00784EDA">
        <w:tc>
          <w:tcPr>
            <w:tcW w:w="1668" w:type="dxa"/>
            <w:shd w:val="clear" w:color="auto" w:fill="auto"/>
            <w:vAlign w:val="center"/>
          </w:tcPr>
          <w:p w:rsidR="006E57F2" w:rsidRPr="003408A6" w:rsidRDefault="006E57F2" w:rsidP="00AF34E5">
            <w:pPr>
              <w:pStyle w:val="Tabletext"/>
              <w:rPr>
                <w:lang w:val="en-AU"/>
              </w:rPr>
            </w:pPr>
            <w:r w:rsidRPr="003408A6">
              <w:rPr>
                <w:lang w:val="en-AU"/>
              </w:rPr>
              <w:t>VIC</w:t>
            </w:r>
          </w:p>
        </w:tc>
        <w:tc>
          <w:tcPr>
            <w:tcW w:w="1142"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3" w:type="dxa"/>
            <w:shd w:val="clear" w:color="auto" w:fill="auto"/>
            <w:vAlign w:val="center"/>
          </w:tcPr>
          <w:p w:rsidR="006E57F2" w:rsidRPr="003408A6" w:rsidRDefault="006E57F2" w:rsidP="00151DC6">
            <w:pPr>
              <w:pStyle w:val="Tabletextcentred"/>
            </w:pPr>
            <w:r w:rsidRPr="003408A6">
              <w:t>Year 7</w:t>
            </w:r>
          </w:p>
        </w:tc>
        <w:tc>
          <w:tcPr>
            <w:tcW w:w="1142" w:type="dxa"/>
            <w:shd w:val="clear" w:color="auto" w:fill="auto"/>
            <w:vAlign w:val="center"/>
          </w:tcPr>
          <w:p w:rsidR="006E57F2" w:rsidRPr="003408A6" w:rsidRDefault="006E57F2" w:rsidP="00151DC6">
            <w:pPr>
              <w:pStyle w:val="Tabletextcentred"/>
            </w:pPr>
            <w:r w:rsidRPr="003408A6">
              <w:t>Year 7</w:t>
            </w:r>
          </w:p>
          <w:p w:rsidR="006E57F2" w:rsidRPr="003408A6" w:rsidRDefault="006E57F2" w:rsidP="00151DC6">
            <w:pPr>
              <w:pStyle w:val="Tabletextcentred"/>
            </w:pPr>
            <w:r w:rsidRPr="003408A6">
              <w:t>Year 9</w:t>
            </w:r>
          </w:p>
        </w:tc>
        <w:tc>
          <w:tcPr>
            <w:tcW w:w="1142" w:type="dxa"/>
            <w:shd w:val="clear" w:color="auto" w:fill="auto"/>
            <w:vAlign w:val="center"/>
          </w:tcPr>
          <w:p w:rsidR="006E57F2" w:rsidRPr="003408A6" w:rsidRDefault="006E57F2" w:rsidP="00151DC6">
            <w:pPr>
              <w:pStyle w:val="Tabletextcentred"/>
            </w:pPr>
            <w:r w:rsidRPr="003408A6">
              <w:t>Year 7</w:t>
            </w:r>
          </w:p>
        </w:tc>
        <w:tc>
          <w:tcPr>
            <w:tcW w:w="1143" w:type="dxa"/>
            <w:shd w:val="clear" w:color="auto" w:fill="auto"/>
            <w:vAlign w:val="center"/>
          </w:tcPr>
          <w:p w:rsidR="006E57F2" w:rsidRPr="003408A6" w:rsidRDefault="006E57F2" w:rsidP="00151DC6">
            <w:pPr>
              <w:pStyle w:val="Tabletextcentred"/>
            </w:pPr>
            <w:r w:rsidRPr="003408A6">
              <w:t>Year 7</w:t>
            </w:r>
          </w:p>
        </w:tc>
      </w:tr>
      <w:tr w:rsidR="008454B0" w:rsidRPr="003408A6" w:rsidTr="008337DD">
        <w:tc>
          <w:tcPr>
            <w:tcW w:w="1668" w:type="dxa"/>
            <w:shd w:val="clear" w:color="auto" w:fill="auto"/>
            <w:vAlign w:val="center"/>
          </w:tcPr>
          <w:p w:rsidR="008454B0" w:rsidRPr="003408A6" w:rsidRDefault="008454B0" w:rsidP="00AF34E5">
            <w:pPr>
              <w:pStyle w:val="Tabletext"/>
              <w:rPr>
                <w:lang w:val="en-AU"/>
              </w:rPr>
            </w:pPr>
            <w:r w:rsidRPr="003408A6">
              <w:rPr>
                <w:lang w:val="en-AU"/>
              </w:rPr>
              <w:t>WA</w:t>
            </w:r>
          </w:p>
        </w:tc>
        <w:tc>
          <w:tcPr>
            <w:tcW w:w="1142" w:type="dxa"/>
            <w:shd w:val="clear" w:color="auto" w:fill="auto"/>
            <w:vAlign w:val="center"/>
          </w:tcPr>
          <w:p w:rsidR="008454B0" w:rsidRPr="003408A6" w:rsidRDefault="0054169F" w:rsidP="00151DC6">
            <w:pPr>
              <w:pStyle w:val="Tabletextcentred"/>
              <w:rPr>
                <w:b/>
                <w:bCs/>
                <w:iCs/>
              </w:rPr>
            </w:pPr>
            <w:r w:rsidRPr="008337DD">
              <w:rPr>
                <w:snapToGrid w:val="0"/>
                <w:color w:val="000000"/>
              </w:rPr>
              <w:t>†</w:t>
            </w:r>
          </w:p>
        </w:tc>
        <w:tc>
          <w:tcPr>
            <w:tcW w:w="1142" w:type="dxa"/>
            <w:shd w:val="clear" w:color="auto" w:fill="auto"/>
            <w:vAlign w:val="center"/>
          </w:tcPr>
          <w:p w:rsidR="008454B0" w:rsidRPr="003408A6" w:rsidRDefault="008454B0" w:rsidP="00151DC6">
            <w:pPr>
              <w:pStyle w:val="Tabletextcentred"/>
            </w:pPr>
            <w:r w:rsidRPr="003408A6">
              <w:t>Year 8</w:t>
            </w:r>
          </w:p>
          <w:p w:rsidR="008454B0" w:rsidRPr="003408A6" w:rsidRDefault="008454B0" w:rsidP="00151DC6">
            <w:pPr>
              <w:pStyle w:val="Tabletextcentred"/>
            </w:pPr>
            <w:r w:rsidRPr="003408A6">
              <w:t>Year 9</w:t>
            </w:r>
            <w:r w:rsidR="00BF3F7D" w:rsidRPr="00784EDA">
              <w:rPr>
                <w:snapToGrid w:val="0"/>
                <w:color w:val="000000"/>
                <w:sz w:val="18"/>
                <w:szCs w:val="18"/>
                <w:vertAlign w:val="superscript"/>
              </w:rPr>
              <w:t>‡</w:t>
            </w:r>
          </w:p>
          <w:p w:rsidR="008454B0" w:rsidRPr="003408A6" w:rsidRDefault="008454B0" w:rsidP="00151DC6">
            <w:pPr>
              <w:pStyle w:val="Tabletextcentred"/>
            </w:pPr>
            <w:r w:rsidRPr="003408A6">
              <w:t>Year 10</w:t>
            </w:r>
            <w:r w:rsidR="00BF3F7D" w:rsidRPr="003408A6">
              <w:rPr>
                <w:sz w:val="18"/>
                <w:szCs w:val="18"/>
                <w:vertAlign w:val="superscript"/>
              </w:rPr>
              <w:t>‡</w:t>
            </w:r>
          </w:p>
        </w:tc>
        <w:tc>
          <w:tcPr>
            <w:tcW w:w="1143" w:type="dxa"/>
            <w:shd w:val="clear" w:color="auto" w:fill="auto"/>
            <w:vAlign w:val="center"/>
          </w:tcPr>
          <w:p w:rsidR="008454B0" w:rsidRPr="003408A6" w:rsidRDefault="008454B0" w:rsidP="00151DC6">
            <w:pPr>
              <w:pStyle w:val="Tabletextcentred"/>
            </w:pPr>
            <w:r w:rsidRPr="003408A6">
              <w:t>Year 8</w:t>
            </w:r>
          </w:p>
        </w:tc>
        <w:tc>
          <w:tcPr>
            <w:tcW w:w="1142" w:type="dxa"/>
            <w:shd w:val="clear" w:color="auto" w:fill="auto"/>
            <w:vAlign w:val="center"/>
          </w:tcPr>
          <w:p w:rsidR="008454B0" w:rsidRPr="003408A6" w:rsidRDefault="008454B0" w:rsidP="00151DC6">
            <w:pPr>
              <w:pStyle w:val="Tabletextcentred"/>
            </w:pPr>
            <w:r w:rsidRPr="003408A6">
              <w:t>Year 8</w:t>
            </w:r>
          </w:p>
        </w:tc>
        <w:tc>
          <w:tcPr>
            <w:tcW w:w="1142" w:type="dxa"/>
            <w:shd w:val="clear" w:color="auto" w:fill="auto"/>
            <w:vAlign w:val="center"/>
          </w:tcPr>
          <w:p w:rsidR="008454B0" w:rsidRPr="003408A6" w:rsidRDefault="008454B0" w:rsidP="00151DC6">
            <w:pPr>
              <w:pStyle w:val="Tabletextcentred"/>
            </w:pPr>
            <w:r w:rsidRPr="003408A6">
              <w:t>Year 8</w:t>
            </w:r>
          </w:p>
        </w:tc>
        <w:tc>
          <w:tcPr>
            <w:tcW w:w="1143" w:type="dxa"/>
            <w:shd w:val="clear" w:color="auto" w:fill="auto"/>
            <w:vAlign w:val="center"/>
          </w:tcPr>
          <w:p w:rsidR="008454B0" w:rsidRPr="003408A6" w:rsidRDefault="008454B0" w:rsidP="00151DC6">
            <w:pPr>
              <w:pStyle w:val="Tabletextcentred"/>
            </w:pPr>
            <w:r w:rsidRPr="003408A6">
              <w:t>Year 8</w:t>
            </w:r>
          </w:p>
        </w:tc>
      </w:tr>
    </w:tbl>
    <w:p w:rsidR="00447706" w:rsidRPr="003408A6" w:rsidRDefault="00BF3F7D" w:rsidP="00784EDA">
      <w:pPr>
        <w:pStyle w:val="Tablefootnote"/>
      </w:pPr>
      <w:r w:rsidRPr="003408A6">
        <w:t>*</w:t>
      </w:r>
      <w:r w:rsidRPr="003408A6">
        <w:tab/>
      </w:r>
      <w:r w:rsidR="00447706" w:rsidRPr="003408A6">
        <w:t>Males aged 15 years offered the vaccine as part of the catch</w:t>
      </w:r>
      <w:r w:rsidR="00EE26E6">
        <w:t>-</w:t>
      </w:r>
      <w:r w:rsidR="00447706" w:rsidRPr="003408A6">
        <w:t>up program in 2013 and 2014.</w:t>
      </w:r>
    </w:p>
    <w:p w:rsidR="008454B0" w:rsidRPr="003408A6" w:rsidRDefault="00E6215B" w:rsidP="00784EDA">
      <w:pPr>
        <w:pStyle w:val="Tablefootnote"/>
      </w:pPr>
      <w:r w:rsidRPr="003408A6">
        <w:t>†</w:t>
      </w:r>
      <w:r w:rsidR="00BF3F7D" w:rsidRPr="003408A6">
        <w:tab/>
      </w:r>
      <w:r w:rsidRPr="003408A6">
        <w:t xml:space="preserve">Western Australia moved the HPV vaccination program from primary school (Year 7) to high school (Year 8) in 2013. As a result females in Year 8 in 2013 had already been vaccinated in Year 7 in 2012. Therefore no large scale vaccination program for females in Year 8 was needed in 2013. In 2013 </w:t>
      </w:r>
      <w:r w:rsidR="00784EDA">
        <w:t>c</w:t>
      </w:r>
      <w:r w:rsidRPr="003408A6">
        <w:t>atch-up doses were offered to females in Year 8 who had missed HPV doses in 2012. Vaccination of Year 8 females commence</w:t>
      </w:r>
      <w:r w:rsidR="00784EDA">
        <w:t>d</w:t>
      </w:r>
      <w:r w:rsidRPr="003408A6">
        <w:t xml:space="preserve"> in 2014. </w:t>
      </w:r>
    </w:p>
    <w:p w:rsidR="0054169F" w:rsidRPr="003408A6" w:rsidRDefault="00AF34E5" w:rsidP="00784EDA">
      <w:pPr>
        <w:pStyle w:val="Tablefootnote"/>
      </w:pPr>
      <w:r w:rsidRPr="003408A6">
        <w:t>‡</w:t>
      </w:r>
      <w:r w:rsidR="00BF3F7D" w:rsidRPr="003408A6">
        <w:tab/>
      </w:r>
      <w:r w:rsidR="0054169F" w:rsidRPr="003408A6">
        <w:t>Western Australia offer</w:t>
      </w:r>
      <w:r w:rsidR="009E1D21" w:rsidRPr="003408A6">
        <w:t>ed</w:t>
      </w:r>
      <w:r w:rsidR="0054169F" w:rsidRPr="003408A6">
        <w:t xml:space="preserve"> the catch</w:t>
      </w:r>
      <w:r w:rsidR="00EE26E6">
        <w:t>-</w:t>
      </w:r>
      <w:r w:rsidR="0054169F" w:rsidRPr="003408A6">
        <w:t>up program to males aged 14 to 15 years in 2013. The catch</w:t>
      </w:r>
      <w:r w:rsidR="00EE26E6">
        <w:t>-</w:t>
      </w:r>
      <w:r w:rsidR="0054169F" w:rsidRPr="003408A6">
        <w:t>up program w</w:t>
      </w:r>
      <w:r w:rsidR="009E1D21" w:rsidRPr="003408A6">
        <w:t>as</w:t>
      </w:r>
      <w:r w:rsidR="0054169F" w:rsidRPr="003408A6">
        <w:t xml:space="preserve"> completed in 2013 as eligible males </w:t>
      </w:r>
      <w:r w:rsidR="009E1D21" w:rsidRPr="003408A6">
        <w:t xml:space="preserve">aged </w:t>
      </w:r>
      <w:r w:rsidR="0054169F" w:rsidRPr="003408A6">
        <w:t xml:space="preserve">15 </w:t>
      </w:r>
      <w:r w:rsidR="009E1D21" w:rsidRPr="003408A6">
        <w:t xml:space="preserve">years </w:t>
      </w:r>
      <w:r w:rsidR="0054169F" w:rsidRPr="003408A6">
        <w:t xml:space="preserve">in 2014 </w:t>
      </w:r>
      <w:r w:rsidR="009E1D21" w:rsidRPr="003408A6">
        <w:t xml:space="preserve">had </w:t>
      </w:r>
      <w:r w:rsidR="0054169F" w:rsidRPr="003408A6">
        <w:t>already received the vaccine in 2013.</w:t>
      </w:r>
    </w:p>
    <w:p w:rsidR="003950D9" w:rsidRPr="003408A6" w:rsidRDefault="008454B0" w:rsidP="00784EDA">
      <w:pPr>
        <w:pStyle w:val="Bodytextaftertable"/>
      </w:pPr>
      <w:r w:rsidRPr="003408A6">
        <w:rPr>
          <w:lang w:val="en-AU"/>
        </w:rPr>
        <w:t>Strategies for the catch</w:t>
      </w:r>
      <w:r w:rsidR="0043033C" w:rsidRPr="003408A6">
        <w:rPr>
          <w:lang w:val="en-AU"/>
        </w:rPr>
        <w:t>-</w:t>
      </w:r>
      <w:r w:rsidRPr="003408A6">
        <w:rPr>
          <w:lang w:val="en-AU"/>
        </w:rPr>
        <w:t>up of missed doses and reaching all eligible adolescent males in the catch</w:t>
      </w:r>
      <w:r w:rsidR="0043033C" w:rsidRPr="003408A6">
        <w:rPr>
          <w:lang w:val="en-AU"/>
        </w:rPr>
        <w:t>-</w:t>
      </w:r>
      <w:r w:rsidRPr="003408A6">
        <w:rPr>
          <w:lang w:val="en-AU"/>
        </w:rPr>
        <w:t xml:space="preserve">up program differed between jurisdictions. These strategies are summarised in </w:t>
      </w:r>
      <w:r w:rsidRPr="003408A6">
        <w:rPr>
          <w:b/>
          <w:lang w:val="en-AU"/>
        </w:rPr>
        <w:t>Table 2.2</w:t>
      </w:r>
      <w:r w:rsidRPr="003408A6">
        <w:rPr>
          <w:lang w:val="en-AU"/>
        </w:rPr>
        <w:t>.</w:t>
      </w:r>
      <w:r w:rsidR="003950D9" w:rsidRPr="003408A6">
        <w:br w:type="page"/>
      </w:r>
    </w:p>
    <w:p w:rsidR="008454B0" w:rsidRPr="003408A6" w:rsidRDefault="008454B0" w:rsidP="000A2125">
      <w:pPr>
        <w:pStyle w:val="Tableheading"/>
        <w:rPr>
          <w:lang w:val="en-AU"/>
        </w:rPr>
      </w:pPr>
      <w:bookmarkStart w:id="33" w:name="_Toc396475523"/>
      <w:bookmarkStart w:id="34" w:name="_Toc397000751"/>
      <w:r w:rsidRPr="003408A6">
        <w:rPr>
          <w:lang w:val="en-AU"/>
        </w:rPr>
        <w:t>Table 2.2</w:t>
      </w:r>
      <w:r w:rsidR="002C2A70" w:rsidRPr="003408A6">
        <w:rPr>
          <w:lang w:val="en-AU"/>
        </w:rPr>
        <w:t>.</w:t>
      </w:r>
      <w:r w:rsidR="00901C17" w:rsidRPr="003408A6">
        <w:rPr>
          <w:lang w:val="en-AU"/>
        </w:rPr>
        <w:tab/>
      </w:r>
      <w:r w:rsidRPr="003408A6">
        <w:rPr>
          <w:lang w:val="en-AU"/>
        </w:rPr>
        <w:t>Missed doses and catch-up program by jurisdiction*</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118"/>
        <w:gridCol w:w="3544"/>
      </w:tblGrid>
      <w:tr w:rsidR="008454B0" w:rsidRPr="003408A6" w:rsidTr="006757FA">
        <w:tc>
          <w:tcPr>
            <w:tcW w:w="1855" w:type="dxa"/>
            <w:shd w:val="clear" w:color="auto" w:fill="auto"/>
          </w:tcPr>
          <w:p w:rsidR="008454B0" w:rsidRPr="003408A6" w:rsidRDefault="00151DC6" w:rsidP="00BF3F7D">
            <w:pPr>
              <w:pStyle w:val="Tablecolumnheading"/>
              <w:rPr>
                <w:lang w:val="en-AU"/>
              </w:rPr>
            </w:pPr>
            <w:r>
              <w:rPr>
                <w:lang w:val="en-AU"/>
              </w:rPr>
              <w:t>Jurisdiction</w:t>
            </w:r>
          </w:p>
        </w:tc>
        <w:tc>
          <w:tcPr>
            <w:tcW w:w="3118" w:type="dxa"/>
            <w:shd w:val="clear" w:color="auto" w:fill="auto"/>
          </w:tcPr>
          <w:p w:rsidR="008454B0" w:rsidRPr="003408A6" w:rsidRDefault="008454B0" w:rsidP="00BF3F7D">
            <w:pPr>
              <w:pStyle w:val="Tablecolumnheading"/>
              <w:rPr>
                <w:lang w:val="en-AU"/>
              </w:rPr>
            </w:pPr>
            <w:r w:rsidRPr="003408A6">
              <w:rPr>
                <w:lang w:val="en-AU"/>
              </w:rPr>
              <w:t>Missed doses</w:t>
            </w:r>
          </w:p>
        </w:tc>
        <w:tc>
          <w:tcPr>
            <w:tcW w:w="3544" w:type="dxa"/>
            <w:shd w:val="clear" w:color="auto" w:fill="auto"/>
          </w:tcPr>
          <w:p w:rsidR="008454B0" w:rsidRPr="003408A6" w:rsidRDefault="008454B0" w:rsidP="00BF3F7D">
            <w:pPr>
              <w:pStyle w:val="Tablecolumnheading"/>
              <w:rPr>
                <w:lang w:val="en-AU"/>
              </w:rPr>
            </w:pPr>
            <w:r w:rsidRPr="003408A6">
              <w:rPr>
                <w:lang w:val="en-AU"/>
              </w:rPr>
              <w:t>Male catch-up (aged 14</w:t>
            </w:r>
            <w:r w:rsidR="002E5293" w:rsidRPr="003408A6">
              <w:rPr>
                <w:lang w:val="en-AU"/>
              </w:rPr>
              <w:t>–</w:t>
            </w:r>
            <w:r w:rsidRPr="003408A6">
              <w:rPr>
                <w:lang w:val="en-AU"/>
              </w:rPr>
              <w:t>15 years) 2013</w:t>
            </w:r>
            <w:r w:rsidR="002E5293" w:rsidRPr="003408A6">
              <w:rPr>
                <w:lang w:val="en-AU"/>
              </w:rPr>
              <w:t>–</w:t>
            </w:r>
            <w:r w:rsidRPr="003408A6">
              <w:rPr>
                <w:lang w:val="en-AU"/>
              </w:rPr>
              <w:t>2014</w:t>
            </w:r>
          </w:p>
        </w:tc>
      </w:tr>
      <w:tr w:rsidR="008454B0" w:rsidRPr="003408A6" w:rsidTr="00151DC6">
        <w:tc>
          <w:tcPr>
            <w:tcW w:w="1855" w:type="dxa"/>
            <w:shd w:val="clear" w:color="auto" w:fill="auto"/>
            <w:vAlign w:val="center"/>
          </w:tcPr>
          <w:p w:rsidR="008454B0" w:rsidRPr="003408A6" w:rsidRDefault="00DF1B61" w:rsidP="00151DC6">
            <w:pPr>
              <w:pStyle w:val="Tabletext0beforeafter"/>
            </w:pPr>
            <w:r w:rsidRPr="003408A6">
              <w:t>ACT</w:t>
            </w:r>
          </w:p>
        </w:tc>
        <w:tc>
          <w:tcPr>
            <w:tcW w:w="3118" w:type="dxa"/>
            <w:shd w:val="clear" w:color="auto" w:fill="auto"/>
          </w:tcPr>
          <w:p w:rsidR="002E5293" w:rsidRPr="003408A6" w:rsidRDefault="008454B0" w:rsidP="00151DC6">
            <w:pPr>
              <w:pStyle w:val="Tabletext0beforeafter"/>
            </w:pPr>
            <w:r w:rsidRPr="003408A6">
              <w:t xml:space="preserve">At general practice </w:t>
            </w:r>
          </w:p>
          <w:p w:rsidR="008454B0" w:rsidRPr="003408A6" w:rsidRDefault="002E5293" w:rsidP="00151DC6">
            <w:pPr>
              <w:pStyle w:val="Tabletext0beforeafter"/>
            </w:pPr>
            <w:r w:rsidRPr="003408A6">
              <w:t>C</w:t>
            </w:r>
            <w:r w:rsidR="008454B0" w:rsidRPr="003408A6">
              <w:t>atch-up doses are only available at the end of the school year</w:t>
            </w:r>
            <w:r w:rsidRPr="003408A6">
              <w:t>.</w:t>
            </w:r>
          </w:p>
        </w:tc>
        <w:tc>
          <w:tcPr>
            <w:tcW w:w="3544" w:type="dxa"/>
            <w:shd w:val="clear" w:color="auto" w:fill="auto"/>
          </w:tcPr>
          <w:p w:rsidR="005A68F2" w:rsidRPr="003408A6" w:rsidRDefault="003B0734" w:rsidP="00151DC6">
            <w:pPr>
              <w:pStyle w:val="Tabletext0beforeafter"/>
              <w:rPr>
                <w:bCs/>
                <w:iCs/>
              </w:rPr>
            </w:pPr>
            <w:r w:rsidRPr="003408A6">
              <w:t xml:space="preserve">Males in </w:t>
            </w:r>
            <w:r w:rsidR="00151DC6">
              <w:t>Y</w:t>
            </w:r>
            <w:r w:rsidRPr="003408A6">
              <w:t xml:space="preserve">ear 9 offered the vaccine through the school vaccination program in 2013 and 2014. </w:t>
            </w:r>
          </w:p>
          <w:p w:rsidR="008454B0" w:rsidRPr="003408A6" w:rsidRDefault="007B0432" w:rsidP="00151DC6">
            <w:pPr>
              <w:pStyle w:val="Tabletext0beforeafter"/>
              <w:rPr>
                <w:bCs/>
                <w:iCs/>
              </w:rPr>
            </w:pPr>
            <w:r w:rsidRPr="003408A6">
              <w:t xml:space="preserve">Males aged 15 years in 2013 </w:t>
            </w:r>
            <w:r w:rsidR="005A68F2" w:rsidRPr="003408A6">
              <w:t xml:space="preserve">who </w:t>
            </w:r>
            <w:r w:rsidR="009E1D21" w:rsidRPr="003408A6">
              <w:t xml:space="preserve">were </w:t>
            </w:r>
            <w:r w:rsidR="005A68F2" w:rsidRPr="003408A6">
              <w:t xml:space="preserve">not in school grade being vaccinated </w:t>
            </w:r>
            <w:r w:rsidR="009E1D21" w:rsidRPr="003408A6">
              <w:t>were</w:t>
            </w:r>
            <w:r w:rsidR="005A68F2" w:rsidRPr="003408A6">
              <w:t xml:space="preserve"> eligible to receive the free HPV vaccine at general practice.</w:t>
            </w:r>
          </w:p>
        </w:tc>
      </w:tr>
      <w:tr w:rsidR="006757FA" w:rsidRPr="003408A6" w:rsidTr="00151DC6">
        <w:tc>
          <w:tcPr>
            <w:tcW w:w="1855" w:type="dxa"/>
            <w:shd w:val="clear" w:color="auto" w:fill="auto"/>
            <w:vAlign w:val="center"/>
          </w:tcPr>
          <w:p w:rsidR="006757FA" w:rsidRPr="003408A6" w:rsidRDefault="006757FA" w:rsidP="00151DC6">
            <w:pPr>
              <w:pStyle w:val="Tabletext0beforeafter"/>
            </w:pPr>
            <w:r w:rsidRPr="003408A6">
              <w:t>NSW</w:t>
            </w:r>
          </w:p>
        </w:tc>
        <w:tc>
          <w:tcPr>
            <w:tcW w:w="3118" w:type="dxa"/>
            <w:shd w:val="clear" w:color="auto" w:fill="auto"/>
          </w:tcPr>
          <w:p w:rsidR="006757FA" w:rsidRPr="003408A6" w:rsidRDefault="006757FA" w:rsidP="00151DC6">
            <w:pPr>
              <w:pStyle w:val="Tabletext0beforeafter"/>
            </w:pPr>
            <w:r w:rsidRPr="003408A6">
              <w:t xml:space="preserve">At the next scheduled school visit </w:t>
            </w:r>
            <w:r w:rsidR="00A56AFB" w:rsidRPr="003408A6">
              <w:t>or at general practice</w:t>
            </w:r>
          </w:p>
          <w:p w:rsidR="006757FA" w:rsidRPr="003408A6" w:rsidRDefault="006757FA" w:rsidP="00151DC6">
            <w:pPr>
              <w:pStyle w:val="Tabletext0beforeafter"/>
            </w:pPr>
            <w:r w:rsidRPr="003408A6">
              <w:t>Doses can be completed until end of Year 8 at scheduled school visits.</w:t>
            </w:r>
          </w:p>
          <w:p w:rsidR="006757FA" w:rsidRPr="003408A6" w:rsidRDefault="006757FA" w:rsidP="00151DC6">
            <w:pPr>
              <w:pStyle w:val="Tabletext0beforeafter"/>
            </w:pPr>
          </w:p>
        </w:tc>
        <w:tc>
          <w:tcPr>
            <w:tcW w:w="3544" w:type="dxa"/>
            <w:shd w:val="clear" w:color="auto" w:fill="auto"/>
          </w:tcPr>
          <w:p w:rsidR="006757FA" w:rsidRPr="003408A6" w:rsidRDefault="006757FA" w:rsidP="00151DC6">
            <w:pPr>
              <w:pStyle w:val="Tabletext0beforeafter"/>
            </w:pPr>
            <w:r w:rsidRPr="003408A6">
              <w:t>Year 9 males who miss a dose at school are required to complete their doses at general practice.</w:t>
            </w:r>
          </w:p>
          <w:p w:rsidR="006757FA" w:rsidRPr="003408A6" w:rsidRDefault="006757FA" w:rsidP="00151DC6">
            <w:pPr>
              <w:pStyle w:val="Tabletext0beforeafter"/>
            </w:pPr>
            <w:r w:rsidRPr="003408A6">
              <w:t xml:space="preserve">Males aged 15 years </w:t>
            </w:r>
            <w:r w:rsidR="007B0432" w:rsidRPr="003408A6">
              <w:t xml:space="preserve">in 2013 </w:t>
            </w:r>
            <w:r w:rsidRPr="003408A6">
              <w:t>who are not in</w:t>
            </w:r>
            <w:r w:rsidR="008E4FF3" w:rsidRPr="003408A6">
              <w:t xml:space="preserve"> school grade being vaccinated</w:t>
            </w:r>
            <w:r w:rsidRPr="003408A6">
              <w:t xml:space="preserve"> are eligible to receive the free </w:t>
            </w:r>
            <w:r w:rsidR="008E4FF3" w:rsidRPr="003408A6">
              <w:t xml:space="preserve">HPV </w:t>
            </w:r>
            <w:r w:rsidRPr="003408A6">
              <w:t>vaccine at general practice.</w:t>
            </w:r>
          </w:p>
        </w:tc>
      </w:tr>
      <w:tr w:rsidR="006757FA" w:rsidRPr="003408A6" w:rsidTr="00151DC6">
        <w:tc>
          <w:tcPr>
            <w:tcW w:w="1855" w:type="dxa"/>
            <w:shd w:val="clear" w:color="auto" w:fill="auto"/>
            <w:vAlign w:val="center"/>
          </w:tcPr>
          <w:p w:rsidR="006757FA" w:rsidRPr="003408A6" w:rsidDel="00DF1B61" w:rsidRDefault="006757FA" w:rsidP="00151DC6">
            <w:pPr>
              <w:pStyle w:val="Tabletext0beforeafter"/>
            </w:pPr>
            <w:r w:rsidRPr="003408A6">
              <w:t>NT</w:t>
            </w:r>
          </w:p>
        </w:tc>
        <w:tc>
          <w:tcPr>
            <w:tcW w:w="3118" w:type="dxa"/>
            <w:shd w:val="clear" w:color="auto" w:fill="auto"/>
          </w:tcPr>
          <w:p w:rsidR="006757FA" w:rsidRPr="003408A6" w:rsidRDefault="006757FA" w:rsidP="00151DC6">
            <w:pPr>
              <w:pStyle w:val="Tabletext0beforeafter"/>
            </w:pPr>
            <w:r w:rsidRPr="003408A6">
              <w:t xml:space="preserve">At community </w:t>
            </w:r>
            <w:r w:rsidR="00A56AFB" w:rsidRPr="003408A6">
              <w:t xml:space="preserve">health </w:t>
            </w:r>
            <w:r w:rsidRPr="003408A6">
              <w:t>clinic</w:t>
            </w:r>
            <w:r w:rsidR="00A56AFB" w:rsidRPr="003408A6">
              <w:t>s and</w:t>
            </w:r>
            <w:r w:rsidRPr="003408A6">
              <w:t xml:space="preserve"> general practice</w:t>
            </w:r>
          </w:p>
        </w:tc>
        <w:tc>
          <w:tcPr>
            <w:tcW w:w="3544" w:type="dxa"/>
            <w:shd w:val="clear" w:color="auto" w:fill="auto"/>
          </w:tcPr>
          <w:p w:rsidR="006757FA" w:rsidRPr="003408A6" w:rsidRDefault="006757FA" w:rsidP="00151DC6">
            <w:pPr>
              <w:pStyle w:val="Tabletext0beforeafter"/>
            </w:pPr>
            <w:r w:rsidRPr="003408A6">
              <w:t xml:space="preserve">In remote areas catch-up is offered to all adolescent males between the ages of 12 and 15 years. </w:t>
            </w:r>
          </w:p>
          <w:p w:rsidR="006757FA" w:rsidRPr="003408A6" w:rsidRDefault="006757FA" w:rsidP="00151DC6">
            <w:pPr>
              <w:pStyle w:val="Tabletext0beforeafter"/>
            </w:pPr>
            <w:r w:rsidRPr="003408A6">
              <w:t>Males aged 15 years who are not in Year 9 in 2013 are eligible to receive the free vaccine at general practice, Aboriginal Medical Service or community clinic.</w:t>
            </w:r>
          </w:p>
        </w:tc>
      </w:tr>
      <w:tr w:rsidR="006757FA" w:rsidRPr="003408A6" w:rsidTr="00151DC6">
        <w:tc>
          <w:tcPr>
            <w:tcW w:w="1855" w:type="dxa"/>
            <w:shd w:val="clear" w:color="auto" w:fill="auto"/>
            <w:vAlign w:val="center"/>
          </w:tcPr>
          <w:p w:rsidR="006757FA" w:rsidRPr="003408A6" w:rsidDel="00DF1B61" w:rsidRDefault="006757FA" w:rsidP="00151DC6">
            <w:pPr>
              <w:pStyle w:val="Tabletext0beforeafter"/>
            </w:pPr>
            <w:r w:rsidRPr="003408A6">
              <w:t>QLD</w:t>
            </w:r>
          </w:p>
        </w:tc>
        <w:tc>
          <w:tcPr>
            <w:tcW w:w="3118" w:type="dxa"/>
            <w:shd w:val="clear" w:color="auto" w:fill="auto"/>
          </w:tcPr>
          <w:p w:rsidR="006757FA" w:rsidRPr="003408A6" w:rsidRDefault="006757FA" w:rsidP="00151DC6">
            <w:pPr>
              <w:pStyle w:val="Tabletext0beforeafter"/>
            </w:pPr>
            <w:r w:rsidRPr="003408A6">
              <w:t>At school clinics</w:t>
            </w:r>
            <w:r w:rsidR="00A56AFB" w:rsidRPr="003408A6">
              <w:t xml:space="preserve"> and </w:t>
            </w:r>
            <w:r w:rsidRPr="003408A6">
              <w:t>general practice</w:t>
            </w:r>
          </w:p>
          <w:p w:rsidR="006757FA" w:rsidRPr="003408A6" w:rsidRDefault="006757FA" w:rsidP="00151DC6">
            <w:pPr>
              <w:pStyle w:val="Tabletext0beforeafter"/>
            </w:pPr>
            <w:r w:rsidRPr="003408A6">
              <w:t>Eligible adolescents can complete the 3 doses by the end of the following calendar year.</w:t>
            </w:r>
          </w:p>
        </w:tc>
        <w:tc>
          <w:tcPr>
            <w:tcW w:w="3544" w:type="dxa"/>
            <w:shd w:val="clear" w:color="auto" w:fill="auto"/>
          </w:tcPr>
          <w:p w:rsidR="006757FA" w:rsidRPr="003408A6" w:rsidRDefault="007B0432" w:rsidP="00151DC6">
            <w:pPr>
              <w:pStyle w:val="Tabletext0beforeafter"/>
            </w:pPr>
            <w:r w:rsidRPr="003408A6">
              <w:t xml:space="preserve">Males aged 15 years in 2013 </w:t>
            </w:r>
            <w:r w:rsidR="005A68F2" w:rsidRPr="003408A6">
              <w:t>who are not in school grade being vaccinated are eligible to receive the free HPV vaccine at general practice.</w:t>
            </w:r>
          </w:p>
        </w:tc>
      </w:tr>
      <w:tr w:rsidR="008454B0" w:rsidRPr="003408A6" w:rsidTr="00151DC6">
        <w:tc>
          <w:tcPr>
            <w:tcW w:w="1855" w:type="dxa"/>
            <w:shd w:val="clear" w:color="auto" w:fill="auto"/>
            <w:vAlign w:val="center"/>
          </w:tcPr>
          <w:p w:rsidR="008454B0" w:rsidRPr="003408A6" w:rsidRDefault="00DF1B61" w:rsidP="00151DC6">
            <w:pPr>
              <w:pStyle w:val="Tabletext0beforeafter"/>
            </w:pPr>
            <w:r w:rsidRPr="003408A6">
              <w:t>SA</w:t>
            </w:r>
          </w:p>
        </w:tc>
        <w:tc>
          <w:tcPr>
            <w:tcW w:w="3118" w:type="dxa"/>
            <w:shd w:val="clear" w:color="auto" w:fill="auto"/>
          </w:tcPr>
          <w:p w:rsidR="008454B0" w:rsidRPr="003408A6" w:rsidRDefault="008454B0" w:rsidP="00151DC6">
            <w:pPr>
              <w:pStyle w:val="Tabletext0beforeafter"/>
            </w:pPr>
            <w:r w:rsidRPr="003408A6">
              <w:t>At council clinics</w:t>
            </w:r>
          </w:p>
          <w:p w:rsidR="008454B0" w:rsidRPr="003408A6" w:rsidRDefault="008454B0" w:rsidP="00151DC6">
            <w:pPr>
              <w:pStyle w:val="Tabletext0beforeafter"/>
            </w:pPr>
          </w:p>
        </w:tc>
        <w:tc>
          <w:tcPr>
            <w:tcW w:w="3544" w:type="dxa"/>
            <w:shd w:val="clear" w:color="auto" w:fill="auto"/>
          </w:tcPr>
          <w:p w:rsidR="008454B0" w:rsidRPr="003408A6" w:rsidRDefault="008454B0" w:rsidP="00151DC6">
            <w:pPr>
              <w:pStyle w:val="Tabletext0beforeafter"/>
            </w:pPr>
            <w:r w:rsidRPr="003408A6">
              <w:t>Males aged 15 years who are in Year 10 in 2013 are eligible to receive the free vaccine at general practice.</w:t>
            </w:r>
          </w:p>
        </w:tc>
      </w:tr>
      <w:tr w:rsidR="006757FA" w:rsidRPr="003408A6" w:rsidTr="00151DC6">
        <w:tc>
          <w:tcPr>
            <w:tcW w:w="1855" w:type="dxa"/>
            <w:shd w:val="clear" w:color="auto" w:fill="auto"/>
            <w:vAlign w:val="center"/>
          </w:tcPr>
          <w:p w:rsidR="006757FA" w:rsidRPr="003408A6" w:rsidRDefault="006757FA" w:rsidP="00151DC6">
            <w:pPr>
              <w:pStyle w:val="Tabletext0beforeafter"/>
            </w:pPr>
            <w:r w:rsidRPr="003408A6">
              <w:t>TAS</w:t>
            </w:r>
          </w:p>
        </w:tc>
        <w:tc>
          <w:tcPr>
            <w:tcW w:w="3118" w:type="dxa"/>
            <w:shd w:val="clear" w:color="auto" w:fill="auto"/>
          </w:tcPr>
          <w:p w:rsidR="006757FA" w:rsidRPr="003408A6" w:rsidRDefault="006757FA" w:rsidP="00151DC6">
            <w:pPr>
              <w:pStyle w:val="Tabletext0beforeafter"/>
            </w:pPr>
            <w:r w:rsidRPr="003408A6">
              <w:t>At council clinics, general practice</w:t>
            </w:r>
          </w:p>
        </w:tc>
        <w:tc>
          <w:tcPr>
            <w:tcW w:w="3544" w:type="dxa"/>
            <w:shd w:val="clear" w:color="auto" w:fill="auto"/>
          </w:tcPr>
          <w:p w:rsidR="006757FA" w:rsidRPr="003408A6" w:rsidRDefault="007B0432" w:rsidP="00151DC6">
            <w:pPr>
              <w:pStyle w:val="Tabletext0beforeafter"/>
            </w:pPr>
            <w:r w:rsidRPr="003408A6">
              <w:t xml:space="preserve">Males aged 15 years in 2013 </w:t>
            </w:r>
            <w:r w:rsidR="005A68F2" w:rsidRPr="003408A6">
              <w:t>who are not in school grade being vaccinated are eligible to receive the free HPV vaccine at general practice.</w:t>
            </w:r>
          </w:p>
        </w:tc>
      </w:tr>
      <w:tr w:rsidR="006757FA" w:rsidRPr="003408A6" w:rsidTr="00151DC6">
        <w:tc>
          <w:tcPr>
            <w:tcW w:w="1855" w:type="dxa"/>
            <w:shd w:val="clear" w:color="auto" w:fill="auto"/>
            <w:vAlign w:val="center"/>
          </w:tcPr>
          <w:p w:rsidR="006757FA" w:rsidRPr="003408A6" w:rsidRDefault="006757FA" w:rsidP="00151DC6">
            <w:pPr>
              <w:pStyle w:val="Tabletext0beforeafter"/>
            </w:pPr>
            <w:r w:rsidRPr="003408A6">
              <w:t>VIC</w:t>
            </w:r>
          </w:p>
        </w:tc>
        <w:tc>
          <w:tcPr>
            <w:tcW w:w="3118" w:type="dxa"/>
            <w:shd w:val="clear" w:color="auto" w:fill="auto"/>
          </w:tcPr>
          <w:p w:rsidR="006757FA" w:rsidRPr="003408A6" w:rsidRDefault="006757FA" w:rsidP="00151DC6">
            <w:pPr>
              <w:pStyle w:val="Tabletext0beforeafter"/>
            </w:pPr>
            <w:r w:rsidRPr="003408A6">
              <w:t>At council clinics, general practice</w:t>
            </w:r>
          </w:p>
          <w:p w:rsidR="006757FA" w:rsidRPr="003408A6" w:rsidRDefault="006757FA" w:rsidP="00151DC6">
            <w:pPr>
              <w:pStyle w:val="Tabletext0beforeafter"/>
            </w:pPr>
            <w:r w:rsidRPr="003408A6">
              <w:t xml:space="preserve">Can continue </w:t>
            </w:r>
            <w:r w:rsidR="00F35CE3" w:rsidRPr="003408A6">
              <w:t>in the</w:t>
            </w:r>
            <w:r w:rsidRPr="003408A6">
              <w:t xml:space="preserve"> school-based program after catch-up of missed dose.</w:t>
            </w:r>
            <w:r w:rsidR="00F35CE3" w:rsidRPr="003408A6">
              <w:t xml:space="preserve"> Eligible adolescents are aged 12</w:t>
            </w:r>
            <w:r w:rsidR="00151DC6">
              <w:t>–</w:t>
            </w:r>
            <w:r w:rsidR="00F35CE3" w:rsidRPr="003408A6">
              <w:t>13 years or boys 14</w:t>
            </w:r>
            <w:r w:rsidR="00151DC6">
              <w:t>–</w:t>
            </w:r>
            <w:r w:rsidR="00F35CE3" w:rsidRPr="003408A6">
              <w:t>15 years.</w:t>
            </w:r>
          </w:p>
        </w:tc>
        <w:tc>
          <w:tcPr>
            <w:tcW w:w="3544" w:type="dxa"/>
            <w:shd w:val="clear" w:color="auto" w:fill="auto"/>
          </w:tcPr>
          <w:p w:rsidR="006757FA" w:rsidRPr="003408A6" w:rsidRDefault="00F35CE3" w:rsidP="00151DC6">
            <w:pPr>
              <w:pStyle w:val="Tabletext0beforeafter"/>
            </w:pPr>
            <w:r w:rsidRPr="003408A6">
              <w:t>A</w:t>
            </w:r>
            <w:r w:rsidR="006757FA" w:rsidRPr="003408A6">
              <w:t xml:space="preserve">dolescent males </w:t>
            </w:r>
            <w:r w:rsidRPr="003408A6">
              <w:t>aged 14</w:t>
            </w:r>
            <w:r w:rsidR="00151DC6">
              <w:t>–</w:t>
            </w:r>
            <w:r w:rsidRPr="003408A6">
              <w:t xml:space="preserve">15 years </w:t>
            </w:r>
            <w:r w:rsidR="006757FA" w:rsidRPr="003408A6">
              <w:t>are eligible to complete the 3 doses of free vaccine at council clinics</w:t>
            </w:r>
            <w:r w:rsidR="006565C0" w:rsidRPr="003408A6">
              <w:t xml:space="preserve"> and general practice</w:t>
            </w:r>
            <w:r w:rsidRPr="003408A6">
              <w:t xml:space="preserve"> until the end of December 2014.</w:t>
            </w:r>
          </w:p>
        </w:tc>
      </w:tr>
      <w:tr w:rsidR="008454B0" w:rsidRPr="003408A6" w:rsidTr="00151DC6">
        <w:tc>
          <w:tcPr>
            <w:tcW w:w="1855" w:type="dxa"/>
            <w:shd w:val="clear" w:color="auto" w:fill="auto"/>
            <w:vAlign w:val="center"/>
          </w:tcPr>
          <w:p w:rsidR="008454B0" w:rsidRPr="003408A6" w:rsidRDefault="00DF1B61" w:rsidP="00151DC6">
            <w:pPr>
              <w:pStyle w:val="Tabletext0beforeafter"/>
            </w:pPr>
            <w:r w:rsidRPr="003408A6">
              <w:t>WA</w:t>
            </w:r>
          </w:p>
        </w:tc>
        <w:tc>
          <w:tcPr>
            <w:tcW w:w="3118" w:type="dxa"/>
            <w:shd w:val="clear" w:color="auto" w:fill="auto"/>
          </w:tcPr>
          <w:p w:rsidR="008454B0" w:rsidRPr="003408A6" w:rsidRDefault="008454B0" w:rsidP="00151DC6">
            <w:pPr>
              <w:pStyle w:val="Tabletext0beforeafter"/>
            </w:pPr>
            <w:r w:rsidRPr="003408A6">
              <w:t>At school, community clinics, general practice</w:t>
            </w:r>
          </w:p>
        </w:tc>
        <w:tc>
          <w:tcPr>
            <w:tcW w:w="3544" w:type="dxa"/>
            <w:shd w:val="clear" w:color="auto" w:fill="auto"/>
          </w:tcPr>
          <w:p w:rsidR="008454B0" w:rsidRPr="003408A6" w:rsidRDefault="00AB132E" w:rsidP="00151DC6">
            <w:pPr>
              <w:pStyle w:val="Tabletext0beforeafter"/>
            </w:pPr>
            <w:r w:rsidRPr="003408A6">
              <w:t>The vaccine is offered to males aged 13</w:t>
            </w:r>
            <w:r w:rsidR="00151DC6">
              <w:t>–</w:t>
            </w:r>
            <w:r w:rsidRPr="003408A6">
              <w:t xml:space="preserve">15 in </w:t>
            </w:r>
            <w:r w:rsidR="00151DC6">
              <w:t>Y</w:t>
            </w:r>
            <w:r w:rsidRPr="003408A6">
              <w:t>ears 8, 9 and 10 in 2013. The male catch</w:t>
            </w:r>
            <w:r w:rsidR="00EE26E6">
              <w:t>-</w:t>
            </w:r>
            <w:r w:rsidRPr="003408A6">
              <w:t xml:space="preserve">up program will be completed in 2013 and in 2014 HPV will be offered to males and females in </w:t>
            </w:r>
            <w:r w:rsidR="00151DC6">
              <w:t>Y</w:t>
            </w:r>
            <w:r w:rsidRPr="003408A6">
              <w:t xml:space="preserve">ear 8 only. </w:t>
            </w:r>
          </w:p>
        </w:tc>
      </w:tr>
    </w:tbl>
    <w:p w:rsidR="008454B0" w:rsidRPr="003408A6" w:rsidRDefault="008454B0" w:rsidP="00BF3F7D">
      <w:pPr>
        <w:pStyle w:val="Tablefootnote"/>
      </w:pPr>
      <w:r w:rsidRPr="003408A6">
        <w:t>*</w:t>
      </w:r>
      <w:r w:rsidR="00BF3F7D" w:rsidRPr="003408A6">
        <w:tab/>
      </w:r>
      <w:r w:rsidRPr="003408A6">
        <w:t xml:space="preserve">Source: Key </w:t>
      </w:r>
      <w:r w:rsidR="002E5293" w:rsidRPr="003408A6">
        <w:t xml:space="preserve">stakeholder </w:t>
      </w:r>
      <w:r w:rsidRPr="003408A6">
        <w:t xml:space="preserve">interviews, jurisdiction documents and websites. </w:t>
      </w:r>
    </w:p>
    <w:p w:rsidR="00FE32A9" w:rsidRPr="003408A6" w:rsidRDefault="00FE32A9">
      <w:pPr>
        <w:rPr>
          <w:sz w:val="20"/>
        </w:rPr>
      </w:pPr>
      <w:r w:rsidRPr="003408A6">
        <w:rPr>
          <w:sz w:val="20"/>
        </w:rPr>
        <w:br w:type="page"/>
      </w:r>
    </w:p>
    <w:p w:rsidR="008454B0" w:rsidRPr="003408A6" w:rsidRDefault="008454B0" w:rsidP="008454B0">
      <w:pPr>
        <w:pStyle w:val="Heading3"/>
        <w:rPr>
          <w:szCs w:val="28"/>
        </w:rPr>
      </w:pPr>
      <w:bookmarkStart w:id="35" w:name="_Toc373497090"/>
      <w:r w:rsidRPr="003408A6">
        <w:rPr>
          <w:szCs w:val="28"/>
        </w:rPr>
        <w:t xml:space="preserve">Existing literature on </w:t>
      </w:r>
      <w:r w:rsidR="006B6D0F" w:rsidRPr="003408A6">
        <w:rPr>
          <w:szCs w:val="28"/>
        </w:rPr>
        <w:t xml:space="preserve">the </w:t>
      </w:r>
      <w:r w:rsidR="00FF38B9" w:rsidRPr="003408A6">
        <w:rPr>
          <w:szCs w:val="28"/>
        </w:rPr>
        <w:t xml:space="preserve">implementation </w:t>
      </w:r>
      <w:r w:rsidR="006B6D0F" w:rsidRPr="003408A6">
        <w:rPr>
          <w:szCs w:val="28"/>
        </w:rPr>
        <w:t>of the</w:t>
      </w:r>
      <w:r w:rsidR="00FF38B9" w:rsidRPr="003408A6">
        <w:rPr>
          <w:szCs w:val="28"/>
        </w:rPr>
        <w:t xml:space="preserve"> Australian </w:t>
      </w:r>
      <w:r w:rsidR="00DE56C1" w:rsidRPr="003408A6">
        <w:rPr>
          <w:szCs w:val="28"/>
        </w:rPr>
        <w:t xml:space="preserve">National </w:t>
      </w:r>
      <w:r w:rsidRPr="003408A6">
        <w:rPr>
          <w:szCs w:val="28"/>
        </w:rPr>
        <w:t xml:space="preserve">HPV </w:t>
      </w:r>
      <w:r w:rsidR="00DE56C1" w:rsidRPr="003408A6">
        <w:rPr>
          <w:szCs w:val="28"/>
        </w:rPr>
        <w:t>V</w:t>
      </w:r>
      <w:r w:rsidR="006B6D0F" w:rsidRPr="003408A6">
        <w:rPr>
          <w:szCs w:val="28"/>
        </w:rPr>
        <w:t xml:space="preserve">accination </w:t>
      </w:r>
      <w:r w:rsidR="00DE56C1" w:rsidRPr="003408A6">
        <w:rPr>
          <w:szCs w:val="28"/>
        </w:rPr>
        <w:t>P</w:t>
      </w:r>
      <w:r w:rsidR="006B6D0F" w:rsidRPr="003408A6">
        <w:rPr>
          <w:szCs w:val="28"/>
        </w:rPr>
        <w:t>rogram</w:t>
      </w:r>
      <w:bookmarkEnd w:id="35"/>
    </w:p>
    <w:p w:rsidR="008454B0" w:rsidRPr="003408A6" w:rsidRDefault="008454B0" w:rsidP="00BF3F7D">
      <w:pPr>
        <w:pStyle w:val="BodyText"/>
        <w:rPr>
          <w:lang w:val="en-AU"/>
        </w:rPr>
      </w:pPr>
      <w:r w:rsidRPr="003408A6">
        <w:rPr>
          <w:lang w:val="en-AU"/>
        </w:rPr>
        <w:t xml:space="preserve">Nine published journal articles and reports that included </w:t>
      </w:r>
      <w:r w:rsidR="006B6D0F" w:rsidRPr="003408A6">
        <w:rPr>
          <w:lang w:val="en-AU"/>
        </w:rPr>
        <w:t>some form of</w:t>
      </w:r>
      <w:r w:rsidRPr="003408A6">
        <w:rPr>
          <w:lang w:val="en-AU"/>
        </w:rPr>
        <w:t xml:space="preserve"> evaluation of the </w:t>
      </w:r>
      <w:r w:rsidR="00FF38B9" w:rsidRPr="003408A6">
        <w:rPr>
          <w:lang w:val="en-AU"/>
        </w:rPr>
        <w:t xml:space="preserve">implementation </w:t>
      </w:r>
      <w:r w:rsidR="006B6D0F" w:rsidRPr="003408A6">
        <w:rPr>
          <w:lang w:val="en-AU"/>
        </w:rPr>
        <w:t xml:space="preserve">of the </w:t>
      </w:r>
      <w:r w:rsidRPr="003408A6">
        <w:rPr>
          <w:lang w:val="en-AU"/>
        </w:rPr>
        <w:t xml:space="preserve">Australian National HPV Vaccination Program were found in </w:t>
      </w:r>
      <w:r w:rsidR="0023594C">
        <w:rPr>
          <w:lang w:val="en-AU"/>
        </w:rPr>
        <w:t>a</w:t>
      </w:r>
      <w:r w:rsidR="0023594C" w:rsidRPr="003408A6">
        <w:rPr>
          <w:lang w:val="en-AU"/>
        </w:rPr>
        <w:t xml:space="preserve"> </w:t>
      </w:r>
      <w:r w:rsidRPr="003408A6">
        <w:rPr>
          <w:lang w:val="en-AU"/>
        </w:rPr>
        <w:t xml:space="preserve">literature search of relevant databases. A brief description of the type of study and findings of each evaluation is </w:t>
      </w:r>
      <w:r w:rsidR="0023594C">
        <w:rPr>
          <w:lang w:val="en-AU"/>
        </w:rPr>
        <w:t>provided</w:t>
      </w:r>
      <w:r w:rsidR="0023594C" w:rsidRPr="003408A6">
        <w:rPr>
          <w:lang w:val="en-AU"/>
        </w:rPr>
        <w:t xml:space="preserve"> </w:t>
      </w:r>
      <w:r w:rsidRPr="003408A6">
        <w:rPr>
          <w:lang w:val="en-AU"/>
        </w:rPr>
        <w:t xml:space="preserve">in </w:t>
      </w:r>
      <w:r w:rsidRPr="003408A6">
        <w:rPr>
          <w:b/>
          <w:lang w:val="en-AU"/>
        </w:rPr>
        <w:t>Table 2.3</w:t>
      </w:r>
      <w:r w:rsidRPr="003408A6">
        <w:rPr>
          <w:lang w:val="en-AU"/>
        </w:rPr>
        <w:t xml:space="preserve">. </w:t>
      </w:r>
    </w:p>
    <w:p w:rsidR="00F5721C" w:rsidRPr="003408A6" w:rsidRDefault="008454B0" w:rsidP="00BF3F7D">
      <w:pPr>
        <w:pStyle w:val="BodyText"/>
        <w:rPr>
          <w:lang w:val="en-AU"/>
        </w:rPr>
      </w:pPr>
      <w:r w:rsidRPr="003408A6">
        <w:rPr>
          <w:lang w:val="en-AU"/>
        </w:rPr>
        <w:t xml:space="preserve">The published evaluations focused on the community catch-up program for young women and the school-based program for adolescent females. Two of the studies were Australia-wide but focused only on the community catch-up </w:t>
      </w:r>
      <w:r w:rsidR="002E5293" w:rsidRPr="003408A6">
        <w:rPr>
          <w:lang w:val="en-AU"/>
        </w:rPr>
        <w:t xml:space="preserve">program </w:t>
      </w:r>
      <w:r w:rsidRPr="003408A6">
        <w:rPr>
          <w:lang w:val="en-AU"/>
        </w:rPr>
        <w:t>for young women</w:t>
      </w:r>
      <w:r w:rsidR="00413B61" w:rsidRPr="003408A6">
        <w:rPr>
          <w:lang w:val="en-AU"/>
        </w:rPr>
        <w:t>.</w:t>
      </w:r>
      <w:r w:rsidR="004E02CF" w:rsidRPr="003408A6">
        <w:rPr>
          <w:lang w:val="en-AU"/>
        </w:rPr>
        <w:fldChar w:fldCharType="begin">
          <w:fldData xml:space="preserve">PEVuZE5vdGU+PENpdGU+PEF1dGhvcj5Ccm90aGVydG9uPC9BdXRob3I+PFllYXI+MjAxMDwvWWVh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</w:fldData>
        </w:fldChar>
      </w:r>
      <w:r w:rsidR="004E02CF" w:rsidRPr="003408A6">
        <w:rPr>
          <w:lang w:val="en-AU"/>
        </w:rPr>
        <w:instrText xml:space="preserve"> ADDIN EN.CITE </w:instrText>
      </w:r>
      <w:r w:rsidR="004E02CF" w:rsidRPr="003408A6">
        <w:rPr>
          <w:lang w:val="en-AU"/>
        </w:rPr>
        <w:fldChar w:fldCharType="begin">
          <w:fldData xml:space="preserve">PEVuZE5vdGU+PENpdGU+PEF1dGhvcj5Ccm90aGVydG9uPC9BdXRob3I+PFllYXI+MjAxMDwvWWVh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</w:fldData>
        </w:fldChar>
      </w:r>
      <w:r w:rsidR="004E02CF" w:rsidRPr="003408A6">
        <w:rPr>
          <w:lang w:val="en-AU"/>
        </w:rPr>
        <w:instrText xml:space="preserve"> ADDIN EN.CITE.DATA </w:instrText>
      </w:r>
      <w:r w:rsidR="004E02CF" w:rsidRPr="003408A6">
        <w:rPr>
          <w:lang w:val="en-AU"/>
        </w:rPr>
      </w:r>
      <w:r w:rsidR="004E02CF" w:rsidRPr="003408A6">
        <w:rPr>
          <w:lang w:val="en-AU"/>
        </w:rPr>
        <w:fldChar w:fldCharType="end"/>
      </w:r>
      <w:r w:rsidR="004E02CF" w:rsidRPr="003408A6">
        <w:rPr>
          <w:lang w:val="en-AU"/>
        </w:rPr>
      </w:r>
      <w:r w:rsidR="004E02CF" w:rsidRPr="003408A6">
        <w:rPr>
          <w:lang w:val="en-AU"/>
        </w:rPr>
        <w:fldChar w:fldCharType="separate"/>
      </w:r>
      <w:hyperlink w:anchor="_ENREF_27" w:tooltip="Brotherton, 2010 #17" w:history="1">
        <w:r w:rsidR="00F27F90" w:rsidRPr="003408A6">
          <w:rPr>
            <w:noProof/>
            <w:vertAlign w:val="superscript"/>
            <w:lang w:val="en-AU"/>
          </w:rPr>
          <w:t>27</w:t>
        </w:r>
      </w:hyperlink>
      <w:r w:rsidR="004E02CF" w:rsidRPr="003408A6">
        <w:rPr>
          <w:noProof/>
          <w:vertAlign w:val="superscript"/>
          <w:lang w:val="en-AU"/>
        </w:rPr>
        <w:t>,</w:t>
      </w:r>
      <w:hyperlink w:anchor="_ENREF_28" w:tooltip="Leask, 2009 #672" w:history="1">
        <w:r w:rsidR="00F27F90" w:rsidRPr="003408A6">
          <w:rPr>
            <w:noProof/>
            <w:vertAlign w:val="superscript"/>
            <w:lang w:val="en-AU"/>
          </w:rPr>
          <w:t>28</w:t>
        </w:r>
      </w:hyperlink>
      <w:r w:rsidR="004E02CF" w:rsidRPr="003408A6">
        <w:rPr>
          <w:lang w:val="en-AU"/>
        </w:rPr>
        <w:fldChar w:fldCharType="end"/>
      </w:r>
      <w:r w:rsidRPr="003408A6">
        <w:rPr>
          <w:lang w:val="en-AU"/>
        </w:rPr>
        <w:t xml:space="preserve"> The other Australian evaluations focused on the school-based program for adolescent females but were specific to one jurisdiction or region</w:t>
      </w:r>
      <w:r w:rsidR="002E5293" w:rsidRPr="003408A6">
        <w:rPr>
          <w:lang w:val="en-AU"/>
        </w:rPr>
        <w:t>.</w:t>
      </w:r>
      <w:hyperlink w:anchor="_ENREF_29" w:tooltip="Cooper-Robbins, 2010 #24" w:history="1">
        <w:r w:rsidR="00F27F90" w:rsidRPr="003408A6">
          <w:rPr>
            <w:lang w:val="en-AU"/>
          </w:rPr>
          <w:fldChar w:fldCharType="begin">
            <w:fldData xml:space="preserve">PEVuZE5vdGU+PENpdGU+PEF1dGhvcj5Db29wZXItUm9iYmluczwvQXV0aG9yPjxZZWFyPjIwMTA8
L1llYXI+PFJlY051bT4yNDwvUmVjTnVtPjxEaXNwbGF5VGV4dD48c3R5bGUgZmFjZT0ic3VwZXJz
Y3JpcHQiPjI5LTMzPC9zdHlsZT48L0Rpc3BsYXlUZXh0PjxyZWNvcmQ+PHJlYy1udW1iZXI+MjQ8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PC9yZWNvcmQ+PC9DaXRlPjxDaXRlPjxBdXRob3I+S2VudDwvQXV0aG9yPjxZZWFyPjIwMTA8L1ll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cGVyaW9kaWNhbD48cGFnZXM+MzM5OC00MDg8L3BhZ2VzPjx2b2x1bWU+Mjg8L3ZvbHVtZT48bnVt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PEVuZE5vdGU+PENpdGU+PEF1dGhvcj5Db29wZXItUm9iYmluczwvQXV0aG9yPjxZZWFyPjIwMTA8
L1llYXI+PFJlY051bT4yNDwvUmVjTnVtPjxEaXNwbGF5VGV4dD48c3R5bGUgZmFjZT0ic3VwZXJz
Y3JpcHQiPjI5LTMzPC9zdHlsZT48L0Rpc3BsYXlUZXh0PjxyZWNvcmQ+PHJlYy1udW1iZXI+MjQ8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PC9yZWNvcmQ+PC9DaXRlPjxDaXRlPjxBdXRob3I+S2VudDwvQXV0aG9yPjxZZWFyPjIwMTA8L1ll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cGVyaW9kaWNhbD48cGFnZXM+MzM5OC00MDg8L3BhZ2VzPjx2b2x1bWU+Mjg8L3ZvbHVtZT48bnVt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B20A01">
          <w:rPr>
            <w:noProof/>
            <w:vertAlign w:val="superscript"/>
            <w:lang w:val="en-AU"/>
          </w:rPr>
          <w:t>29-33</w:t>
        </w:r>
        <w:r w:rsidR="00F27F90" w:rsidRPr="003408A6">
          <w:rPr>
            <w:lang w:val="en-AU"/>
          </w:rPr>
          <w:fldChar w:fldCharType="end"/>
        </w:r>
      </w:hyperlink>
      <w:r w:rsidRPr="003408A6">
        <w:rPr>
          <w:lang w:val="en-AU"/>
        </w:rPr>
        <w:t xml:space="preserve"> The stakeholders sampled in the different studies included</w:t>
      </w:r>
      <w:r w:rsidR="00A0768C" w:rsidRPr="003408A6">
        <w:rPr>
          <w:lang w:val="en-AU"/>
        </w:rPr>
        <w:t xml:space="preserve"> schools, students,</w:t>
      </w:r>
      <w:r w:rsidRPr="003408A6">
        <w:rPr>
          <w:lang w:val="en-AU"/>
        </w:rPr>
        <w:t xml:space="preserve"> parents, immunisation providers and jurisdictional managers.</w:t>
      </w:r>
    </w:p>
    <w:p w:rsidR="00930B2C" w:rsidRPr="003408A6" w:rsidRDefault="00930B2C" w:rsidP="00BF3F7D">
      <w:pPr>
        <w:pStyle w:val="BodyText"/>
        <w:rPr>
          <w:lang w:val="en-AU"/>
        </w:rPr>
      </w:pPr>
      <w:r w:rsidRPr="003408A6">
        <w:rPr>
          <w:lang w:val="en-AU"/>
        </w:rPr>
        <w:t xml:space="preserve">The existing literature on evaluations of the HPV program in Australia found that immunisation providers were generally positive about delivering the program and that the program was generally accepted by parents, adolescent </w:t>
      </w:r>
      <w:r w:rsidR="00ED44AF" w:rsidRPr="003408A6">
        <w:rPr>
          <w:lang w:val="en-AU"/>
        </w:rPr>
        <w:t xml:space="preserve">females </w:t>
      </w:r>
      <w:r w:rsidRPr="003408A6">
        <w:rPr>
          <w:lang w:val="en-AU"/>
        </w:rPr>
        <w:t>and schools</w:t>
      </w:r>
      <w:r w:rsidR="00413B61" w:rsidRPr="003408A6">
        <w:rPr>
          <w:lang w:val="en-AU"/>
        </w:rPr>
        <w:t>.</w:t>
      </w:r>
      <w:r w:rsidR="00946887" w:rsidRPr="003408A6">
        <w:rPr>
          <w:lang w:val="en-AU"/>
        </w:rPr>
        <w:fldChar w:fldCharType="begin">
          <w:fldData xml:space="preserve">PEVuZE5vdGU+PENpdGU+PEF1dGhvcj5Ccm90aGVydG9uPC9BdXRob3I+PFllYXI+MjAxMDwvWWVh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aW9kaWNhbD48cGFnZXM+OTU4OC05NTk5PC9wYWdlcz48dm9sdW1lPjI5PC92b2x1bWU+PGVkaXRp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</w:fldData>
        </w:fldChar>
      </w:r>
      <w:r w:rsidR="00B20A01">
        <w:rPr>
          <w:lang w:val="en-AU"/>
        </w:rPr>
        <w:instrText xml:space="preserve"> ADDIN EN.CITE </w:instrText>
      </w:r>
      <w:r w:rsidR="00B20A01">
        <w:rPr>
          <w:lang w:val="en-AU"/>
        </w:rPr>
        <w:fldChar w:fldCharType="begin">
          <w:fldData xml:space="preserve">PEVuZE5vdGU+PENpdGU+PEF1dGhvcj5Ccm90aGVydG9uPC9BdXRob3I+PFllYXI+MjAxMDwvWWVh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aW9kaWNhbD48cGFnZXM+OTU4OC05NTk5PC9wYWdlcz48dm9sdW1lPjI5PC92b2x1bWU+PGVkaXRp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</w:fldData>
        </w:fldChar>
      </w:r>
      <w:r w:rsidR="00B20A01">
        <w:rPr>
          <w:lang w:val="en-AU"/>
        </w:rPr>
        <w:instrText xml:space="preserve"> ADDIN EN.CITE.DATA </w:instrText>
      </w:r>
      <w:r w:rsidR="00B20A01">
        <w:rPr>
          <w:lang w:val="en-AU"/>
        </w:rPr>
      </w:r>
      <w:r w:rsidR="00B20A01">
        <w:rPr>
          <w:lang w:val="en-AU"/>
        </w:rPr>
        <w:fldChar w:fldCharType="end"/>
      </w:r>
      <w:r w:rsidR="00946887" w:rsidRPr="003408A6">
        <w:rPr>
          <w:lang w:val="en-AU"/>
        </w:rPr>
      </w:r>
      <w:r w:rsidR="00946887" w:rsidRPr="003408A6">
        <w:rPr>
          <w:lang w:val="en-AU"/>
        </w:rPr>
        <w:fldChar w:fldCharType="separate"/>
      </w:r>
      <w:hyperlink w:anchor="_ENREF_27" w:tooltip="Brotherton, 2010 #17" w:history="1">
        <w:r w:rsidR="00F27F90" w:rsidRPr="00B20A01">
          <w:rPr>
            <w:noProof/>
            <w:vertAlign w:val="superscript"/>
            <w:lang w:val="en-AU"/>
          </w:rPr>
          <w:t>27</w:t>
        </w:r>
      </w:hyperlink>
      <w:r w:rsidR="00B20A01" w:rsidRPr="00B20A01">
        <w:rPr>
          <w:noProof/>
          <w:vertAlign w:val="superscript"/>
          <w:lang w:val="en-AU"/>
        </w:rPr>
        <w:t>,</w:t>
      </w:r>
      <w:hyperlink w:anchor="_ENREF_28" w:tooltip="Leask, 2009 #672" w:history="1">
        <w:r w:rsidR="00F27F90" w:rsidRPr="00B20A01">
          <w:rPr>
            <w:noProof/>
            <w:vertAlign w:val="superscript"/>
            <w:lang w:val="en-AU"/>
          </w:rPr>
          <w:t>28</w:t>
        </w:r>
      </w:hyperlink>
      <w:r w:rsidR="00B20A01" w:rsidRPr="00B20A01">
        <w:rPr>
          <w:noProof/>
          <w:vertAlign w:val="superscript"/>
          <w:lang w:val="en-AU"/>
        </w:rPr>
        <w:t>,</w:t>
      </w:r>
      <w:hyperlink w:anchor="_ENREF_34" w:tooltip="Cooper-Robbins, 2011 #1231" w:history="1">
        <w:r w:rsidR="00F27F90" w:rsidRPr="00B20A01">
          <w:rPr>
            <w:noProof/>
            <w:vertAlign w:val="superscript"/>
            <w:lang w:val="en-AU"/>
          </w:rPr>
          <w:t>34</w:t>
        </w:r>
      </w:hyperlink>
      <w:r w:rsidR="00B20A01" w:rsidRPr="00B20A01">
        <w:rPr>
          <w:noProof/>
          <w:vertAlign w:val="superscript"/>
          <w:lang w:val="en-AU"/>
        </w:rPr>
        <w:t>,</w:t>
      </w:r>
      <w:hyperlink w:anchor="_ENREF_35" w:tooltip="Queensland Health Immunisation Program, 2010 #1270" w:history="1">
        <w:r w:rsidR="00F27F90" w:rsidRPr="00B20A01">
          <w:rPr>
            <w:noProof/>
            <w:vertAlign w:val="superscript"/>
            <w:lang w:val="en-AU"/>
          </w:rPr>
          <w:t>35</w:t>
        </w:r>
      </w:hyperlink>
      <w:r w:rsidR="00946887" w:rsidRPr="003408A6">
        <w:rPr>
          <w:lang w:val="en-AU"/>
        </w:rPr>
        <w:fldChar w:fldCharType="end"/>
      </w:r>
      <w:r w:rsidRPr="003408A6">
        <w:rPr>
          <w:lang w:val="en-AU"/>
        </w:rPr>
        <w:t xml:space="preserve"> Issues for parents and adolescent females were availability of appropriate information and knowledge, concerns about vaccine safety and side</w:t>
      </w:r>
      <w:r w:rsidR="001D113B">
        <w:rPr>
          <w:lang w:val="en-AU"/>
        </w:rPr>
        <w:t xml:space="preserve"> </w:t>
      </w:r>
      <w:r w:rsidRPr="003408A6">
        <w:rPr>
          <w:lang w:val="en-AU"/>
        </w:rPr>
        <w:t>effects</w:t>
      </w:r>
      <w:r w:rsidR="00413B61" w:rsidRPr="003408A6">
        <w:rPr>
          <w:lang w:val="en-AU"/>
        </w:rPr>
        <w:t>.</w:t>
      </w:r>
      <w:r w:rsidR="00665F2B" w:rsidRPr="003408A6">
        <w:rPr>
          <w:lang w:val="en-AU"/>
        </w:rPr>
        <w:fldChar w:fldCharType="begin">
          <w:fldData xml:space="preserve">PEVuZE5vdGU+PENpdGU+PEF1dGhvcj5Db29wZXItUm9iYmluczwvQXV0aG9yPjxZZWFyPjIwMTA8
L1llYXI+PFJlY051bT4yNDwvUmVjTnVtPjxEaXNwbGF5VGV4dD48c3R5bGUgZmFjZT0ic3VwZXJz
Y3JpcHQiPjI5LDM0PC9zdHlsZT48L0Rpc3BsYXlUZXh0PjxyZWNvcmQ+PHJlYy1udW1iZXI+MjQ8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PC9yZWNvcmQ+PC9DaXRlPjxDaXRlPjxBdXRob3I+Q29vcGVyLVJvYmJpbnM8L0F1dGhvcj48WWVh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</w:fldData>
        </w:fldChar>
      </w:r>
      <w:r w:rsidR="00B20A01">
        <w:rPr>
          <w:lang w:val="en-AU"/>
        </w:rPr>
        <w:instrText xml:space="preserve"> ADDIN EN.CITE </w:instrText>
      </w:r>
      <w:r w:rsidR="00B20A01">
        <w:rPr>
          <w:lang w:val="en-AU"/>
        </w:rPr>
        <w:fldChar w:fldCharType="begin">
          <w:fldData xml:space="preserve">PEVuZE5vdGU+PENpdGU+PEF1dGhvcj5Db29wZXItUm9iYmluczwvQXV0aG9yPjxZZWFyPjIwMTA8
L1llYXI+PFJlY051bT4yNDwvUmVjTnVtPjxEaXNwbGF5VGV4dD48c3R5bGUgZmFjZT0ic3VwZXJz
Y3JpcHQiPjI5LDM0PC9zdHlsZT48L0Rpc3BsYXlUZXh0PjxyZWNvcmQ+PHJlYy1udW1iZXI+MjQ8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PC9yZWNvcmQ+PC9DaXRlPjxDaXRlPjxBdXRob3I+Q29vcGVyLVJvYmJpbnM8L0F1dGhvcj48WWVh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</w:fldData>
        </w:fldChar>
      </w:r>
      <w:r w:rsidR="00B20A01">
        <w:rPr>
          <w:lang w:val="en-AU"/>
        </w:rPr>
        <w:instrText xml:space="preserve"> ADDIN EN.CITE.DATA </w:instrText>
      </w:r>
      <w:r w:rsidR="00B20A01">
        <w:rPr>
          <w:lang w:val="en-AU"/>
        </w:rPr>
      </w:r>
      <w:r w:rsidR="00B20A01">
        <w:rPr>
          <w:lang w:val="en-AU"/>
        </w:rPr>
        <w:fldChar w:fldCharType="end"/>
      </w:r>
      <w:r w:rsidR="00665F2B" w:rsidRPr="003408A6">
        <w:rPr>
          <w:lang w:val="en-AU"/>
        </w:rPr>
      </w:r>
      <w:r w:rsidR="00665F2B" w:rsidRPr="003408A6">
        <w:rPr>
          <w:lang w:val="en-AU"/>
        </w:rPr>
        <w:fldChar w:fldCharType="separate"/>
      </w:r>
      <w:hyperlink w:anchor="_ENREF_29" w:tooltip="Cooper-Robbins, 2010 #24" w:history="1">
        <w:r w:rsidR="00F27F90" w:rsidRPr="00B20A01">
          <w:rPr>
            <w:noProof/>
            <w:vertAlign w:val="superscript"/>
            <w:lang w:val="en-AU"/>
          </w:rPr>
          <w:t>29</w:t>
        </w:r>
      </w:hyperlink>
      <w:r w:rsidR="00B20A01" w:rsidRPr="00B20A01">
        <w:rPr>
          <w:noProof/>
          <w:vertAlign w:val="superscript"/>
          <w:lang w:val="en-AU"/>
        </w:rPr>
        <w:t>,</w:t>
      </w:r>
      <w:hyperlink w:anchor="_ENREF_34" w:tooltip="Cooper-Robbins, 2011 #1231" w:history="1">
        <w:r w:rsidR="00F27F90" w:rsidRPr="00B20A01">
          <w:rPr>
            <w:noProof/>
            <w:vertAlign w:val="superscript"/>
            <w:lang w:val="en-AU"/>
          </w:rPr>
          <w:t>34</w:t>
        </w:r>
      </w:hyperlink>
      <w:r w:rsidR="00665F2B" w:rsidRPr="003408A6">
        <w:rPr>
          <w:lang w:val="en-AU"/>
        </w:rPr>
        <w:fldChar w:fldCharType="end"/>
      </w:r>
      <w:r w:rsidRPr="003408A6">
        <w:rPr>
          <w:lang w:val="en-AU"/>
        </w:rPr>
        <w:t xml:space="preserve"> Scheduling and organising vaccination day, vaccination setting and disruption to classes were issues for schools</w:t>
      </w:r>
      <w:r w:rsidR="00413B61" w:rsidRPr="003408A6">
        <w:rPr>
          <w:lang w:val="en-AU"/>
        </w:rPr>
        <w:t>.</w:t>
      </w:r>
      <w:r w:rsidR="00F877A7" w:rsidRPr="003408A6">
        <w:rPr>
          <w:lang w:val="en-AU"/>
        </w:rPr>
        <w:fldChar w:fldCharType="begin">
          <w:fldData xml:space="preserve">PEVuZE5vdGU+PENpdGU+PEF1dGhvcj5Db29wZXItUm9iYmluczwvQXV0aG9yPjxZZWFyPjIwMTA8
L1llYXI+PFJlY051bT4yNDwvUmVjTnVtPjxEaXNwbGF5VGV4dD48c3R5bGUgZmFjZT0ic3VwZXJz
Y3JpcHQiPjI5LDM1PC9zdHlsZT48L0Rpc3BsYXlUZXh0PjxyZWNvcmQ+PHJlYy1udW1iZXI+MjQ8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PC9yZWNvcmQ+PC9DaXRlPjxDaXRlPjxBdXRob3I+UXVlZW5zbGFuZCBIZWFsdGggSW1tdW5pc2F0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</w:fldData>
        </w:fldChar>
      </w:r>
      <w:r w:rsidR="00B20A01">
        <w:rPr>
          <w:lang w:val="en-AU"/>
        </w:rPr>
        <w:instrText xml:space="preserve"> ADDIN EN.CITE </w:instrText>
      </w:r>
      <w:r w:rsidR="00B20A01">
        <w:rPr>
          <w:lang w:val="en-AU"/>
        </w:rPr>
        <w:fldChar w:fldCharType="begin">
          <w:fldData xml:space="preserve">PEVuZE5vdGU+PENpdGU+PEF1dGhvcj5Db29wZXItUm9iYmluczwvQXV0aG9yPjxZZWFyPjIwMTA8
L1llYXI+PFJlY051bT4yNDwvUmVjTnVtPjxEaXNwbGF5VGV4dD48c3R5bGUgZmFjZT0ic3VwZXJz
Y3JpcHQiPjI5LDM1PC9zdHlsZT48L0Rpc3BsYXlUZXh0PjxyZWNvcmQ+PHJlYy1udW1iZXI+MjQ8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PC9yZWNvcmQ+PC9DaXRlPjxDaXRlPjxBdXRob3I+UXVlZW5zbGFuZCBIZWFsdGggSW1tdW5pc2F0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</w:fldData>
        </w:fldChar>
      </w:r>
      <w:r w:rsidR="00B20A01">
        <w:rPr>
          <w:lang w:val="en-AU"/>
        </w:rPr>
        <w:instrText xml:space="preserve"> ADDIN EN.CITE.DATA </w:instrText>
      </w:r>
      <w:r w:rsidR="00B20A01">
        <w:rPr>
          <w:lang w:val="en-AU"/>
        </w:rPr>
      </w:r>
      <w:r w:rsidR="00B20A01">
        <w:rPr>
          <w:lang w:val="en-AU"/>
        </w:rPr>
        <w:fldChar w:fldCharType="end"/>
      </w:r>
      <w:r w:rsidR="00F877A7" w:rsidRPr="003408A6">
        <w:rPr>
          <w:lang w:val="en-AU"/>
        </w:rPr>
      </w:r>
      <w:r w:rsidR="00F877A7" w:rsidRPr="003408A6">
        <w:rPr>
          <w:lang w:val="en-AU"/>
        </w:rPr>
        <w:fldChar w:fldCharType="separate"/>
      </w:r>
      <w:hyperlink w:anchor="_ENREF_29" w:tooltip="Cooper-Robbins, 2010 #24" w:history="1">
        <w:r w:rsidR="00F27F90" w:rsidRPr="00B20A01">
          <w:rPr>
            <w:noProof/>
            <w:vertAlign w:val="superscript"/>
            <w:lang w:val="en-AU"/>
          </w:rPr>
          <w:t>29</w:t>
        </w:r>
      </w:hyperlink>
      <w:r w:rsidR="00B20A01" w:rsidRPr="00B20A01">
        <w:rPr>
          <w:noProof/>
          <w:vertAlign w:val="superscript"/>
          <w:lang w:val="en-AU"/>
        </w:rPr>
        <w:t>,</w:t>
      </w:r>
      <w:hyperlink w:anchor="_ENREF_35" w:tooltip="Queensland Health Immunisation Program, 2010 #1270" w:history="1">
        <w:r w:rsidR="00F27F90" w:rsidRPr="00B20A01">
          <w:rPr>
            <w:noProof/>
            <w:vertAlign w:val="superscript"/>
            <w:lang w:val="en-AU"/>
          </w:rPr>
          <w:t>35</w:t>
        </w:r>
      </w:hyperlink>
      <w:r w:rsidR="00F877A7" w:rsidRPr="003408A6">
        <w:rPr>
          <w:lang w:val="en-AU"/>
        </w:rPr>
        <w:fldChar w:fldCharType="end"/>
      </w:r>
      <w:r w:rsidRPr="003408A6">
        <w:rPr>
          <w:lang w:val="en-AU"/>
        </w:rPr>
        <w:t xml:space="preserve"> Vaccination setting and managing anxiety among adolescent girls were important issues for immunisation nurses</w:t>
      </w:r>
      <w:r w:rsidR="00413B61" w:rsidRPr="003408A6">
        <w:rPr>
          <w:lang w:val="en-AU"/>
        </w:rPr>
        <w:t>.</w:t>
      </w:r>
      <w:r w:rsidR="00665F2B" w:rsidRPr="003408A6">
        <w:rPr>
          <w:lang w:val="en-AU"/>
        </w:rPr>
        <w:fldChar w:fldCharType="begin">
          <w:fldData xml:space="preserve">PEVuZE5vdGU+PENpdGU+PEF1dGhvcj5Db29wZXItUm9iYmluczwvQXV0aG9yPjxZZWFyPjIwMTA8
L1llYXI+PFJlY051bT4yNDwvUmVjTnVtPjxEaXNwbGF5VGV4dD48c3R5bGUgZmFjZT0ic3VwZXJz
Y3JpcHQiPjI5LDMwPC9zdHlsZT48L0Rpc3BsYXlUZXh0PjxyZWNvcmQ+PHJlYy1udW1iZXI+MjQ8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PC9yZWNvcmQ+PC9DaXRlPjxDaXRlPjxBdXRob3I+S2VudDwvQXV0aG9yPjxZZWFyPjIwMTA8L1ll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</w:fldData>
        </w:fldChar>
      </w:r>
      <w:r w:rsidR="00665F2B" w:rsidRPr="003408A6">
        <w:rPr>
          <w:lang w:val="en-AU"/>
        </w:rPr>
        <w:instrText xml:space="preserve"> ADDIN EN.CITE </w:instrText>
      </w:r>
      <w:r w:rsidR="00665F2B" w:rsidRPr="003408A6">
        <w:rPr>
          <w:lang w:val="en-AU"/>
        </w:rPr>
        <w:fldChar w:fldCharType="begin">
          <w:fldData xml:space="preserve">PEVuZE5vdGU+PENpdGU+PEF1dGhvcj5Db29wZXItUm9iYmluczwvQXV0aG9yPjxZZWFyPjIwMTA8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</w:fldData>
        </w:fldChar>
      </w:r>
      <w:r w:rsidR="00665F2B" w:rsidRPr="003408A6">
        <w:rPr>
          <w:lang w:val="en-AU"/>
        </w:rPr>
        <w:instrText xml:space="preserve"> ADDIN EN.CITE.DATA </w:instrText>
      </w:r>
      <w:r w:rsidR="00665F2B" w:rsidRPr="003408A6">
        <w:rPr>
          <w:lang w:val="en-AU"/>
        </w:rPr>
      </w:r>
      <w:r w:rsidR="00665F2B" w:rsidRPr="003408A6">
        <w:rPr>
          <w:lang w:val="en-AU"/>
        </w:rPr>
        <w:fldChar w:fldCharType="end"/>
      </w:r>
      <w:r w:rsidR="00665F2B" w:rsidRPr="003408A6">
        <w:rPr>
          <w:lang w:val="en-AU"/>
        </w:rPr>
      </w:r>
      <w:r w:rsidR="00665F2B" w:rsidRPr="003408A6">
        <w:rPr>
          <w:lang w:val="en-AU"/>
        </w:rPr>
        <w:fldChar w:fldCharType="separate"/>
      </w:r>
      <w:hyperlink w:anchor="_ENREF_29" w:tooltip="Cooper-Robbins, 2010 #24" w:history="1">
        <w:r w:rsidR="00F27F90" w:rsidRPr="003408A6">
          <w:rPr>
            <w:noProof/>
            <w:vertAlign w:val="superscript"/>
            <w:lang w:val="en-AU"/>
          </w:rPr>
          <w:t>29</w:t>
        </w:r>
      </w:hyperlink>
      <w:r w:rsidR="00665F2B" w:rsidRPr="003408A6">
        <w:rPr>
          <w:noProof/>
          <w:vertAlign w:val="superscript"/>
          <w:lang w:val="en-AU"/>
        </w:rPr>
        <w:t>,</w:t>
      </w:r>
      <w:hyperlink w:anchor="_ENREF_30" w:tooltip="Kent, 2010 #58" w:history="1">
        <w:r w:rsidR="00F27F90" w:rsidRPr="003408A6">
          <w:rPr>
            <w:noProof/>
            <w:vertAlign w:val="superscript"/>
            <w:lang w:val="en-AU"/>
          </w:rPr>
          <w:t>30</w:t>
        </w:r>
      </w:hyperlink>
      <w:r w:rsidR="00665F2B" w:rsidRPr="003408A6">
        <w:rPr>
          <w:lang w:val="en-AU"/>
        </w:rPr>
        <w:fldChar w:fldCharType="end"/>
      </w:r>
      <w:r w:rsidRPr="003408A6">
        <w:rPr>
          <w:lang w:val="en-AU"/>
        </w:rPr>
        <w:t xml:space="preserve"> Effective consent strategies were seen by many stakeholders as central to a successful program</w:t>
      </w:r>
      <w:r w:rsidR="00DE1E25">
        <w:rPr>
          <w:lang w:val="en-AU"/>
        </w:rPr>
        <w:t>.</w:t>
      </w:r>
      <w:r w:rsidRPr="003408A6">
        <w:rPr>
          <w:lang w:val="en-AU"/>
        </w:rPr>
        <w:t xml:space="preserve"> (See </w:t>
      </w:r>
      <w:r w:rsidR="00901C17" w:rsidRPr="003408A6">
        <w:rPr>
          <w:b/>
          <w:lang w:val="en-AU"/>
        </w:rPr>
        <w:t>Table 2.3</w:t>
      </w:r>
      <w:r w:rsidRPr="003408A6">
        <w:rPr>
          <w:lang w:val="en-AU"/>
        </w:rPr>
        <w:t xml:space="preserve"> for more detailed summar</w:t>
      </w:r>
      <w:r w:rsidR="008F2711" w:rsidRPr="003408A6">
        <w:rPr>
          <w:lang w:val="en-AU"/>
        </w:rPr>
        <w:t>ies</w:t>
      </w:r>
      <w:r w:rsidRPr="003408A6">
        <w:rPr>
          <w:lang w:val="en-AU"/>
        </w:rPr>
        <w:t xml:space="preserve"> of published findings</w:t>
      </w:r>
      <w:r w:rsidR="00DE1E25">
        <w:rPr>
          <w:lang w:val="en-AU"/>
        </w:rPr>
        <w:t>.</w:t>
      </w:r>
      <w:r w:rsidRPr="003408A6">
        <w:rPr>
          <w:lang w:val="en-AU"/>
        </w:rPr>
        <w:t>)</w:t>
      </w:r>
    </w:p>
    <w:p w:rsidR="008454B0" w:rsidRPr="003408A6" w:rsidRDefault="00ED44AF" w:rsidP="00BF3F7D">
      <w:pPr>
        <w:pStyle w:val="BodyText"/>
        <w:rPr>
          <w:lang w:val="en-AU"/>
        </w:rPr>
      </w:pPr>
      <w:r w:rsidRPr="003408A6">
        <w:rPr>
          <w:lang w:val="en-AU"/>
        </w:rPr>
        <w:t>T</w:t>
      </w:r>
      <w:r w:rsidR="008454B0" w:rsidRPr="003408A6">
        <w:rPr>
          <w:lang w:val="en-AU"/>
        </w:rPr>
        <w:t xml:space="preserve">here has </w:t>
      </w:r>
      <w:r w:rsidRPr="003408A6">
        <w:rPr>
          <w:lang w:val="en-AU"/>
        </w:rPr>
        <w:t xml:space="preserve">however, </w:t>
      </w:r>
      <w:r w:rsidR="008454B0" w:rsidRPr="003408A6">
        <w:rPr>
          <w:lang w:val="en-AU"/>
        </w:rPr>
        <w:t xml:space="preserve">not been any </w:t>
      </w:r>
      <w:r w:rsidR="00FC6A88" w:rsidRPr="003408A6">
        <w:rPr>
          <w:lang w:val="en-AU"/>
        </w:rPr>
        <w:t xml:space="preserve">published </w:t>
      </w:r>
      <w:r w:rsidR="008454B0" w:rsidRPr="003408A6">
        <w:rPr>
          <w:lang w:val="en-AU"/>
        </w:rPr>
        <w:t xml:space="preserve">Australia-wide process evaluation of the implementation of either the full female program </w:t>
      </w:r>
      <w:r w:rsidR="002E5293" w:rsidRPr="003408A6">
        <w:rPr>
          <w:lang w:val="en-AU"/>
        </w:rPr>
        <w:t xml:space="preserve">or </w:t>
      </w:r>
      <w:r w:rsidR="008454B0" w:rsidRPr="003408A6">
        <w:rPr>
          <w:lang w:val="en-AU"/>
        </w:rPr>
        <w:t>the more recent extension of the program to include adolescent males.</w:t>
      </w:r>
    </w:p>
    <w:p w:rsidR="008454B0" w:rsidRPr="003408A6" w:rsidRDefault="008454B0" w:rsidP="00BF3F7D">
      <w:pPr>
        <w:pStyle w:val="BodyText"/>
        <w:rPr>
          <w:lang w:val="en-AU"/>
        </w:rPr>
      </w:pPr>
      <w:r w:rsidRPr="003408A6">
        <w:rPr>
          <w:lang w:val="en-AU"/>
        </w:rPr>
        <w:t xml:space="preserve">The current </w:t>
      </w:r>
      <w:r w:rsidR="00ED44AF" w:rsidRPr="003408A6">
        <w:rPr>
          <w:lang w:val="en-AU"/>
        </w:rPr>
        <w:t xml:space="preserve">process </w:t>
      </w:r>
      <w:r w:rsidRPr="003408A6">
        <w:rPr>
          <w:lang w:val="en-AU"/>
        </w:rPr>
        <w:t>evaluation takes an Australia-wide approach, focusing on both the male and female stages of the National HPV Vaccination Program.</w:t>
      </w:r>
      <w:r w:rsidR="00A0768C" w:rsidRPr="003408A6">
        <w:rPr>
          <w:lang w:val="en-AU"/>
        </w:rPr>
        <w:t xml:space="preserve"> The relevant stakeholders interviewed for the evaluation are the program managers and service providers responsible for aspects of the delivery of the program.</w:t>
      </w:r>
      <w:r w:rsidRPr="003408A6">
        <w:rPr>
          <w:lang w:val="en-AU"/>
        </w:rPr>
        <w:t xml:space="preserve"> </w:t>
      </w:r>
    </w:p>
    <w:p w:rsidR="008454B0" w:rsidRPr="003408A6" w:rsidRDefault="008454B0" w:rsidP="00BF3F7D">
      <w:pPr>
        <w:pStyle w:val="BodyText"/>
        <w:rPr>
          <w:lang w:val="en-AU"/>
        </w:rPr>
      </w:pPr>
    </w:p>
    <w:p w:rsidR="008454B0" w:rsidRPr="003408A6" w:rsidRDefault="008454B0" w:rsidP="008454B0">
      <w:pPr>
        <w:pStyle w:val="Heading2"/>
        <w:sectPr w:rsidR="008454B0" w:rsidRPr="003408A6" w:rsidSect="00D07C02">
          <w:pgSz w:w="11906" w:h="16838"/>
          <w:pgMar w:top="1440" w:right="1440" w:bottom="1440" w:left="1440" w:header="720" w:footer="720" w:gutter="0"/>
          <w:cols w:space="720"/>
          <w:docGrid w:linePitch="299"/>
        </w:sectPr>
      </w:pPr>
    </w:p>
    <w:p w:rsidR="008454B0" w:rsidRPr="003408A6" w:rsidRDefault="008454B0" w:rsidP="000A2125">
      <w:pPr>
        <w:pStyle w:val="Tableheading"/>
        <w:rPr>
          <w:lang w:val="en-AU"/>
        </w:rPr>
      </w:pPr>
      <w:bookmarkStart w:id="36" w:name="_Toc396475524"/>
      <w:bookmarkStart w:id="37" w:name="_Toc397000752"/>
      <w:r w:rsidRPr="003408A6">
        <w:rPr>
          <w:lang w:val="en-AU"/>
        </w:rPr>
        <w:t>Table 2.3.</w:t>
      </w:r>
      <w:r w:rsidR="00901C17" w:rsidRPr="003408A6">
        <w:rPr>
          <w:lang w:val="en-AU"/>
        </w:rPr>
        <w:tab/>
      </w:r>
      <w:r w:rsidRPr="003408A6">
        <w:rPr>
          <w:lang w:val="en-AU"/>
        </w:rPr>
        <w:t xml:space="preserve">Summary of </w:t>
      </w:r>
      <w:r w:rsidR="00DE56C1" w:rsidRPr="003408A6">
        <w:rPr>
          <w:lang w:val="en-AU"/>
        </w:rPr>
        <w:t>e</w:t>
      </w:r>
      <w:r w:rsidRPr="003408A6">
        <w:rPr>
          <w:lang w:val="en-AU"/>
        </w:rPr>
        <w:t xml:space="preserve">xisting literature on the </w:t>
      </w:r>
      <w:r w:rsidR="00DE56C1" w:rsidRPr="003408A6">
        <w:rPr>
          <w:lang w:val="en-AU"/>
        </w:rPr>
        <w:t>e</w:t>
      </w:r>
      <w:r w:rsidRPr="003408A6">
        <w:rPr>
          <w:lang w:val="en-AU"/>
        </w:rPr>
        <w:t>valuation of HPV vaccination programs</w:t>
      </w:r>
      <w:bookmarkEnd w:id="36"/>
      <w:bookmarkEnd w:id="37"/>
    </w:p>
    <w:tbl>
      <w:tblPr>
        <w:tblW w:w="5000" w:type="pct"/>
        <w:tblLayout w:type="fixed"/>
        <w:tblLook w:val="0000" w:firstRow="0" w:lastRow="0" w:firstColumn="0" w:lastColumn="0" w:noHBand="0" w:noVBand="0"/>
      </w:tblPr>
      <w:tblGrid>
        <w:gridCol w:w="1406"/>
        <w:gridCol w:w="1308"/>
        <w:gridCol w:w="1374"/>
        <w:gridCol w:w="1761"/>
        <w:gridCol w:w="1680"/>
        <w:gridCol w:w="1821"/>
        <w:gridCol w:w="6264"/>
      </w:tblGrid>
      <w:tr w:rsidR="008454B0" w:rsidRPr="003408A6" w:rsidTr="0023448C">
        <w:trPr>
          <w:trHeight w:val="668"/>
          <w:tblHeader/>
        </w:trPr>
        <w:tc>
          <w:tcPr>
            <w:tcW w:w="450"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Authors</w:t>
            </w:r>
          </w:p>
        </w:tc>
        <w:tc>
          <w:tcPr>
            <w:tcW w:w="419"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Source &amp; Year</w:t>
            </w:r>
          </w:p>
        </w:tc>
        <w:tc>
          <w:tcPr>
            <w:tcW w:w="440"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Location</w:t>
            </w:r>
          </w:p>
        </w:tc>
        <w:tc>
          <w:tcPr>
            <w:tcW w:w="564"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 xml:space="preserve">Study </w:t>
            </w:r>
            <w:r w:rsidR="007326C1" w:rsidRPr="003408A6">
              <w:rPr>
                <w:lang w:val="en-AU"/>
              </w:rPr>
              <w:t>d</w:t>
            </w:r>
            <w:r w:rsidRPr="003408A6">
              <w:rPr>
                <w:lang w:val="en-AU"/>
              </w:rPr>
              <w:t>esign</w:t>
            </w:r>
          </w:p>
        </w:tc>
        <w:tc>
          <w:tcPr>
            <w:tcW w:w="538"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Scope</w:t>
            </w:r>
          </w:p>
        </w:tc>
        <w:tc>
          <w:tcPr>
            <w:tcW w:w="583"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Participants</w:t>
            </w:r>
          </w:p>
        </w:tc>
        <w:tc>
          <w:tcPr>
            <w:tcW w:w="2006" w:type="pct"/>
            <w:tcBorders>
              <w:top w:val="single" w:sz="4" w:space="0" w:color="auto"/>
              <w:left w:val="nil"/>
              <w:bottom w:val="single" w:sz="6" w:space="0" w:color="auto"/>
              <w:right w:val="nil"/>
            </w:tcBorders>
          </w:tcPr>
          <w:p w:rsidR="008454B0" w:rsidRPr="003408A6" w:rsidRDefault="008454B0" w:rsidP="00BF3F7D">
            <w:pPr>
              <w:pStyle w:val="Tablecolumnheading"/>
              <w:rPr>
                <w:lang w:val="en-AU"/>
              </w:rPr>
            </w:pPr>
            <w:r w:rsidRPr="003408A6">
              <w:rPr>
                <w:lang w:val="en-AU"/>
              </w:rPr>
              <w:t>Results</w:t>
            </w:r>
          </w:p>
        </w:tc>
      </w:tr>
      <w:tr w:rsidR="008454B0" w:rsidRPr="003408A6" w:rsidTr="0023448C">
        <w:trPr>
          <w:trHeight w:val="2613"/>
        </w:trPr>
        <w:tc>
          <w:tcPr>
            <w:tcW w:w="450" w:type="pct"/>
            <w:tcBorders>
              <w:top w:val="single" w:sz="6" w:space="0" w:color="auto"/>
              <w:left w:val="nil"/>
              <w:bottom w:val="single" w:sz="6" w:space="0" w:color="auto"/>
              <w:right w:val="nil"/>
            </w:tcBorders>
          </w:tcPr>
          <w:p w:rsidR="008454B0" w:rsidRPr="003408A6" w:rsidRDefault="008454B0" w:rsidP="00F27F90">
            <w:pPr>
              <w:pStyle w:val="Tabletext"/>
              <w:rPr>
                <w:lang w:val="en-AU"/>
              </w:rPr>
            </w:pPr>
            <w:r w:rsidRPr="003408A6">
              <w:rPr>
                <w:lang w:val="en-AU"/>
              </w:rPr>
              <w:t>Leask J, et al.</w:t>
            </w:r>
            <w:hyperlink w:anchor="_ENREF_28" w:tooltip="Leask, 2009 #672" w:history="1">
              <w:r w:rsidR="00F27F90" w:rsidRPr="003408A6">
                <w:rPr>
                  <w:lang w:val="en-AU"/>
                </w:rPr>
                <w:fldChar w:fldCharType="begin">
                  <w:fldData xml:space="preserve">PEVuZE5vdGU+PENpdGU+PEF1dGhvcj5MZWFzazwvQXV0aG9yPjxZZWFyPjIwMDk8L1llYXI+PFJl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PEVuZE5vdGU+PENpdGU+PEF1dGhvcj5MZWFzazwvQXV0aG9yPjxZZWFyPjIwMDk8L1llYXI+PFJl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28</w:t>
              </w:r>
              <w:r w:rsidR="00F27F90" w:rsidRPr="003408A6">
                <w:rPr>
                  <w:lang w:val="en-AU"/>
                </w:rPr>
                <w:fldChar w:fldCharType="end"/>
              </w:r>
            </w:hyperlink>
          </w:p>
        </w:tc>
        <w:tc>
          <w:tcPr>
            <w:tcW w:w="419"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Vaccine 2009</w:t>
            </w:r>
          </w:p>
        </w:tc>
        <w:tc>
          <w:tcPr>
            <w:tcW w:w="440"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Australia</w:t>
            </w:r>
          </w:p>
        </w:tc>
        <w:tc>
          <w:tcPr>
            <w:tcW w:w="564"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Qualitative interviews with key informants including immunisation program managers, coordinators and providers</w:t>
            </w:r>
          </w:p>
        </w:tc>
        <w:tc>
          <w:tcPr>
            <w:tcW w:w="538"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Community catch-up for women aged 18</w:t>
            </w:r>
            <w:r w:rsidR="007326C1" w:rsidRPr="003408A6">
              <w:rPr>
                <w:lang w:val="en-AU"/>
              </w:rPr>
              <w:t>–</w:t>
            </w:r>
            <w:r w:rsidRPr="003408A6">
              <w:rPr>
                <w:lang w:val="en-AU"/>
              </w:rPr>
              <w:t>26 years</w:t>
            </w:r>
          </w:p>
        </w:tc>
        <w:tc>
          <w:tcPr>
            <w:tcW w:w="583" w:type="pct"/>
            <w:tcBorders>
              <w:top w:val="single" w:sz="6" w:space="0" w:color="auto"/>
              <w:left w:val="nil"/>
              <w:bottom w:val="single" w:sz="6" w:space="0" w:color="auto"/>
              <w:right w:val="nil"/>
            </w:tcBorders>
          </w:tcPr>
          <w:p w:rsidR="008454B0" w:rsidRPr="003408A6" w:rsidRDefault="007326C1" w:rsidP="00BF3F7D">
            <w:pPr>
              <w:pStyle w:val="Tabletext"/>
              <w:rPr>
                <w:lang w:val="en-AU"/>
              </w:rPr>
            </w:pPr>
            <w:r w:rsidRPr="003408A6">
              <w:rPr>
                <w:lang w:val="en-AU"/>
              </w:rPr>
              <w:t>State/territory immunisation p</w:t>
            </w:r>
            <w:r w:rsidR="008454B0" w:rsidRPr="003408A6">
              <w:rPr>
                <w:lang w:val="en-AU"/>
              </w:rPr>
              <w:t xml:space="preserve">rogram managers, program coordinators from Divisions of </w:t>
            </w:r>
            <w:r w:rsidR="000149CA" w:rsidRPr="003408A6">
              <w:rPr>
                <w:lang w:val="en-AU"/>
              </w:rPr>
              <w:t>G</w:t>
            </w:r>
            <w:r w:rsidR="008454B0" w:rsidRPr="003408A6">
              <w:rPr>
                <w:lang w:val="en-AU"/>
              </w:rPr>
              <w:t xml:space="preserve">eneral </w:t>
            </w:r>
            <w:r w:rsidR="000149CA" w:rsidRPr="003408A6">
              <w:rPr>
                <w:lang w:val="en-AU"/>
              </w:rPr>
              <w:t>P</w:t>
            </w:r>
            <w:r w:rsidR="008454B0" w:rsidRPr="003408A6">
              <w:rPr>
                <w:lang w:val="en-AU"/>
              </w:rPr>
              <w:t xml:space="preserve">ractice, general practitioners, practice nurses, Aboriginal health workers, </w:t>
            </w:r>
          </w:p>
          <w:p w:rsidR="008454B0" w:rsidRPr="003408A6" w:rsidRDefault="008454B0" w:rsidP="00BF3F7D">
            <w:pPr>
              <w:pStyle w:val="Tabletext"/>
              <w:rPr>
                <w:lang w:val="en-AU"/>
              </w:rPr>
            </w:pPr>
            <w:r w:rsidRPr="003408A6">
              <w:rPr>
                <w:lang w:val="en-AU"/>
              </w:rPr>
              <w:t>(n=24)</w:t>
            </w:r>
          </w:p>
        </w:tc>
        <w:tc>
          <w:tcPr>
            <w:tcW w:w="2006"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Participants were positive about the vaccine and the program and perceived that the catch</w:t>
            </w:r>
            <w:r w:rsidR="0043033C" w:rsidRPr="003408A6">
              <w:rPr>
                <w:lang w:val="en-AU"/>
              </w:rPr>
              <w:t>-</w:t>
            </w:r>
            <w:r w:rsidRPr="003408A6">
              <w:rPr>
                <w:lang w:val="en-AU"/>
              </w:rPr>
              <w:t xml:space="preserve">up program was generally well accepted by young women and the community. Concerns with program implementation included short timing of rollout, political imperatives </w:t>
            </w:r>
            <w:r w:rsidR="00B975BC" w:rsidRPr="003408A6">
              <w:rPr>
                <w:lang w:val="en-AU"/>
              </w:rPr>
              <w:t xml:space="preserve">driving implementation </w:t>
            </w:r>
            <w:r w:rsidRPr="003408A6">
              <w:rPr>
                <w:lang w:val="en-AU"/>
              </w:rPr>
              <w:t xml:space="preserve">and the cost to public funds. Early information resources were provided by </w:t>
            </w:r>
            <w:r w:rsidR="00B975BC" w:rsidRPr="003408A6">
              <w:rPr>
                <w:lang w:val="en-AU"/>
              </w:rPr>
              <w:t xml:space="preserve">the </w:t>
            </w:r>
            <w:r w:rsidRPr="003408A6">
              <w:rPr>
                <w:lang w:val="en-AU"/>
              </w:rPr>
              <w:t xml:space="preserve">vaccine supplier. Implementation was seen as successful and fitted into existing general practice systems, though uptake by young women was not optimal. Inter-sectoral links were strengthened as a result of the program although segregation between private and public providers was evident. </w:t>
            </w:r>
          </w:p>
        </w:tc>
      </w:tr>
      <w:tr w:rsidR="008454B0" w:rsidRPr="003408A6" w:rsidTr="0023448C">
        <w:trPr>
          <w:trHeight w:val="1548"/>
        </w:trPr>
        <w:tc>
          <w:tcPr>
            <w:tcW w:w="450" w:type="pct"/>
            <w:tcBorders>
              <w:top w:val="single" w:sz="6" w:space="0" w:color="auto"/>
              <w:left w:val="nil"/>
              <w:bottom w:val="single" w:sz="4" w:space="0" w:color="auto"/>
              <w:right w:val="nil"/>
            </w:tcBorders>
          </w:tcPr>
          <w:p w:rsidR="008454B0" w:rsidRPr="003408A6" w:rsidRDefault="008454B0" w:rsidP="00F27F90">
            <w:pPr>
              <w:pStyle w:val="Tabletext"/>
              <w:rPr>
                <w:lang w:val="en-AU"/>
              </w:rPr>
            </w:pPr>
            <w:r w:rsidRPr="003408A6">
              <w:rPr>
                <w:lang w:val="en-AU"/>
              </w:rPr>
              <w:t>Brotherton JM, et al.</w:t>
            </w:r>
            <w:hyperlink w:anchor="_ENREF_27" w:tooltip="Brotherton, 2010 #17" w:history="1">
              <w:r w:rsidR="00F27F90" w:rsidRPr="003408A6">
                <w:rPr>
                  <w:lang w:val="en-AU"/>
                </w:rPr>
                <w:fldChar w:fldCharType="begin">
                  <w:fldData xml:space="preserve">PEVuZE5vdGU+PENpdGU+PEF1dGhvcj5Ccm90aGVydG9uPC9BdXRob3I+PFllYXI+MjAxMDwvWWVh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=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PEVuZE5vdGU+PENpdGU+PEF1dGhvcj5Ccm90aGVydG9uPC9BdXRob3I+PFllYXI+MjAxMDwvWWVh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=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27</w:t>
              </w:r>
              <w:r w:rsidR="00F27F90" w:rsidRPr="003408A6">
                <w:rPr>
                  <w:lang w:val="en-AU"/>
                </w:rPr>
                <w:fldChar w:fldCharType="end"/>
              </w:r>
            </w:hyperlink>
          </w:p>
        </w:tc>
        <w:tc>
          <w:tcPr>
            <w:tcW w:w="419"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Sexual Health 2010</w:t>
            </w:r>
          </w:p>
        </w:tc>
        <w:tc>
          <w:tcPr>
            <w:tcW w:w="440"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Australia</w:t>
            </w:r>
          </w:p>
        </w:tc>
        <w:tc>
          <w:tcPr>
            <w:tcW w:w="564"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National survey of general practitioners on their experiences in delivering the community catch</w:t>
            </w:r>
            <w:r w:rsidR="0043033C" w:rsidRPr="003408A6">
              <w:rPr>
                <w:lang w:val="en-AU"/>
              </w:rPr>
              <w:t>-</w:t>
            </w:r>
            <w:r w:rsidRPr="003408A6">
              <w:rPr>
                <w:lang w:val="en-AU"/>
              </w:rPr>
              <w:t>up program</w:t>
            </w:r>
          </w:p>
        </w:tc>
        <w:tc>
          <w:tcPr>
            <w:tcW w:w="538"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Community catch-up for women aged 18</w:t>
            </w:r>
            <w:r w:rsidR="007326C1" w:rsidRPr="003408A6">
              <w:rPr>
                <w:lang w:val="en-AU"/>
              </w:rPr>
              <w:t>–</w:t>
            </w:r>
            <w:r w:rsidRPr="003408A6">
              <w:rPr>
                <w:lang w:val="en-AU"/>
              </w:rPr>
              <w:t>26 years</w:t>
            </w:r>
          </w:p>
        </w:tc>
        <w:tc>
          <w:tcPr>
            <w:tcW w:w="583"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GP providers</w:t>
            </w:r>
          </w:p>
          <w:p w:rsidR="008454B0" w:rsidRPr="003408A6" w:rsidRDefault="008454B0" w:rsidP="00BF3F7D">
            <w:pPr>
              <w:pStyle w:val="Tabletext"/>
              <w:rPr>
                <w:lang w:val="en-AU"/>
              </w:rPr>
            </w:pPr>
            <w:r w:rsidRPr="003408A6">
              <w:rPr>
                <w:lang w:val="en-AU"/>
              </w:rPr>
              <w:t>(n=320)</w:t>
            </w:r>
          </w:p>
        </w:tc>
        <w:tc>
          <w:tcPr>
            <w:tcW w:w="2006"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 xml:space="preserve">GP participants were positive about their role as vaccine providers. The program was easily incorporated into existing systems. </w:t>
            </w:r>
          </w:p>
          <w:p w:rsidR="008454B0" w:rsidRPr="003408A6" w:rsidRDefault="008454B0" w:rsidP="00BF3F7D">
            <w:pPr>
              <w:pStyle w:val="Tabletext"/>
              <w:rPr>
                <w:lang w:val="en-AU"/>
              </w:rPr>
            </w:pPr>
            <w:r w:rsidRPr="003408A6">
              <w:rPr>
                <w:lang w:val="en-AU"/>
              </w:rPr>
              <w:t>GPs thought that the program would have positive health benefits for Australia.</w:t>
            </w:r>
          </w:p>
          <w:p w:rsidR="008454B0" w:rsidRPr="003408A6" w:rsidRDefault="008454B0" w:rsidP="00BF3F7D">
            <w:pPr>
              <w:pStyle w:val="Tabletext"/>
              <w:rPr>
                <w:lang w:val="en-AU"/>
              </w:rPr>
            </w:pPr>
            <w:r w:rsidRPr="003408A6">
              <w:rPr>
                <w:lang w:val="en-AU"/>
              </w:rPr>
              <w:t xml:space="preserve">The majority (57%) agreed that uptake </w:t>
            </w:r>
            <w:r w:rsidR="007326C1" w:rsidRPr="003408A6">
              <w:rPr>
                <w:lang w:val="en-AU"/>
              </w:rPr>
              <w:t xml:space="preserve">of </w:t>
            </w:r>
            <w:r w:rsidRPr="003408A6">
              <w:rPr>
                <w:lang w:val="en-AU"/>
              </w:rPr>
              <w:t xml:space="preserve">the vaccine for women would have </w:t>
            </w:r>
            <w:r w:rsidR="007326C1" w:rsidRPr="003408A6">
              <w:rPr>
                <w:lang w:val="en-AU"/>
              </w:rPr>
              <w:t xml:space="preserve">been </w:t>
            </w:r>
            <w:r w:rsidRPr="003408A6">
              <w:rPr>
                <w:lang w:val="en-AU"/>
              </w:rPr>
              <w:t>better if the community catch-up had started at the same time as the school-based program.</w:t>
            </w:r>
          </w:p>
          <w:p w:rsidR="00B975BC" w:rsidRPr="003408A6" w:rsidRDefault="008454B0" w:rsidP="00BF3F7D">
            <w:pPr>
              <w:pStyle w:val="Tabletext"/>
              <w:rPr>
                <w:lang w:val="en-AU"/>
              </w:rPr>
            </w:pPr>
            <w:r w:rsidRPr="003408A6">
              <w:rPr>
                <w:lang w:val="en-AU"/>
              </w:rPr>
              <w:t>A large minority of GPs expressed concern about the late set</w:t>
            </w:r>
            <w:r w:rsidR="007326C1" w:rsidRPr="003408A6">
              <w:rPr>
                <w:lang w:val="en-AU"/>
              </w:rPr>
              <w:t>-</w:t>
            </w:r>
            <w:r w:rsidRPr="003408A6">
              <w:rPr>
                <w:lang w:val="en-AU"/>
              </w:rPr>
              <w:t xml:space="preserve">up of the </w:t>
            </w:r>
            <w:r w:rsidR="0083757A" w:rsidRPr="003408A6">
              <w:rPr>
                <w:lang w:val="en-AU"/>
              </w:rPr>
              <w:t>NHVPR</w:t>
            </w:r>
            <w:r w:rsidRPr="003408A6">
              <w:rPr>
                <w:lang w:val="en-AU"/>
              </w:rPr>
              <w:t xml:space="preserve"> (41%) and </w:t>
            </w:r>
            <w:r w:rsidR="00B975BC" w:rsidRPr="003408A6">
              <w:rPr>
                <w:lang w:val="en-AU"/>
              </w:rPr>
              <w:t xml:space="preserve">30 % felt confused by </w:t>
            </w:r>
            <w:r w:rsidRPr="003408A6">
              <w:rPr>
                <w:lang w:val="en-AU"/>
              </w:rPr>
              <w:t xml:space="preserve">changes to eligibility for </w:t>
            </w:r>
            <w:r w:rsidR="00B975BC" w:rsidRPr="003408A6">
              <w:rPr>
                <w:lang w:val="en-AU"/>
              </w:rPr>
              <w:t xml:space="preserve">young </w:t>
            </w:r>
            <w:r w:rsidRPr="003408A6">
              <w:rPr>
                <w:lang w:val="en-AU"/>
              </w:rPr>
              <w:t xml:space="preserve">women </w:t>
            </w:r>
            <w:r w:rsidR="00B975BC" w:rsidRPr="003408A6">
              <w:rPr>
                <w:lang w:val="en-AU"/>
              </w:rPr>
              <w:t>aged 27 years</w:t>
            </w:r>
            <w:r w:rsidRPr="003408A6">
              <w:rPr>
                <w:lang w:val="en-AU"/>
              </w:rPr>
              <w:t xml:space="preserve">. The </w:t>
            </w:r>
            <w:r w:rsidR="00B975BC" w:rsidRPr="003408A6">
              <w:rPr>
                <w:lang w:val="en-AU"/>
              </w:rPr>
              <w:t xml:space="preserve">$6 </w:t>
            </w:r>
            <w:r w:rsidRPr="003408A6">
              <w:rPr>
                <w:lang w:val="en-AU"/>
              </w:rPr>
              <w:t xml:space="preserve">incentive payment </w:t>
            </w:r>
            <w:r w:rsidR="00B975BC" w:rsidRPr="003408A6">
              <w:rPr>
                <w:lang w:val="en-AU"/>
              </w:rPr>
              <w:t xml:space="preserve">for vaccine notification </w:t>
            </w:r>
            <w:r w:rsidRPr="003408A6">
              <w:rPr>
                <w:lang w:val="en-AU"/>
              </w:rPr>
              <w:t xml:space="preserve">was considered important by </w:t>
            </w:r>
            <w:r w:rsidR="00B975BC" w:rsidRPr="003408A6">
              <w:rPr>
                <w:lang w:val="en-AU"/>
              </w:rPr>
              <w:t>44</w:t>
            </w:r>
            <w:r w:rsidRPr="003408A6">
              <w:rPr>
                <w:lang w:val="en-AU"/>
              </w:rPr>
              <w:t>% of GPs.</w:t>
            </w:r>
          </w:p>
        </w:tc>
      </w:tr>
      <w:tr w:rsidR="008454B0" w:rsidRPr="003408A6" w:rsidTr="0023448C">
        <w:trPr>
          <w:trHeight w:val="3288"/>
        </w:trPr>
        <w:tc>
          <w:tcPr>
            <w:tcW w:w="450" w:type="pct"/>
            <w:tcBorders>
              <w:top w:val="single" w:sz="4" w:space="0" w:color="auto"/>
              <w:left w:val="nil"/>
              <w:bottom w:val="single" w:sz="4" w:space="0" w:color="auto"/>
              <w:right w:val="nil"/>
            </w:tcBorders>
          </w:tcPr>
          <w:p w:rsidR="008454B0" w:rsidRPr="003408A6" w:rsidRDefault="008454B0" w:rsidP="00F27F90">
            <w:pPr>
              <w:pStyle w:val="Tabletext"/>
              <w:rPr>
                <w:lang w:val="en-AU"/>
              </w:rPr>
            </w:pPr>
            <w:r w:rsidRPr="003408A6">
              <w:rPr>
                <w:lang w:val="en-AU"/>
              </w:rPr>
              <w:t>Cooper-Robbins SC</w:t>
            </w:r>
            <w:r w:rsidR="00413B61" w:rsidRPr="003408A6">
              <w:rPr>
                <w:lang w:val="en-AU"/>
              </w:rPr>
              <w:t>,</w:t>
            </w:r>
            <w:r w:rsidRPr="003408A6">
              <w:rPr>
                <w:lang w:val="en-AU"/>
              </w:rPr>
              <w:t xml:space="preserve"> et al.</w:t>
            </w:r>
            <w:hyperlink w:anchor="_ENREF_33" w:tooltip="Cooper-Robbins, 2010 #25" w:history="1">
              <w:r w:rsidR="00F27F90" w:rsidRPr="003408A6">
                <w:rPr>
                  <w:lang w:val="en-AU"/>
                </w:rPr>
                <w:fldChar w:fldCharType="begin">
                  <w:fldData xml:space="preserve">PEVuZE5vdGU+PENpdGU+PEF1dGhvcj5Db29wZXItUm9iYmluczwvQXV0aG9yPjxZZWFyPjIwMTA8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cmlvZGljYWw+PHBhZ2VzPjMzOTgtNDA4PC9wYWdlcz48dm9sdW1lPjI4PC92b2x1bWU+PG51bWJl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F27F90">
                <w:rPr>
                  <w:lang w:val="en-AU"/>
                </w:rPr>
                <w:instrText xml:space="preserve"> ADDIN EN.CITE </w:instrText>
              </w:r>
              <w:r w:rsidR="00F27F90">
                <w:rPr>
                  <w:lang w:val="en-AU"/>
                </w:rPr>
                <w:fldChar w:fldCharType="begin">
                  <w:fldData xml:space="preserve">PEVuZE5vdGU+PENpdGU+PEF1dGhvcj5Db29wZXItUm9iYmluczwvQXV0aG9yPjxZZWFyPjIwMTA8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cmlvZGljYWw+PHBhZ2VzPjMzOTgtNDA4PC9wYWdlcz48dm9sdW1lPjI4PC92b2x1bWU+PG51bWJl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B20A01">
                <w:rPr>
                  <w:noProof/>
                  <w:vertAlign w:val="superscript"/>
                  <w:lang w:val="en-AU"/>
                </w:rPr>
                <w:t>33</w:t>
              </w:r>
              <w:r w:rsidR="00F27F90" w:rsidRPr="003408A6">
                <w:rPr>
                  <w:lang w:val="en-AU"/>
                </w:rPr>
                <w:fldChar w:fldCharType="end"/>
              </w:r>
            </w:hyperlink>
          </w:p>
        </w:tc>
        <w:tc>
          <w:tcPr>
            <w:tcW w:w="419" w:type="pct"/>
            <w:tcBorders>
              <w:top w:val="single" w:sz="4"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Vaccine 2010</w:t>
            </w:r>
          </w:p>
        </w:tc>
        <w:tc>
          <w:tcPr>
            <w:tcW w:w="440" w:type="pct"/>
            <w:tcBorders>
              <w:top w:val="single" w:sz="4" w:space="0" w:color="auto"/>
              <w:left w:val="nil"/>
              <w:bottom w:val="single" w:sz="4" w:space="0" w:color="auto"/>
              <w:right w:val="nil"/>
            </w:tcBorders>
          </w:tcPr>
          <w:p w:rsidR="008454B0" w:rsidRPr="003408A6" w:rsidRDefault="00DE1E25" w:rsidP="00BF3F7D">
            <w:pPr>
              <w:pStyle w:val="Tabletext"/>
              <w:rPr>
                <w:lang w:val="en-AU"/>
              </w:rPr>
            </w:pPr>
            <w:r>
              <w:rPr>
                <w:lang w:val="en-AU"/>
              </w:rPr>
              <w:t>New South Wales</w:t>
            </w:r>
          </w:p>
        </w:tc>
        <w:tc>
          <w:tcPr>
            <w:tcW w:w="564" w:type="pct"/>
            <w:tcBorders>
              <w:top w:val="single" w:sz="4"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Explore knowledge about HPV and HPV vaccination in 12–13</w:t>
            </w:r>
            <w:r w:rsidR="001A6B5E" w:rsidRPr="003408A6">
              <w:rPr>
                <w:lang w:val="en-AU"/>
              </w:rPr>
              <w:t>-</w:t>
            </w:r>
            <w:r w:rsidRPr="003408A6">
              <w:rPr>
                <w:lang w:val="en-AU"/>
              </w:rPr>
              <w:t>year</w:t>
            </w:r>
            <w:r w:rsidR="001A6B5E" w:rsidRPr="003408A6">
              <w:rPr>
                <w:lang w:val="en-AU"/>
              </w:rPr>
              <w:t>-</w:t>
            </w:r>
            <w:r w:rsidRPr="003408A6">
              <w:rPr>
                <w:lang w:val="en-AU"/>
              </w:rPr>
              <w:t>old girls post</w:t>
            </w:r>
            <w:r w:rsidR="001A6B5E" w:rsidRPr="003408A6">
              <w:rPr>
                <w:lang w:val="en-AU"/>
              </w:rPr>
              <w:t xml:space="preserve"> </w:t>
            </w:r>
            <w:r w:rsidRPr="003408A6">
              <w:rPr>
                <w:lang w:val="en-AU"/>
              </w:rPr>
              <w:t>program implementation</w:t>
            </w:r>
          </w:p>
          <w:p w:rsidR="008454B0" w:rsidRPr="003408A6" w:rsidRDefault="008454B0" w:rsidP="00BF3F7D">
            <w:pPr>
              <w:pStyle w:val="Tabletext"/>
              <w:rPr>
                <w:lang w:val="en-AU"/>
              </w:rPr>
            </w:pPr>
            <w:r w:rsidRPr="003408A6">
              <w:rPr>
                <w:lang w:val="en-AU"/>
              </w:rPr>
              <w:t xml:space="preserve">Semi-structured focus groups and interviews conducted with adolescent girls and their parents </w:t>
            </w:r>
          </w:p>
        </w:tc>
        <w:tc>
          <w:tcPr>
            <w:tcW w:w="538" w:type="pct"/>
            <w:tcBorders>
              <w:top w:val="single" w:sz="4"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School-based program for adolescent females aged 12</w:t>
            </w:r>
            <w:r w:rsidR="001A6B5E" w:rsidRPr="003408A6">
              <w:rPr>
                <w:lang w:val="en-AU"/>
              </w:rPr>
              <w:t>–</w:t>
            </w:r>
            <w:r w:rsidRPr="003408A6">
              <w:rPr>
                <w:lang w:val="en-AU"/>
              </w:rPr>
              <w:t>13 years and school-based catch-up for females aged 13</w:t>
            </w:r>
            <w:r w:rsidR="001A6B5E" w:rsidRPr="003408A6">
              <w:rPr>
                <w:lang w:val="en-AU"/>
              </w:rPr>
              <w:t>–</w:t>
            </w:r>
            <w:r w:rsidRPr="003408A6">
              <w:rPr>
                <w:lang w:val="en-AU"/>
              </w:rPr>
              <w:t>18 years</w:t>
            </w:r>
            <w:r w:rsidR="0054064F" w:rsidRPr="003408A6">
              <w:rPr>
                <w:lang w:val="en-AU"/>
              </w:rPr>
              <w:t xml:space="preserve"> for</w:t>
            </w:r>
            <w:r w:rsidRPr="003408A6">
              <w:rPr>
                <w:lang w:val="en-AU"/>
              </w:rPr>
              <w:t xml:space="preserve"> </w:t>
            </w:r>
            <w:r w:rsidR="0054064F" w:rsidRPr="003408A6">
              <w:rPr>
                <w:lang w:val="en-AU"/>
              </w:rPr>
              <w:t>HPV vaccination program</w:t>
            </w:r>
          </w:p>
        </w:tc>
        <w:tc>
          <w:tcPr>
            <w:tcW w:w="583" w:type="pct"/>
            <w:tcBorders>
              <w:top w:val="single" w:sz="4"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Parents and girls</w:t>
            </w:r>
          </w:p>
        </w:tc>
        <w:tc>
          <w:tcPr>
            <w:tcW w:w="2006" w:type="pct"/>
            <w:tcBorders>
              <w:top w:val="single" w:sz="4"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Parents and girls had low levels of knowledge about HPV and expressed desire for more information and preferences for how that information should be provided.</w:t>
            </w:r>
            <w:r w:rsidR="00394DDE" w:rsidRPr="003408A6">
              <w:rPr>
                <w:lang w:val="en-AU"/>
              </w:rPr>
              <w:t xml:space="preserve"> </w:t>
            </w:r>
            <w:r w:rsidRPr="003408A6">
              <w:rPr>
                <w:lang w:val="en-AU"/>
              </w:rPr>
              <w:t xml:space="preserve">Lack of available information for girls contributed to confusion and low levels of knowledge.  </w:t>
            </w:r>
          </w:p>
          <w:p w:rsidR="008454B0" w:rsidRPr="003408A6" w:rsidRDefault="004E02CF" w:rsidP="00BF3F7D">
            <w:pPr>
              <w:pStyle w:val="Tabletext"/>
              <w:rPr>
                <w:lang w:val="en-AU"/>
              </w:rPr>
            </w:pPr>
            <w:r w:rsidRPr="003408A6">
              <w:rPr>
                <w:lang w:val="en-AU"/>
              </w:rPr>
              <w:t>Since c</w:t>
            </w:r>
            <w:r w:rsidR="008454B0" w:rsidRPr="003408A6">
              <w:rPr>
                <w:lang w:val="en-AU"/>
              </w:rPr>
              <w:t>onsent</w:t>
            </w:r>
            <w:r w:rsidRPr="003408A6">
              <w:rPr>
                <w:lang w:val="en-AU"/>
              </w:rPr>
              <w:t xml:space="preserve"> was</w:t>
            </w:r>
            <w:r w:rsidR="008454B0" w:rsidRPr="003408A6">
              <w:rPr>
                <w:lang w:val="en-AU"/>
              </w:rPr>
              <w:t xml:space="preserve"> only required from parents </w:t>
            </w:r>
            <w:r w:rsidRPr="003408A6">
              <w:rPr>
                <w:lang w:val="en-AU"/>
              </w:rPr>
              <w:t xml:space="preserve">this </w:t>
            </w:r>
            <w:r w:rsidR="008454B0" w:rsidRPr="003408A6">
              <w:rPr>
                <w:lang w:val="en-AU"/>
              </w:rPr>
              <w:t xml:space="preserve">also contributed to </w:t>
            </w:r>
            <w:r w:rsidRPr="003408A6">
              <w:rPr>
                <w:lang w:val="en-AU"/>
              </w:rPr>
              <w:t xml:space="preserve">a </w:t>
            </w:r>
            <w:r w:rsidR="008454B0" w:rsidRPr="003408A6">
              <w:rPr>
                <w:lang w:val="en-AU"/>
              </w:rPr>
              <w:t>lack of knowledge among girls.</w:t>
            </w:r>
          </w:p>
          <w:p w:rsidR="00394DDE" w:rsidRPr="003408A6" w:rsidRDefault="00ED23F8" w:rsidP="00BF3F7D">
            <w:pPr>
              <w:pStyle w:val="Tabletext"/>
              <w:rPr>
                <w:lang w:val="en-AU"/>
              </w:rPr>
            </w:pPr>
            <w:r w:rsidRPr="003408A6">
              <w:rPr>
                <w:lang w:val="en-AU"/>
              </w:rPr>
              <w:t>G</w:t>
            </w:r>
            <w:r w:rsidR="00394DDE" w:rsidRPr="003408A6">
              <w:rPr>
                <w:lang w:val="en-AU"/>
              </w:rPr>
              <w:t xml:space="preserve">irls </w:t>
            </w:r>
            <w:r w:rsidRPr="003408A6">
              <w:rPr>
                <w:lang w:val="en-AU"/>
              </w:rPr>
              <w:t xml:space="preserve">in Year 7 </w:t>
            </w:r>
            <w:r w:rsidR="00394DDE" w:rsidRPr="003408A6">
              <w:rPr>
                <w:lang w:val="en-AU"/>
              </w:rPr>
              <w:t>expressed a need for age</w:t>
            </w:r>
            <w:r w:rsidR="00DE1E25">
              <w:rPr>
                <w:lang w:val="en-AU"/>
              </w:rPr>
              <w:t>-</w:t>
            </w:r>
            <w:r w:rsidR="00394DDE" w:rsidRPr="003408A6">
              <w:rPr>
                <w:lang w:val="en-AU"/>
              </w:rPr>
              <w:t>appropriate information and more information in class so they could be better informed before receiving the vaccine.</w:t>
            </w:r>
          </w:p>
          <w:p w:rsidR="008454B0" w:rsidRPr="003408A6" w:rsidRDefault="008454B0" w:rsidP="00DE1E25">
            <w:pPr>
              <w:pStyle w:val="Tabletext"/>
              <w:rPr>
                <w:lang w:val="en-AU"/>
              </w:rPr>
            </w:pPr>
            <w:r w:rsidRPr="003408A6">
              <w:rPr>
                <w:lang w:val="en-AU"/>
              </w:rPr>
              <w:t xml:space="preserve">Accurate information and high levels of knowledge </w:t>
            </w:r>
            <w:r w:rsidR="00DE1E25">
              <w:rPr>
                <w:lang w:val="en-AU"/>
              </w:rPr>
              <w:t>are</w:t>
            </w:r>
            <w:r w:rsidR="004E02CF" w:rsidRPr="003408A6">
              <w:rPr>
                <w:lang w:val="en-AU"/>
              </w:rPr>
              <w:t xml:space="preserve"> </w:t>
            </w:r>
            <w:r w:rsidRPr="003408A6">
              <w:rPr>
                <w:lang w:val="en-AU"/>
              </w:rPr>
              <w:t xml:space="preserve">crucial for safe sexual health behaviours and </w:t>
            </w:r>
            <w:r w:rsidR="004E02CF" w:rsidRPr="003408A6">
              <w:rPr>
                <w:lang w:val="en-AU"/>
              </w:rPr>
              <w:t xml:space="preserve">uptake of </w:t>
            </w:r>
            <w:r w:rsidRPr="003408A6">
              <w:rPr>
                <w:lang w:val="en-AU"/>
              </w:rPr>
              <w:t>screening for cervical cancer.</w:t>
            </w:r>
          </w:p>
        </w:tc>
      </w:tr>
      <w:tr w:rsidR="008454B0" w:rsidRPr="003408A6" w:rsidTr="0023448C">
        <w:trPr>
          <w:trHeight w:val="1372"/>
        </w:trPr>
        <w:tc>
          <w:tcPr>
            <w:tcW w:w="450" w:type="pct"/>
            <w:tcBorders>
              <w:top w:val="single" w:sz="4" w:space="0" w:color="auto"/>
              <w:left w:val="nil"/>
              <w:bottom w:val="single" w:sz="6" w:space="0" w:color="auto"/>
              <w:right w:val="nil"/>
            </w:tcBorders>
          </w:tcPr>
          <w:p w:rsidR="008454B0" w:rsidRPr="003408A6" w:rsidRDefault="008454B0" w:rsidP="00F27F90">
            <w:pPr>
              <w:pStyle w:val="Tabletext"/>
              <w:rPr>
                <w:lang w:val="en-AU"/>
              </w:rPr>
            </w:pPr>
            <w:r w:rsidRPr="003408A6">
              <w:rPr>
                <w:lang w:val="en-AU"/>
              </w:rPr>
              <w:t>Reeve C</w:t>
            </w:r>
            <w:r w:rsidR="009B450C" w:rsidRPr="003408A6">
              <w:rPr>
                <w:lang w:val="en-AU"/>
              </w:rPr>
              <w:t>,</w:t>
            </w:r>
            <w:r w:rsidRPr="003408A6">
              <w:rPr>
                <w:lang w:val="en-AU"/>
              </w:rPr>
              <w:t xml:space="preserve"> et al.</w:t>
            </w:r>
            <w:hyperlink w:anchor="_ENREF_31" w:tooltip="Reeve, 2008 #901" w:history="1">
              <w:r w:rsidR="00F27F90" w:rsidRPr="003408A6">
                <w:rPr>
                  <w:lang w:val="en-AU"/>
                </w:rPr>
                <w:fldChar w:fldCharType="begin"/>
              </w:r>
              <w:r w:rsidR="00F27F90" w:rsidRPr="003408A6">
                <w:rPr>
                  <w:lang w:val="en-AU"/>
                </w:rPr>
                <w:instrText xml:space="preserve"> ADDIN EN.CITE &lt;EndNote&gt;&lt;Cite&gt;&lt;Author&gt;Reeve&lt;/Author&gt;&lt;Year&gt;2008&lt;/Year&gt;&lt;RecNum&gt;901&lt;/RecNum&gt;&lt;DisplayText&gt;&lt;style face="superscript"&gt;31&lt;/style&gt;&lt;/DisplayText&gt;&lt;record&gt;&lt;rec-number&gt;901&lt;/rec-number&gt;&lt;foreign-keys&gt;&lt;key app="EN" db-id="dda0wweazfww9besetpx2r5pt0asp9ztvs95"&gt;901&lt;/key&gt;&lt;/foreign-keys&gt;&lt;ref-type name="Journal Article"&gt;17&lt;/ref-type&gt;&lt;contributors&gt;&lt;authors&gt;&lt;author&gt;Reeve, C.&lt;/author&gt;&lt;author&gt;De La Rue, S.&lt;/author&gt;&lt;author&gt;Pashen, D.&lt;/author&gt;&lt;author&gt;Culpan, M.&lt;/author&gt;&lt;author&gt;Cheffins, T.&lt;/author&gt;&lt;/authors&gt;&lt;/contributors&gt;&lt;auth-address&gt;Mount Isa Centre for Rural and Remote Health, Queensland.&lt;/auth-address&gt;&lt;titles&gt;&lt;title&gt;School-based vaccinations delivered by general practice in rural north Queensland: an evaluation of a new human papilloma virus vaccination program [erratum appears in Commun Dis Intell. 2008 Sep;32(3):369]&lt;/title&gt;&lt;secondary-title&gt;Communicable Diseases Intelligence&lt;/secondary-title&gt;&lt;/titles&gt;&lt;periodical&gt;&lt;full-title&gt;Communicable Diseases Intelligence&lt;/full-title&gt;&lt;abbr-1&gt;Commun. Dis. Intell.&lt;/abbr-1&gt;&lt;abbr-2&gt;Commun Dis Intell&lt;/abbr-2&gt;&lt;/periodical&gt;&lt;pages&gt;94-8&lt;/pages&gt;&lt;volume&gt;32&lt;/volume&gt;&lt;number&gt;1&lt;/number&gt;&lt;keywords&gt;&lt;keyword&gt;Adolescent&lt;/keyword&gt;&lt;keyword&gt;Child&lt;/keyword&gt;&lt;keyword&gt;Family Practice&lt;/keyword&gt;&lt;keyword&gt;Female&lt;/keyword&gt;&lt;keyword&gt;Humans&lt;/keyword&gt;&lt;keyword&gt;Immunization Schedule&lt;/keyword&gt;&lt;keyword&gt;*Mass Vaccination/mt [Methods]&lt;/keyword&gt;&lt;keyword&gt;Papillomavirus Infections/im [Immunology]&lt;/keyword&gt;&lt;keyword&gt;*Papillomavirus Vaccines/im [Immunology]&lt;/keyword&gt;&lt;keyword&gt;Parental Consent/sn [Statistics &amp;amp; Numerical Data]&lt;/keyword&gt;&lt;keyword&gt;Queensland/ep [Epidemiology]&lt;/keyword&gt;&lt;keyword&gt;Rural Population&lt;/keyword&gt;&lt;keyword&gt;*School Health Services&lt;/keyword&gt;&lt;/keywords&gt;&lt;dates&gt;&lt;year&gt;2008&lt;/year&gt;&lt;pub-dates&gt;&lt;date&gt;Mar&lt;/date&gt;&lt;/pub-dates&gt;&lt;/dates&gt;&lt;isbn&gt;0725-3141&lt;/isbn&gt;&lt;call-num&gt;18522312&lt;/call-num&gt;&lt;label&gt;PDF&lt;/label&gt;&lt;urls&gt;&lt;pdf-urls&gt;&lt;url&gt;file://G:\DATA\NCIRS &amp;apos;Library&amp;apos;\PDF\PDF final\Human Papillomavirus - HPV\HPV_200803_CDI_Reeve.pdf&lt;/url&gt;&lt;/pdf-urls&gt;&lt;/urls&gt;&lt;modified-date&gt;Held NCIRS&lt;/modified-date&gt;&lt;/record&gt;&lt;/Cite&gt;&lt;/EndNote&gt;</w:instrText>
              </w:r>
              <w:r w:rsidR="00F27F90" w:rsidRPr="003408A6">
                <w:rPr>
                  <w:lang w:val="en-AU"/>
                </w:rPr>
                <w:fldChar w:fldCharType="separate"/>
              </w:r>
              <w:r w:rsidR="00F27F90" w:rsidRPr="003408A6">
                <w:rPr>
                  <w:noProof/>
                  <w:vertAlign w:val="superscript"/>
                  <w:lang w:val="en-AU"/>
                </w:rPr>
                <w:t>31</w:t>
              </w:r>
              <w:r w:rsidR="00F27F90" w:rsidRPr="003408A6">
                <w:rPr>
                  <w:lang w:val="en-AU"/>
                </w:rPr>
                <w:fldChar w:fldCharType="end"/>
              </w:r>
            </w:hyperlink>
          </w:p>
        </w:tc>
        <w:tc>
          <w:tcPr>
            <w:tcW w:w="419"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 xml:space="preserve">CDI </w:t>
            </w:r>
            <w:r w:rsidR="00DE1E25">
              <w:rPr>
                <w:lang w:val="en-AU"/>
              </w:rPr>
              <w:br/>
            </w:r>
            <w:r w:rsidRPr="003408A6">
              <w:rPr>
                <w:lang w:val="en-AU"/>
              </w:rPr>
              <w:t>2008</w:t>
            </w:r>
          </w:p>
        </w:tc>
        <w:tc>
          <w:tcPr>
            <w:tcW w:w="440"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 xml:space="preserve">Rural </w:t>
            </w:r>
            <w:r w:rsidR="00DE1E25">
              <w:rPr>
                <w:lang w:val="en-AU"/>
              </w:rPr>
              <w:t>Queensland</w:t>
            </w:r>
          </w:p>
        </w:tc>
        <w:tc>
          <w:tcPr>
            <w:tcW w:w="564"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Routinely collected administrative data</w:t>
            </w:r>
          </w:p>
        </w:tc>
        <w:tc>
          <w:tcPr>
            <w:tcW w:w="538"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Adolescent girls school-based catch-up (</w:t>
            </w:r>
            <w:r w:rsidR="001A6B5E" w:rsidRPr="003408A6">
              <w:rPr>
                <w:lang w:val="en-AU"/>
              </w:rPr>
              <w:t>Y</w:t>
            </w:r>
            <w:r w:rsidRPr="003408A6">
              <w:rPr>
                <w:lang w:val="en-AU"/>
              </w:rPr>
              <w:t>ears 10</w:t>
            </w:r>
            <w:r w:rsidR="001A6B5E" w:rsidRPr="003408A6">
              <w:rPr>
                <w:lang w:val="en-AU"/>
              </w:rPr>
              <w:t>–</w:t>
            </w:r>
            <w:r w:rsidRPr="003408A6">
              <w:rPr>
                <w:lang w:val="en-AU"/>
              </w:rPr>
              <w:t>12)</w:t>
            </w:r>
            <w:r w:rsidR="0054064F" w:rsidRPr="003408A6">
              <w:rPr>
                <w:lang w:val="en-AU"/>
              </w:rPr>
              <w:t xml:space="preserve"> HPV vaccination program</w:t>
            </w:r>
          </w:p>
        </w:tc>
        <w:tc>
          <w:tcPr>
            <w:tcW w:w="583"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Administrative data on eligible girls</w:t>
            </w:r>
          </w:p>
        </w:tc>
        <w:tc>
          <w:tcPr>
            <w:tcW w:w="2006" w:type="pct"/>
            <w:tcBorders>
              <w:top w:val="single" w:sz="4"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 xml:space="preserve">Timely return of signed consent forms from parents is a major issue. Lower consent rates for </w:t>
            </w:r>
            <w:r w:rsidR="001A6B5E" w:rsidRPr="003408A6">
              <w:rPr>
                <w:lang w:val="en-AU"/>
              </w:rPr>
              <w:t>Y</w:t>
            </w:r>
            <w:r w:rsidRPr="003408A6">
              <w:rPr>
                <w:lang w:val="en-AU"/>
              </w:rPr>
              <w:t>ear</w:t>
            </w:r>
            <w:r w:rsidR="00DE1E25">
              <w:rPr>
                <w:lang w:val="en-AU"/>
              </w:rPr>
              <w:t>s</w:t>
            </w:r>
            <w:r w:rsidRPr="003408A6">
              <w:rPr>
                <w:lang w:val="en-AU"/>
              </w:rPr>
              <w:t xml:space="preserve"> 8</w:t>
            </w:r>
            <w:r w:rsidR="001A6B5E" w:rsidRPr="003408A6">
              <w:rPr>
                <w:lang w:val="en-AU"/>
              </w:rPr>
              <w:t>–</w:t>
            </w:r>
            <w:r w:rsidRPr="003408A6">
              <w:rPr>
                <w:lang w:val="en-AU"/>
              </w:rPr>
              <w:t xml:space="preserve">10 may affect the ongoing program </w:t>
            </w:r>
            <w:r w:rsidR="004E02CF" w:rsidRPr="003408A6">
              <w:rPr>
                <w:lang w:val="en-AU"/>
              </w:rPr>
              <w:t xml:space="preserve">delivery </w:t>
            </w:r>
            <w:r w:rsidRPr="003408A6">
              <w:rPr>
                <w:lang w:val="en-AU"/>
              </w:rPr>
              <w:t xml:space="preserve">for </w:t>
            </w:r>
            <w:r w:rsidR="001A6B5E" w:rsidRPr="003408A6">
              <w:rPr>
                <w:lang w:val="en-AU"/>
              </w:rPr>
              <w:t>Y</w:t>
            </w:r>
            <w:r w:rsidRPr="003408A6">
              <w:rPr>
                <w:lang w:val="en-AU"/>
              </w:rPr>
              <w:t>ear 8 girls. GP delivery of school-based program allows easy catch-up of missed doses at GP surgery.</w:t>
            </w:r>
          </w:p>
        </w:tc>
      </w:tr>
      <w:tr w:rsidR="008454B0" w:rsidRPr="003408A6" w:rsidTr="0023448C">
        <w:trPr>
          <w:trHeight w:val="1950"/>
        </w:trPr>
        <w:tc>
          <w:tcPr>
            <w:tcW w:w="450"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Q</w:t>
            </w:r>
            <w:r w:rsidR="00413B61" w:rsidRPr="003408A6">
              <w:rPr>
                <w:lang w:val="en-AU"/>
              </w:rPr>
              <w:t>ueensland</w:t>
            </w:r>
          </w:p>
          <w:p w:rsidR="008454B0" w:rsidRPr="003408A6" w:rsidRDefault="008454B0" w:rsidP="00F27F90">
            <w:pPr>
              <w:pStyle w:val="Tabletext"/>
              <w:rPr>
                <w:lang w:val="en-AU"/>
              </w:rPr>
            </w:pPr>
            <w:r w:rsidRPr="003408A6">
              <w:rPr>
                <w:lang w:val="en-AU"/>
              </w:rPr>
              <w:t>Gov</w:t>
            </w:r>
            <w:r w:rsidR="00413B61" w:rsidRPr="003408A6">
              <w:rPr>
                <w:lang w:val="en-AU"/>
              </w:rPr>
              <w:t>ernmen</w:t>
            </w:r>
            <w:r w:rsidRPr="003408A6">
              <w:rPr>
                <w:lang w:val="en-AU"/>
              </w:rPr>
              <w:t>t</w:t>
            </w:r>
            <w:hyperlink w:anchor="_ENREF_35" w:tooltip="Queensland Health Immunisation Program, 2010 #1270" w:history="1">
              <w:r w:rsidR="00F27F90" w:rsidRPr="003408A6">
                <w:rPr>
                  <w:lang w:val="en-AU"/>
                </w:rPr>
                <w:fldChar w:fldCharType="begin"/>
              </w:r>
              <w:r w:rsidR="00F27F90">
                <w:rPr>
                  <w:lang w:val="en-AU"/>
                </w:rPr>
                <w:instrText xml:space="preserve"> ADDIN EN.CITE &lt;EndNote&gt;&lt;Cite ExcludeAuth="1"&gt;&lt;Author&gt;Queensland Health Immunisation Program&lt;/Author&gt;&lt;Year&gt;2010&lt;/Year&gt;&lt;RecNum&gt;1270&lt;/RecNum&gt;&lt;DisplayText&gt;&lt;style face="superscript"&gt;35&lt;/style&gt;&lt;/DisplayText&gt;&lt;record&gt;&lt;rec-number&gt;1270&lt;/rec-number&gt;&lt;foreign-keys&gt;&lt;key app="EN" db-id="dda0wweazfww9besetpx2r5pt0asp9ztvs95"&gt;1270&lt;/key&gt;&lt;/foreign-keys&gt;&lt;ref-type name="Report"&gt;27&lt;/ref-type&gt;&lt;contributors&gt;&lt;authors&gt;&lt;author&gt;Queensland Health Immunisation Program,&lt;/author&gt;&lt;/authors&gt;&lt;/contributors&gt;&lt;titles&gt;&lt;title&gt;Evaluation of the school based vaccination program (2007-2009). Stakeholders&amp;apos; report&lt;/title&gt;&lt;/titles&gt;&lt;dates&gt;&lt;year&gt;2010&lt;/year&gt;&lt;/dates&gt;&lt;pub-location&gt;Brisbane&lt;/pub-location&gt;&lt;publisher&gt;Queensland Government&lt;/publisher&gt;&lt;urls&gt;&lt;/urls&gt;&lt;/record&gt;&lt;/Cite&gt;&lt;/EndNote&gt;</w:instrText>
              </w:r>
              <w:r w:rsidR="00F27F90" w:rsidRPr="003408A6">
                <w:rPr>
                  <w:lang w:val="en-AU"/>
                </w:rPr>
                <w:fldChar w:fldCharType="separate"/>
              </w:r>
              <w:r w:rsidR="00F27F90" w:rsidRPr="00B20A01">
                <w:rPr>
                  <w:noProof/>
                  <w:vertAlign w:val="superscript"/>
                  <w:lang w:val="en-AU"/>
                </w:rPr>
                <w:t>35</w:t>
              </w:r>
              <w:r w:rsidR="00F27F90" w:rsidRPr="003408A6">
                <w:rPr>
                  <w:lang w:val="en-AU"/>
                </w:rPr>
                <w:fldChar w:fldCharType="end"/>
              </w:r>
            </w:hyperlink>
          </w:p>
        </w:tc>
        <w:tc>
          <w:tcPr>
            <w:tcW w:w="419" w:type="pct"/>
            <w:tcBorders>
              <w:top w:val="single" w:sz="6" w:space="0" w:color="auto"/>
              <w:left w:val="nil"/>
              <w:bottom w:val="single" w:sz="6" w:space="0" w:color="auto"/>
              <w:right w:val="nil"/>
            </w:tcBorders>
          </w:tcPr>
          <w:p w:rsidR="008454B0" w:rsidRPr="003408A6" w:rsidRDefault="008454B0" w:rsidP="00DE1E25">
            <w:pPr>
              <w:pStyle w:val="Tabletext"/>
              <w:rPr>
                <w:lang w:val="en-AU"/>
              </w:rPr>
            </w:pPr>
            <w:r w:rsidRPr="003408A6">
              <w:rPr>
                <w:lang w:val="en-AU"/>
              </w:rPr>
              <w:t xml:space="preserve">Evaluation of the school-based </w:t>
            </w:r>
            <w:r w:rsidR="00DE1E25">
              <w:rPr>
                <w:lang w:val="en-AU"/>
              </w:rPr>
              <w:t>v</w:t>
            </w:r>
            <w:r w:rsidRPr="003408A6">
              <w:rPr>
                <w:lang w:val="en-AU"/>
              </w:rPr>
              <w:t xml:space="preserve">accination </w:t>
            </w:r>
            <w:r w:rsidR="00DE1E25">
              <w:rPr>
                <w:lang w:val="en-AU"/>
              </w:rPr>
              <w:t>p</w:t>
            </w:r>
            <w:r w:rsidR="001A6B5E" w:rsidRPr="003408A6">
              <w:rPr>
                <w:lang w:val="en-AU"/>
              </w:rPr>
              <w:t>rogram,</w:t>
            </w:r>
            <w:r w:rsidRPr="003408A6">
              <w:rPr>
                <w:lang w:val="en-AU"/>
              </w:rPr>
              <w:t xml:space="preserve"> 2010</w:t>
            </w:r>
          </w:p>
        </w:tc>
        <w:tc>
          <w:tcPr>
            <w:tcW w:w="440" w:type="pct"/>
            <w:tcBorders>
              <w:top w:val="single" w:sz="6" w:space="0" w:color="auto"/>
              <w:left w:val="nil"/>
              <w:bottom w:val="single" w:sz="6" w:space="0" w:color="auto"/>
              <w:right w:val="nil"/>
            </w:tcBorders>
          </w:tcPr>
          <w:p w:rsidR="008454B0" w:rsidRPr="003408A6" w:rsidRDefault="00DE1E25" w:rsidP="00BF3F7D">
            <w:pPr>
              <w:pStyle w:val="Tabletext"/>
              <w:rPr>
                <w:lang w:val="en-AU"/>
              </w:rPr>
            </w:pPr>
            <w:r>
              <w:rPr>
                <w:lang w:val="en-AU"/>
              </w:rPr>
              <w:t>Queensland</w:t>
            </w:r>
          </w:p>
        </w:tc>
        <w:tc>
          <w:tcPr>
            <w:tcW w:w="564"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Online survey of vaccine service providers, focus groups of parents and students, CATI interviews with school principals or representatives</w:t>
            </w:r>
          </w:p>
        </w:tc>
        <w:tc>
          <w:tcPr>
            <w:tcW w:w="538" w:type="pct"/>
            <w:tcBorders>
              <w:top w:val="single" w:sz="6" w:space="0" w:color="auto"/>
              <w:left w:val="nil"/>
              <w:bottom w:val="single" w:sz="6" w:space="0" w:color="auto"/>
              <w:right w:val="nil"/>
            </w:tcBorders>
          </w:tcPr>
          <w:p w:rsidR="008454B0" w:rsidRPr="003408A6" w:rsidRDefault="008454B0" w:rsidP="00DE1E25">
            <w:pPr>
              <w:pStyle w:val="Tabletext"/>
              <w:rPr>
                <w:lang w:val="en-AU"/>
              </w:rPr>
            </w:pPr>
            <w:r w:rsidRPr="003408A6">
              <w:rPr>
                <w:lang w:val="en-AU"/>
              </w:rPr>
              <w:t>Process evaluation of girls school-based catch-up (</w:t>
            </w:r>
            <w:r w:rsidR="001A6B5E" w:rsidRPr="003408A6">
              <w:rPr>
                <w:lang w:val="en-AU"/>
              </w:rPr>
              <w:t>Y</w:t>
            </w:r>
            <w:r w:rsidRPr="003408A6">
              <w:rPr>
                <w:lang w:val="en-AU"/>
              </w:rPr>
              <w:t>ears 9</w:t>
            </w:r>
            <w:r w:rsidR="001A6B5E" w:rsidRPr="003408A6">
              <w:rPr>
                <w:lang w:val="en-AU"/>
              </w:rPr>
              <w:t>–</w:t>
            </w:r>
            <w:r w:rsidRPr="003408A6">
              <w:rPr>
                <w:lang w:val="en-AU"/>
              </w:rPr>
              <w:t>12)</w:t>
            </w:r>
            <w:r w:rsidR="0054064F" w:rsidRPr="003408A6">
              <w:rPr>
                <w:lang w:val="en-AU"/>
              </w:rPr>
              <w:t xml:space="preserve"> HPV vaccination program</w:t>
            </w:r>
          </w:p>
        </w:tc>
        <w:tc>
          <w:tcPr>
            <w:tcW w:w="583"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Vaccine service providers (n=86), parents (n=32), school principals (n=56), students (n=32)</w:t>
            </w:r>
          </w:p>
        </w:tc>
        <w:tc>
          <w:tcPr>
            <w:tcW w:w="2006"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Parents and students reported positive experiences with the program. Parents recommend</w:t>
            </w:r>
            <w:r w:rsidR="001A6B5E" w:rsidRPr="003408A6">
              <w:rPr>
                <w:lang w:val="en-AU"/>
              </w:rPr>
              <w:t>ed</w:t>
            </w:r>
            <w:r w:rsidRPr="003408A6">
              <w:rPr>
                <w:lang w:val="en-AU"/>
              </w:rPr>
              <w:t xml:space="preserve"> more reminders and more information and better records. Students recommend</w:t>
            </w:r>
            <w:r w:rsidR="001A6B5E" w:rsidRPr="003408A6">
              <w:rPr>
                <w:lang w:val="en-AU"/>
              </w:rPr>
              <w:t>ed</w:t>
            </w:r>
            <w:r w:rsidRPr="003408A6">
              <w:rPr>
                <w:lang w:val="en-AU"/>
              </w:rPr>
              <w:t xml:space="preserve"> more information, more reassurance and privacy during clinic.</w:t>
            </w:r>
          </w:p>
          <w:p w:rsidR="008454B0" w:rsidRPr="003408A6" w:rsidRDefault="008454B0" w:rsidP="00BF3F7D">
            <w:pPr>
              <w:pStyle w:val="Tabletext"/>
              <w:rPr>
                <w:lang w:val="en-AU"/>
              </w:rPr>
            </w:pPr>
            <w:r w:rsidRPr="003408A6">
              <w:rPr>
                <w:lang w:val="en-AU"/>
              </w:rPr>
              <w:t xml:space="preserve">Service providers were mostly satisfied with </w:t>
            </w:r>
            <w:r w:rsidR="004E02CF" w:rsidRPr="003408A6">
              <w:rPr>
                <w:lang w:val="en-AU"/>
              </w:rPr>
              <w:t xml:space="preserve">the </w:t>
            </w:r>
            <w:r w:rsidRPr="003408A6">
              <w:rPr>
                <w:lang w:val="en-AU"/>
              </w:rPr>
              <w:t>program implementation and communication with schools. A minority (18%) suggested that data reporting is too cumbersome.</w:t>
            </w:r>
          </w:p>
          <w:p w:rsidR="008454B0" w:rsidRPr="003408A6" w:rsidRDefault="008454B0" w:rsidP="00BF3F7D">
            <w:pPr>
              <w:pStyle w:val="Tabletext"/>
              <w:rPr>
                <w:lang w:val="en-AU"/>
              </w:rPr>
            </w:pPr>
            <w:r w:rsidRPr="003408A6">
              <w:rPr>
                <w:lang w:val="en-AU"/>
              </w:rPr>
              <w:t>The majority of schools rated the program as good. Return of consent forms, informing parents and disruption to classes were the main issues raised by a minority of principals.</w:t>
            </w:r>
          </w:p>
        </w:tc>
      </w:tr>
      <w:tr w:rsidR="008454B0" w:rsidRPr="003408A6" w:rsidTr="0023448C">
        <w:trPr>
          <w:trHeight w:val="1684"/>
        </w:trPr>
        <w:tc>
          <w:tcPr>
            <w:tcW w:w="450" w:type="pct"/>
            <w:tcBorders>
              <w:top w:val="single" w:sz="6" w:space="0" w:color="auto"/>
              <w:left w:val="nil"/>
              <w:bottom w:val="single" w:sz="4" w:space="0" w:color="auto"/>
              <w:right w:val="nil"/>
            </w:tcBorders>
          </w:tcPr>
          <w:p w:rsidR="008454B0" w:rsidRPr="003408A6" w:rsidRDefault="008454B0" w:rsidP="00F27F90">
            <w:pPr>
              <w:pStyle w:val="Tabletext"/>
              <w:rPr>
                <w:lang w:val="en-AU"/>
              </w:rPr>
            </w:pPr>
            <w:r w:rsidRPr="003408A6">
              <w:rPr>
                <w:lang w:val="en-AU"/>
              </w:rPr>
              <w:t>Cooper-Robbins</w:t>
            </w:r>
            <w:r w:rsidR="009B450C" w:rsidRPr="003408A6">
              <w:rPr>
                <w:lang w:val="en-AU"/>
              </w:rPr>
              <w:t xml:space="preserve"> SC</w:t>
            </w:r>
            <w:r w:rsidR="00413B61" w:rsidRPr="003408A6">
              <w:rPr>
                <w:lang w:val="en-AU"/>
              </w:rPr>
              <w:t>,</w:t>
            </w:r>
            <w:r w:rsidRPr="003408A6">
              <w:rPr>
                <w:lang w:val="en-AU"/>
              </w:rPr>
              <w:t xml:space="preserve"> </w:t>
            </w:r>
            <w:r w:rsidR="009B450C" w:rsidRPr="003408A6">
              <w:rPr>
                <w:lang w:val="en-AU"/>
              </w:rPr>
              <w:t>et al</w:t>
            </w:r>
            <w:r w:rsidR="00413B61" w:rsidRPr="003408A6">
              <w:rPr>
                <w:lang w:val="en-AU"/>
              </w:rPr>
              <w:t>.</w:t>
            </w:r>
            <w:hyperlink w:anchor="_ENREF_34" w:tooltip="Cooper-Robbins, 2011 #1231" w:history="1">
              <w:r w:rsidR="00F27F90" w:rsidRPr="003408A6">
                <w:rPr>
                  <w:lang w:val="en-AU"/>
                </w:rPr>
                <w:fldChar w:fldCharType="begin"/>
              </w:r>
              <w:r w:rsidR="00F27F90">
                <w:rPr>
                  <w:lang w:val="en-AU"/>
                </w:rPr>
                <w:instrText xml:space="preserve"> ADDIN EN.CITE &lt;EndNote&gt;&lt;Cite&gt;&lt;Author&gt;Cooper-Robbins&lt;/Author&gt;&lt;Year&gt;2011&lt;/Year&gt;&lt;RecNum&gt;1231&lt;/RecNum&gt;&lt;DisplayText&gt;&lt;style face="superscript"&gt;34&lt;/style&gt;&lt;/DisplayText&gt;&lt;record&gt;&lt;rec-number&gt;1231&lt;/rec-number&gt;&lt;foreign-keys&gt;&lt;key app="EN" db-id="dda0wweazfww9besetpx2r5pt0asp9ztvs95"&gt;1231&lt;/key&gt;&lt;/foreign-keys&gt;&lt;ref-type name="Journal Article"&gt;17&lt;/ref-type&gt;&lt;contributors&gt;&lt;authors&gt;&lt;author&gt;Cooper-Robbins, S. C.&lt;/author&gt;&lt;author&gt;Ward, K.&lt;/author&gt;&lt;author&gt;Skinner, S. R.&lt;/author&gt;&lt;/authors&gt;&lt;/contributors&gt;&lt;auth-address&gt;Discipline of Paediatrics and Child Health, The University of Sydney and The Children&amp;apos;s Hospital at Westmead, Locked Bag 4001, Westmead, NSW 2145, Australia.&lt;/auth-address&gt;&lt;titles&gt;&lt;title&gt;School-based vaccination: a systematic review of process evaluations&lt;/title&gt;&lt;secondary-title&gt;Vaccine&lt;/secondary-title&gt;&lt;alt-title&gt;Vaccine&lt;/alt-title&gt;&lt;/titles&gt;&lt;periodical&gt;&lt;full-title&gt;Vaccine&lt;/full-title&gt;&lt;abbr-1&gt;Vaccine&lt;/abbr-1&gt;&lt;abbr-2&gt;Vaccine&lt;/abbr-2&gt;&lt;/periodical&gt;&lt;alt-periodical&gt;&lt;full-title&gt;Vaccine&lt;/full-title&gt;&lt;abbr-1&gt;Vaccine&lt;/abbr-1&gt;&lt;abbr-2&gt;Vaccine&lt;/abbr-2&gt;&lt;/alt-periodical&gt;&lt;pages&gt;9588-9599&lt;/pages&gt;&lt;volume&gt;29&lt;/volume&gt;&lt;edition&gt;2011/10/29&lt;/edition&gt;&lt;dates&gt;&lt;year&gt;2011&lt;/year&gt;&lt;pub-dates&gt;&lt;date&gt;Oct 24&lt;/date&gt;&lt;/pub-dates&gt;&lt;/dates&gt;&lt;isbn&gt;1873-2518 (Electronic)&amp;#xD;0264-410X (Linking)&lt;/isbn&gt;&lt;accession-num&gt;22033031&lt;/accession-num&gt;&lt;urls&gt;&lt;/urls&gt;&lt;electronic-resource-num&gt;10.1016/j.vaccine.2011.10.033&lt;/electronic-resource-num&gt;&lt;remote-database-provider&gt;NLM&lt;/remote-database-provider&gt;&lt;language&gt;Eng&lt;/language&gt;&lt;/record&gt;&lt;/Cite&gt;&lt;/EndNote&gt;</w:instrText>
              </w:r>
              <w:r w:rsidR="00F27F90" w:rsidRPr="003408A6">
                <w:rPr>
                  <w:lang w:val="en-AU"/>
                </w:rPr>
                <w:fldChar w:fldCharType="separate"/>
              </w:r>
              <w:r w:rsidR="00F27F90" w:rsidRPr="00B20A01">
                <w:rPr>
                  <w:noProof/>
                  <w:vertAlign w:val="superscript"/>
                  <w:lang w:val="en-AU"/>
                </w:rPr>
                <w:t>34</w:t>
              </w:r>
              <w:r w:rsidR="00F27F90" w:rsidRPr="003408A6">
                <w:rPr>
                  <w:lang w:val="en-AU"/>
                </w:rPr>
                <w:fldChar w:fldCharType="end"/>
              </w:r>
            </w:hyperlink>
          </w:p>
        </w:tc>
        <w:tc>
          <w:tcPr>
            <w:tcW w:w="419"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Vaccine 2011</w:t>
            </w:r>
          </w:p>
        </w:tc>
        <w:tc>
          <w:tcPr>
            <w:tcW w:w="440"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International</w:t>
            </w:r>
          </w:p>
        </w:tc>
        <w:tc>
          <w:tcPr>
            <w:tcW w:w="564"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 xml:space="preserve">Systematic review of published evaluations </w:t>
            </w:r>
          </w:p>
        </w:tc>
        <w:tc>
          <w:tcPr>
            <w:tcW w:w="538"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Process evaluations of international school-based vaccination programs</w:t>
            </w:r>
            <w:r w:rsidR="00D53623" w:rsidRPr="003408A6">
              <w:rPr>
                <w:lang w:val="en-AU"/>
              </w:rPr>
              <w:t xml:space="preserve"> </w:t>
            </w:r>
            <w:r w:rsidR="0054064F" w:rsidRPr="003408A6">
              <w:rPr>
                <w:lang w:val="en-AU"/>
              </w:rPr>
              <w:t>for various vaccines</w:t>
            </w:r>
            <w:r w:rsidR="00D53623" w:rsidRPr="003408A6">
              <w:rPr>
                <w:lang w:val="en-AU"/>
              </w:rPr>
              <w:t xml:space="preserve"> </w:t>
            </w:r>
          </w:p>
        </w:tc>
        <w:tc>
          <w:tcPr>
            <w:tcW w:w="583" w:type="pct"/>
            <w:tcBorders>
              <w:top w:val="single" w:sz="6" w:space="0" w:color="auto"/>
              <w:left w:val="nil"/>
              <w:bottom w:val="single" w:sz="4" w:space="0" w:color="auto"/>
              <w:right w:val="nil"/>
            </w:tcBorders>
          </w:tcPr>
          <w:p w:rsidR="008454B0" w:rsidRPr="003408A6" w:rsidRDefault="0054064F" w:rsidP="00DE1E25">
            <w:pPr>
              <w:pStyle w:val="Tabletext"/>
              <w:rPr>
                <w:lang w:val="en-AU"/>
              </w:rPr>
            </w:pPr>
            <w:r w:rsidRPr="003408A6">
              <w:rPr>
                <w:lang w:val="en-AU"/>
              </w:rPr>
              <w:t>Published</w:t>
            </w:r>
            <w:r w:rsidR="00394DDE" w:rsidRPr="003408A6">
              <w:rPr>
                <w:lang w:val="en-AU"/>
              </w:rPr>
              <w:t xml:space="preserve"> papers</w:t>
            </w:r>
            <w:r w:rsidR="00D53623" w:rsidRPr="003408A6">
              <w:rPr>
                <w:lang w:val="en-AU"/>
              </w:rPr>
              <w:t xml:space="preserve"> (n=14)</w:t>
            </w:r>
            <w:r w:rsidR="00DE1E25">
              <w:rPr>
                <w:lang w:val="en-AU"/>
              </w:rPr>
              <w:t>;</w:t>
            </w:r>
            <w:r w:rsidR="00D53623" w:rsidRPr="003408A6">
              <w:rPr>
                <w:lang w:val="en-AU"/>
              </w:rPr>
              <w:t xml:space="preserve"> </w:t>
            </w:r>
            <w:r w:rsidR="00DE1E25">
              <w:rPr>
                <w:lang w:val="en-AU"/>
              </w:rPr>
              <w:t>f</w:t>
            </w:r>
            <w:r w:rsidR="00D53623" w:rsidRPr="003408A6">
              <w:rPr>
                <w:lang w:val="en-AU"/>
              </w:rPr>
              <w:t>our articles involved HPV programs</w:t>
            </w:r>
          </w:p>
        </w:tc>
        <w:tc>
          <w:tcPr>
            <w:tcW w:w="2006" w:type="pct"/>
            <w:tcBorders>
              <w:top w:val="single" w:sz="6" w:space="0" w:color="auto"/>
              <w:left w:val="nil"/>
              <w:bottom w:val="single" w:sz="4" w:space="0" w:color="auto"/>
              <w:right w:val="nil"/>
            </w:tcBorders>
          </w:tcPr>
          <w:p w:rsidR="008454B0" w:rsidRPr="003408A6" w:rsidRDefault="0054064F" w:rsidP="00BF3F7D">
            <w:pPr>
              <w:pStyle w:val="Tabletext"/>
              <w:rPr>
                <w:lang w:val="en-AU"/>
              </w:rPr>
            </w:pPr>
            <w:r w:rsidRPr="003408A6">
              <w:rPr>
                <w:lang w:val="en-AU"/>
              </w:rPr>
              <w:t>Findings were general for all school-based vaccination programs. In the four studies on HPV</w:t>
            </w:r>
            <w:r w:rsidR="00DE1E25">
              <w:rPr>
                <w:lang w:val="en-AU"/>
              </w:rPr>
              <w:t>,</w:t>
            </w:r>
            <w:r w:rsidRPr="003408A6">
              <w:rPr>
                <w:lang w:val="en-AU"/>
              </w:rPr>
              <w:t xml:space="preserve"> reasons for parental refusal included insufficient information about vaccine, concerns about safety, lack of perceived need and impact on sexual behaviour. </w:t>
            </w:r>
            <w:r w:rsidR="008454B0" w:rsidRPr="003408A6">
              <w:rPr>
                <w:lang w:val="en-AU"/>
              </w:rPr>
              <w:t>Appropriate information for all stakeholders and consent strategies are important factors for successful program implementation</w:t>
            </w:r>
            <w:r w:rsidR="003E2A3E" w:rsidRPr="003408A6">
              <w:rPr>
                <w:lang w:val="en-AU"/>
              </w:rPr>
              <w:t xml:space="preserve"> of school-based programs generally</w:t>
            </w:r>
            <w:r w:rsidR="008454B0" w:rsidRPr="003408A6">
              <w:rPr>
                <w:lang w:val="en-AU"/>
              </w:rPr>
              <w:t>.</w:t>
            </w:r>
          </w:p>
          <w:p w:rsidR="00B975BC" w:rsidRPr="003408A6" w:rsidRDefault="00B975BC" w:rsidP="00BF3F7D">
            <w:pPr>
              <w:pStyle w:val="Tabletext"/>
              <w:rPr>
                <w:lang w:val="en-AU"/>
              </w:rPr>
            </w:pPr>
          </w:p>
        </w:tc>
      </w:tr>
      <w:tr w:rsidR="008454B0" w:rsidRPr="003408A6" w:rsidTr="0023448C">
        <w:trPr>
          <w:trHeight w:val="1449"/>
        </w:trPr>
        <w:tc>
          <w:tcPr>
            <w:tcW w:w="450" w:type="pct"/>
            <w:tcBorders>
              <w:top w:val="single" w:sz="6" w:space="0" w:color="auto"/>
              <w:left w:val="nil"/>
              <w:bottom w:val="nil"/>
              <w:right w:val="nil"/>
            </w:tcBorders>
          </w:tcPr>
          <w:p w:rsidR="008454B0" w:rsidRPr="003408A6" w:rsidRDefault="008454B0" w:rsidP="00F27F90">
            <w:pPr>
              <w:pStyle w:val="Tabletext"/>
              <w:rPr>
                <w:lang w:val="en-AU"/>
              </w:rPr>
            </w:pPr>
            <w:r w:rsidRPr="003408A6">
              <w:rPr>
                <w:lang w:val="en-AU"/>
              </w:rPr>
              <w:t>Kent H</w:t>
            </w:r>
            <w:r w:rsidR="00413B61" w:rsidRPr="003408A6">
              <w:rPr>
                <w:lang w:val="en-AU"/>
              </w:rPr>
              <w:t>,</w:t>
            </w:r>
            <w:r w:rsidRPr="003408A6">
              <w:rPr>
                <w:lang w:val="en-AU"/>
              </w:rPr>
              <w:t xml:space="preserve"> et al</w:t>
            </w:r>
            <w:r w:rsidR="00413B61" w:rsidRPr="003408A6">
              <w:rPr>
                <w:lang w:val="en-AU"/>
              </w:rPr>
              <w:t>.</w:t>
            </w:r>
            <w:hyperlink w:anchor="_ENREF_30" w:tooltip="Kent, 2010 #58" w:history="1">
              <w:r w:rsidR="00F27F90" w:rsidRPr="003408A6">
                <w:rPr>
                  <w:lang w:val="en-AU"/>
                </w:rPr>
                <w:fldChar w:fldCharType="begin">
                  <w:fldData xml:space="preserve">PEVuZE5vdGU+PENpdGU+PEF1dGhvcj5LZW50PC9BdXRob3I+PFllYXI+MjAxMDwvWWVhcj48UmVj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</w:fldData>
                </w:fldChar>
              </w:r>
              <w:r w:rsidR="00F27F90" w:rsidRPr="003408A6">
                <w:rPr>
                  <w:lang w:val="en-AU"/>
                </w:rPr>
                <w:instrText xml:space="preserve"> ADDIN EN.CITE </w:instrText>
              </w:r>
              <w:r w:rsidR="00F27F90" w:rsidRPr="003408A6">
                <w:rPr>
                  <w:lang w:val="en-AU"/>
                </w:rPr>
                <w:fldChar w:fldCharType="begin">
                  <w:fldData xml:space="preserve">PEVuZE5vdGU+PENpdGU+PEF1dGhvcj5LZW50PC9BdXRob3I+PFllYXI+MjAxMDwvWWVhcj48UmVj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30</w:t>
              </w:r>
              <w:r w:rsidR="00F27F90" w:rsidRPr="003408A6">
                <w:rPr>
                  <w:lang w:val="en-AU"/>
                </w:rPr>
                <w:fldChar w:fldCharType="end"/>
              </w:r>
            </w:hyperlink>
          </w:p>
        </w:tc>
        <w:tc>
          <w:tcPr>
            <w:tcW w:w="419" w:type="pct"/>
            <w:tcBorders>
              <w:top w:val="single" w:sz="6" w:space="0" w:color="auto"/>
              <w:left w:val="nil"/>
              <w:bottom w:val="nil"/>
              <w:right w:val="nil"/>
            </w:tcBorders>
          </w:tcPr>
          <w:p w:rsidR="008454B0" w:rsidRPr="003408A6" w:rsidRDefault="008454B0" w:rsidP="00BF3F7D">
            <w:pPr>
              <w:pStyle w:val="Tabletext"/>
              <w:rPr>
                <w:lang w:val="en-AU"/>
              </w:rPr>
            </w:pPr>
            <w:r w:rsidRPr="003408A6">
              <w:rPr>
                <w:lang w:val="en-AU"/>
              </w:rPr>
              <w:t>Sexual Health 2010</w:t>
            </w:r>
          </w:p>
        </w:tc>
        <w:tc>
          <w:tcPr>
            <w:tcW w:w="440" w:type="pct"/>
            <w:tcBorders>
              <w:top w:val="single" w:sz="6" w:space="0" w:color="auto"/>
              <w:left w:val="nil"/>
              <w:bottom w:val="nil"/>
              <w:right w:val="nil"/>
            </w:tcBorders>
          </w:tcPr>
          <w:p w:rsidR="008454B0" w:rsidRPr="003408A6" w:rsidRDefault="008454B0" w:rsidP="00BF3F7D">
            <w:pPr>
              <w:pStyle w:val="Tabletext"/>
              <w:rPr>
                <w:lang w:val="en-AU"/>
              </w:rPr>
            </w:pPr>
            <w:r w:rsidRPr="003408A6">
              <w:rPr>
                <w:lang w:val="en-AU"/>
              </w:rPr>
              <w:t>Victoria</w:t>
            </w:r>
          </w:p>
        </w:tc>
        <w:tc>
          <w:tcPr>
            <w:tcW w:w="564" w:type="pct"/>
            <w:tcBorders>
              <w:top w:val="single" w:sz="6" w:space="0" w:color="auto"/>
              <w:left w:val="nil"/>
              <w:bottom w:val="nil"/>
              <w:right w:val="nil"/>
            </w:tcBorders>
          </w:tcPr>
          <w:p w:rsidR="008454B0" w:rsidRPr="003408A6" w:rsidRDefault="008454B0" w:rsidP="00BF3F7D">
            <w:pPr>
              <w:pStyle w:val="Tabletext"/>
              <w:rPr>
                <w:lang w:val="en-AU"/>
              </w:rPr>
            </w:pPr>
            <w:r w:rsidRPr="003408A6">
              <w:rPr>
                <w:lang w:val="en-AU"/>
              </w:rPr>
              <w:t>Mail</w:t>
            </w:r>
            <w:r w:rsidR="001A6B5E" w:rsidRPr="003408A6">
              <w:rPr>
                <w:lang w:val="en-AU"/>
              </w:rPr>
              <w:t>-</w:t>
            </w:r>
            <w:r w:rsidRPr="003408A6">
              <w:rPr>
                <w:lang w:val="en-AU"/>
              </w:rPr>
              <w:t>out survey of immunisation nurses</w:t>
            </w:r>
          </w:p>
        </w:tc>
        <w:tc>
          <w:tcPr>
            <w:tcW w:w="538" w:type="pct"/>
            <w:tcBorders>
              <w:top w:val="single" w:sz="6" w:space="0" w:color="auto"/>
              <w:left w:val="nil"/>
              <w:bottom w:val="nil"/>
              <w:right w:val="nil"/>
            </w:tcBorders>
          </w:tcPr>
          <w:p w:rsidR="008454B0" w:rsidRPr="003408A6" w:rsidRDefault="008454B0" w:rsidP="00BF3F7D">
            <w:pPr>
              <w:pStyle w:val="Tabletext"/>
              <w:rPr>
                <w:lang w:val="en-AU"/>
              </w:rPr>
            </w:pPr>
            <w:r w:rsidRPr="003408A6">
              <w:rPr>
                <w:lang w:val="en-AU"/>
              </w:rPr>
              <w:t>Process evaluation of girls school-based HPV program (2008</w:t>
            </w:r>
            <w:r w:rsidR="001A6B5E" w:rsidRPr="003408A6">
              <w:rPr>
                <w:lang w:val="en-AU"/>
              </w:rPr>
              <w:t>–</w:t>
            </w:r>
            <w:r w:rsidRPr="003408A6">
              <w:rPr>
                <w:lang w:val="en-AU"/>
              </w:rPr>
              <w:t>2009)</w:t>
            </w:r>
          </w:p>
        </w:tc>
        <w:tc>
          <w:tcPr>
            <w:tcW w:w="583" w:type="pct"/>
            <w:tcBorders>
              <w:top w:val="single" w:sz="6" w:space="0" w:color="auto"/>
              <w:left w:val="nil"/>
              <w:bottom w:val="nil"/>
              <w:right w:val="nil"/>
            </w:tcBorders>
          </w:tcPr>
          <w:p w:rsidR="008454B0" w:rsidRPr="003408A6" w:rsidRDefault="008454B0" w:rsidP="00BF3F7D">
            <w:pPr>
              <w:pStyle w:val="Tabletext"/>
              <w:rPr>
                <w:lang w:val="en-AU"/>
              </w:rPr>
            </w:pPr>
            <w:r w:rsidRPr="003408A6">
              <w:rPr>
                <w:lang w:val="en-AU"/>
              </w:rPr>
              <w:t>Immunisation nurses (n=159)</w:t>
            </w:r>
          </w:p>
        </w:tc>
        <w:tc>
          <w:tcPr>
            <w:tcW w:w="2006" w:type="pct"/>
            <w:tcBorders>
              <w:top w:val="single" w:sz="6" w:space="0" w:color="auto"/>
              <w:left w:val="nil"/>
              <w:bottom w:val="nil"/>
              <w:right w:val="nil"/>
            </w:tcBorders>
          </w:tcPr>
          <w:p w:rsidR="008454B0" w:rsidRPr="003408A6" w:rsidRDefault="00FB0621" w:rsidP="00BF3F7D">
            <w:pPr>
              <w:pStyle w:val="Tabletext"/>
              <w:rPr>
                <w:lang w:val="en-AU"/>
              </w:rPr>
            </w:pPr>
            <w:r w:rsidRPr="003408A6">
              <w:rPr>
                <w:lang w:val="en-AU"/>
              </w:rPr>
              <w:t xml:space="preserve">Physical layout of the </w:t>
            </w:r>
            <w:r w:rsidRPr="003408A6">
              <w:rPr>
                <w:bCs/>
                <w:lang w:val="en-AU"/>
              </w:rPr>
              <w:t xml:space="preserve">vaccination setting was the most important issue for nurses (41%). Nurses </w:t>
            </w:r>
            <w:r w:rsidRPr="003408A6">
              <w:rPr>
                <w:lang w:val="en-AU"/>
              </w:rPr>
              <w:t xml:space="preserve">suggested improvements for the school-based HPV vaccination program included better education of parents and girls (85%), attention to vaccination setting (35%) and better consent processes (19%). </w:t>
            </w:r>
          </w:p>
        </w:tc>
      </w:tr>
      <w:tr w:rsidR="008454B0" w:rsidRPr="003408A6" w:rsidTr="0023448C">
        <w:trPr>
          <w:trHeight w:val="1805"/>
        </w:trPr>
        <w:tc>
          <w:tcPr>
            <w:tcW w:w="450" w:type="pct"/>
            <w:tcBorders>
              <w:top w:val="single" w:sz="6" w:space="0" w:color="auto"/>
              <w:left w:val="nil"/>
              <w:bottom w:val="single" w:sz="6" w:space="0" w:color="auto"/>
              <w:right w:val="nil"/>
            </w:tcBorders>
          </w:tcPr>
          <w:p w:rsidR="008454B0" w:rsidRPr="003408A6" w:rsidRDefault="008454B0" w:rsidP="00F27F90">
            <w:pPr>
              <w:pStyle w:val="Tabletext"/>
              <w:rPr>
                <w:lang w:val="en-AU"/>
              </w:rPr>
            </w:pPr>
            <w:r w:rsidRPr="003408A6">
              <w:rPr>
                <w:lang w:val="en-AU"/>
              </w:rPr>
              <w:t>Cooper-Robbins SC</w:t>
            </w:r>
            <w:r w:rsidR="00413B61" w:rsidRPr="003408A6">
              <w:rPr>
                <w:lang w:val="en-AU"/>
              </w:rPr>
              <w:t>,</w:t>
            </w:r>
            <w:r w:rsidRPr="003408A6">
              <w:rPr>
                <w:lang w:val="en-AU"/>
              </w:rPr>
              <w:t xml:space="preserve"> et al</w:t>
            </w:r>
            <w:r w:rsidR="00413B61" w:rsidRPr="003408A6">
              <w:rPr>
                <w:lang w:val="en-AU"/>
              </w:rPr>
              <w:t>.</w:t>
            </w:r>
            <w:hyperlink w:anchor="_ENREF_29" w:tooltip="Cooper-Robbins, 2010 #24" w:history="1">
              <w:r w:rsidR="00F27F90" w:rsidRPr="003408A6">
                <w:rPr>
                  <w:lang w:val="en-AU"/>
                </w:rPr>
                <w:fldChar w:fldCharType="begin">
                  <w:fldData xml:space="preserve">PEVuZE5vdGU+PENpdGU+PEF1dGhvcj5Db29wZXItUm9iYmluczwvQXV0aG9yPjxZZWFyPjIwMTA8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PEVuZE5vdGU+PENpdGU+PEF1dGhvcj5Db29wZXItUm9iYmluczwvQXV0aG9yPjxZZWFyPjIwMTA8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29</w:t>
              </w:r>
              <w:r w:rsidR="00F27F90" w:rsidRPr="003408A6">
                <w:rPr>
                  <w:lang w:val="en-AU"/>
                </w:rPr>
                <w:fldChar w:fldCharType="end"/>
              </w:r>
            </w:hyperlink>
          </w:p>
        </w:tc>
        <w:tc>
          <w:tcPr>
            <w:tcW w:w="419"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Sexual Health 2010</w:t>
            </w:r>
          </w:p>
        </w:tc>
        <w:tc>
          <w:tcPr>
            <w:tcW w:w="440"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Sydney</w:t>
            </w:r>
          </w:p>
        </w:tc>
        <w:tc>
          <w:tcPr>
            <w:tcW w:w="564"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Qualitative interviews with parents and teachers, focus groups with nurses and students</w:t>
            </w:r>
          </w:p>
        </w:tc>
        <w:tc>
          <w:tcPr>
            <w:tcW w:w="538"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Process evaluation of girls school-based HPV program (2008</w:t>
            </w:r>
            <w:r w:rsidR="001A6B5E" w:rsidRPr="003408A6">
              <w:rPr>
                <w:lang w:val="en-AU"/>
              </w:rPr>
              <w:t>–</w:t>
            </w:r>
            <w:r w:rsidRPr="003408A6">
              <w:rPr>
                <w:lang w:val="en-AU"/>
              </w:rPr>
              <w:t>2009)</w:t>
            </w:r>
          </w:p>
        </w:tc>
        <w:tc>
          <w:tcPr>
            <w:tcW w:w="583" w:type="pct"/>
            <w:tcBorders>
              <w:top w:val="single" w:sz="6" w:space="0" w:color="auto"/>
              <w:left w:val="nil"/>
              <w:bottom w:val="single" w:sz="6" w:space="0" w:color="auto"/>
              <w:right w:val="nil"/>
            </w:tcBorders>
          </w:tcPr>
          <w:p w:rsidR="008454B0" w:rsidRPr="003408A6" w:rsidRDefault="008454B0" w:rsidP="00BF3F7D">
            <w:pPr>
              <w:pStyle w:val="Tabletext"/>
              <w:rPr>
                <w:lang w:val="en-AU"/>
              </w:rPr>
            </w:pPr>
            <w:r w:rsidRPr="003408A6">
              <w:rPr>
                <w:lang w:val="en-AU"/>
              </w:rPr>
              <w:t>Students (n=130), parents (n=38), teachers (n=</w:t>
            </w:r>
            <w:r w:rsidR="009B450C" w:rsidRPr="003408A6">
              <w:rPr>
                <w:lang w:val="en-AU"/>
              </w:rPr>
              <w:t>1</w:t>
            </w:r>
            <w:r w:rsidRPr="003408A6">
              <w:rPr>
                <w:lang w:val="en-AU"/>
              </w:rPr>
              <w:t>0), immunisation nurses (n=7)</w:t>
            </w:r>
          </w:p>
        </w:tc>
        <w:tc>
          <w:tcPr>
            <w:tcW w:w="2006" w:type="pct"/>
            <w:tcBorders>
              <w:top w:val="single" w:sz="6" w:space="0" w:color="auto"/>
              <w:left w:val="nil"/>
              <w:bottom w:val="single" w:sz="6" w:space="0" w:color="auto"/>
              <w:right w:val="nil"/>
            </w:tcBorders>
          </w:tcPr>
          <w:p w:rsidR="008454B0" w:rsidRPr="003408A6" w:rsidRDefault="008454B0" w:rsidP="00DE1E25">
            <w:pPr>
              <w:pStyle w:val="Tabletext"/>
              <w:rPr>
                <w:lang w:val="en-AU"/>
              </w:rPr>
            </w:pPr>
            <w:r w:rsidRPr="003408A6">
              <w:rPr>
                <w:lang w:val="en-AU"/>
              </w:rPr>
              <w:t>Successful programs were related to</w:t>
            </w:r>
            <w:r w:rsidR="00FB0621" w:rsidRPr="003408A6">
              <w:rPr>
                <w:lang w:val="en-AU"/>
              </w:rPr>
              <w:t xml:space="preserve"> </w:t>
            </w:r>
            <w:r w:rsidRPr="003408A6">
              <w:rPr>
                <w:lang w:val="en-AU"/>
              </w:rPr>
              <w:t>good preparation prior to vaccination day,</w:t>
            </w:r>
            <w:r w:rsidR="00FB0621" w:rsidRPr="003408A6">
              <w:rPr>
                <w:lang w:val="en-AU"/>
              </w:rPr>
              <w:t xml:space="preserve"> </w:t>
            </w:r>
            <w:r w:rsidRPr="003408A6">
              <w:rPr>
                <w:lang w:val="en-AU"/>
              </w:rPr>
              <w:t>involvement of coordinating teacher, school commitment, scheduling the time and place of vaccinations to suit school timetable, managing anxiety in girls, managing consent process and record keeping</w:t>
            </w:r>
            <w:r w:rsidR="00FB0621" w:rsidRPr="003408A6">
              <w:rPr>
                <w:lang w:val="en-AU"/>
              </w:rPr>
              <w:t>.</w:t>
            </w:r>
          </w:p>
        </w:tc>
      </w:tr>
      <w:tr w:rsidR="008454B0" w:rsidRPr="003408A6" w:rsidTr="0023448C">
        <w:trPr>
          <w:trHeight w:val="3107"/>
        </w:trPr>
        <w:tc>
          <w:tcPr>
            <w:tcW w:w="450" w:type="pct"/>
            <w:tcBorders>
              <w:top w:val="single" w:sz="6" w:space="0" w:color="auto"/>
              <w:left w:val="nil"/>
              <w:bottom w:val="single" w:sz="4" w:space="0" w:color="auto"/>
              <w:right w:val="nil"/>
            </w:tcBorders>
          </w:tcPr>
          <w:p w:rsidR="008454B0" w:rsidRPr="003408A6" w:rsidRDefault="008454B0" w:rsidP="00F27F90">
            <w:pPr>
              <w:pStyle w:val="Tabletext"/>
              <w:rPr>
                <w:lang w:val="en-AU"/>
              </w:rPr>
            </w:pPr>
            <w:r w:rsidRPr="003408A6">
              <w:rPr>
                <w:lang w:val="en-AU"/>
              </w:rPr>
              <w:t>Watson M</w:t>
            </w:r>
            <w:r w:rsidR="00413B61" w:rsidRPr="003408A6">
              <w:rPr>
                <w:lang w:val="en-AU"/>
              </w:rPr>
              <w:t>,</w:t>
            </w:r>
            <w:r w:rsidRPr="003408A6">
              <w:rPr>
                <w:lang w:val="en-AU"/>
              </w:rPr>
              <w:t xml:space="preserve"> et al</w:t>
            </w:r>
            <w:r w:rsidR="00413B61" w:rsidRPr="003408A6">
              <w:rPr>
                <w:lang w:val="en-AU"/>
              </w:rPr>
              <w:t>.</w:t>
            </w:r>
            <w:hyperlink w:anchor="_ENREF_32" w:tooltip="Watson, 2009 #117" w:history="1">
              <w:r w:rsidR="00F27F90" w:rsidRPr="003408A6">
                <w:rPr>
                  <w:lang w:val="en-AU"/>
                </w:rPr>
                <w:fldChar w:fldCharType="begin">
                  <w:fldData xml:space="preserve">PEVuZE5vdGU+PENpdGU+PEF1dGhvcj5XYXRzb248L0F1dGhvcj48WWVhcj4yMDA5PC9ZZWFyPjxS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F27F90" w:rsidRPr="003408A6">
                <w:rPr>
                  <w:lang w:val="en-AU"/>
                </w:rPr>
                <w:instrText xml:space="preserve"> ADDIN EN.CITE </w:instrText>
              </w:r>
              <w:r w:rsidR="00F27F90" w:rsidRPr="003408A6">
                <w:rPr>
                  <w:lang w:val="en-AU"/>
                </w:rPr>
                <w:fldChar w:fldCharType="begin">
                  <w:fldData xml:space="preserve">PEVuZE5vdGU+PENpdGU+PEF1dGhvcj5XYXRzb248L0F1dGhvcj48WWVhcj4yMDA5PC9ZZWFyPjxS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32</w:t>
              </w:r>
              <w:r w:rsidR="00F27F90" w:rsidRPr="003408A6">
                <w:rPr>
                  <w:lang w:val="en-AU"/>
                </w:rPr>
                <w:fldChar w:fldCharType="end"/>
              </w:r>
            </w:hyperlink>
          </w:p>
        </w:tc>
        <w:tc>
          <w:tcPr>
            <w:tcW w:w="419"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ANZJPH 2009</w:t>
            </w:r>
          </w:p>
        </w:tc>
        <w:tc>
          <w:tcPr>
            <w:tcW w:w="440"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South Australia</w:t>
            </w:r>
          </w:p>
        </w:tc>
        <w:tc>
          <w:tcPr>
            <w:tcW w:w="564"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Process evaluation</w:t>
            </w:r>
          </w:p>
        </w:tc>
        <w:tc>
          <w:tcPr>
            <w:tcW w:w="538"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S</w:t>
            </w:r>
            <w:r w:rsidR="00394DDE" w:rsidRPr="003408A6">
              <w:rPr>
                <w:lang w:val="en-AU"/>
              </w:rPr>
              <w:t xml:space="preserve">outh </w:t>
            </w:r>
            <w:r w:rsidRPr="003408A6">
              <w:rPr>
                <w:lang w:val="en-AU"/>
              </w:rPr>
              <w:t>A</w:t>
            </w:r>
            <w:r w:rsidR="00394DDE" w:rsidRPr="003408A6">
              <w:rPr>
                <w:lang w:val="en-AU"/>
              </w:rPr>
              <w:t>ustralian</w:t>
            </w:r>
            <w:r w:rsidRPr="003408A6">
              <w:rPr>
                <w:lang w:val="en-AU"/>
              </w:rPr>
              <w:t xml:space="preserve"> </w:t>
            </w:r>
            <w:r w:rsidR="00394DDE" w:rsidRPr="003408A6">
              <w:rPr>
                <w:lang w:val="en-AU"/>
              </w:rPr>
              <w:t>G</w:t>
            </w:r>
            <w:r w:rsidRPr="003408A6">
              <w:rPr>
                <w:lang w:val="en-AU"/>
              </w:rPr>
              <w:t xml:space="preserve">overnment </w:t>
            </w:r>
            <w:r w:rsidR="001A6B5E" w:rsidRPr="003408A6">
              <w:rPr>
                <w:lang w:val="en-AU"/>
              </w:rPr>
              <w:t>e</w:t>
            </w:r>
            <w:r w:rsidRPr="003408A6">
              <w:rPr>
                <w:lang w:val="en-AU"/>
              </w:rPr>
              <w:t xml:space="preserve">valuation of </w:t>
            </w:r>
            <w:r w:rsidR="00394DDE" w:rsidRPr="003408A6">
              <w:rPr>
                <w:lang w:val="en-AU"/>
              </w:rPr>
              <w:t xml:space="preserve">the </w:t>
            </w:r>
            <w:r w:rsidRPr="003408A6">
              <w:rPr>
                <w:lang w:val="en-AU"/>
              </w:rPr>
              <w:t xml:space="preserve">implementation </w:t>
            </w:r>
            <w:r w:rsidR="001A6B5E" w:rsidRPr="003408A6">
              <w:rPr>
                <w:lang w:val="en-AU"/>
              </w:rPr>
              <w:t xml:space="preserve">of </w:t>
            </w:r>
            <w:r w:rsidR="00394DDE" w:rsidRPr="003408A6">
              <w:rPr>
                <w:lang w:val="en-AU"/>
              </w:rPr>
              <w:t xml:space="preserve">the </w:t>
            </w:r>
            <w:r w:rsidRPr="003408A6">
              <w:rPr>
                <w:lang w:val="en-AU"/>
              </w:rPr>
              <w:t>girls school-based HPV program</w:t>
            </w:r>
          </w:p>
        </w:tc>
        <w:tc>
          <w:tcPr>
            <w:tcW w:w="583"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 xml:space="preserve">SA </w:t>
            </w:r>
            <w:r w:rsidR="001A6B5E" w:rsidRPr="003408A6">
              <w:rPr>
                <w:lang w:val="en-AU"/>
              </w:rPr>
              <w:t>j</w:t>
            </w:r>
            <w:r w:rsidRPr="003408A6">
              <w:rPr>
                <w:lang w:val="en-AU"/>
              </w:rPr>
              <w:t>urisdictional health officers</w:t>
            </w:r>
          </w:p>
        </w:tc>
        <w:tc>
          <w:tcPr>
            <w:tcW w:w="2006" w:type="pct"/>
            <w:tcBorders>
              <w:top w:val="single" w:sz="6" w:space="0" w:color="auto"/>
              <w:left w:val="nil"/>
              <w:bottom w:val="single" w:sz="4" w:space="0" w:color="auto"/>
              <w:right w:val="nil"/>
            </w:tcBorders>
          </w:tcPr>
          <w:p w:rsidR="008454B0" w:rsidRPr="003408A6" w:rsidRDefault="008454B0" w:rsidP="00BF3F7D">
            <w:pPr>
              <w:pStyle w:val="Tabletext"/>
              <w:rPr>
                <w:lang w:val="en-AU"/>
              </w:rPr>
            </w:pPr>
            <w:r w:rsidRPr="003408A6">
              <w:rPr>
                <w:lang w:val="en-AU"/>
              </w:rPr>
              <w:t xml:space="preserve">Service is delivered through local government. </w:t>
            </w:r>
          </w:p>
          <w:p w:rsidR="008454B0" w:rsidRPr="003408A6" w:rsidRDefault="008454B0" w:rsidP="00BF3F7D">
            <w:pPr>
              <w:pStyle w:val="Tabletext"/>
              <w:rPr>
                <w:lang w:val="en-AU"/>
              </w:rPr>
            </w:pPr>
            <w:r w:rsidRPr="003408A6">
              <w:rPr>
                <w:lang w:val="en-AU"/>
              </w:rPr>
              <w:t>There were issues with short timeframes</w:t>
            </w:r>
            <w:r w:rsidR="0012074C" w:rsidRPr="003408A6">
              <w:rPr>
                <w:lang w:val="en-AU"/>
              </w:rPr>
              <w:t xml:space="preserve"> for </w:t>
            </w:r>
            <w:r w:rsidR="00FB0621" w:rsidRPr="003408A6">
              <w:rPr>
                <w:lang w:val="en-AU"/>
              </w:rPr>
              <w:t xml:space="preserve">the </w:t>
            </w:r>
            <w:r w:rsidR="0012074C" w:rsidRPr="003408A6">
              <w:rPr>
                <w:lang w:val="en-AU"/>
              </w:rPr>
              <w:t>rollout</w:t>
            </w:r>
            <w:r w:rsidRPr="003408A6">
              <w:rPr>
                <w:lang w:val="en-AU"/>
              </w:rPr>
              <w:t xml:space="preserve"> including vaccine supply and setting dates for school visits.</w:t>
            </w:r>
          </w:p>
          <w:p w:rsidR="008454B0" w:rsidRPr="003408A6" w:rsidRDefault="008454B0" w:rsidP="00BF3F7D">
            <w:pPr>
              <w:pStyle w:val="Tabletext"/>
              <w:rPr>
                <w:lang w:val="en-AU"/>
              </w:rPr>
            </w:pPr>
            <w:r w:rsidRPr="003408A6">
              <w:rPr>
                <w:lang w:val="en-AU"/>
              </w:rPr>
              <w:t>Dates for 2007 were already set. This created issues for delivering the 3-dose schedule</w:t>
            </w:r>
            <w:r w:rsidR="0012074C" w:rsidRPr="003408A6">
              <w:rPr>
                <w:lang w:val="en-AU"/>
              </w:rPr>
              <w:t xml:space="preserve"> within the school year</w:t>
            </w:r>
            <w:r w:rsidRPr="003408A6">
              <w:rPr>
                <w:lang w:val="en-AU"/>
              </w:rPr>
              <w:t xml:space="preserve">. </w:t>
            </w:r>
          </w:p>
          <w:p w:rsidR="008454B0" w:rsidRPr="003408A6" w:rsidRDefault="008454B0" w:rsidP="00BF3F7D">
            <w:pPr>
              <w:pStyle w:val="Tabletext"/>
              <w:rPr>
                <w:lang w:val="en-AU"/>
              </w:rPr>
            </w:pPr>
            <w:r w:rsidRPr="003408A6">
              <w:rPr>
                <w:lang w:val="en-AU"/>
              </w:rPr>
              <w:t>Sensitive communication was needed to allay concerns and misinformation</w:t>
            </w:r>
            <w:r w:rsidR="001A6B5E" w:rsidRPr="003408A6">
              <w:rPr>
                <w:lang w:val="en-AU"/>
              </w:rPr>
              <w:t>;</w:t>
            </w:r>
            <w:r w:rsidRPr="003408A6">
              <w:rPr>
                <w:lang w:val="en-AU"/>
              </w:rPr>
              <w:t xml:space="preserve"> </w:t>
            </w:r>
            <w:r w:rsidR="001A6B5E" w:rsidRPr="003408A6">
              <w:rPr>
                <w:lang w:val="en-AU"/>
              </w:rPr>
              <w:t>t</w:t>
            </w:r>
            <w:r w:rsidRPr="003408A6">
              <w:rPr>
                <w:lang w:val="en-AU"/>
              </w:rPr>
              <w:t>herefore</w:t>
            </w:r>
            <w:r w:rsidR="001A6B5E" w:rsidRPr="003408A6">
              <w:rPr>
                <w:lang w:val="en-AU"/>
              </w:rPr>
              <w:t>,</w:t>
            </w:r>
            <w:r w:rsidRPr="003408A6">
              <w:rPr>
                <w:lang w:val="en-AU"/>
              </w:rPr>
              <w:t xml:space="preserve"> the message focused on reducing cancer. Two schools refused on religious grounds.</w:t>
            </w:r>
          </w:p>
          <w:p w:rsidR="008454B0" w:rsidRPr="003408A6" w:rsidRDefault="008454B0" w:rsidP="00BF3F7D">
            <w:pPr>
              <w:pStyle w:val="Tabletext"/>
              <w:rPr>
                <w:lang w:val="en-AU"/>
              </w:rPr>
            </w:pPr>
            <w:r w:rsidRPr="003408A6">
              <w:rPr>
                <w:lang w:val="en-AU"/>
              </w:rPr>
              <w:t xml:space="preserve">Anti-vaccine activity, mass psychogenic illness </w:t>
            </w:r>
            <w:r w:rsidR="001A6B5E" w:rsidRPr="003408A6">
              <w:rPr>
                <w:lang w:val="en-AU"/>
              </w:rPr>
              <w:t xml:space="preserve">and </w:t>
            </w:r>
            <w:r w:rsidRPr="003408A6">
              <w:rPr>
                <w:lang w:val="en-AU"/>
              </w:rPr>
              <w:t>adverse media attention created community concerns around the vaccine.</w:t>
            </w:r>
          </w:p>
          <w:p w:rsidR="008454B0" w:rsidRPr="003408A6" w:rsidRDefault="008454B0" w:rsidP="00BF3F7D">
            <w:pPr>
              <w:pStyle w:val="Tabletext"/>
              <w:rPr>
                <w:lang w:val="en-AU"/>
              </w:rPr>
            </w:pPr>
            <w:r w:rsidRPr="003408A6">
              <w:rPr>
                <w:lang w:val="en-AU"/>
              </w:rPr>
              <w:t>Social media can amplify rumours and adverse information.</w:t>
            </w:r>
          </w:p>
        </w:tc>
      </w:tr>
    </w:tbl>
    <w:p w:rsidR="008454B0" w:rsidRPr="003408A6" w:rsidRDefault="008454B0" w:rsidP="008454B0">
      <w:pPr>
        <w:pStyle w:val="Heading2"/>
        <w:sectPr w:rsidR="008454B0" w:rsidRPr="003408A6" w:rsidSect="00D07C02">
          <w:pgSz w:w="16838" w:h="11906" w:orient="landscape"/>
          <w:pgMar w:top="720" w:right="720" w:bottom="720" w:left="720" w:header="720" w:footer="720" w:gutter="0"/>
          <w:cols w:space="720"/>
          <w:docGrid w:linePitch="299"/>
        </w:sectPr>
      </w:pPr>
    </w:p>
    <w:p w:rsidR="006F78EB" w:rsidRPr="003408A6" w:rsidRDefault="006F78EB" w:rsidP="006F78EB">
      <w:pPr>
        <w:pStyle w:val="Heading3"/>
      </w:pPr>
      <w:bookmarkStart w:id="38" w:name="_Toc373497091"/>
      <w:r w:rsidRPr="003408A6">
        <w:t>Summary of media reports on the National HPV Vaccination Program</w:t>
      </w:r>
    </w:p>
    <w:p w:rsidR="006F78EB" w:rsidRPr="003408A6" w:rsidRDefault="006F78EB" w:rsidP="00BF3F7D">
      <w:pPr>
        <w:pStyle w:val="Heading4"/>
      </w:pPr>
      <w:r w:rsidRPr="003408A6">
        <w:t>Implementation of the female program 2007 to 2009</w:t>
      </w:r>
    </w:p>
    <w:p w:rsidR="006F78EB" w:rsidRPr="003408A6" w:rsidRDefault="003B1BAE" w:rsidP="00BF3F7D">
      <w:pPr>
        <w:pStyle w:val="BodyText"/>
        <w:rPr>
          <w:lang w:val="en-AU"/>
        </w:rPr>
      </w:pPr>
      <w:r>
        <w:rPr>
          <w:lang w:val="en-AU"/>
        </w:rPr>
        <w:t>A</w:t>
      </w:r>
      <w:r w:rsidRPr="003408A6">
        <w:rPr>
          <w:lang w:val="en-AU"/>
        </w:rPr>
        <w:t xml:space="preserve"> </w:t>
      </w:r>
      <w:r w:rsidR="006F78EB" w:rsidRPr="003408A6">
        <w:rPr>
          <w:lang w:val="en-AU"/>
        </w:rPr>
        <w:t xml:space="preserve">search </w:t>
      </w:r>
      <w:r>
        <w:rPr>
          <w:lang w:val="en-AU"/>
        </w:rPr>
        <w:t>of the</w:t>
      </w:r>
      <w:r w:rsidRPr="003408A6">
        <w:rPr>
          <w:lang w:val="en-AU"/>
        </w:rPr>
        <w:t xml:space="preserve"> </w:t>
      </w:r>
      <w:r w:rsidR="006F78EB" w:rsidRPr="003408A6">
        <w:rPr>
          <w:lang w:val="en-AU"/>
        </w:rPr>
        <w:t xml:space="preserve">Factiva </w:t>
      </w:r>
      <w:r>
        <w:rPr>
          <w:lang w:val="en-AU"/>
        </w:rPr>
        <w:t>database returned</w:t>
      </w:r>
      <w:r w:rsidRPr="003408A6">
        <w:rPr>
          <w:lang w:val="en-AU"/>
        </w:rPr>
        <w:t xml:space="preserve"> </w:t>
      </w:r>
      <w:r w:rsidR="006F78EB" w:rsidRPr="003408A6">
        <w:rPr>
          <w:lang w:val="en-AU"/>
        </w:rPr>
        <w:t xml:space="preserve">435 </w:t>
      </w:r>
      <w:r>
        <w:rPr>
          <w:lang w:val="en-AU"/>
        </w:rPr>
        <w:t xml:space="preserve">articles </w:t>
      </w:r>
      <w:r w:rsidR="006F78EB" w:rsidRPr="003408A6">
        <w:rPr>
          <w:lang w:val="en-AU"/>
        </w:rPr>
        <w:t>from the Australian print and electronic media between Jan</w:t>
      </w:r>
      <w:r>
        <w:rPr>
          <w:lang w:val="en-AU"/>
        </w:rPr>
        <w:t>uary</w:t>
      </w:r>
      <w:r w:rsidR="006F78EB" w:rsidRPr="003408A6">
        <w:rPr>
          <w:lang w:val="en-AU"/>
        </w:rPr>
        <w:t xml:space="preserve"> 2007 and December 2009, the period covering the implementation of the school-based program for adolescent females and the period of school</w:t>
      </w:r>
      <w:r>
        <w:rPr>
          <w:lang w:val="en-AU"/>
        </w:rPr>
        <w:t>-based</w:t>
      </w:r>
      <w:r w:rsidR="006F78EB" w:rsidRPr="003408A6">
        <w:rPr>
          <w:lang w:val="en-AU"/>
        </w:rPr>
        <w:t xml:space="preserve"> catch-up for adolescent females up to 18 years of age and the community catch</w:t>
      </w:r>
      <w:r w:rsidR="00EE26E6">
        <w:rPr>
          <w:lang w:val="en-AU"/>
        </w:rPr>
        <w:t>-</w:t>
      </w:r>
      <w:r w:rsidR="006F78EB" w:rsidRPr="003408A6">
        <w:rPr>
          <w:lang w:val="en-AU"/>
        </w:rPr>
        <w:t>up program for young women. The community catch-up program finished in 2009 while the school program for adolescent females aged 12</w:t>
      </w:r>
      <w:r>
        <w:rPr>
          <w:lang w:val="en-AU"/>
        </w:rPr>
        <w:t>–</w:t>
      </w:r>
      <w:r w:rsidR="006F78EB" w:rsidRPr="003408A6">
        <w:rPr>
          <w:lang w:val="en-AU"/>
        </w:rPr>
        <w:t xml:space="preserve">13 years continued on as a routine part of the </w:t>
      </w:r>
      <w:r w:rsidR="00E264E5">
        <w:rPr>
          <w:lang w:val="en-AU"/>
        </w:rPr>
        <w:t>NIP</w:t>
      </w:r>
      <w:r w:rsidR="006F78EB" w:rsidRPr="003408A6">
        <w:rPr>
          <w:lang w:val="en-AU"/>
        </w:rPr>
        <w:t xml:space="preserve">. </w:t>
      </w:r>
    </w:p>
    <w:p w:rsidR="006F78EB" w:rsidRPr="003408A6" w:rsidRDefault="006F78EB" w:rsidP="00BF3F7D">
      <w:pPr>
        <w:pStyle w:val="BodyText"/>
        <w:rPr>
          <w:lang w:val="en-AU"/>
        </w:rPr>
      </w:pPr>
      <w:r w:rsidRPr="003408A6">
        <w:rPr>
          <w:lang w:val="en-AU"/>
        </w:rPr>
        <w:t xml:space="preserve">The types of media reporting on the National HPV Vaccination </w:t>
      </w:r>
      <w:r w:rsidR="00717C9F" w:rsidRPr="003408A6">
        <w:rPr>
          <w:lang w:val="en-AU"/>
        </w:rPr>
        <w:t>Program during</w:t>
      </w:r>
      <w:r w:rsidRPr="003408A6">
        <w:rPr>
          <w:lang w:val="en-AU"/>
        </w:rPr>
        <w:t xml:space="preserve"> 2007 to 2009 is shown in </w:t>
      </w:r>
      <w:r w:rsidRPr="003408A6">
        <w:rPr>
          <w:b/>
          <w:lang w:val="en-AU"/>
        </w:rPr>
        <w:t>Table 2.4</w:t>
      </w:r>
      <w:r w:rsidRPr="003408A6">
        <w:rPr>
          <w:lang w:val="en-AU"/>
        </w:rPr>
        <w:t xml:space="preserve">. Reporting was dominated by the print media. Major </w:t>
      </w:r>
      <w:r w:rsidR="00717C9F" w:rsidRPr="003408A6">
        <w:rPr>
          <w:lang w:val="en-AU"/>
        </w:rPr>
        <w:t>newspapers and</w:t>
      </w:r>
      <w:r w:rsidRPr="003408A6">
        <w:rPr>
          <w:lang w:val="en-AU"/>
        </w:rPr>
        <w:t xml:space="preserve"> regional newspapers accounted for the majority of items.</w:t>
      </w:r>
    </w:p>
    <w:p w:rsidR="006F78EB" w:rsidRPr="003408A6" w:rsidRDefault="006F78EB" w:rsidP="00BF3F7D">
      <w:pPr>
        <w:pStyle w:val="Tableheading"/>
        <w:rPr>
          <w:lang w:val="en-AU"/>
        </w:rPr>
      </w:pPr>
      <w:bookmarkStart w:id="39" w:name="_Toc396475525"/>
      <w:bookmarkStart w:id="40" w:name="_Toc397000753"/>
      <w:r w:rsidRPr="003408A6">
        <w:rPr>
          <w:lang w:val="en-AU"/>
        </w:rPr>
        <w:t>Table 2.4</w:t>
      </w:r>
      <w:r w:rsidR="00901C17" w:rsidRPr="003408A6">
        <w:rPr>
          <w:lang w:val="en-AU"/>
        </w:rPr>
        <w:t>.</w:t>
      </w:r>
      <w:r w:rsidR="00901C17" w:rsidRPr="003408A6">
        <w:rPr>
          <w:lang w:val="en-AU"/>
        </w:rPr>
        <w:tab/>
      </w:r>
      <w:r w:rsidRPr="003408A6">
        <w:rPr>
          <w:lang w:val="en-AU"/>
        </w:rPr>
        <w:t>Distribution of selected Australian print and electronic news media on the National HPV Vaccination Program</w:t>
      </w:r>
      <w:r w:rsidR="00627C33">
        <w:rPr>
          <w:lang w:val="en-AU"/>
        </w:rPr>
        <w:t>,</w:t>
      </w:r>
      <w:r w:rsidRPr="003408A6">
        <w:rPr>
          <w:lang w:val="en-AU"/>
        </w:rPr>
        <w:t xml:space="preserve"> 2007 to 2009</w:t>
      </w:r>
      <w:r w:rsidR="00627C33">
        <w:rPr>
          <w:lang w:val="en-AU"/>
        </w:rPr>
        <w:t>,</w:t>
      </w:r>
      <w:r w:rsidRPr="003408A6">
        <w:rPr>
          <w:lang w:val="en-AU"/>
        </w:rPr>
        <w:t xml:space="preserve"> by type of media</w:t>
      </w:r>
      <w:bookmarkEnd w:id="39"/>
      <w:bookmarkEnd w:id="40"/>
    </w:p>
    <w:tbl>
      <w:tblPr>
        <w:tblW w:w="3280" w:type="pct"/>
        <w:tblLook w:val="0000" w:firstRow="0" w:lastRow="0" w:firstColumn="0" w:lastColumn="0" w:noHBand="0" w:noVBand="0"/>
      </w:tblPr>
      <w:tblGrid>
        <w:gridCol w:w="3652"/>
        <w:gridCol w:w="2411"/>
      </w:tblGrid>
      <w:tr w:rsidR="006F78EB" w:rsidRPr="003408A6" w:rsidTr="003B1BAE">
        <w:trPr>
          <w:trHeight w:val="290"/>
        </w:trPr>
        <w:tc>
          <w:tcPr>
            <w:tcW w:w="3012" w:type="pct"/>
            <w:tcBorders>
              <w:top w:val="single" w:sz="4" w:space="0" w:color="auto"/>
              <w:left w:val="nil"/>
              <w:bottom w:val="single" w:sz="4" w:space="0" w:color="auto"/>
              <w:right w:val="nil"/>
            </w:tcBorders>
          </w:tcPr>
          <w:p w:rsidR="006F78EB" w:rsidRPr="003408A6" w:rsidRDefault="006F78EB" w:rsidP="003B1BAE">
            <w:pPr>
              <w:pStyle w:val="Tablecolumnheading"/>
              <w:rPr>
                <w:lang w:val="en-AU"/>
              </w:rPr>
            </w:pPr>
            <w:r w:rsidRPr="003408A6">
              <w:rPr>
                <w:lang w:val="en-AU"/>
              </w:rPr>
              <w:t xml:space="preserve">Media </w:t>
            </w:r>
            <w:r w:rsidR="003B1BAE">
              <w:rPr>
                <w:lang w:val="en-AU"/>
              </w:rPr>
              <w:t>t</w:t>
            </w:r>
            <w:r w:rsidRPr="003408A6">
              <w:rPr>
                <w:lang w:val="en-AU"/>
              </w:rPr>
              <w:t>ype</w:t>
            </w:r>
          </w:p>
        </w:tc>
        <w:tc>
          <w:tcPr>
            <w:tcW w:w="1988" w:type="pct"/>
            <w:tcBorders>
              <w:top w:val="single" w:sz="4" w:space="0" w:color="auto"/>
              <w:left w:val="nil"/>
              <w:bottom w:val="single" w:sz="4" w:space="0" w:color="auto"/>
              <w:right w:val="nil"/>
            </w:tcBorders>
          </w:tcPr>
          <w:p w:rsidR="006F78EB" w:rsidRPr="003408A6" w:rsidRDefault="006F78EB" w:rsidP="00BF3F7D">
            <w:pPr>
              <w:pStyle w:val="Tablecolumnheading"/>
              <w:rPr>
                <w:lang w:val="en-AU"/>
              </w:rPr>
            </w:pPr>
            <w:r w:rsidRPr="003408A6">
              <w:rPr>
                <w:lang w:val="en-AU"/>
              </w:rPr>
              <w:t>Number of reports</w:t>
            </w:r>
          </w:p>
        </w:tc>
      </w:tr>
      <w:tr w:rsidR="006F78EB" w:rsidRPr="003408A6" w:rsidTr="003B1BAE">
        <w:trPr>
          <w:trHeight w:val="290"/>
        </w:trPr>
        <w:tc>
          <w:tcPr>
            <w:tcW w:w="3012" w:type="pct"/>
            <w:tcBorders>
              <w:top w:val="single" w:sz="4" w:space="0" w:color="auto"/>
              <w:left w:val="nil"/>
              <w:bottom w:val="nil"/>
              <w:right w:val="nil"/>
            </w:tcBorders>
          </w:tcPr>
          <w:p w:rsidR="006F78EB" w:rsidRPr="003408A6" w:rsidRDefault="006F78EB" w:rsidP="00BF3F7D">
            <w:pPr>
              <w:pStyle w:val="Tabletext"/>
              <w:rPr>
                <w:lang w:val="en-AU"/>
              </w:rPr>
            </w:pPr>
            <w:r w:rsidRPr="003408A6">
              <w:rPr>
                <w:lang w:val="en-AU"/>
              </w:rPr>
              <w:t>Major newspapers and magazines</w:t>
            </w:r>
          </w:p>
        </w:tc>
        <w:tc>
          <w:tcPr>
            <w:tcW w:w="1988" w:type="pct"/>
            <w:tcBorders>
              <w:top w:val="single" w:sz="4" w:space="0" w:color="auto"/>
              <w:left w:val="nil"/>
              <w:bottom w:val="nil"/>
              <w:right w:val="nil"/>
            </w:tcBorders>
          </w:tcPr>
          <w:p w:rsidR="006F78EB" w:rsidRPr="003408A6" w:rsidRDefault="006F78EB" w:rsidP="00BF3F7D">
            <w:pPr>
              <w:pStyle w:val="Tabletext"/>
              <w:rPr>
                <w:lang w:val="en-AU"/>
              </w:rPr>
            </w:pPr>
            <w:r w:rsidRPr="003408A6">
              <w:rPr>
                <w:lang w:val="en-AU"/>
              </w:rPr>
              <w:t>176</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BF3F7D">
            <w:pPr>
              <w:pStyle w:val="Tabletext"/>
              <w:rPr>
                <w:lang w:val="en-AU"/>
              </w:rPr>
            </w:pPr>
            <w:r w:rsidRPr="003408A6">
              <w:rPr>
                <w:lang w:val="en-AU"/>
              </w:rPr>
              <w:t>Regional papers</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135</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BF3F7D">
            <w:pPr>
              <w:pStyle w:val="Tabletext"/>
              <w:rPr>
                <w:lang w:val="en-AU"/>
              </w:rPr>
            </w:pPr>
            <w:r w:rsidRPr="003408A6">
              <w:rPr>
                <w:lang w:val="en-AU"/>
              </w:rPr>
              <w:t>AAP news bulletins</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46</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BF3F7D">
            <w:pPr>
              <w:pStyle w:val="Tabletext"/>
              <w:rPr>
                <w:lang w:val="en-AU"/>
              </w:rPr>
            </w:pPr>
            <w:r w:rsidRPr="003408A6">
              <w:rPr>
                <w:lang w:val="en-AU"/>
              </w:rPr>
              <w:t>Medical media</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30</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3B1BAE">
            <w:pPr>
              <w:pStyle w:val="Tabletext"/>
              <w:rPr>
                <w:lang w:val="en-AU"/>
              </w:rPr>
            </w:pPr>
            <w:r w:rsidRPr="003408A6">
              <w:rPr>
                <w:lang w:val="en-AU"/>
              </w:rPr>
              <w:t>Radio/</w:t>
            </w:r>
            <w:r w:rsidR="003B1BAE">
              <w:rPr>
                <w:lang w:val="en-AU"/>
              </w:rPr>
              <w:t>t</w:t>
            </w:r>
            <w:r w:rsidRPr="003408A6">
              <w:rPr>
                <w:lang w:val="en-AU"/>
              </w:rPr>
              <w:t>elevision</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18</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BF3F7D">
            <w:pPr>
              <w:pStyle w:val="Tabletext"/>
              <w:rPr>
                <w:lang w:val="en-AU"/>
              </w:rPr>
            </w:pPr>
            <w:r w:rsidRPr="003408A6">
              <w:rPr>
                <w:lang w:val="en-AU"/>
              </w:rPr>
              <w:t>Other media</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14</w:t>
            </w:r>
          </w:p>
        </w:tc>
      </w:tr>
      <w:tr w:rsidR="006F78EB" w:rsidRPr="003408A6" w:rsidTr="003B1BAE">
        <w:trPr>
          <w:trHeight w:val="290"/>
        </w:trPr>
        <w:tc>
          <w:tcPr>
            <w:tcW w:w="3012" w:type="pct"/>
            <w:tcBorders>
              <w:top w:val="nil"/>
              <w:left w:val="nil"/>
              <w:bottom w:val="nil"/>
              <w:right w:val="nil"/>
            </w:tcBorders>
          </w:tcPr>
          <w:p w:rsidR="006F78EB" w:rsidRPr="003408A6" w:rsidRDefault="006F78EB" w:rsidP="00BF3F7D">
            <w:pPr>
              <w:pStyle w:val="Tabletext"/>
              <w:rPr>
                <w:lang w:val="en-AU"/>
              </w:rPr>
            </w:pPr>
            <w:r w:rsidRPr="003408A6">
              <w:rPr>
                <w:lang w:val="en-AU"/>
              </w:rPr>
              <w:t>Popular</w:t>
            </w:r>
          </w:p>
        </w:tc>
        <w:tc>
          <w:tcPr>
            <w:tcW w:w="1988" w:type="pct"/>
            <w:tcBorders>
              <w:top w:val="nil"/>
              <w:left w:val="nil"/>
              <w:bottom w:val="nil"/>
              <w:right w:val="nil"/>
            </w:tcBorders>
          </w:tcPr>
          <w:p w:rsidR="006F78EB" w:rsidRPr="003408A6" w:rsidRDefault="006F78EB" w:rsidP="00BF3F7D">
            <w:pPr>
              <w:pStyle w:val="Tabletext"/>
              <w:rPr>
                <w:lang w:val="en-AU"/>
              </w:rPr>
            </w:pPr>
            <w:r w:rsidRPr="003408A6">
              <w:rPr>
                <w:lang w:val="en-AU"/>
              </w:rPr>
              <w:t>12</w:t>
            </w:r>
          </w:p>
        </w:tc>
      </w:tr>
      <w:tr w:rsidR="006F78EB" w:rsidRPr="003408A6" w:rsidTr="003B1BAE">
        <w:trPr>
          <w:trHeight w:val="290"/>
        </w:trPr>
        <w:tc>
          <w:tcPr>
            <w:tcW w:w="3012" w:type="pct"/>
            <w:tcBorders>
              <w:top w:val="nil"/>
              <w:left w:val="nil"/>
              <w:bottom w:val="single" w:sz="4" w:space="0" w:color="auto"/>
              <w:right w:val="nil"/>
            </w:tcBorders>
          </w:tcPr>
          <w:p w:rsidR="006F78EB" w:rsidRPr="003408A6" w:rsidRDefault="006F78EB" w:rsidP="00BF3F7D">
            <w:pPr>
              <w:pStyle w:val="Tabletext"/>
              <w:rPr>
                <w:lang w:val="en-AU"/>
              </w:rPr>
            </w:pPr>
            <w:r w:rsidRPr="003408A6">
              <w:rPr>
                <w:lang w:val="en-AU"/>
              </w:rPr>
              <w:t>Other wire</w:t>
            </w:r>
          </w:p>
        </w:tc>
        <w:tc>
          <w:tcPr>
            <w:tcW w:w="1988" w:type="pct"/>
            <w:tcBorders>
              <w:top w:val="nil"/>
              <w:left w:val="nil"/>
              <w:bottom w:val="single" w:sz="4" w:space="0" w:color="auto"/>
              <w:right w:val="nil"/>
            </w:tcBorders>
          </w:tcPr>
          <w:p w:rsidR="006F78EB" w:rsidRPr="003408A6" w:rsidRDefault="006F78EB" w:rsidP="00BF3F7D">
            <w:pPr>
              <w:pStyle w:val="Tabletext"/>
              <w:rPr>
                <w:lang w:val="en-AU"/>
              </w:rPr>
            </w:pPr>
            <w:r w:rsidRPr="003408A6">
              <w:rPr>
                <w:lang w:val="en-AU"/>
              </w:rPr>
              <w:t>4</w:t>
            </w:r>
          </w:p>
        </w:tc>
      </w:tr>
      <w:tr w:rsidR="006F78EB" w:rsidRPr="003408A6" w:rsidTr="003B1BAE">
        <w:trPr>
          <w:trHeight w:val="290"/>
        </w:trPr>
        <w:tc>
          <w:tcPr>
            <w:tcW w:w="3012" w:type="pct"/>
            <w:tcBorders>
              <w:top w:val="single" w:sz="4" w:space="0" w:color="auto"/>
              <w:left w:val="nil"/>
              <w:bottom w:val="single" w:sz="4" w:space="0" w:color="auto"/>
              <w:right w:val="nil"/>
            </w:tcBorders>
          </w:tcPr>
          <w:p w:rsidR="006F78EB" w:rsidRPr="003408A6" w:rsidRDefault="006F78EB" w:rsidP="00BF3F7D">
            <w:pPr>
              <w:pStyle w:val="Tabletextbold"/>
              <w:rPr>
                <w:lang w:val="en-AU"/>
              </w:rPr>
            </w:pPr>
            <w:r w:rsidRPr="003408A6">
              <w:rPr>
                <w:lang w:val="en-AU"/>
              </w:rPr>
              <w:t>Total</w:t>
            </w:r>
          </w:p>
        </w:tc>
        <w:tc>
          <w:tcPr>
            <w:tcW w:w="1988" w:type="pct"/>
            <w:tcBorders>
              <w:top w:val="single" w:sz="4" w:space="0" w:color="auto"/>
              <w:left w:val="nil"/>
              <w:bottom w:val="single" w:sz="4" w:space="0" w:color="auto"/>
              <w:right w:val="nil"/>
            </w:tcBorders>
          </w:tcPr>
          <w:p w:rsidR="006F78EB" w:rsidRPr="003408A6" w:rsidRDefault="006F78EB" w:rsidP="00BF3F7D">
            <w:pPr>
              <w:pStyle w:val="Tabletextbold"/>
              <w:rPr>
                <w:lang w:val="en-AU"/>
              </w:rPr>
            </w:pPr>
            <w:r w:rsidRPr="003408A6">
              <w:rPr>
                <w:lang w:val="en-AU"/>
              </w:rPr>
              <w:t>435</w:t>
            </w:r>
          </w:p>
        </w:tc>
      </w:tr>
    </w:tbl>
    <w:p w:rsidR="006F78EB" w:rsidRPr="003408A6" w:rsidRDefault="006F78EB" w:rsidP="00BF3F7D">
      <w:pPr>
        <w:pStyle w:val="Bodytextaftertable"/>
        <w:rPr>
          <w:lang w:val="en-AU"/>
        </w:rPr>
      </w:pPr>
      <w:r w:rsidRPr="003408A6">
        <w:rPr>
          <w:lang w:val="en-AU"/>
        </w:rPr>
        <w:t xml:space="preserve">A summary of the proportion of articles and reports in each year 2007 to 2009 with positive or negative content is shown in </w:t>
      </w:r>
      <w:r w:rsidRPr="0023448C">
        <w:rPr>
          <w:b/>
          <w:lang w:val="en-AU"/>
        </w:rPr>
        <w:t>Table 2.5</w:t>
      </w:r>
      <w:r w:rsidRPr="003408A6">
        <w:rPr>
          <w:lang w:val="en-AU"/>
        </w:rPr>
        <w:t xml:space="preserve">. This list of 435 articles and reports is not exhaustive </w:t>
      </w:r>
      <w:r w:rsidR="003B1BAE">
        <w:rPr>
          <w:lang w:val="en-AU"/>
        </w:rPr>
        <w:t>but</w:t>
      </w:r>
      <w:r w:rsidR="003B1BAE" w:rsidRPr="003408A6">
        <w:rPr>
          <w:lang w:val="en-AU"/>
        </w:rPr>
        <w:t xml:space="preserve"> </w:t>
      </w:r>
      <w:r w:rsidR="00717C9F" w:rsidRPr="003408A6">
        <w:rPr>
          <w:lang w:val="en-AU"/>
        </w:rPr>
        <w:t>provides</w:t>
      </w:r>
      <w:r w:rsidRPr="003408A6">
        <w:rPr>
          <w:lang w:val="en-AU"/>
        </w:rPr>
        <w:t xml:space="preserve"> an indication of the number and tone of reports in the Australian media at the time of the implementation of the female catch-up program.</w:t>
      </w:r>
    </w:p>
    <w:p w:rsidR="006F78EB" w:rsidRPr="003408A6" w:rsidRDefault="00901C17" w:rsidP="006F78EB">
      <w:pPr>
        <w:pStyle w:val="Tableheading"/>
        <w:rPr>
          <w:lang w:val="en-AU"/>
        </w:rPr>
      </w:pPr>
      <w:bookmarkStart w:id="41" w:name="_Toc396475526"/>
      <w:bookmarkStart w:id="42" w:name="_Toc397000754"/>
      <w:r w:rsidRPr="003408A6">
        <w:rPr>
          <w:lang w:val="en-AU"/>
        </w:rPr>
        <w:t>Table 2.5.</w:t>
      </w:r>
      <w:r w:rsidRPr="003408A6">
        <w:rPr>
          <w:lang w:val="en-AU"/>
        </w:rPr>
        <w:tab/>
      </w:r>
      <w:r w:rsidR="006F78EB" w:rsidRPr="003408A6">
        <w:rPr>
          <w:lang w:val="en-AU"/>
        </w:rPr>
        <w:t>Distribution of selected Australian print and electronic news media on the National HPV Vaccination Program</w:t>
      </w:r>
      <w:r w:rsidR="00627C33">
        <w:rPr>
          <w:lang w:val="en-AU"/>
        </w:rPr>
        <w:t>,</w:t>
      </w:r>
      <w:r w:rsidR="006F78EB" w:rsidRPr="003408A6">
        <w:rPr>
          <w:lang w:val="en-AU"/>
        </w:rPr>
        <w:t xml:space="preserve"> 2007 to 2009</w:t>
      </w:r>
      <w:r w:rsidR="00627C33">
        <w:rPr>
          <w:lang w:val="en-AU"/>
        </w:rPr>
        <w:t>,</w:t>
      </w:r>
      <w:r w:rsidR="006F78EB" w:rsidRPr="003408A6">
        <w:rPr>
          <w:lang w:val="en-AU"/>
        </w:rPr>
        <w:t xml:space="preserve"> by message content</w:t>
      </w:r>
      <w:bookmarkEnd w:id="41"/>
      <w:bookmarkEnd w:id="42"/>
    </w:p>
    <w:tbl>
      <w:tblPr>
        <w:tblW w:w="4528" w:type="pct"/>
        <w:tblBorders>
          <w:top w:val="single" w:sz="4" w:space="0" w:color="auto"/>
          <w:bottom w:val="single" w:sz="4" w:space="0" w:color="auto"/>
        </w:tblBorders>
        <w:tblLook w:val="0000" w:firstRow="0" w:lastRow="0" w:firstColumn="0" w:lastColumn="0" w:noHBand="0" w:noVBand="0"/>
      </w:tblPr>
      <w:tblGrid>
        <w:gridCol w:w="1668"/>
        <w:gridCol w:w="1676"/>
        <w:gridCol w:w="1676"/>
        <w:gridCol w:w="1676"/>
        <w:gridCol w:w="1674"/>
      </w:tblGrid>
      <w:tr w:rsidR="006F78EB" w:rsidRPr="003408A6" w:rsidTr="003B1BAE">
        <w:trPr>
          <w:trHeight w:val="290"/>
        </w:trPr>
        <w:tc>
          <w:tcPr>
            <w:tcW w:w="997" w:type="pct"/>
            <w:tcBorders>
              <w:top w:val="single" w:sz="4" w:space="0" w:color="auto"/>
              <w:bottom w:val="single" w:sz="4" w:space="0" w:color="auto"/>
            </w:tcBorders>
          </w:tcPr>
          <w:p w:rsidR="006F78EB" w:rsidRPr="003408A6" w:rsidRDefault="006F78EB" w:rsidP="00BF3F7D">
            <w:pPr>
              <w:pStyle w:val="Tablecolumnheadings"/>
              <w:rPr>
                <w:lang w:val="en-AU"/>
              </w:rPr>
            </w:pPr>
          </w:p>
        </w:tc>
        <w:tc>
          <w:tcPr>
            <w:tcW w:w="1001" w:type="pct"/>
            <w:tcBorders>
              <w:top w:val="single" w:sz="4" w:space="0" w:color="auto"/>
              <w:bottom w:val="single" w:sz="4" w:space="0" w:color="auto"/>
            </w:tcBorders>
          </w:tcPr>
          <w:p w:rsidR="006F78EB" w:rsidRPr="003408A6" w:rsidRDefault="006F78EB" w:rsidP="00BF3F7D">
            <w:pPr>
              <w:pStyle w:val="Tablecolumnheadings"/>
              <w:rPr>
                <w:lang w:val="en-AU"/>
              </w:rPr>
            </w:pPr>
            <w:r w:rsidRPr="003408A6">
              <w:rPr>
                <w:lang w:val="en-AU"/>
              </w:rPr>
              <w:t>2007</w:t>
            </w:r>
          </w:p>
        </w:tc>
        <w:tc>
          <w:tcPr>
            <w:tcW w:w="1001" w:type="pct"/>
            <w:tcBorders>
              <w:top w:val="single" w:sz="4" w:space="0" w:color="auto"/>
              <w:bottom w:val="single" w:sz="4" w:space="0" w:color="auto"/>
            </w:tcBorders>
          </w:tcPr>
          <w:p w:rsidR="006F78EB" w:rsidRPr="003408A6" w:rsidRDefault="006F78EB" w:rsidP="00BF3F7D">
            <w:pPr>
              <w:pStyle w:val="Tablecolumnheadings"/>
              <w:rPr>
                <w:lang w:val="en-AU"/>
              </w:rPr>
            </w:pPr>
            <w:r w:rsidRPr="003408A6">
              <w:rPr>
                <w:lang w:val="en-AU"/>
              </w:rPr>
              <w:t>2008</w:t>
            </w:r>
          </w:p>
        </w:tc>
        <w:tc>
          <w:tcPr>
            <w:tcW w:w="1001" w:type="pct"/>
            <w:tcBorders>
              <w:top w:val="single" w:sz="4" w:space="0" w:color="auto"/>
              <w:bottom w:val="single" w:sz="4" w:space="0" w:color="auto"/>
            </w:tcBorders>
          </w:tcPr>
          <w:p w:rsidR="006F78EB" w:rsidRPr="003408A6" w:rsidRDefault="006F78EB" w:rsidP="00BF3F7D">
            <w:pPr>
              <w:pStyle w:val="Tablecolumnheadings"/>
              <w:rPr>
                <w:lang w:val="en-AU"/>
              </w:rPr>
            </w:pPr>
            <w:r w:rsidRPr="003408A6">
              <w:rPr>
                <w:lang w:val="en-AU"/>
              </w:rPr>
              <w:t>2009</w:t>
            </w:r>
          </w:p>
        </w:tc>
        <w:tc>
          <w:tcPr>
            <w:tcW w:w="1001" w:type="pct"/>
            <w:tcBorders>
              <w:top w:val="single" w:sz="4" w:space="0" w:color="auto"/>
              <w:bottom w:val="single" w:sz="4" w:space="0" w:color="auto"/>
            </w:tcBorders>
          </w:tcPr>
          <w:p w:rsidR="006F78EB" w:rsidRPr="003408A6" w:rsidRDefault="006F78EB" w:rsidP="00BF3F7D">
            <w:pPr>
              <w:pStyle w:val="Tablecolumnheadings"/>
              <w:rPr>
                <w:lang w:val="en-AU"/>
              </w:rPr>
            </w:pPr>
            <w:r w:rsidRPr="003408A6">
              <w:rPr>
                <w:lang w:val="en-AU"/>
              </w:rPr>
              <w:t>Grand Total</w:t>
            </w:r>
          </w:p>
        </w:tc>
      </w:tr>
      <w:tr w:rsidR="006F78EB" w:rsidRPr="003408A6" w:rsidTr="003B1BAE">
        <w:trPr>
          <w:trHeight w:val="290"/>
        </w:trPr>
        <w:tc>
          <w:tcPr>
            <w:tcW w:w="997" w:type="pct"/>
            <w:tcBorders>
              <w:top w:val="single" w:sz="4" w:space="0" w:color="auto"/>
            </w:tcBorders>
          </w:tcPr>
          <w:p w:rsidR="006F78EB" w:rsidRPr="003408A6" w:rsidRDefault="006F78EB" w:rsidP="00BF3F7D">
            <w:pPr>
              <w:pStyle w:val="Tabletextbold"/>
              <w:rPr>
                <w:lang w:val="en-AU"/>
              </w:rPr>
            </w:pPr>
            <w:r w:rsidRPr="003408A6">
              <w:rPr>
                <w:lang w:val="en-AU"/>
              </w:rPr>
              <w:t>Negative</w:t>
            </w:r>
          </w:p>
        </w:tc>
        <w:tc>
          <w:tcPr>
            <w:tcW w:w="1001" w:type="pct"/>
            <w:tcBorders>
              <w:top w:val="single" w:sz="4" w:space="0" w:color="auto"/>
            </w:tcBorders>
          </w:tcPr>
          <w:p w:rsidR="006F78EB" w:rsidRPr="003408A6" w:rsidRDefault="006F78EB" w:rsidP="003B1BAE">
            <w:pPr>
              <w:pStyle w:val="Tabletextcentred"/>
            </w:pPr>
            <w:r w:rsidRPr="003408A6">
              <w:t>38 (16.4%)</w:t>
            </w:r>
          </w:p>
        </w:tc>
        <w:tc>
          <w:tcPr>
            <w:tcW w:w="1001" w:type="pct"/>
            <w:tcBorders>
              <w:top w:val="single" w:sz="4" w:space="0" w:color="auto"/>
            </w:tcBorders>
          </w:tcPr>
          <w:p w:rsidR="006F78EB" w:rsidRPr="003408A6" w:rsidRDefault="006F78EB" w:rsidP="003B1BAE">
            <w:pPr>
              <w:pStyle w:val="Tabletextcentred"/>
            </w:pPr>
            <w:r w:rsidRPr="003408A6">
              <w:t>20 (21%)</w:t>
            </w:r>
          </w:p>
        </w:tc>
        <w:tc>
          <w:tcPr>
            <w:tcW w:w="1001" w:type="pct"/>
            <w:tcBorders>
              <w:top w:val="single" w:sz="4" w:space="0" w:color="auto"/>
            </w:tcBorders>
          </w:tcPr>
          <w:p w:rsidR="006F78EB" w:rsidRPr="003408A6" w:rsidRDefault="006F78EB" w:rsidP="003B1BAE">
            <w:pPr>
              <w:pStyle w:val="Tabletextcentred"/>
            </w:pPr>
            <w:r w:rsidRPr="003408A6">
              <w:t>10 (9%)</w:t>
            </w:r>
          </w:p>
        </w:tc>
        <w:tc>
          <w:tcPr>
            <w:tcW w:w="1001" w:type="pct"/>
            <w:tcBorders>
              <w:top w:val="single" w:sz="4" w:space="0" w:color="auto"/>
            </w:tcBorders>
          </w:tcPr>
          <w:p w:rsidR="006F78EB" w:rsidRPr="003408A6" w:rsidRDefault="006F78EB" w:rsidP="003B1BAE">
            <w:pPr>
              <w:pStyle w:val="Tabletextcentred"/>
            </w:pPr>
            <w:r w:rsidRPr="003408A6">
              <w:t>68 (15.6%)</w:t>
            </w:r>
          </w:p>
        </w:tc>
      </w:tr>
      <w:tr w:rsidR="006F78EB" w:rsidRPr="003408A6" w:rsidTr="003B1BAE">
        <w:trPr>
          <w:trHeight w:val="290"/>
        </w:trPr>
        <w:tc>
          <w:tcPr>
            <w:tcW w:w="997" w:type="pct"/>
            <w:tcBorders>
              <w:bottom w:val="single" w:sz="4" w:space="0" w:color="auto"/>
            </w:tcBorders>
          </w:tcPr>
          <w:p w:rsidR="006F78EB" w:rsidRPr="003408A6" w:rsidRDefault="006F78EB" w:rsidP="00BF3F7D">
            <w:pPr>
              <w:pStyle w:val="Tabletextbold"/>
              <w:rPr>
                <w:lang w:val="en-AU"/>
              </w:rPr>
            </w:pPr>
            <w:r w:rsidRPr="003408A6">
              <w:rPr>
                <w:lang w:val="en-AU"/>
              </w:rPr>
              <w:t>Positive</w:t>
            </w:r>
          </w:p>
        </w:tc>
        <w:tc>
          <w:tcPr>
            <w:tcW w:w="1001" w:type="pct"/>
            <w:tcBorders>
              <w:bottom w:val="single" w:sz="4" w:space="0" w:color="auto"/>
            </w:tcBorders>
          </w:tcPr>
          <w:p w:rsidR="006F78EB" w:rsidRPr="003408A6" w:rsidRDefault="006F78EB" w:rsidP="003B1BAE">
            <w:pPr>
              <w:pStyle w:val="Tabletextcentred"/>
            </w:pPr>
            <w:r w:rsidRPr="003408A6">
              <w:t>194 (83.6%)</w:t>
            </w:r>
          </w:p>
        </w:tc>
        <w:tc>
          <w:tcPr>
            <w:tcW w:w="1001" w:type="pct"/>
            <w:tcBorders>
              <w:bottom w:val="single" w:sz="4" w:space="0" w:color="auto"/>
            </w:tcBorders>
          </w:tcPr>
          <w:p w:rsidR="006F78EB" w:rsidRPr="003408A6" w:rsidRDefault="006F78EB" w:rsidP="003B1BAE">
            <w:pPr>
              <w:pStyle w:val="Tabletextcentred"/>
            </w:pPr>
            <w:r w:rsidRPr="003408A6">
              <w:t>77 (79%)</w:t>
            </w:r>
          </w:p>
        </w:tc>
        <w:tc>
          <w:tcPr>
            <w:tcW w:w="1001" w:type="pct"/>
            <w:tcBorders>
              <w:bottom w:val="single" w:sz="4" w:space="0" w:color="auto"/>
            </w:tcBorders>
          </w:tcPr>
          <w:p w:rsidR="006F78EB" w:rsidRPr="003408A6" w:rsidRDefault="006F78EB" w:rsidP="003B1BAE">
            <w:pPr>
              <w:pStyle w:val="Tabletextcentred"/>
            </w:pPr>
            <w:r w:rsidRPr="003408A6">
              <w:t>96 (91%)</w:t>
            </w:r>
          </w:p>
        </w:tc>
        <w:tc>
          <w:tcPr>
            <w:tcW w:w="1001" w:type="pct"/>
            <w:tcBorders>
              <w:bottom w:val="single" w:sz="4" w:space="0" w:color="auto"/>
            </w:tcBorders>
          </w:tcPr>
          <w:p w:rsidR="006F78EB" w:rsidRPr="003408A6" w:rsidRDefault="006F78EB" w:rsidP="003B1BAE">
            <w:pPr>
              <w:pStyle w:val="Tabletextcentred"/>
            </w:pPr>
            <w:r w:rsidRPr="003408A6">
              <w:t>367 (83.9)</w:t>
            </w:r>
          </w:p>
        </w:tc>
      </w:tr>
      <w:tr w:rsidR="006F78EB" w:rsidRPr="003408A6" w:rsidTr="003B1BAE">
        <w:trPr>
          <w:trHeight w:val="290"/>
        </w:trPr>
        <w:tc>
          <w:tcPr>
            <w:tcW w:w="997" w:type="pct"/>
            <w:tcBorders>
              <w:top w:val="single" w:sz="4" w:space="0" w:color="auto"/>
              <w:bottom w:val="single" w:sz="4" w:space="0" w:color="auto"/>
            </w:tcBorders>
          </w:tcPr>
          <w:p w:rsidR="006F78EB" w:rsidRPr="003408A6" w:rsidRDefault="006F78EB" w:rsidP="00BF3F7D">
            <w:pPr>
              <w:pStyle w:val="Tabletextbold"/>
              <w:rPr>
                <w:lang w:val="en-AU"/>
              </w:rPr>
            </w:pPr>
            <w:r w:rsidRPr="003408A6">
              <w:rPr>
                <w:lang w:val="en-AU"/>
              </w:rPr>
              <w:t>Total</w:t>
            </w:r>
          </w:p>
        </w:tc>
        <w:tc>
          <w:tcPr>
            <w:tcW w:w="1001" w:type="pct"/>
            <w:tcBorders>
              <w:top w:val="single" w:sz="4" w:space="0" w:color="auto"/>
              <w:bottom w:val="single" w:sz="4" w:space="0" w:color="auto"/>
            </w:tcBorders>
          </w:tcPr>
          <w:p w:rsidR="006F78EB" w:rsidRPr="003408A6" w:rsidRDefault="006F78EB" w:rsidP="003B1BAE">
            <w:pPr>
              <w:pStyle w:val="Tabletextcentred"/>
            </w:pPr>
            <w:r w:rsidRPr="003408A6">
              <w:t>232</w:t>
            </w:r>
          </w:p>
        </w:tc>
        <w:tc>
          <w:tcPr>
            <w:tcW w:w="1001" w:type="pct"/>
            <w:tcBorders>
              <w:top w:val="single" w:sz="4" w:space="0" w:color="auto"/>
              <w:bottom w:val="single" w:sz="4" w:space="0" w:color="auto"/>
            </w:tcBorders>
          </w:tcPr>
          <w:p w:rsidR="006F78EB" w:rsidRPr="003408A6" w:rsidRDefault="006F78EB" w:rsidP="003B1BAE">
            <w:pPr>
              <w:pStyle w:val="Tabletextcentred"/>
            </w:pPr>
            <w:r w:rsidRPr="003408A6">
              <w:t>97</w:t>
            </w:r>
          </w:p>
        </w:tc>
        <w:tc>
          <w:tcPr>
            <w:tcW w:w="1001" w:type="pct"/>
            <w:tcBorders>
              <w:top w:val="single" w:sz="4" w:space="0" w:color="auto"/>
              <w:bottom w:val="single" w:sz="4" w:space="0" w:color="auto"/>
            </w:tcBorders>
          </w:tcPr>
          <w:p w:rsidR="006F78EB" w:rsidRPr="003408A6" w:rsidRDefault="006F78EB" w:rsidP="003B1BAE">
            <w:pPr>
              <w:pStyle w:val="Tabletextcentred"/>
            </w:pPr>
            <w:r w:rsidRPr="003408A6">
              <w:t>106</w:t>
            </w:r>
          </w:p>
        </w:tc>
        <w:tc>
          <w:tcPr>
            <w:tcW w:w="1001" w:type="pct"/>
            <w:tcBorders>
              <w:top w:val="single" w:sz="4" w:space="0" w:color="auto"/>
              <w:bottom w:val="single" w:sz="4" w:space="0" w:color="auto"/>
            </w:tcBorders>
          </w:tcPr>
          <w:p w:rsidR="006F78EB" w:rsidRPr="003408A6" w:rsidRDefault="006F78EB" w:rsidP="003B1BAE">
            <w:pPr>
              <w:pStyle w:val="Tabletextcentred"/>
            </w:pPr>
            <w:r w:rsidRPr="003408A6">
              <w:t>435</w:t>
            </w:r>
          </w:p>
        </w:tc>
      </w:tr>
    </w:tbl>
    <w:p w:rsidR="006F78EB" w:rsidRPr="003408A6" w:rsidRDefault="006F78EB" w:rsidP="00901C17">
      <w:pPr>
        <w:pStyle w:val="Bodytextaftertable"/>
        <w:rPr>
          <w:lang w:val="en-AU"/>
        </w:rPr>
      </w:pPr>
      <w:r w:rsidRPr="003408A6">
        <w:rPr>
          <w:b/>
          <w:lang w:val="en-AU"/>
        </w:rPr>
        <w:t>Table 2.5</w:t>
      </w:r>
      <w:r w:rsidRPr="003408A6">
        <w:rPr>
          <w:lang w:val="en-AU"/>
        </w:rPr>
        <w:t xml:space="preserve"> indicates that there was frequent media reporting around the female program in 2007, the first year of the rollout. The number of reports </w:t>
      </w:r>
      <w:r w:rsidR="006370E4">
        <w:rPr>
          <w:lang w:val="en-AU"/>
        </w:rPr>
        <w:t>declined</w:t>
      </w:r>
      <w:r w:rsidR="006370E4" w:rsidRPr="003408A6">
        <w:rPr>
          <w:lang w:val="en-AU"/>
        </w:rPr>
        <w:t xml:space="preserve"> </w:t>
      </w:r>
      <w:r w:rsidRPr="003408A6">
        <w:rPr>
          <w:lang w:val="en-AU"/>
        </w:rPr>
        <w:t>substantially in subsequent years.</w:t>
      </w:r>
    </w:p>
    <w:p w:rsidR="006F78EB" w:rsidRPr="003408A6" w:rsidRDefault="006F78EB" w:rsidP="00BF3F7D">
      <w:pPr>
        <w:pStyle w:val="BodyText"/>
        <w:rPr>
          <w:lang w:val="en-AU"/>
        </w:rPr>
      </w:pPr>
      <w:r w:rsidRPr="003408A6">
        <w:rPr>
          <w:lang w:val="en-AU"/>
        </w:rPr>
        <w:t>The majority of media stories (84%) were rated as positive, most of which were reporting of the rollout over the period. The rate of negative reports did not change over the 3 years covering rollout to the end of the female catch-up program.</w:t>
      </w:r>
    </w:p>
    <w:p w:rsidR="006F78EB" w:rsidRPr="003408A6" w:rsidRDefault="006F78EB" w:rsidP="00BF3F7D">
      <w:pPr>
        <w:pStyle w:val="BodyText"/>
        <w:rPr>
          <w:lang w:val="en-AU"/>
        </w:rPr>
      </w:pPr>
      <w:r w:rsidRPr="003408A6">
        <w:rPr>
          <w:lang w:val="en-AU"/>
        </w:rPr>
        <w:t>Many regional and metropolitan newspapers presented discussions on negative aspects of the program in a positive light. For example</w:t>
      </w:r>
      <w:r w:rsidR="004C4F82" w:rsidRPr="003408A6">
        <w:rPr>
          <w:lang w:val="en-AU"/>
        </w:rPr>
        <w:t>,</w:t>
      </w:r>
      <w:r w:rsidRPr="003408A6">
        <w:rPr>
          <w:lang w:val="en-AU"/>
        </w:rPr>
        <w:t xml:space="preserve"> incidents of fainting were often reported in terms of reassurance from experts or politicians. Parents were encouraged to continue vaccinating their daughters. Many of the strongest negative messages came from readers’ correspondence.</w:t>
      </w:r>
    </w:p>
    <w:p w:rsidR="006F78EB" w:rsidRPr="003408A6" w:rsidRDefault="006F78EB" w:rsidP="0023448C">
      <w:pPr>
        <w:pStyle w:val="Heading5"/>
      </w:pPr>
      <w:r w:rsidRPr="003408A6">
        <w:t>Themes</w:t>
      </w:r>
    </w:p>
    <w:p w:rsidR="00FB7A7F" w:rsidRPr="003408A6" w:rsidRDefault="006F78EB" w:rsidP="00BF3F7D">
      <w:pPr>
        <w:pStyle w:val="BodyText"/>
        <w:rPr>
          <w:lang w:val="en-AU"/>
        </w:rPr>
      </w:pPr>
      <w:r w:rsidRPr="003408A6">
        <w:rPr>
          <w:lang w:val="en-AU"/>
        </w:rPr>
        <w:t>There were a number of major themes that changed across the course of the school</w:t>
      </w:r>
      <w:r w:rsidR="006370E4">
        <w:rPr>
          <w:lang w:val="en-AU"/>
        </w:rPr>
        <w:t>-based</w:t>
      </w:r>
      <w:r w:rsidRPr="003408A6">
        <w:rPr>
          <w:lang w:val="en-AU"/>
        </w:rPr>
        <w:t xml:space="preserve"> program.</w:t>
      </w:r>
      <w:r w:rsidR="004C4F82" w:rsidRPr="003408A6">
        <w:rPr>
          <w:lang w:val="en-AU"/>
        </w:rPr>
        <w:t xml:space="preserve"> </w:t>
      </w:r>
      <w:r w:rsidR="00FE050A" w:rsidRPr="003408A6">
        <w:rPr>
          <w:lang w:val="en-AU"/>
        </w:rPr>
        <w:t xml:space="preserve">The positive and negative themes discussed in the media by year from 2006 to 2013 are listed in </w:t>
      </w:r>
      <w:r w:rsidR="00FE050A" w:rsidRPr="00A83300">
        <w:rPr>
          <w:b/>
          <w:lang w:val="en-AU"/>
        </w:rPr>
        <w:t>Appendix 2.</w:t>
      </w:r>
      <w:r w:rsidR="00AD0B3C">
        <w:rPr>
          <w:b/>
          <w:lang w:val="en-AU"/>
        </w:rPr>
        <w:t>3</w:t>
      </w:r>
      <w:r w:rsidR="00FE050A" w:rsidRPr="003408A6">
        <w:rPr>
          <w:lang w:val="en-AU"/>
        </w:rPr>
        <w:t>.</w:t>
      </w:r>
    </w:p>
    <w:p w:rsidR="006370E4" w:rsidRPr="0023448C" w:rsidRDefault="006370E4" w:rsidP="00BF3F7D">
      <w:pPr>
        <w:pStyle w:val="BodyText"/>
        <w:rPr>
          <w:i/>
          <w:lang w:val="en-AU"/>
        </w:rPr>
      </w:pPr>
      <w:r w:rsidRPr="0023448C">
        <w:rPr>
          <w:i/>
          <w:lang w:val="en-AU"/>
        </w:rPr>
        <w:t>Australian innovation</w:t>
      </w:r>
    </w:p>
    <w:p w:rsidR="006F78EB" w:rsidRPr="003408A6" w:rsidRDefault="006F78EB" w:rsidP="00BF3F7D">
      <w:pPr>
        <w:pStyle w:val="BodyText"/>
        <w:rPr>
          <w:lang w:val="en-AU"/>
        </w:rPr>
      </w:pPr>
      <w:r w:rsidRPr="003408A6">
        <w:rPr>
          <w:lang w:val="en-AU"/>
        </w:rPr>
        <w:t>In the first half of 2006</w:t>
      </w:r>
      <w:r w:rsidR="004C4F82" w:rsidRPr="003408A6">
        <w:rPr>
          <w:lang w:val="en-AU"/>
        </w:rPr>
        <w:t>,</w:t>
      </w:r>
      <w:r w:rsidRPr="003408A6">
        <w:rPr>
          <w:lang w:val="en-AU"/>
        </w:rPr>
        <w:t xml:space="preserve"> there were a number of stories around the HPV vaccine as an Australian world-first innovation and the nomination of researcher Ian Frazer as Australian of the Year. </w:t>
      </w:r>
    </w:p>
    <w:p w:rsidR="006F78EB" w:rsidRPr="0023448C" w:rsidRDefault="006F78EB" w:rsidP="0023448C">
      <w:pPr>
        <w:pStyle w:val="BodyText"/>
        <w:rPr>
          <w:i/>
        </w:rPr>
      </w:pPr>
      <w:r w:rsidRPr="0023448C">
        <w:rPr>
          <w:i/>
        </w:rPr>
        <w:t>School</w:t>
      </w:r>
      <w:r w:rsidR="00A76C78">
        <w:rPr>
          <w:i/>
        </w:rPr>
        <w:t>-based</w:t>
      </w:r>
      <w:r w:rsidRPr="0023448C">
        <w:rPr>
          <w:i/>
        </w:rPr>
        <w:t xml:space="preserve"> program and community catch-up rollout</w:t>
      </w:r>
    </w:p>
    <w:p w:rsidR="006F78EB" w:rsidRPr="003408A6" w:rsidRDefault="004C4F82" w:rsidP="00BF3F7D">
      <w:pPr>
        <w:pStyle w:val="BodyText"/>
        <w:rPr>
          <w:lang w:val="en-AU"/>
        </w:rPr>
      </w:pPr>
      <w:r w:rsidRPr="003408A6">
        <w:rPr>
          <w:lang w:val="en-AU"/>
        </w:rPr>
        <w:t xml:space="preserve">In 2007, </w:t>
      </w:r>
      <w:r w:rsidR="006F78EB" w:rsidRPr="003408A6">
        <w:rPr>
          <w:lang w:val="en-AU"/>
        </w:rPr>
        <w:t>many regional and metropolitan papers reported the rollout of the school</w:t>
      </w:r>
      <w:r w:rsidR="00A76C78">
        <w:rPr>
          <w:lang w:val="en-AU"/>
        </w:rPr>
        <w:t>-based</w:t>
      </w:r>
      <w:r w:rsidR="006F78EB" w:rsidRPr="003408A6">
        <w:rPr>
          <w:lang w:val="en-AU"/>
        </w:rPr>
        <w:t xml:space="preserve"> program in each of their own localities. The rollout was discussed in positive terms and these reports accounted for a substantial proportion (40%) of the positive media stories sourced for 2007.</w:t>
      </w:r>
    </w:p>
    <w:p w:rsidR="006F78EB" w:rsidRPr="0023448C" w:rsidRDefault="006F78EB" w:rsidP="0023448C">
      <w:pPr>
        <w:pStyle w:val="BodyText"/>
        <w:rPr>
          <w:i/>
        </w:rPr>
      </w:pPr>
      <w:r w:rsidRPr="0023448C">
        <w:rPr>
          <w:i/>
        </w:rPr>
        <w:t>Adverse events</w:t>
      </w:r>
    </w:p>
    <w:p w:rsidR="006F78EB" w:rsidRPr="003408A6" w:rsidRDefault="006F78EB" w:rsidP="00BF3F7D">
      <w:pPr>
        <w:pStyle w:val="BodyText"/>
        <w:rPr>
          <w:lang w:val="en-AU"/>
        </w:rPr>
      </w:pPr>
      <w:r w:rsidRPr="003408A6">
        <w:rPr>
          <w:lang w:val="en-AU"/>
        </w:rPr>
        <w:t>In 2007</w:t>
      </w:r>
      <w:r w:rsidR="004C4F82" w:rsidRPr="003408A6">
        <w:rPr>
          <w:lang w:val="en-AU"/>
        </w:rPr>
        <w:t>,</w:t>
      </w:r>
      <w:r w:rsidRPr="003408A6">
        <w:rPr>
          <w:lang w:val="en-AU"/>
        </w:rPr>
        <w:t xml:space="preserve"> there were some reports on adverse </w:t>
      </w:r>
      <w:r w:rsidR="004C4F82" w:rsidRPr="003408A6">
        <w:rPr>
          <w:lang w:val="en-AU"/>
        </w:rPr>
        <w:t>events, which</w:t>
      </w:r>
      <w:r w:rsidRPr="003408A6">
        <w:rPr>
          <w:lang w:val="en-AU"/>
        </w:rPr>
        <w:t xml:space="preserve"> accounted for about 30% of negative media stories accessed in 2007. By late 2008</w:t>
      </w:r>
      <w:r w:rsidR="004C4F82" w:rsidRPr="003408A6">
        <w:rPr>
          <w:lang w:val="en-AU"/>
        </w:rPr>
        <w:t>,</w:t>
      </w:r>
      <w:r w:rsidRPr="003408A6">
        <w:rPr>
          <w:lang w:val="en-AU"/>
        </w:rPr>
        <w:t xml:space="preserve"> however, newspapers were reporting that Gardasil</w:t>
      </w:r>
      <w:r w:rsidR="00413B61" w:rsidRPr="003408A6">
        <w:rPr>
          <w:vertAlign w:val="superscript"/>
          <w:lang w:val="en-AU"/>
        </w:rPr>
        <w:t>®</w:t>
      </w:r>
      <w:r w:rsidRPr="003408A6">
        <w:rPr>
          <w:lang w:val="en-AU"/>
        </w:rPr>
        <w:t xml:space="preserve"> was safe and that fears around allergy and adverse events were unfounded</w:t>
      </w:r>
      <w:r w:rsidR="004C4F82" w:rsidRPr="003408A6">
        <w:rPr>
          <w:lang w:val="en-AU"/>
        </w:rPr>
        <w:t>.</w:t>
      </w:r>
    </w:p>
    <w:p w:rsidR="006F78EB" w:rsidRPr="0023448C" w:rsidRDefault="006F78EB" w:rsidP="0023448C">
      <w:pPr>
        <w:pStyle w:val="BodyText"/>
        <w:rPr>
          <w:i/>
        </w:rPr>
      </w:pPr>
      <w:r w:rsidRPr="0023448C">
        <w:rPr>
          <w:i/>
        </w:rPr>
        <w:t>Vaccine may promote teenage promiscuity</w:t>
      </w:r>
    </w:p>
    <w:p w:rsidR="006F78EB" w:rsidRPr="003408A6" w:rsidRDefault="006F78EB" w:rsidP="00BF3F7D">
      <w:pPr>
        <w:pStyle w:val="BodyText"/>
        <w:rPr>
          <w:lang w:val="en-AU"/>
        </w:rPr>
      </w:pPr>
      <w:r w:rsidRPr="003408A6">
        <w:rPr>
          <w:lang w:val="en-AU"/>
        </w:rPr>
        <w:t>In 2007</w:t>
      </w:r>
      <w:r w:rsidR="004C4F82" w:rsidRPr="003408A6">
        <w:rPr>
          <w:lang w:val="en-AU"/>
        </w:rPr>
        <w:t>,</w:t>
      </w:r>
      <w:r w:rsidRPr="003408A6">
        <w:rPr>
          <w:lang w:val="en-AU"/>
        </w:rPr>
        <w:t xml:space="preserve"> there </w:t>
      </w:r>
      <w:r w:rsidR="004C4F82" w:rsidRPr="003408A6">
        <w:rPr>
          <w:lang w:val="en-AU"/>
        </w:rPr>
        <w:t>were</w:t>
      </w:r>
      <w:r w:rsidRPr="003408A6">
        <w:rPr>
          <w:lang w:val="en-AU"/>
        </w:rPr>
        <w:t xml:space="preserve"> </w:t>
      </w:r>
      <w:r w:rsidR="00A76C78">
        <w:rPr>
          <w:lang w:val="en-AU"/>
        </w:rPr>
        <w:t>both</w:t>
      </w:r>
      <w:r w:rsidR="00A76C78" w:rsidRPr="003408A6">
        <w:rPr>
          <w:lang w:val="en-AU"/>
        </w:rPr>
        <w:t xml:space="preserve"> </w:t>
      </w:r>
      <w:r w:rsidRPr="003408A6">
        <w:rPr>
          <w:lang w:val="en-AU"/>
        </w:rPr>
        <w:t xml:space="preserve">positive and negative </w:t>
      </w:r>
      <w:r w:rsidR="00A76C78" w:rsidRPr="003408A6">
        <w:rPr>
          <w:lang w:val="en-AU"/>
        </w:rPr>
        <w:t xml:space="preserve">reports </w:t>
      </w:r>
      <w:r w:rsidRPr="003408A6">
        <w:rPr>
          <w:lang w:val="en-AU"/>
        </w:rPr>
        <w:t xml:space="preserve">around the introduction of the vaccine and the issue of female sexual activity. There </w:t>
      </w:r>
      <w:r w:rsidR="004C4F82" w:rsidRPr="003408A6">
        <w:rPr>
          <w:lang w:val="en-AU"/>
        </w:rPr>
        <w:t>were</w:t>
      </w:r>
      <w:r w:rsidRPr="003408A6">
        <w:rPr>
          <w:lang w:val="en-AU"/>
        </w:rPr>
        <w:t xml:space="preserve"> a small number of media stories about schools and parents refusing the vaccine due to fears of promiscuity and some editorials advocating refusal on moral grounds. There were also a number of reports and articles arguing that concerns around sexual activity and the vaccine was not a major issue in Australia.</w:t>
      </w:r>
    </w:p>
    <w:p w:rsidR="006F78EB" w:rsidRPr="0023448C" w:rsidRDefault="004C4F82" w:rsidP="0023448C">
      <w:pPr>
        <w:pStyle w:val="BodyText"/>
        <w:rPr>
          <w:i/>
        </w:rPr>
      </w:pPr>
      <w:r w:rsidRPr="0023448C">
        <w:rPr>
          <w:i/>
        </w:rPr>
        <w:t>Community c</w:t>
      </w:r>
      <w:r w:rsidR="006F78EB" w:rsidRPr="0023448C">
        <w:rPr>
          <w:i/>
        </w:rPr>
        <w:t>atch</w:t>
      </w:r>
      <w:r w:rsidR="00EE26E6">
        <w:rPr>
          <w:i/>
        </w:rPr>
        <w:t>-</w:t>
      </w:r>
      <w:r w:rsidR="006F78EB" w:rsidRPr="0023448C">
        <w:rPr>
          <w:i/>
        </w:rPr>
        <w:t>up deadline</w:t>
      </w:r>
    </w:p>
    <w:p w:rsidR="006F78EB" w:rsidRPr="003408A6" w:rsidRDefault="006F78EB" w:rsidP="00BF3F7D">
      <w:pPr>
        <w:pStyle w:val="BodyText"/>
        <w:rPr>
          <w:lang w:val="en-AU"/>
        </w:rPr>
      </w:pPr>
      <w:r w:rsidRPr="003408A6">
        <w:rPr>
          <w:lang w:val="en-AU"/>
        </w:rPr>
        <w:t>Many regional papers advertised the looming deadline for the community catch</w:t>
      </w:r>
      <w:r w:rsidR="00EE26E6">
        <w:rPr>
          <w:lang w:val="en-AU"/>
        </w:rPr>
        <w:t>-</w:t>
      </w:r>
      <w:r w:rsidRPr="003408A6">
        <w:rPr>
          <w:lang w:val="en-AU"/>
        </w:rPr>
        <w:t xml:space="preserve">up </w:t>
      </w:r>
      <w:r w:rsidR="00A76C78">
        <w:rPr>
          <w:lang w:val="en-AU"/>
        </w:rPr>
        <w:t xml:space="preserve">program </w:t>
      </w:r>
      <w:r w:rsidRPr="003408A6">
        <w:rPr>
          <w:lang w:val="en-AU"/>
        </w:rPr>
        <w:t xml:space="preserve">for young women </w:t>
      </w:r>
      <w:r w:rsidR="00A76C78" w:rsidRPr="003408A6">
        <w:rPr>
          <w:lang w:val="en-AU"/>
        </w:rPr>
        <w:t>throughout 2008</w:t>
      </w:r>
      <w:r w:rsidR="00A76C78">
        <w:rPr>
          <w:lang w:val="en-AU"/>
        </w:rPr>
        <w:t xml:space="preserve"> and </w:t>
      </w:r>
      <w:r w:rsidRPr="003408A6">
        <w:rPr>
          <w:lang w:val="en-AU"/>
        </w:rPr>
        <w:t>in late 2009.</w:t>
      </w:r>
    </w:p>
    <w:p w:rsidR="006F78EB" w:rsidRPr="0023448C" w:rsidRDefault="006F78EB" w:rsidP="0023448C">
      <w:pPr>
        <w:pStyle w:val="BodyText"/>
        <w:rPr>
          <w:i/>
        </w:rPr>
      </w:pPr>
      <w:r w:rsidRPr="0023448C">
        <w:rPr>
          <w:i/>
        </w:rPr>
        <w:t>Advocating for vaccine for males</w:t>
      </w:r>
    </w:p>
    <w:p w:rsidR="006F78EB" w:rsidRPr="003408A6" w:rsidRDefault="006F78EB" w:rsidP="00BF3F7D">
      <w:pPr>
        <w:pStyle w:val="BodyText"/>
        <w:rPr>
          <w:lang w:val="en-AU"/>
        </w:rPr>
      </w:pPr>
      <w:r w:rsidRPr="003408A6">
        <w:rPr>
          <w:lang w:val="en-AU"/>
        </w:rPr>
        <w:t>From 2006 onwards</w:t>
      </w:r>
      <w:r w:rsidR="00FB7A7F" w:rsidRPr="003408A6">
        <w:rPr>
          <w:lang w:val="en-AU"/>
        </w:rPr>
        <w:t>,</w:t>
      </w:r>
      <w:r w:rsidRPr="003408A6">
        <w:rPr>
          <w:lang w:val="en-AU"/>
        </w:rPr>
        <w:t xml:space="preserve"> there were media reports advocating for access to the vaccine for males. </w:t>
      </w:r>
    </w:p>
    <w:p w:rsidR="006F78EB" w:rsidRPr="0023448C" w:rsidRDefault="006F78EB" w:rsidP="0023448C">
      <w:pPr>
        <w:pStyle w:val="BodyText"/>
        <w:rPr>
          <w:i/>
        </w:rPr>
      </w:pPr>
      <w:r w:rsidRPr="0023448C">
        <w:rPr>
          <w:i/>
        </w:rPr>
        <w:t>Decrease in genital warts and high-grade cervical lesions</w:t>
      </w:r>
    </w:p>
    <w:p w:rsidR="006F78EB" w:rsidRPr="003408A6" w:rsidRDefault="006F78EB" w:rsidP="00BF3F7D">
      <w:pPr>
        <w:pStyle w:val="BodyText"/>
        <w:rPr>
          <w:lang w:val="en-AU"/>
        </w:rPr>
      </w:pPr>
      <w:r w:rsidRPr="003408A6">
        <w:rPr>
          <w:lang w:val="en-AU"/>
        </w:rPr>
        <w:t>During 2010</w:t>
      </w:r>
      <w:r w:rsidR="00A76C78">
        <w:rPr>
          <w:lang w:val="en-AU"/>
        </w:rPr>
        <w:t>–</w:t>
      </w:r>
      <w:r w:rsidRPr="003408A6">
        <w:rPr>
          <w:lang w:val="en-AU"/>
        </w:rPr>
        <w:t>2012</w:t>
      </w:r>
      <w:r w:rsidR="00FB7A7F" w:rsidRPr="003408A6">
        <w:rPr>
          <w:lang w:val="en-AU"/>
        </w:rPr>
        <w:t>,</w:t>
      </w:r>
      <w:r w:rsidRPr="003408A6">
        <w:rPr>
          <w:lang w:val="en-AU"/>
        </w:rPr>
        <w:t xml:space="preserve"> there were </w:t>
      </w:r>
      <w:r w:rsidR="00A76C78">
        <w:rPr>
          <w:lang w:val="en-AU"/>
        </w:rPr>
        <w:t xml:space="preserve">only a </w:t>
      </w:r>
      <w:r w:rsidRPr="003408A6">
        <w:rPr>
          <w:lang w:val="en-AU"/>
        </w:rPr>
        <w:t>few media stories</w:t>
      </w:r>
      <w:r w:rsidR="00A76C78">
        <w:rPr>
          <w:lang w:val="en-AU"/>
        </w:rPr>
        <w:t xml:space="preserve"> which</w:t>
      </w:r>
      <w:r w:rsidRPr="003408A6">
        <w:rPr>
          <w:lang w:val="en-AU"/>
        </w:rPr>
        <w:t xml:space="preserve"> focus</w:t>
      </w:r>
      <w:r w:rsidR="00A76C78">
        <w:rPr>
          <w:lang w:val="en-AU"/>
        </w:rPr>
        <w:t>ed</w:t>
      </w:r>
      <w:r w:rsidRPr="003408A6">
        <w:rPr>
          <w:lang w:val="en-AU"/>
        </w:rPr>
        <w:t xml:space="preserve"> on vaccine effectiveness, particularly the reduction in incidence of genital warts and </w:t>
      </w:r>
      <w:r w:rsidR="00357023" w:rsidRPr="003408A6">
        <w:rPr>
          <w:lang w:val="en-AU"/>
        </w:rPr>
        <w:t>high-grade</w:t>
      </w:r>
      <w:r w:rsidRPr="003408A6">
        <w:rPr>
          <w:lang w:val="en-AU"/>
        </w:rPr>
        <w:t xml:space="preserve"> cervical </w:t>
      </w:r>
      <w:r w:rsidR="004C4F82" w:rsidRPr="003408A6">
        <w:rPr>
          <w:lang w:val="en-AU"/>
        </w:rPr>
        <w:t>lesions</w:t>
      </w:r>
      <w:r w:rsidRPr="003408A6">
        <w:rPr>
          <w:lang w:val="en-AU"/>
        </w:rPr>
        <w:t>.</w:t>
      </w:r>
    </w:p>
    <w:p w:rsidR="006F78EB" w:rsidRPr="003408A6" w:rsidRDefault="006F78EB" w:rsidP="00BF3F7D">
      <w:pPr>
        <w:pStyle w:val="Heading4"/>
      </w:pPr>
      <w:r w:rsidRPr="003408A6">
        <w:t>Implementation of the male program 2013</w:t>
      </w:r>
    </w:p>
    <w:p w:rsidR="006F78EB" w:rsidRPr="003408A6" w:rsidRDefault="006F78EB" w:rsidP="00BF3F7D">
      <w:pPr>
        <w:pStyle w:val="BodyText"/>
        <w:rPr>
          <w:lang w:val="en-AU"/>
        </w:rPr>
      </w:pPr>
      <w:r w:rsidRPr="003408A6">
        <w:rPr>
          <w:lang w:val="en-AU"/>
        </w:rPr>
        <w:t>In 2013</w:t>
      </w:r>
      <w:r w:rsidR="00FB7A7F" w:rsidRPr="003408A6">
        <w:rPr>
          <w:lang w:val="en-AU"/>
        </w:rPr>
        <w:t>,</w:t>
      </w:r>
      <w:r w:rsidRPr="003408A6">
        <w:rPr>
          <w:lang w:val="en-AU"/>
        </w:rPr>
        <w:t xml:space="preserve"> the media covered the start of the extended program for males. Howev</w:t>
      </w:r>
      <w:r w:rsidR="00FB7A7F" w:rsidRPr="003408A6">
        <w:rPr>
          <w:lang w:val="en-AU"/>
        </w:rPr>
        <w:t>er, a</w:t>
      </w:r>
      <w:r w:rsidRPr="003408A6">
        <w:rPr>
          <w:lang w:val="en-AU"/>
        </w:rPr>
        <w:t>fter the start of the male program</w:t>
      </w:r>
      <w:r w:rsidR="00FB7A7F" w:rsidRPr="003408A6">
        <w:rPr>
          <w:lang w:val="en-AU"/>
        </w:rPr>
        <w:t>,</w:t>
      </w:r>
      <w:r w:rsidRPr="003408A6">
        <w:rPr>
          <w:lang w:val="en-AU"/>
        </w:rPr>
        <w:t xml:space="preserve"> there was very little media attention either positive or negative. This contrasted with the female program in the years 2007</w:t>
      </w:r>
      <w:r w:rsidR="00FB7A7F" w:rsidRPr="003408A6">
        <w:rPr>
          <w:lang w:val="en-AU"/>
        </w:rPr>
        <w:t xml:space="preserve"> </w:t>
      </w:r>
      <w:r w:rsidRPr="003408A6">
        <w:rPr>
          <w:lang w:val="en-AU"/>
        </w:rPr>
        <w:t>to 2009</w:t>
      </w:r>
      <w:r w:rsidR="00FB7A7F" w:rsidRPr="003408A6">
        <w:rPr>
          <w:lang w:val="en-AU"/>
        </w:rPr>
        <w:t>,</w:t>
      </w:r>
      <w:r w:rsidRPr="003408A6">
        <w:rPr>
          <w:lang w:val="en-AU"/>
        </w:rPr>
        <w:t xml:space="preserve"> where the media followed particular themes over the course of the program, for example</w:t>
      </w:r>
      <w:r w:rsidR="00A76C78">
        <w:rPr>
          <w:lang w:val="en-AU"/>
        </w:rPr>
        <w:t>,</w:t>
      </w:r>
      <w:r w:rsidRPr="003408A6">
        <w:rPr>
          <w:lang w:val="en-AU"/>
        </w:rPr>
        <w:t xml:space="preserve"> announcing the start of the female school</w:t>
      </w:r>
      <w:r w:rsidR="00A76C78">
        <w:rPr>
          <w:lang w:val="en-AU"/>
        </w:rPr>
        <w:t>-based</w:t>
      </w:r>
      <w:r w:rsidRPr="003408A6">
        <w:rPr>
          <w:lang w:val="en-AU"/>
        </w:rPr>
        <w:t xml:space="preserve"> program, region by region</w:t>
      </w:r>
      <w:r w:rsidR="00A76C78">
        <w:rPr>
          <w:lang w:val="en-AU"/>
        </w:rPr>
        <w:t>,</w:t>
      </w:r>
      <w:r w:rsidRPr="003408A6">
        <w:rPr>
          <w:lang w:val="en-AU"/>
        </w:rPr>
        <w:t xml:space="preserve"> in 2007 through to reminding women of the looming deadline for the end of the community catch</w:t>
      </w:r>
      <w:r w:rsidR="00EE26E6">
        <w:rPr>
          <w:lang w:val="en-AU"/>
        </w:rPr>
        <w:t>-</w:t>
      </w:r>
      <w:r w:rsidRPr="003408A6">
        <w:rPr>
          <w:lang w:val="en-AU"/>
        </w:rPr>
        <w:t xml:space="preserve">up program in 2009. </w:t>
      </w:r>
    </w:p>
    <w:p w:rsidR="00083509" w:rsidRPr="003408A6" w:rsidRDefault="00083509" w:rsidP="00BF3F7D">
      <w:pPr>
        <w:pStyle w:val="Heading3"/>
      </w:pPr>
      <w:r w:rsidRPr="003408A6">
        <w:t>Stakeholder interviews</w:t>
      </w:r>
    </w:p>
    <w:bookmarkEnd w:id="38"/>
    <w:p w:rsidR="008454B0" w:rsidRPr="003408A6" w:rsidRDefault="008454B0" w:rsidP="0023448C">
      <w:pPr>
        <w:pStyle w:val="Heading4"/>
      </w:pPr>
      <w:r w:rsidRPr="003408A6">
        <w:t>HPV program stakeholder sample</w:t>
      </w:r>
    </w:p>
    <w:p w:rsidR="00573C70" w:rsidRDefault="00ED44AF" w:rsidP="00573C70">
      <w:pPr>
        <w:pStyle w:val="BodyText"/>
        <w:rPr>
          <w:lang w:val="en-AU"/>
        </w:rPr>
      </w:pPr>
      <w:r w:rsidRPr="003408A6">
        <w:rPr>
          <w:lang w:val="en-AU"/>
        </w:rPr>
        <w:t>Thirty stakeholders</w:t>
      </w:r>
      <w:r w:rsidR="008454B0" w:rsidRPr="003408A6">
        <w:rPr>
          <w:lang w:val="en-AU"/>
        </w:rPr>
        <w:t xml:space="preserve"> </w:t>
      </w:r>
      <w:r w:rsidR="00C81ED2" w:rsidRPr="003408A6">
        <w:rPr>
          <w:lang w:val="en-AU"/>
        </w:rPr>
        <w:t xml:space="preserve">involved in implementation of the National </w:t>
      </w:r>
      <w:r w:rsidR="008454B0" w:rsidRPr="003408A6">
        <w:rPr>
          <w:lang w:val="en-AU"/>
        </w:rPr>
        <w:t xml:space="preserve">HPV Vaccination Program participated in the evaluation interviews/questionnaires. Twenty-seven of these were interviewed by phone and two provided written responses to the questionnaires. </w:t>
      </w:r>
    </w:p>
    <w:p w:rsidR="00573C70" w:rsidRPr="003408A6" w:rsidRDefault="00573C70" w:rsidP="00573C70">
      <w:pPr>
        <w:pStyle w:val="BodyText"/>
        <w:rPr>
          <w:lang w:val="en-AU"/>
        </w:rPr>
      </w:pPr>
      <w:r w:rsidRPr="003408A6">
        <w:rPr>
          <w:lang w:val="en-AU"/>
        </w:rPr>
        <w:t xml:space="preserve">Participation was voluntary, so the mix of roles held by key </w:t>
      </w:r>
      <w:r w:rsidRPr="003408A6">
        <w:rPr>
          <w:rFonts w:eastAsiaTheme="minorEastAsia"/>
          <w:bCs/>
          <w:snapToGrid w:val="0"/>
          <w:lang w:val="en-AU"/>
        </w:rPr>
        <w:t>stakeholders</w:t>
      </w:r>
      <w:r w:rsidRPr="003408A6">
        <w:rPr>
          <w:lang w:val="en-AU"/>
        </w:rPr>
        <w:t xml:space="preserve"> in the final sample differed slightly from the original sampling matrix (see </w:t>
      </w:r>
      <w:r w:rsidRPr="003408A6">
        <w:rPr>
          <w:b/>
          <w:lang w:val="en-AU"/>
        </w:rPr>
        <w:t>Table 2.6</w:t>
      </w:r>
      <w:r w:rsidRPr="003408A6">
        <w:rPr>
          <w:lang w:val="en-AU"/>
        </w:rPr>
        <w:t xml:space="preserve"> and </w:t>
      </w:r>
      <w:r w:rsidRPr="003408A6">
        <w:rPr>
          <w:b/>
          <w:lang w:val="en-AU"/>
        </w:rPr>
        <w:t>Appendix 2.1</w:t>
      </w:r>
      <w:r w:rsidRPr="003408A6">
        <w:rPr>
          <w:lang w:val="en-AU"/>
        </w:rPr>
        <w:t xml:space="preserve">). Several </w:t>
      </w:r>
      <w:r w:rsidRPr="003408A6">
        <w:rPr>
          <w:rFonts w:eastAsiaTheme="minorEastAsia"/>
          <w:bCs/>
          <w:snapToGrid w:val="0"/>
          <w:lang w:val="en-AU"/>
        </w:rPr>
        <w:t>stakeholders</w:t>
      </w:r>
      <w:r w:rsidRPr="003408A6">
        <w:rPr>
          <w:lang w:val="en-AU"/>
        </w:rPr>
        <w:t xml:space="preserve"> had experience in a number of roles associated with implementation of the National HPV Vaccination Program (e.g. Medicare Local coordinator/practice nurse, regional immunisation coordinator/council-based provider). The depth of experience among the key </w:t>
      </w:r>
      <w:r w:rsidRPr="003408A6">
        <w:rPr>
          <w:rFonts w:eastAsiaTheme="minorEastAsia"/>
          <w:bCs/>
          <w:snapToGrid w:val="0"/>
          <w:lang w:val="en-AU"/>
        </w:rPr>
        <w:t>stakeholders</w:t>
      </w:r>
      <w:r w:rsidRPr="003408A6">
        <w:rPr>
          <w:lang w:val="en-AU"/>
        </w:rPr>
        <w:t xml:space="preserve"> created a rich source of information for the evaluation. </w:t>
      </w:r>
    </w:p>
    <w:p w:rsidR="00573C70" w:rsidRPr="003408A6" w:rsidRDefault="00573C70" w:rsidP="00BF3F7D">
      <w:pPr>
        <w:pStyle w:val="BodyText"/>
        <w:rPr>
          <w:lang w:val="en-AU"/>
        </w:rPr>
      </w:pPr>
    </w:p>
    <w:p w:rsidR="008454B0" w:rsidRPr="003408A6" w:rsidRDefault="008454B0" w:rsidP="000A2125">
      <w:pPr>
        <w:pStyle w:val="Tableheading"/>
        <w:rPr>
          <w:lang w:val="en-AU"/>
        </w:rPr>
      </w:pPr>
      <w:bookmarkStart w:id="43" w:name="_Toc396475527"/>
      <w:bookmarkStart w:id="44" w:name="_Toc397000755"/>
      <w:r w:rsidRPr="003408A6">
        <w:rPr>
          <w:lang w:val="en-AU"/>
        </w:rPr>
        <w:t>Table 2.</w:t>
      </w:r>
      <w:r w:rsidR="00CD45D0" w:rsidRPr="003408A6">
        <w:rPr>
          <w:lang w:val="en-AU"/>
        </w:rPr>
        <w:t>6</w:t>
      </w:r>
      <w:r w:rsidRPr="003408A6">
        <w:rPr>
          <w:lang w:val="en-AU"/>
        </w:rPr>
        <w:t>.</w:t>
      </w:r>
      <w:r w:rsidR="00901C17" w:rsidRPr="003408A6">
        <w:rPr>
          <w:lang w:val="en-AU"/>
        </w:rPr>
        <w:tab/>
      </w:r>
      <w:r w:rsidR="008C412D" w:rsidRPr="003408A6">
        <w:rPr>
          <w:lang w:val="en-AU"/>
        </w:rPr>
        <w:t xml:space="preserve">Stakeholders </w:t>
      </w:r>
      <w:r w:rsidRPr="003408A6">
        <w:rPr>
          <w:lang w:val="en-AU"/>
        </w:rPr>
        <w:t>by role held in the National HPV Vaccination Program</w:t>
      </w:r>
      <w:bookmarkEnd w:id="43"/>
      <w:bookmarkEnd w:id="44"/>
    </w:p>
    <w:tbl>
      <w:tblPr>
        <w:tblW w:w="0" w:type="auto"/>
        <w:tblBorders>
          <w:top w:val="single" w:sz="4" w:space="0" w:color="auto"/>
          <w:bottom w:val="single" w:sz="4" w:space="0" w:color="auto"/>
        </w:tblBorders>
        <w:tblLook w:val="04A0" w:firstRow="1" w:lastRow="0" w:firstColumn="1" w:lastColumn="0" w:noHBand="0" w:noVBand="1"/>
      </w:tblPr>
      <w:tblGrid>
        <w:gridCol w:w="4261"/>
        <w:gridCol w:w="1751"/>
        <w:gridCol w:w="1751"/>
      </w:tblGrid>
      <w:tr w:rsidR="008454B0" w:rsidRPr="003408A6" w:rsidTr="004C4F82">
        <w:tc>
          <w:tcPr>
            <w:tcW w:w="4261" w:type="dxa"/>
            <w:tcBorders>
              <w:top w:val="single" w:sz="4" w:space="0" w:color="auto"/>
              <w:bottom w:val="single" w:sz="4" w:space="0" w:color="auto"/>
            </w:tcBorders>
            <w:shd w:val="clear" w:color="auto" w:fill="auto"/>
          </w:tcPr>
          <w:p w:rsidR="008454B0" w:rsidRPr="003408A6" w:rsidRDefault="008454B0" w:rsidP="00BF3F7D">
            <w:pPr>
              <w:pStyle w:val="Tablecolumnheadings"/>
              <w:rPr>
                <w:lang w:val="en-AU"/>
              </w:rPr>
            </w:pPr>
          </w:p>
        </w:tc>
        <w:tc>
          <w:tcPr>
            <w:tcW w:w="1751" w:type="dxa"/>
            <w:tcBorders>
              <w:top w:val="single" w:sz="4" w:space="0" w:color="auto"/>
              <w:bottom w:val="single" w:sz="4" w:space="0" w:color="auto"/>
            </w:tcBorders>
            <w:shd w:val="clear" w:color="auto" w:fill="auto"/>
          </w:tcPr>
          <w:p w:rsidR="008454B0" w:rsidRPr="003408A6" w:rsidRDefault="008454B0" w:rsidP="00BF3F7D">
            <w:pPr>
              <w:pStyle w:val="Tablecolumnheadings"/>
              <w:rPr>
                <w:lang w:val="en-AU"/>
              </w:rPr>
            </w:pPr>
            <w:r w:rsidRPr="003408A6">
              <w:rPr>
                <w:lang w:val="en-AU"/>
              </w:rPr>
              <w:t>Interviewed</w:t>
            </w:r>
            <w:r w:rsidR="00BF3F7D" w:rsidRPr="003408A6">
              <w:rPr>
                <w:lang w:val="en-AU"/>
              </w:rPr>
              <w:br/>
            </w:r>
            <w:r w:rsidRPr="003408A6">
              <w:rPr>
                <w:lang w:val="en-AU"/>
              </w:rPr>
              <w:t>(N=</w:t>
            </w:r>
            <w:r w:rsidR="00ED44AF" w:rsidRPr="003408A6">
              <w:rPr>
                <w:lang w:val="en-AU"/>
              </w:rPr>
              <w:t>30</w:t>
            </w:r>
            <w:r w:rsidRPr="003408A6">
              <w:rPr>
                <w:lang w:val="en-AU"/>
              </w:rPr>
              <w:t>)</w:t>
            </w:r>
            <w:r w:rsidR="00BF3F7D" w:rsidRPr="003408A6">
              <w:rPr>
                <w:lang w:val="en-AU"/>
              </w:rPr>
              <w:br/>
            </w:r>
            <w:r w:rsidRPr="003408A6">
              <w:rPr>
                <w:lang w:val="en-AU"/>
              </w:rPr>
              <w:t>n</w:t>
            </w:r>
          </w:p>
        </w:tc>
        <w:tc>
          <w:tcPr>
            <w:tcW w:w="1751" w:type="dxa"/>
            <w:tcBorders>
              <w:top w:val="single" w:sz="4" w:space="0" w:color="auto"/>
              <w:bottom w:val="single" w:sz="4" w:space="0" w:color="auto"/>
            </w:tcBorders>
            <w:shd w:val="clear" w:color="auto" w:fill="auto"/>
          </w:tcPr>
          <w:p w:rsidR="008454B0" w:rsidRPr="003408A6" w:rsidRDefault="008454B0" w:rsidP="00BF3F7D">
            <w:pPr>
              <w:pStyle w:val="Tablecolumnheadings"/>
              <w:rPr>
                <w:lang w:val="en-AU"/>
              </w:rPr>
            </w:pPr>
            <w:r w:rsidRPr="003408A6">
              <w:rPr>
                <w:lang w:val="en-AU"/>
              </w:rPr>
              <w:t>Online survey (N=20)</w:t>
            </w:r>
            <w:r w:rsidR="00BF3F7D" w:rsidRPr="003408A6">
              <w:rPr>
                <w:lang w:val="en-AU"/>
              </w:rPr>
              <w:br/>
            </w:r>
            <w:r w:rsidRPr="003408A6">
              <w:rPr>
                <w:lang w:val="en-AU"/>
              </w:rPr>
              <w:t>n</w:t>
            </w:r>
          </w:p>
        </w:tc>
      </w:tr>
      <w:tr w:rsidR="00ED44AF" w:rsidRPr="003408A6" w:rsidTr="004C4F82">
        <w:tc>
          <w:tcPr>
            <w:tcW w:w="4261" w:type="dxa"/>
            <w:tcBorders>
              <w:top w:val="single" w:sz="4" w:space="0" w:color="auto"/>
              <w:bottom w:val="nil"/>
            </w:tcBorders>
            <w:shd w:val="clear" w:color="auto" w:fill="auto"/>
          </w:tcPr>
          <w:p w:rsidR="00ED44AF" w:rsidRPr="003408A6" w:rsidRDefault="00ED44AF" w:rsidP="00BF3F7D">
            <w:pPr>
              <w:pStyle w:val="Tabletext"/>
              <w:rPr>
                <w:lang w:val="en-AU"/>
              </w:rPr>
            </w:pPr>
            <w:r w:rsidRPr="003408A6">
              <w:rPr>
                <w:lang w:val="en-AU"/>
              </w:rPr>
              <w:t>Department of Health Immunisation Branch</w:t>
            </w:r>
          </w:p>
        </w:tc>
        <w:tc>
          <w:tcPr>
            <w:tcW w:w="1751" w:type="dxa"/>
            <w:tcBorders>
              <w:top w:val="single" w:sz="4" w:space="0" w:color="auto"/>
              <w:bottom w:val="nil"/>
            </w:tcBorders>
            <w:shd w:val="clear" w:color="auto" w:fill="auto"/>
          </w:tcPr>
          <w:p w:rsidR="00ED44AF" w:rsidRPr="003408A6" w:rsidRDefault="00ED44AF" w:rsidP="00BF3F7D">
            <w:pPr>
              <w:pStyle w:val="Tabletextcentred"/>
              <w:rPr>
                <w:snapToGrid w:val="0"/>
                <w:lang w:val="en-AU"/>
              </w:rPr>
            </w:pPr>
            <w:r w:rsidRPr="003408A6">
              <w:rPr>
                <w:lang w:val="en-AU"/>
              </w:rPr>
              <w:t>1</w:t>
            </w:r>
          </w:p>
        </w:tc>
        <w:tc>
          <w:tcPr>
            <w:tcW w:w="1751" w:type="dxa"/>
            <w:tcBorders>
              <w:top w:val="single" w:sz="4" w:space="0" w:color="auto"/>
              <w:bottom w:val="nil"/>
            </w:tcBorders>
            <w:shd w:val="clear" w:color="auto" w:fill="auto"/>
          </w:tcPr>
          <w:p w:rsidR="00ED44AF" w:rsidRPr="003408A6" w:rsidRDefault="00A76C78" w:rsidP="00BF3F7D">
            <w:pPr>
              <w:pStyle w:val="Tabletextcentred"/>
              <w:rPr>
                <w:snapToGrid w:val="0"/>
                <w:lang w:val="en-AU"/>
              </w:rPr>
            </w:pPr>
            <w:r>
              <w:rPr>
                <w:lang w:val="en-AU"/>
              </w:rPr>
              <w:t>–</w:t>
            </w:r>
          </w:p>
        </w:tc>
      </w:tr>
      <w:tr w:rsidR="008454B0" w:rsidRPr="003408A6" w:rsidTr="004C4F82">
        <w:tc>
          <w:tcPr>
            <w:tcW w:w="4261" w:type="dxa"/>
            <w:tcBorders>
              <w:top w:val="nil"/>
              <w:bottom w:val="nil"/>
            </w:tcBorders>
            <w:shd w:val="clear" w:color="auto" w:fill="auto"/>
          </w:tcPr>
          <w:p w:rsidR="008454B0" w:rsidRPr="003408A6" w:rsidRDefault="008454B0" w:rsidP="00BF3F7D">
            <w:pPr>
              <w:pStyle w:val="Tabletext"/>
              <w:rPr>
                <w:lang w:val="en-AU"/>
              </w:rPr>
            </w:pPr>
            <w:r w:rsidRPr="003408A6">
              <w:rPr>
                <w:lang w:val="en-AU"/>
              </w:rPr>
              <w:t>Chief Health Officer</w:t>
            </w:r>
          </w:p>
        </w:tc>
        <w:tc>
          <w:tcPr>
            <w:tcW w:w="1751" w:type="dxa"/>
            <w:tcBorders>
              <w:top w:val="nil"/>
              <w:bottom w:val="nil"/>
            </w:tcBorders>
            <w:shd w:val="clear" w:color="auto" w:fill="auto"/>
          </w:tcPr>
          <w:p w:rsidR="008454B0" w:rsidRPr="003408A6" w:rsidRDefault="008454B0" w:rsidP="00BF3F7D">
            <w:pPr>
              <w:pStyle w:val="Tabletextcentred"/>
              <w:rPr>
                <w:snapToGrid w:val="0"/>
                <w:lang w:val="en-AU"/>
              </w:rPr>
            </w:pPr>
            <w:r w:rsidRPr="003408A6">
              <w:rPr>
                <w:lang w:val="en-AU"/>
              </w:rPr>
              <w:t>1</w:t>
            </w:r>
          </w:p>
        </w:tc>
        <w:tc>
          <w:tcPr>
            <w:tcW w:w="1751" w:type="dxa"/>
            <w:tcBorders>
              <w:top w:val="nil"/>
              <w:bottom w:val="nil"/>
            </w:tcBorders>
            <w:shd w:val="clear" w:color="auto" w:fill="auto"/>
          </w:tcPr>
          <w:p w:rsidR="008454B0" w:rsidRPr="003408A6" w:rsidRDefault="00A76C78" w:rsidP="00BF3F7D">
            <w:pPr>
              <w:pStyle w:val="Tabletextcentred"/>
              <w:rPr>
                <w:snapToGrid w:val="0"/>
                <w:lang w:val="en-AU"/>
              </w:rPr>
            </w:pPr>
            <w:r>
              <w:rPr>
                <w:lang w:val="en-AU"/>
              </w:rPr>
              <w:t>–</w:t>
            </w:r>
          </w:p>
        </w:tc>
      </w:tr>
      <w:tr w:rsidR="008454B0" w:rsidRPr="003408A6" w:rsidTr="004C4F82">
        <w:tc>
          <w:tcPr>
            <w:tcW w:w="4261" w:type="dxa"/>
            <w:tcBorders>
              <w:top w:val="nil"/>
            </w:tcBorders>
            <w:shd w:val="clear" w:color="auto" w:fill="auto"/>
          </w:tcPr>
          <w:p w:rsidR="008454B0" w:rsidRPr="003408A6" w:rsidRDefault="008C412D" w:rsidP="00A76C78">
            <w:pPr>
              <w:pStyle w:val="Tabletext"/>
              <w:rPr>
                <w:lang w:val="en-AU"/>
              </w:rPr>
            </w:pPr>
            <w:r w:rsidRPr="003408A6">
              <w:rPr>
                <w:lang w:val="en-AU"/>
              </w:rPr>
              <w:t>State/</w:t>
            </w:r>
            <w:r w:rsidR="009B406F" w:rsidRPr="003408A6">
              <w:rPr>
                <w:lang w:val="en-AU"/>
              </w:rPr>
              <w:t>t</w:t>
            </w:r>
            <w:r w:rsidRPr="003408A6">
              <w:rPr>
                <w:lang w:val="en-AU"/>
              </w:rPr>
              <w:t xml:space="preserve">erritory </w:t>
            </w:r>
            <w:r w:rsidR="008454B0" w:rsidRPr="003408A6">
              <w:rPr>
                <w:lang w:val="en-AU"/>
              </w:rPr>
              <w:t>immunisation program managers</w:t>
            </w:r>
            <w:r w:rsidR="00A76C78" w:rsidRPr="0023448C">
              <w:rPr>
                <w:lang w:val="en-AU"/>
              </w:rPr>
              <w:t>*</w:t>
            </w:r>
            <w:r w:rsidR="008454B0" w:rsidRPr="003408A6">
              <w:rPr>
                <w:lang w:val="en-AU"/>
              </w:rPr>
              <w:t xml:space="preserve"> </w:t>
            </w:r>
          </w:p>
        </w:tc>
        <w:tc>
          <w:tcPr>
            <w:tcW w:w="1751" w:type="dxa"/>
            <w:tcBorders>
              <w:top w:val="nil"/>
            </w:tcBorders>
            <w:shd w:val="clear" w:color="auto" w:fill="auto"/>
          </w:tcPr>
          <w:p w:rsidR="008454B0" w:rsidRPr="003408A6" w:rsidRDefault="008C412D" w:rsidP="00BF3F7D">
            <w:pPr>
              <w:pStyle w:val="Tabletextcentred"/>
              <w:rPr>
                <w:snapToGrid w:val="0"/>
                <w:lang w:val="en-AU"/>
              </w:rPr>
            </w:pPr>
            <w:r w:rsidRPr="003408A6">
              <w:rPr>
                <w:lang w:val="en-AU"/>
              </w:rPr>
              <w:t>11</w:t>
            </w:r>
          </w:p>
        </w:tc>
        <w:tc>
          <w:tcPr>
            <w:tcW w:w="1751" w:type="dxa"/>
            <w:tcBorders>
              <w:top w:val="nil"/>
            </w:tcBorders>
            <w:shd w:val="clear" w:color="auto" w:fill="auto"/>
          </w:tcPr>
          <w:p w:rsidR="008454B0" w:rsidRPr="003408A6" w:rsidRDefault="008454B0" w:rsidP="00BF3F7D">
            <w:pPr>
              <w:pStyle w:val="Tabletextcentred"/>
              <w:rPr>
                <w:snapToGrid w:val="0"/>
                <w:lang w:val="en-AU"/>
              </w:rPr>
            </w:pPr>
            <w:r w:rsidRPr="003408A6">
              <w:rPr>
                <w:lang w:val="en-AU"/>
              </w:rPr>
              <w:t>8</w:t>
            </w:r>
          </w:p>
        </w:tc>
      </w:tr>
      <w:tr w:rsidR="008454B0" w:rsidRPr="003408A6" w:rsidTr="006B6D0F">
        <w:tc>
          <w:tcPr>
            <w:tcW w:w="4261" w:type="dxa"/>
            <w:shd w:val="clear" w:color="auto" w:fill="auto"/>
          </w:tcPr>
          <w:p w:rsidR="008454B0" w:rsidRPr="003408A6" w:rsidRDefault="008454B0" w:rsidP="00BF3F7D">
            <w:pPr>
              <w:pStyle w:val="Tabletext"/>
              <w:rPr>
                <w:lang w:val="en-AU"/>
              </w:rPr>
            </w:pPr>
            <w:r w:rsidRPr="003408A6">
              <w:rPr>
                <w:lang w:val="en-AU"/>
              </w:rPr>
              <w:t>General practice (nurse, GP)</w:t>
            </w:r>
          </w:p>
        </w:tc>
        <w:tc>
          <w:tcPr>
            <w:tcW w:w="1751" w:type="dxa"/>
            <w:shd w:val="clear" w:color="auto" w:fill="auto"/>
          </w:tcPr>
          <w:p w:rsidR="008454B0" w:rsidRPr="003408A6" w:rsidRDefault="008454B0" w:rsidP="00BF3F7D">
            <w:pPr>
              <w:pStyle w:val="Tabletextcentred"/>
              <w:rPr>
                <w:snapToGrid w:val="0"/>
                <w:lang w:val="en-AU"/>
              </w:rPr>
            </w:pPr>
            <w:r w:rsidRPr="003408A6">
              <w:rPr>
                <w:lang w:val="en-AU"/>
              </w:rPr>
              <w:t>3</w:t>
            </w:r>
          </w:p>
        </w:tc>
        <w:tc>
          <w:tcPr>
            <w:tcW w:w="1751" w:type="dxa"/>
            <w:shd w:val="clear" w:color="auto" w:fill="auto"/>
          </w:tcPr>
          <w:p w:rsidR="008454B0" w:rsidRPr="003408A6" w:rsidRDefault="008454B0" w:rsidP="00BF3F7D">
            <w:pPr>
              <w:pStyle w:val="Tabletextcentred"/>
              <w:rPr>
                <w:snapToGrid w:val="0"/>
                <w:lang w:val="en-AU"/>
              </w:rPr>
            </w:pPr>
            <w:r w:rsidRPr="003408A6">
              <w:rPr>
                <w:lang w:val="en-AU"/>
              </w:rPr>
              <w:t>3</w:t>
            </w:r>
          </w:p>
        </w:tc>
      </w:tr>
      <w:tr w:rsidR="008454B0" w:rsidRPr="003408A6" w:rsidTr="006B6D0F">
        <w:tc>
          <w:tcPr>
            <w:tcW w:w="4261" w:type="dxa"/>
            <w:shd w:val="clear" w:color="auto" w:fill="auto"/>
          </w:tcPr>
          <w:p w:rsidR="008454B0" w:rsidRPr="003408A6" w:rsidRDefault="008454B0" w:rsidP="00BF3F7D">
            <w:pPr>
              <w:pStyle w:val="Tabletext"/>
              <w:rPr>
                <w:lang w:val="en-AU"/>
              </w:rPr>
            </w:pPr>
            <w:r w:rsidRPr="003408A6">
              <w:rPr>
                <w:lang w:val="en-AU"/>
              </w:rPr>
              <w:t xml:space="preserve">Medicare Locals </w:t>
            </w:r>
          </w:p>
        </w:tc>
        <w:tc>
          <w:tcPr>
            <w:tcW w:w="1751" w:type="dxa"/>
            <w:shd w:val="clear" w:color="auto" w:fill="auto"/>
          </w:tcPr>
          <w:p w:rsidR="008454B0" w:rsidRPr="003408A6" w:rsidRDefault="008454B0" w:rsidP="00BF3F7D">
            <w:pPr>
              <w:pStyle w:val="Tabletextcentred"/>
              <w:rPr>
                <w:snapToGrid w:val="0"/>
                <w:lang w:val="en-AU"/>
              </w:rPr>
            </w:pPr>
            <w:r w:rsidRPr="003408A6">
              <w:rPr>
                <w:lang w:val="en-AU"/>
              </w:rPr>
              <w:t>4</w:t>
            </w:r>
          </w:p>
        </w:tc>
        <w:tc>
          <w:tcPr>
            <w:tcW w:w="1751" w:type="dxa"/>
            <w:shd w:val="clear" w:color="auto" w:fill="auto"/>
          </w:tcPr>
          <w:p w:rsidR="008454B0" w:rsidRPr="003408A6" w:rsidRDefault="008454B0" w:rsidP="00BF3F7D">
            <w:pPr>
              <w:pStyle w:val="Tabletextcentred"/>
              <w:rPr>
                <w:snapToGrid w:val="0"/>
                <w:lang w:val="en-AU"/>
              </w:rPr>
            </w:pPr>
            <w:r w:rsidRPr="003408A6">
              <w:rPr>
                <w:lang w:val="en-AU"/>
              </w:rPr>
              <w:t>3</w:t>
            </w:r>
          </w:p>
        </w:tc>
      </w:tr>
      <w:tr w:rsidR="008454B0" w:rsidRPr="003408A6" w:rsidTr="006B6D0F">
        <w:tc>
          <w:tcPr>
            <w:tcW w:w="4261" w:type="dxa"/>
            <w:shd w:val="clear" w:color="auto" w:fill="auto"/>
          </w:tcPr>
          <w:p w:rsidR="008454B0" w:rsidRPr="003408A6" w:rsidRDefault="008454B0" w:rsidP="00BF3F7D">
            <w:pPr>
              <w:pStyle w:val="Tabletext"/>
              <w:rPr>
                <w:lang w:val="en-AU"/>
              </w:rPr>
            </w:pPr>
            <w:r w:rsidRPr="003408A6">
              <w:rPr>
                <w:lang w:val="en-AU"/>
              </w:rPr>
              <w:t>Australian Medicare Local Alliance (AML</w:t>
            </w:r>
            <w:r w:rsidR="00177BC3" w:rsidRPr="003408A6">
              <w:rPr>
                <w:lang w:val="en-AU"/>
              </w:rPr>
              <w:t>A</w:t>
            </w:r>
            <w:r w:rsidRPr="003408A6">
              <w:rPr>
                <w:lang w:val="en-AU"/>
              </w:rPr>
              <w:t>)</w:t>
            </w:r>
          </w:p>
        </w:tc>
        <w:tc>
          <w:tcPr>
            <w:tcW w:w="1751" w:type="dxa"/>
            <w:shd w:val="clear" w:color="auto" w:fill="auto"/>
          </w:tcPr>
          <w:p w:rsidR="008454B0" w:rsidRPr="003408A6" w:rsidRDefault="008454B0" w:rsidP="00BF3F7D">
            <w:pPr>
              <w:pStyle w:val="Tabletextcentred"/>
              <w:rPr>
                <w:snapToGrid w:val="0"/>
                <w:lang w:val="en-AU"/>
              </w:rPr>
            </w:pPr>
            <w:r w:rsidRPr="003408A6">
              <w:rPr>
                <w:lang w:val="en-AU"/>
              </w:rPr>
              <w:t>1</w:t>
            </w:r>
          </w:p>
        </w:tc>
        <w:tc>
          <w:tcPr>
            <w:tcW w:w="1751" w:type="dxa"/>
            <w:shd w:val="clear" w:color="auto" w:fill="auto"/>
          </w:tcPr>
          <w:p w:rsidR="008454B0" w:rsidRPr="003408A6" w:rsidRDefault="00A76C78" w:rsidP="00BF3F7D">
            <w:pPr>
              <w:pStyle w:val="Tabletextcentred"/>
              <w:rPr>
                <w:snapToGrid w:val="0"/>
                <w:lang w:val="en-AU"/>
              </w:rPr>
            </w:pPr>
            <w:r>
              <w:rPr>
                <w:lang w:val="en-AU"/>
              </w:rPr>
              <w:t>–</w:t>
            </w:r>
          </w:p>
        </w:tc>
      </w:tr>
      <w:tr w:rsidR="008454B0" w:rsidRPr="003408A6" w:rsidTr="006B6D0F">
        <w:tc>
          <w:tcPr>
            <w:tcW w:w="4261" w:type="dxa"/>
            <w:shd w:val="clear" w:color="auto" w:fill="auto"/>
          </w:tcPr>
          <w:p w:rsidR="008454B0" w:rsidRPr="003408A6" w:rsidRDefault="008454B0" w:rsidP="00BF3F7D">
            <w:pPr>
              <w:pStyle w:val="Tabletext"/>
              <w:rPr>
                <w:lang w:val="en-AU"/>
              </w:rPr>
            </w:pPr>
            <w:r w:rsidRPr="003408A6">
              <w:rPr>
                <w:lang w:val="en-AU"/>
              </w:rPr>
              <w:t xml:space="preserve">School-based vaccination providers/coordinators </w:t>
            </w:r>
          </w:p>
        </w:tc>
        <w:tc>
          <w:tcPr>
            <w:tcW w:w="1751" w:type="dxa"/>
            <w:shd w:val="clear" w:color="auto" w:fill="auto"/>
          </w:tcPr>
          <w:p w:rsidR="008454B0" w:rsidRPr="003408A6" w:rsidRDefault="008454B0" w:rsidP="00BF3F7D">
            <w:pPr>
              <w:pStyle w:val="Tabletextcentred"/>
              <w:rPr>
                <w:b/>
                <w:bCs/>
                <w:iCs/>
                <w:snapToGrid w:val="0"/>
                <w:lang w:val="en-AU"/>
              </w:rPr>
            </w:pPr>
            <w:r w:rsidRPr="003408A6">
              <w:rPr>
                <w:lang w:val="en-AU"/>
              </w:rPr>
              <w:t>5</w:t>
            </w:r>
          </w:p>
        </w:tc>
        <w:tc>
          <w:tcPr>
            <w:tcW w:w="1751" w:type="dxa"/>
            <w:shd w:val="clear" w:color="auto" w:fill="auto"/>
          </w:tcPr>
          <w:p w:rsidR="008454B0" w:rsidRPr="003408A6" w:rsidRDefault="008454B0" w:rsidP="00BF3F7D">
            <w:pPr>
              <w:pStyle w:val="Tabletextcentred"/>
              <w:rPr>
                <w:b/>
                <w:bCs/>
                <w:iCs/>
                <w:snapToGrid w:val="0"/>
                <w:lang w:val="en-AU"/>
              </w:rPr>
            </w:pPr>
            <w:r w:rsidRPr="003408A6">
              <w:rPr>
                <w:lang w:val="en-AU"/>
              </w:rPr>
              <w:t>5</w:t>
            </w:r>
          </w:p>
        </w:tc>
      </w:tr>
      <w:tr w:rsidR="008454B0" w:rsidRPr="003408A6" w:rsidTr="006B6D0F">
        <w:tc>
          <w:tcPr>
            <w:tcW w:w="4261" w:type="dxa"/>
            <w:shd w:val="clear" w:color="auto" w:fill="auto"/>
          </w:tcPr>
          <w:p w:rsidR="008454B0" w:rsidRPr="003408A6" w:rsidRDefault="008454B0" w:rsidP="00BF3F7D">
            <w:pPr>
              <w:pStyle w:val="Tabletext"/>
              <w:rPr>
                <w:lang w:val="en-AU"/>
              </w:rPr>
            </w:pPr>
            <w:r w:rsidRPr="003408A6">
              <w:rPr>
                <w:lang w:val="en-AU"/>
              </w:rPr>
              <w:t xml:space="preserve">Regional immunisation coordinators </w:t>
            </w:r>
          </w:p>
        </w:tc>
        <w:tc>
          <w:tcPr>
            <w:tcW w:w="1751" w:type="dxa"/>
            <w:shd w:val="clear" w:color="auto" w:fill="auto"/>
          </w:tcPr>
          <w:p w:rsidR="008454B0" w:rsidRPr="003408A6" w:rsidRDefault="008C412D" w:rsidP="00BF3F7D">
            <w:pPr>
              <w:pStyle w:val="Tabletextcentred"/>
              <w:rPr>
                <w:b/>
                <w:bCs/>
                <w:iCs/>
                <w:snapToGrid w:val="0"/>
                <w:lang w:val="en-AU"/>
              </w:rPr>
            </w:pPr>
            <w:r w:rsidRPr="003408A6">
              <w:rPr>
                <w:lang w:val="en-AU"/>
              </w:rPr>
              <w:t>2</w:t>
            </w:r>
          </w:p>
        </w:tc>
        <w:tc>
          <w:tcPr>
            <w:tcW w:w="1751" w:type="dxa"/>
            <w:shd w:val="clear" w:color="auto" w:fill="auto"/>
          </w:tcPr>
          <w:p w:rsidR="008454B0" w:rsidRPr="003408A6" w:rsidRDefault="008454B0" w:rsidP="00BF3F7D">
            <w:pPr>
              <w:pStyle w:val="Tabletextcentred"/>
              <w:rPr>
                <w:b/>
                <w:bCs/>
                <w:iCs/>
                <w:snapToGrid w:val="0"/>
                <w:lang w:val="en-AU"/>
              </w:rPr>
            </w:pPr>
            <w:r w:rsidRPr="003408A6">
              <w:rPr>
                <w:lang w:val="en-AU"/>
              </w:rPr>
              <w:t>1</w:t>
            </w:r>
          </w:p>
        </w:tc>
      </w:tr>
      <w:tr w:rsidR="008454B0" w:rsidRPr="003408A6" w:rsidTr="006B6D0F">
        <w:tc>
          <w:tcPr>
            <w:tcW w:w="4261" w:type="dxa"/>
            <w:shd w:val="clear" w:color="auto" w:fill="auto"/>
          </w:tcPr>
          <w:p w:rsidR="008454B0" w:rsidRPr="003408A6" w:rsidRDefault="008454B0" w:rsidP="00B37994">
            <w:pPr>
              <w:pStyle w:val="Tabletext"/>
              <w:rPr>
                <w:lang w:val="en-AU"/>
              </w:rPr>
            </w:pPr>
            <w:r w:rsidRPr="003408A6">
              <w:rPr>
                <w:lang w:val="en-AU"/>
              </w:rPr>
              <w:t xml:space="preserve">Therapeutic Goods Administration </w:t>
            </w:r>
          </w:p>
        </w:tc>
        <w:tc>
          <w:tcPr>
            <w:tcW w:w="1751" w:type="dxa"/>
            <w:shd w:val="clear" w:color="auto" w:fill="auto"/>
          </w:tcPr>
          <w:p w:rsidR="008454B0" w:rsidRPr="003408A6" w:rsidRDefault="008454B0" w:rsidP="00BF3F7D">
            <w:pPr>
              <w:pStyle w:val="Tabletextcentred"/>
              <w:rPr>
                <w:b/>
                <w:bCs/>
                <w:iCs/>
                <w:snapToGrid w:val="0"/>
                <w:lang w:val="en-AU"/>
              </w:rPr>
            </w:pPr>
            <w:r w:rsidRPr="003408A6">
              <w:rPr>
                <w:lang w:val="en-AU"/>
              </w:rPr>
              <w:t>2</w:t>
            </w:r>
          </w:p>
        </w:tc>
        <w:tc>
          <w:tcPr>
            <w:tcW w:w="1751" w:type="dxa"/>
            <w:shd w:val="clear" w:color="auto" w:fill="auto"/>
          </w:tcPr>
          <w:p w:rsidR="008454B0" w:rsidRPr="003408A6" w:rsidRDefault="00A76C78" w:rsidP="00A76C78">
            <w:pPr>
              <w:pStyle w:val="Tabletextcentred"/>
              <w:rPr>
                <w:b/>
                <w:bCs/>
                <w:iCs/>
                <w:snapToGrid w:val="0"/>
                <w:lang w:val="en-AU"/>
              </w:rPr>
            </w:pPr>
            <w:r>
              <w:rPr>
                <w:lang w:val="en-AU"/>
              </w:rPr>
              <w:t>–</w:t>
            </w:r>
          </w:p>
        </w:tc>
      </w:tr>
    </w:tbl>
    <w:p w:rsidR="008454B0" w:rsidRPr="003408A6" w:rsidRDefault="00A76C78" w:rsidP="00BF3F7D">
      <w:pPr>
        <w:pStyle w:val="Tablefootnote"/>
      </w:pPr>
      <w:r>
        <w:t>*</w:t>
      </w:r>
      <w:r w:rsidR="00BF3F7D" w:rsidRPr="003408A6">
        <w:tab/>
      </w:r>
      <w:r w:rsidR="00F90BF9" w:rsidRPr="003408A6">
        <w:t>In three jurisdictions</w:t>
      </w:r>
      <w:r w:rsidR="00357023" w:rsidRPr="003408A6">
        <w:t>,</w:t>
      </w:r>
      <w:r w:rsidR="00F90BF9" w:rsidRPr="003408A6">
        <w:t xml:space="preserve"> a jurisdictional immunisation nurse coordinator was interviewed with the </w:t>
      </w:r>
      <w:r>
        <w:t>i</w:t>
      </w:r>
      <w:r w:rsidR="00F90BF9" w:rsidRPr="003408A6">
        <w:t xml:space="preserve">mmunisation </w:t>
      </w:r>
      <w:r>
        <w:t>p</w:t>
      </w:r>
      <w:r w:rsidR="00F90BF9" w:rsidRPr="003408A6">
        <w:t xml:space="preserve">rogram </w:t>
      </w:r>
      <w:r>
        <w:t>m</w:t>
      </w:r>
      <w:r w:rsidR="00F90BF9" w:rsidRPr="003408A6">
        <w:t xml:space="preserve">anager. </w:t>
      </w:r>
    </w:p>
    <w:p w:rsidR="008454B0" w:rsidRPr="003408A6" w:rsidRDefault="008454B0" w:rsidP="00573C70">
      <w:pPr>
        <w:pStyle w:val="BodyText"/>
        <w:spacing w:before="360"/>
        <w:rPr>
          <w:lang w:val="en-AU"/>
        </w:rPr>
      </w:pPr>
      <w:r w:rsidRPr="003408A6">
        <w:rPr>
          <w:lang w:val="en-AU"/>
        </w:rPr>
        <w:t xml:space="preserve">Twenty key </w:t>
      </w:r>
      <w:r w:rsidR="003C41DF" w:rsidRPr="003408A6">
        <w:rPr>
          <w:rFonts w:eastAsiaTheme="minorEastAsia"/>
          <w:bCs/>
          <w:snapToGrid w:val="0"/>
          <w:lang w:val="en-AU"/>
        </w:rPr>
        <w:t>stakeholders</w:t>
      </w:r>
      <w:r w:rsidRPr="003408A6">
        <w:rPr>
          <w:lang w:val="en-AU"/>
        </w:rPr>
        <w:t xml:space="preserve"> completed the online survey. Respondents from the TGA did not complete the online component as the survey was not directly relevant to them.</w:t>
      </w:r>
      <w:r w:rsidR="00F57EC0" w:rsidRPr="003408A6">
        <w:rPr>
          <w:lang w:val="en-AU"/>
        </w:rPr>
        <w:t xml:space="preserve"> In a number of </w:t>
      </w:r>
      <w:r w:rsidR="00FF49B2" w:rsidRPr="003408A6">
        <w:rPr>
          <w:lang w:val="en-AU"/>
        </w:rPr>
        <w:t>instances,</w:t>
      </w:r>
      <w:r w:rsidR="00F57EC0" w:rsidRPr="003408A6">
        <w:rPr>
          <w:lang w:val="en-AU"/>
        </w:rPr>
        <w:t xml:space="preserve"> more than one stakeholder was interviewed from one organisation (e</w:t>
      </w:r>
      <w:r w:rsidR="00FF49B2" w:rsidRPr="003408A6">
        <w:rPr>
          <w:lang w:val="en-AU"/>
        </w:rPr>
        <w:t>.</w:t>
      </w:r>
      <w:r w:rsidR="00F57EC0" w:rsidRPr="003408A6">
        <w:rPr>
          <w:lang w:val="en-AU"/>
        </w:rPr>
        <w:t>g</w:t>
      </w:r>
      <w:r w:rsidR="00FF49B2" w:rsidRPr="003408A6">
        <w:rPr>
          <w:lang w:val="en-AU"/>
        </w:rPr>
        <w:t>.</w:t>
      </w:r>
      <w:r w:rsidR="00F57EC0" w:rsidRPr="003408A6">
        <w:rPr>
          <w:lang w:val="en-AU"/>
        </w:rPr>
        <w:t xml:space="preserve"> two respondents from the same Medicare Local) and only</w:t>
      </w:r>
      <w:r w:rsidRPr="003408A6">
        <w:rPr>
          <w:lang w:val="en-AU"/>
        </w:rPr>
        <w:t xml:space="preserve"> one respondent from that organisation completed the online survey. Therefore</w:t>
      </w:r>
      <w:r w:rsidR="00F57EC0" w:rsidRPr="003408A6">
        <w:rPr>
          <w:lang w:val="en-AU"/>
        </w:rPr>
        <w:t xml:space="preserve"> the number of</w:t>
      </w:r>
      <w:r w:rsidRPr="003408A6">
        <w:rPr>
          <w:lang w:val="en-AU"/>
        </w:rPr>
        <w:t xml:space="preserve"> online survey</w:t>
      </w:r>
      <w:r w:rsidR="00F57EC0" w:rsidRPr="003408A6">
        <w:rPr>
          <w:lang w:val="en-AU"/>
        </w:rPr>
        <w:t xml:space="preserve"> </w:t>
      </w:r>
      <w:r w:rsidRPr="003408A6">
        <w:rPr>
          <w:lang w:val="en-AU"/>
        </w:rPr>
        <w:t xml:space="preserve">responses </w:t>
      </w:r>
      <w:r w:rsidR="00F57EC0" w:rsidRPr="003408A6">
        <w:rPr>
          <w:lang w:val="en-AU"/>
        </w:rPr>
        <w:t>was fewer than the number of interviews</w:t>
      </w:r>
      <w:r w:rsidRPr="003408A6">
        <w:rPr>
          <w:lang w:val="en-AU"/>
        </w:rPr>
        <w:t>.</w:t>
      </w:r>
    </w:p>
    <w:p w:rsidR="008454B0" w:rsidRPr="003408A6" w:rsidRDefault="008454B0" w:rsidP="00BF3F7D">
      <w:pPr>
        <w:pStyle w:val="BodyText"/>
        <w:rPr>
          <w:lang w:val="en-AU"/>
        </w:rPr>
      </w:pPr>
      <w:r w:rsidRPr="003408A6">
        <w:rPr>
          <w:lang w:val="en-AU"/>
        </w:rPr>
        <w:t xml:space="preserve">The final sample had representatives from all </w:t>
      </w:r>
      <w:r w:rsidR="001320B0" w:rsidRPr="003408A6">
        <w:rPr>
          <w:lang w:val="en-AU"/>
        </w:rPr>
        <w:t>s</w:t>
      </w:r>
      <w:r w:rsidRPr="003408A6">
        <w:rPr>
          <w:lang w:val="en-AU"/>
        </w:rPr>
        <w:t xml:space="preserve">tates and </w:t>
      </w:r>
      <w:r w:rsidR="001320B0" w:rsidRPr="003408A6">
        <w:rPr>
          <w:lang w:val="en-AU"/>
        </w:rPr>
        <w:t>t</w:t>
      </w:r>
      <w:r w:rsidRPr="003408A6">
        <w:rPr>
          <w:lang w:val="en-AU"/>
        </w:rPr>
        <w:t>erritories (</w:t>
      </w:r>
      <w:r w:rsidR="00FC7D75" w:rsidRPr="003408A6">
        <w:rPr>
          <w:lang w:val="en-AU"/>
        </w:rPr>
        <w:t>s</w:t>
      </w:r>
      <w:r w:rsidRPr="003408A6">
        <w:rPr>
          <w:lang w:val="en-AU"/>
        </w:rPr>
        <w:t xml:space="preserve">ee </w:t>
      </w:r>
      <w:r w:rsidRPr="003408A6">
        <w:rPr>
          <w:b/>
          <w:lang w:val="en-AU"/>
        </w:rPr>
        <w:t>Table 2.</w:t>
      </w:r>
      <w:r w:rsidR="00CD45D0" w:rsidRPr="003408A6">
        <w:rPr>
          <w:b/>
          <w:lang w:val="en-AU"/>
        </w:rPr>
        <w:t>7</w:t>
      </w:r>
      <w:r w:rsidRPr="003408A6">
        <w:rPr>
          <w:lang w:val="en-AU"/>
        </w:rPr>
        <w:t>)</w:t>
      </w:r>
      <w:r w:rsidR="00FC7D75" w:rsidRPr="003408A6">
        <w:rPr>
          <w:lang w:val="en-AU"/>
        </w:rPr>
        <w:t>.</w:t>
      </w:r>
    </w:p>
    <w:p w:rsidR="008454B0" w:rsidRPr="003408A6" w:rsidRDefault="008454B0" w:rsidP="00BF3F7D">
      <w:pPr>
        <w:pStyle w:val="Tableheading"/>
        <w:rPr>
          <w:lang w:val="en-AU"/>
        </w:rPr>
      </w:pPr>
      <w:bookmarkStart w:id="45" w:name="_Toc396475528"/>
      <w:bookmarkStart w:id="46" w:name="_Toc397000756"/>
      <w:r w:rsidRPr="003408A6">
        <w:rPr>
          <w:lang w:val="en-AU"/>
        </w:rPr>
        <w:t>Table 2.</w:t>
      </w:r>
      <w:r w:rsidR="00CD45D0" w:rsidRPr="003408A6">
        <w:rPr>
          <w:lang w:val="en-AU"/>
        </w:rPr>
        <w:t>7</w:t>
      </w:r>
      <w:r w:rsidRPr="003408A6">
        <w:rPr>
          <w:lang w:val="en-AU"/>
        </w:rPr>
        <w:t>.</w:t>
      </w:r>
      <w:r w:rsidR="00901C17" w:rsidRPr="003408A6">
        <w:rPr>
          <w:lang w:val="en-AU"/>
        </w:rPr>
        <w:tab/>
      </w:r>
      <w:r w:rsidRPr="003408A6">
        <w:rPr>
          <w:lang w:val="en-AU"/>
        </w:rPr>
        <w:t xml:space="preserve">Sample of </w:t>
      </w:r>
      <w:r w:rsidR="001320B0" w:rsidRPr="003408A6">
        <w:rPr>
          <w:lang w:val="en-AU"/>
        </w:rPr>
        <w:t>k</w:t>
      </w:r>
      <w:r w:rsidRPr="003408A6">
        <w:rPr>
          <w:lang w:val="en-AU"/>
        </w:rPr>
        <w:t xml:space="preserve">ey </w:t>
      </w:r>
      <w:r w:rsidR="001320B0" w:rsidRPr="003408A6">
        <w:rPr>
          <w:lang w:val="en-AU"/>
        </w:rPr>
        <w:t xml:space="preserve">stakeholders </w:t>
      </w:r>
      <w:r w:rsidRPr="003408A6">
        <w:rPr>
          <w:lang w:val="en-AU"/>
        </w:rPr>
        <w:t xml:space="preserve">by </w:t>
      </w:r>
      <w:r w:rsidR="001320B0" w:rsidRPr="003408A6">
        <w:rPr>
          <w:lang w:val="en-AU"/>
        </w:rPr>
        <w:t>jurisdiction</w:t>
      </w:r>
      <w:bookmarkEnd w:id="45"/>
      <w:bookmarkEnd w:id="46"/>
      <w:r w:rsidRPr="003408A6">
        <w:rPr>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832"/>
        <w:gridCol w:w="1832"/>
      </w:tblGrid>
      <w:tr w:rsidR="008454B0" w:rsidRPr="003408A6" w:rsidTr="00A76C78">
        <w:tc>
          <w:tcPr>
            <w:tcW w:w="1831" w:type="dxa"/>
            <w:tcBorders>
              <w:top w:val="single" w:sz="4" w:space="0" w:color="auto"/>
              <w:left w:val="nil"/>
              <w:bottom w:val="single" w:sz="4" w:space="0" w:color="auto"/>
              <w:right w:val="nil"/>
            </w:tcBorders>
            <w:shd w:val="clear" w:color="auto" w:fill="auto"/>
          </w:tcPr>
          <w:p w:rsidR="008454B0" w:rsidRPr="003408A6" w:rsidRDefault="001320B0" w:rsidP="00A76C78">
            <w:pPr>
              <w:pStyle w:val="Tablecolumnheadings"/>
              <w:jc w:val="left"/>
              <w:rPr>
                <w:lang w:val="en-AU"/>
              </w:rPr>
            </w:pPr>
            <w:r w:rsidRPr="003408A6">
              <w:rPr>
                <w:lang w:val="en-AU"/>
              </w:rPr>
              <w:t>Jurisdiction</w:t>
            </w:r>
            <w:r w:rsidR="008454B0" w:rsidRPr="003408A6">
              <w:rPr>
                <w:lang w:val="en-AU"/>
              </w:rPr>
              <w:t>*</w:t>
            </w:r>
          </w:p>
        </w:tc>
        <w:tc>
          <w:tcPr>
            <w:tcW w:w="1832" w:type="dxa"/>
            <w:tcBorders>
              <w:top w:val="single" w:sz="4" w:space="0" w:color="auto"/>
              <w:left w:val="nil"/>
              <w:bottom w:val="single" w:sz="4" w:space="0" w:color="auto"/>
              <w:right w:val="nil"/>
            </w:tcBorders>
            <w:shd w:val="clear" w:color="auto" w:fill="auto"/>
          </w:tcPr>
          <w:p w:rsidR="008454B0" w:rsidRPr="003408A6" w:rsidRDefault="008454B0" w:rsidP="00BF3F7D">
            <w:pPr>
              <w:pStyle w:val="Tablecolumnheadings"/>
              <w:rPr>
                <w:lang w:val="en-AU"/>
              </w:rPr>
            </w:pPr>
            <w:r w:rsidRPr="003408A6">
              <w:rPr>
                <w:lang w:val="en-AU"/>
              </w:rPr>
              <w:t>Interview</w:t>
            </w:r>
            <w:r w:rsidR="00BF3F7D" w:rsidRPr="003408A6">
              <w:rPr>
                <w:lang w:val="en-AU"/>
              </w:rPr>
              <w:br/>
            </w:r>
            <w:r w:rsidRPr="003408A6">
              <w:rPr>
                <w:lang w:val="en-AU"/>
              </w:rPr>
              <w:t>(N=29)</w:t>
            </w:r>
            <w:r w:rsidR="00BF3F7D" w:rsidRPr="003408A6">
              <w:rPr>
                <w:lang w:val="en-AU"/>
              </w:rPr>
              <w:br/>
            </w:r>
            <w:r w:rsidRPr="003408A6">
              <w:rPr>
                <w:lang w:val="en-AU"/>
              </w:rPr>
              <w:t>n</w:t>
            </w:r>
          </w:p>
        </w:tc>
        <w:tc>
          <w:tcPr>
            <w:tcW w:w="1832" w:type="dxa"/>
            <w:tcBorders>
              <w:top w:val="single" w:sz="4" w:space="0" w:color="auto"/>
              <w:left w:val="nil"/>
              <w:bottom w:val="single" w:sz="4" w:space="0" w:color="auto"/>
              <w:right w:val="nil"/>
            </w:tcBorders>
            <w:shd w:val="clear" w:color="auto" w:fill="auto"/>
          </w:tcPr>
          <w:p w:rsidR="008454B0" w:rsidRPr="003408A6" w:rsidRDefault="008454B0" w:rsidP="00BF3F7D">
            <w:pPr>
              <w:pStyle w:val="Tablecolumnheadings"/>
              <w:rPr>
                <w:lang w:val="en-AU"/>
              </w:rPr>
            </w:pPr>
            <w:r w:rsidRPr="003408A6">
              <w:rPr>
                <w:lang w:val="en-AU"/>
              </w:rPr>
              <w:t>Online survey</w:t>
            </w:r>
            <w:r w:rsidR="00BF3F7D" w:rsidRPr="003408A6">
              <w:rPr>
                <w:lang w:val="en-AU"/>
              </w:rPr>
              <w:br/>
            </w:r>
            <w:r w:rsidRPr="003408A6">
              <w:rPr>
                <w:lang w:val="en-AU"/>
              </w:rPr>
              <w:t>(N=20)</w:t>
            </w:r>
            <w:r w:rsidR="00BF3F7D" w:rsidRPr="003408A6">
              <w:rPr>
                <w:lang w:val="en-AU"/>
              </w:rPr>
              <w:br/>
            </w:r>
            <w:r w:rsidRPr="003408A6">
              <w:rPr>
                <w:lang w:val="en-AU"/>
              </w:rPr>
              <w:t>n</w:t>
            </w:r>
          </w:p>
        </w:tc>
      </w:tr>
      <w:tr w:rsidR="008454B0" w:rsidRPr="003408A6" w:rsidTr="00A76C78">
        <w:tc>
          <w:tcPr>
            <w:tcW w:w="1831" w:type="dxa"/>
            <w:tcBorders>
              <w:top w:val="single" w:sz="4" w:space="0" w:color="auto"/>
              <w:left w:val="nil"/>
              <w:bottom w:val="nil"/>
              <w:right w:val="nil"/>
            </w:tcBorders>
            <w:shd w:val="clear" w:color="auto" w:fill="auto"/>
          </w:tcPr>
          <w:p w:rsidR="008454B0" w:rsidRPr="003408A6" w:rsidRDefault="008454B0" w:rsidP="00BF3F7D">
            <w:pPr>
              <w:pStyle w:val="Tabletext"/>
              <w:rPr>
                <w:lang w:val="en-AU"/>
              </w:rPr>
            </w:pPr>
            <w:r w:rsidRPr="003408A6">
              <w:rPr>
                <w:lang w:val="en-AU"/>
              </w:rPr>
              <w:t xml:space="preserve">ACT </w:t>
            </w:r>
          </w:p>
        </w:tc>
        <w:tc>
          <w:tcPr>
            <w:tcW w:w="1832" w:type="dxa"/>
            <w:tcBorders>
              <w:top w:val="single" w:sz="4" w:space="0" w:color="auto"/>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2</w:t>
            </w:r>
          </w:p>
        </w:tc>
        <w:tc>
          <w:tcPr>
            <w:tcW w:w="1832" w:type="dxa"/>
            <w:tcBorders>
              <w:top w:val="single" w:sz="4" w:space="0" w:color="auto"/>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1</w:t>
            </w:r>
          </w:p>
        </w:tc>
      </w:tr>
      <w:tr w:rsidR="008454B0" w:rsidRPr="003408A6" w:rsidTr="00A76C78">
        <w:tc>
          <w:tcPr>
            <w:tcW w:w="1831" w:type="dxa"/>
            <w:tcBorders>
              <w:top w:val="nil"/>
              <w:left w:val="nil"/>
              <w:bottom w:val="nil"/>
              <w:right w:val="nil"/>
            </w:tcBorders>
            <w:shd w:val="clear" w:color="auto" w:fill="auto"/>
          </w:tcPr>
          <w:p w:rsidR="008454B0" w:rsidRPr="003408A6" w:rsidRDefault="008454B0" w:rsidP="00BF3F7D">
            <w:pPr>
              <w:pStyle w:val="Tabletext"/>
              <w:rPr>
                <w:lang w:val="en-AU"/>
              </w:rPr>
            </w:pPr>
            <w:r w:rsidRPr="003408A6">
              <w:rPr>
                <w:lang w:val="en-AU"/>
              </w:rPr>
              <w:t xml:space="preserve">NSW </w:t>
            </w:r>
          </w:p>
        </w:tc>
        <w:tc>
          <w:tcPr>
            <w:tcW w:w="1832" w:type="dxa"/>
            <w:tcBorders>
              <w:top w:val="nil"/>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5</w:t>
            </w:r>
          </w:p>
        </w:tc>
        <w:tc>
          <w:tcPr>
            <w:tcW w:w="1832" w:type="dxa"/>
            <w:tcBorders>
              <w:top w:val="nil"/>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4</w:t>
            </w:r>
          </w:p>
        </w:tc>
      </w:tr>
      <w:tr w:rsidR="008C412D" w:rsidRPr="003408A6" w:rsidTr="00A76C78">
        <w:tc>
          <w:tcPr>
            <w:tcW w:w="1831" w:type="dxa"/>
            <w:tcBorders>
              <w:top w:val="nil"/>
              <w:left w:val="nil"/>
              <w:bottom w:val="nil"/>
              <w:right w:val="nil"/>
            </w:tcBorders>
            <w:shd w:val="clear" w:color="auto" w:fill="auto"/>
          </w:tcPr>
          <w:p w:rsidR="008C412D" w:rsidRPr="003408A6" w:rsidRDefault="008C412D" w:rsidP="00BF3F7D">
            <w:pPr>
              <w:pStyle w:val="Tabletext"/>
              <w:rPr>
                <w:lang w:val="en-AU"/>
              </w:rPr>
            </w:pPr>
            <w:r w:rsidRPr="003408A6">
              <w:rPr>
                <w:lang w:val="en-AU"/>
              </w:rPr>
              <w:t xml:space="preserve">NT </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3</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2</w:t>
            </w:r>
          </w:p>
        </w:tc>
      </w:tr>
      <w:tr w:rsidR="008C412D" w:rsidRPr="003408A6" w:rsidTr="00A76C78">
        <w:tc>
          <w:tcPr>
            <w:tcW w:w="1831" w:type="dxa"/>
            <w:tcBorders>
              <w:top w:val="nil"/>
              <w:left w:val="nil"/>
              <w:bottom w:val="nil"/>
              <w:right w:val="nil"/>
            </w:tcBorders>
            <w:shd w:val="clear" w:color="auto" w:fill="auto"/>
          </w:tcPr>
          <w:p w:rsidR="008C412D" w:rsidRPr="003408A6" w:rsidRDefault="008C412D" w:rsidP="00BF3F7D">
            <w:pPr>
              <w:pStyle w:val="Tabletext"/>
              <w:rPr>
                <w:lang w:val="en-AU"/>
              </w:rPr>
            </w:pPr>
            <w:r w:rsidRPr="003408A6">
              <w:rPr>
                <w:lang w:val="en-AU"/>
              </w:rPr>
              <w:t xml:space="preserve">QLD </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5</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5</w:t>
            </w:r>
          </w:p>
        </w:tc>
      </w:tr>
      <w:tr w:rsidR="008C412D" w:rsidRPr="003408A6" w:rsidTr="00A76C78">
        <w:tc>
          <w:tcPr>
            <w:tcW w:w="1831" w:type="dxa"/>
            <w:tcBorders>
              <w:top w:val="nil"/>
              <w:left w:val="nil"/>
              <w:bottom w:val="nil"/>
              <w:right w:val="nil"/>
            </w:tcBorders>
            <w:shd w:val="clear" w:color="auto" w:fill="auto"/>
          </w:tcPr>
          <w:p w:rsidR="008C412D" w:rsidRPr="003408A6" w:rsidRDefault="008C412D" w:rsidP="00BF3F7D">
            <w:pPr>
              <w:pStyle w:val="Tabletext"/>
              <w:rPr>
                <w:lang w:val="en-AU"/>
              </w:rPr>
            </w:pPr>
            <w:r w:rsidRPr="003408A6">
              <w:rPr>
                <w:lang w:val="en-AU"/>
              </w:rPr>
              <w:t xml:space="preserve">SA </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2</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2</w:t>
            </w:r>
          </w:p>
        </w:tc>
      </w:tr>
      <w:tr w:rsidR="008C412D" w:rsidRPr="003408A6" w:rsidTr="00A76C78">
        <w:tc>
          <w:tcPr>
            <w:tcW w:w="1831" w:type="dxa"/>
            <w:tcBorders>
              <w:top w:val="nil"/>
              <w:left w:val="nil"/>
              <w:bottom w:val="nil"/>
              <w:right w:val="nil"/>
            </w:tcBorders>
            <w:shd w:val="clear" w:color="auto" w:fill="auto"/>
          </w:tcPr>
          <w:p w:rsidR="008C412D" w:rsidRPr="003408A6" w:rsidRDefault="008C412D" w:rsidP="00BF3F7D">
            <w:pPr>
              <w:pStyle w:val="Tabletext"/>
              <w:rPr>
                <w:lang w:val="en-AU"/>
              </w:rPr>
            </w:pPr>
            <w:r w:rsidRPr="003408A6">
              <w:rPr>
                <w:lang w:val="en-AU"/>
              </w:rPr>
              <w:t>TAS</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 xml:space="preserve">2 </w:t>
            </w:r>
          </w:p>
        </w:tc>
        <w:tc>
          <w:tcPr>
            <w:tcW w:w="1832" w:type="dxa"/>
            <w:tcBorders>
              <w:top w:val="nil"/>
              <w:left w:val="nil"/>
              <w:bottom w:val="nil"/>
              <w:right w:val="nil"/>
            </w:tcBorders>
            <w:shd w:val="clear" w:color="auto" w:fill="auto"/>
          </w:tcPr>
          <w:p w:rsidR="008C412D" w:rsidRPr="003408A6" w:rsidRDefault="008C412D" w:rsidP="00BF3F7D">
            <w:pPr>
              <w:pStyle w:val="Tabletextcentred"/>
              <w:rPr>
                <w:lang w:val="en-AU"/>
              </w:rPr>
            </w:pPr>
            <w:r w:rsidRPr="003408A6">
              <w:rPr>
                <w:lang w:val="en-AU"/>
              </w:rPr>
              <w:t>1</w:t>
            </w:r>
          </w:p>
        </w:tc>
      </w:tr>
      <w:tr w:rsidR="008454B0" w:rsidRPr="003408A6" w:rsidTr="00A76C78">
        <w:tc>
          <w:tcPr>
            <w:tcW w:w="1831" w:type="dxa"/>
            <w:tcBorders>
              <w:top w:val="nil"/>
              <w:left w:val="nil"/>
              <w:bottom w:val="nil"/>
              <w:right w:val="nil"/>
            </w:tcBorders>
            <w:shd w:val="clear" w:color="auto" w:fill="auto"/>
          </w:tcPr>
          <w:p w:rsidR="008454B0" w:rsidRPr="003408A6" w:rsidRDefault="00DF1B61" w:rsidP="00BF3F7D">
            <w:pPr>
              <w:pStyle w:val="Tabletext"/>
              <w:rPr>
                <w:lang w:val="en-AU"/>
              </w:rPr>
            </w:pPr>
            <w:r w:rsidRPr="003408A6">
              <w:rPr>
                <w:lang w:val="en-AU"/>
              </w:rPr>
              <w:t>VIC</w:t>
            </w:r>
          </w:p>
        </w:tc>
        <w:tc>
          <w:tcPr>
            <w:tcW w:w="1832" w:type="dxa"/>
            <w:tcBorders>
              <w:top w:val="nil"/>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4</w:t>
            </w:r>
          </w:p>
        </w:tc>
        <w:tc>
          <w:tcPr>
            <w:tcW w:w="1832" w:type="dxa"/>
            <w:tcBorders>
              <w:top w:val="nil"/>
              <w:left w:val="nil"/>
              <w:bottom w:val="nil"/>
              <w:right w:val="nil"/>
            </w:tcBorders>
            <w:shd w:val="clear" w:color="auto" w:fill="auto"/>
          </w:tcPr>
          <w:p w:rsidR="008454B0" w:rsidRPr="003408A6" w:rsidRDefault="008454B0" w:rsidP="00BF3F7D">
            <w:pPr>
              <w:pStyle w:val="Tabletextcentred"/>
              <w:rPr>
                <w:lang w:val="en-AU"/>
              </w:rPr>
            </w:pPr>
            <w:r w:rsidRPr="003408A6">
              <w:rPr>
                <w:lang w:val="en-AU"/>
              </w:rPr>
              <w:t>3</w:t>
            </w:r>
          </w:p>
        </w:tc>
      </w:tr>
      <w:tr w:rsidR="008454B0" w:rsidRPr="003408A6" w:rsidTr="00A76C78">
        <w:tc>
          <w:tcPr>
            <w:tcW w:w="1831" w:type="dxa"/>
            <w:tcBorders>
              <w:top w:val="nil"/>
              <w:left w:val="nil"/>
              <w:bottom w:val="single" w:sz="4" w:space="0" w:color="auto"/>
              <w:right w:val="nil"/>
            </w:tcBorders>
            <w:shd w:val="clear" w:color="auto" w:fill="auto"/>
          </w:tcPr>
          <w:p w:rsidR="008454B0" w:rsidRPr="003408A6" w:rsidRDefault="008454B0" w:rsidP="00BF3F7D">
            <w:pPr>
              <w:pStyle w:val="Tabletext"/>
              <w:rPr>
                <w:lang w:val="en-AU"/>
              </w:rPr>
            </w:pPr>
            <w:r w:rsidRPr="003408A6">
              <w:rPr>
                <w:lang w:val="en-AU"/>
              </w:rPr>
              <w:t xml:space="preserve">WA </w:t>
            </w:r>
          </w:p>
        </w:tc>
        <w:tc>
          <w:tcPr>
            <w:tcW w:w="1832" w:type="dxa"/>
            <w:tcBorders>
              <w:top w:val="nil"/>
              <w:left w:val="nil"/>
              <w:bottom w:val="single" w:sz="4" w:space="0" w:color="auto"/>
              <w:right w:val="nil"/>
            </w:tcBorders>
            <w:shd w:val="clear" w:color="auto" w:fill="auto"/>
          </w:tcPr>
          <w:p w:rsidR="008454B0" w:rsidRPr="003408A6" w:rsidRDefault="008454B0" w:rsidP="00BF3F7D">
            <w:pPr>
              <w:pStyle w:val="Tabletextcentred"/>
              <w:rPr>
                <w:lang w:val="en-AU"/>
              </w:rPr>
            </w:pPr>
            <w:r w:rsidRPr="003408A6">
              <w:rPr>
                <w:lang w:val="en-AU"/>
              </w:rPr>
              <w:t>3</w:t>
            </w:r>
          </w:p>
        </w:tc>
        <w:tc>
          <w:tcPr>
            <w:tcW w:w="1832" w:type="dxa"/>
            <w:tcBorders>
              <w:top w:val="nil"/>
              <w:left w:val="nil"/>
              <w:bottom w:val="single" w:sz="4" w:space="0" w:color="auto"/>
              <w:right w:val="nil"/>
            </w:tcBorders>
            <w:shd w:val="clear" w:color="auto" w:fill="auto"/>
          </w:tcPr>
          <w:p w:rsidR="008454B0" w:rsidRPr="003408A6" w:rsidRDefault="008454B0" w:rsidP="00BF3F7D">
            <w:pPr>
              <w:pStyle w:val="Tabletextcentred"/>
              <w:rPr>
                <w:lang w:val="en-AU"/>
              </w:rPr>
            </w:pPr>
            <w:r w:rsidRPr="003408A6">
              <w:rPr>
                <w:lang w:val="en-AU"/>
              </w:rPr>
              <w:t>2</w:t>
            </w:r>
          </w:p>
        </w:tc>
      </w:tr>
    </w:tbl>
    <w:p w:rsidR="008454B0" w:rsidRPr="003408A6" w:rsidRDefault="008454B0" w:rsidP="00BF3F7D">
      <w:pPr>
        <w:pStyle w:val="Tablefootnote"/>
      </w:pPr>
      <w:r w:rsidRPr="003408A6">
        <w:t>*</w:t>
      </w:r>
      <w:r w:rsidR="00BF3F7D" w:rsidRPr="003408A6">
        <w:tab/>
      </w:r>
      <w:r w:rsidRPr="003408A6">
        <w:t xml:space="preserve">Excludes the </w:t>
      </w:r>
      <w:r w:rsidR="000229BA">
        <w:t>Department of Health</w:t>
      </w:r>
      <w:r w:rsidR="00357023" w:rsidRPr="003408A6">
        <w:t>,</w:t>
      </w:r>
      <w:r w:rsidR="000D0021" w:rsidRPr="003408A6">
        <w:t xml:space="preserve"> </w:t>
      </w:r>
      <w:r w:rsidRPr="003408A6">
        <w:t>TGA and the AML</w:t>
      </w:r>
      <w:r w:rsidR="00177BC3" w:rsidRPr="003408A6">
        <w:t>A</w:t>
      </w:r>
    </w:p>
    <w:p w:rsidR="008454B0" w:rsidRPr="003408A6" w:rsidRDefault="008454B0" w:rsidP="00A76C78">
      <w:pPr>
        <w:pStyle w:val="Bodytextaftertable"/>
      </w:pPr>
      <w:r w:rsidRPr="003408A6">
        <w:t xml:space="preserve">The majority (65%) of key </w:t>
      </w:r>
      <w:r w:rsidR="003C41DF" w:rsidRPr="003408A6">
        <w:rPr>
          <w:rFonts w:eastAsiaTheme="minorEastAsia"/>
          <w:bCs/>
          <w:snapToGrid w:val="0"/>
        </w:rPr>
        <w:t>stakeholders</w:t>
      </w:r>
      <w:r w:rsidRPr="003408A6">
        <w:t xml:space="preserve"> had been working in immunisation and vaccine</w:t>
      </w:r>
      <w:r w:rsidR="00A76C78">
        <w:t>-</w:t>
      </w:r>
      <w:r w:rsidRPr="003408A6">
        <w:t xml:space="preserve">preventable diseases for more than 10 years. </w:t>
      </w:r>
    </w:p>
    <w:p w:rsidR="008454B0" w:rsidRPr="003408A6" w:rsidRDefault="008454B0" w:rsidP="00BF3F7D">
      <w:pPr>
        <w:pStyle w:val="BodyText"/>
        <w:rPr>
          <w:lang w:val="en-AU"/>
        </w:rPr>
      </w:pPr>
      <w:r w:rsidRPr="003408A6">
        <w:rPr>
          <w:lang w:val="en-AU"/>
        </w:rPr>
        <w:t>Most respondents had been involved in multiple aspects of the National HPV Vaccination Program (</w:t>
      </w:r>
      <w:r w:rsidR="002C2A70" w:rsidRPr="003408A6">
        <w:rPr>
          <w:lang w:val="en-AU"/>
        </w:rPr>
        <w:t>s</w:t>
      </w:r>
      <w:r w:rsidRPr="003408A6">
        <w:rPr>
          <w:lang w:val="en-AU"/>
        </w:rPr>
        <w:t xml:space="preserve">ee </w:t>
      </w:r>
      <w:r w:rsidRPr="003408A6">
        <w:rPr>
          <w:b/>
          <w:lang w:val="en-AU"/>
        </w:rPr>
        <w:t>Table 2.</w:t>
      </w:r>
      <w:r w:rsidR="00CD45D0" w:rsidRPr="003408A6">
        <w:rPr>
          <w:b/>
          <w:lang w:val="en-AU"/>
        </w:rPr>
        <w:t>8</w:t>
      </w:r>
      <w:r w:rsidRPr="003408A6">
        <w:rPr>
          <w:lang w:val="en-AU"/>
        </w:rPr>
        <w:t>)</w:t>
      </w:r>
      <w:r w:rsidR="002C2A70" w:rsidRPr="003408A6">
        <w:rPr>
          <w:lang w:val="en-AU"/>
        </w:rPr>
        <w:t>.</w:t>
      </w:r>
    </w:p>
    <w:p w:rsidR="008454B0" w:rsidRPr="003408A6" w:rsidRDefault="008454B0" w:rsidP="000A2125">
      <w:pPr>
        <w:pStyle w:val="Tableheading"/>
        <w:rPr>
          <w:lang w:val="en-AU"/>
        </w:rPr>
      </w:pPr>
      <w:bookmarkStart w:id="47" w:name="_Toc396475529"/>
      <w:bookmarkStart w:id="48" w:name="_Toc397000757"/>
      <w:r w:rsidRPr="003408A6">
        <w:rPr>
          <w:lang w:val="en-AU"/>
        </w:rPr>
        <w:t>Table 2.</w:t>
      </w:r>
      <w:r w:rsidR="00CD45D0" w:rsidRPr="003408A6">
        <w:rPr>
          <w:lang w:val="en-AU"/>
        </w:rPr>
        <w:t>8</w:t>
      </w:r>
      <w:r w:rsidRPr="003408A6">
        <w:rPr>
          <w:lang w:val="en-AU"/>
        </w:rPr>
        <w:t>.</w:t>
      </w:r>
      <w:r w:rsidR="00901C17" w:rsidRPr="003408A6">
        <w:rPr>
          <w:lang w:val="en-AU"/>
        </w:rPr>
        <w:tab/>
      </w:r>
      <w:r w:rsidRPr="003408A6">
        <w:rPr>
          <w:lang w:val="en-AU"/>
        </w:rPr>
        <w:t xml:space="preserve">Key </w:t>
      </w:r>
      <w:r w:rsidR="003C41DF" w:rsidRPr="003408A6">
        <w:rPr>
          <w:lang w:val="en-AU"/>
        </w:rPr>
        <w:t>stakeholder</w:t>
      </w:r>
      <w:r w:rsidRPr="003408A6">
        <w:rPr>
          <w:lang w:val="en-AU"/>
        </w:rPr>
        <w:t xml:space="preserve"> participation in the National HPV Vaccination Program</w:t>
      </w:r>
      <w:bookmarkEnd w:id="47"/>
      <w:bookmarkEnd w:id="48"/>
    </w:p>
    <w:tbl>
      <w:tblPr>
        <w:tblW w:w="8677" w:type="dxa"/>
        <w:tblInd w:w="78" w:type="dxa"/>
        <w:tblLayout w:type="fixed"/>
        <w:tblLook w:val="0000" w:firstRow="0" w:lastRow="0" w:firstColumn="0" w:lastColumn="0" w:noHBand="0" w:noVBand="0"/>
      </w:tblPr>
      <w:tblGrid>
        <w:gridCol w:w="7118"/>
        <w:gridCol w:w="142"/>
        <w:gridCol w:w="1417"/>
      </w:tblGrid>
      <w:tr w:rsidR="008454B0" w:rsidRPr="003408A6" w:rsidTr="006B6D0F">
        <w:trPr>
          <w:trHeight w:val="288"/>
        </w:trPr>
        <w:tc>
          <w:tcPr>
            <w:tcW w:w="7118" w:type="dxa"/>
            <w:tcBorders>
              <w:top w:val="single" w:sz="4" w:space="0" w:color="auto"/>
              <w:left w:val="nil"/>
              <w:bottom w:val="single" w:sz="4" w:space="0" w:color="auto"/>
              <w:right w:val="nil"/>
            </w:tcBorders>
          </w:tcPr>
          <w:p w:rsidR="008454B0" w:rsidRPr="003408A6" w:rsidRDefault="008454B0" w:rsidP="00BF3F7D">
            <w:pPr>
              <w:pStyle w:val="Tablecolumnheading"/>
              <w:rPr>
                <w:lang w:val="en-AU"/>
              </w:rPr>
            </w:pPr>
            <w:r w:rsidRPr="003408A6">
              <w:rPr>
                <w:lang w:val="en-AU"/>
              </w:rPr>
              <w:t>Component of National HPV Vaccination Program</w:t>
            </w:r>
          </w:p>
        </w:tc>
        <w:tc>
          <w:tcPr>
            <w:tcW w:w="1559" w:type="dxa"/>
            <w:gridSpan w:val="2"/>
            <w:tcBorders>
              <w:top w:val="single" w:sz="4" w:space="0" w:color="auto"/>
              <w:left w:val="nil"/>
              <w:bottom w:val="single" w:sz="4" w:space="0" w:color="auto"/>
              <w:right w:val="nil"/>
            </w:tcBorders>
          </w:tcPr>
          <w:p w:rsidR="008454B0" w:rsidRPr="003408A6" w:rsidRDefault="008454B0" w:rsidP="00BF3F7D">
            <w:pPr>
              <w:pStyle w:val="Tablecolumnheadings"/>
              <w:rPr>
                <w:lang w:val="en-AU"/>
              </w:rPr>
            </w:pPr>
            <w:r w:rsidRPr="003408A6">
              <w:rPr>
                <w:lang w:val="en-AU"/>
              </w:rPr>
              <w:t>Online survey</w:t>
            </w:r>
            <w:r w:rsidR="00BF3F7D" w:rsidRPr="003408A6">
              <w:rPr>
                <w:lang w:val="en-AU"/>
              </w:rPr>
              <w:br/>
            </w:r>
            <w:r w:rsidRPr="003408A6">
              <w:rPr>
                <w:lang w:val="en-AU"/>
              </w:rPr>
              <w:t>(N=19)</w:t>
            </w:r>
            <w:r w:rsidR="00BF3F7D" w:rsidRPr="003408A6">
              <w:rPr>
                <w:lang w:val="en-AU"/>
              </w:rPr>
              <w:br/>
            </w:r>
            <w:r w:rsidRPr="003408A6">
              <w:rPr>
                <w:lang w:val="en-AU"/>
              </w:rPr>
              <w:t>n (%)</w:t>
            </w:r>
          </w:p>
        </w:tc>
      </w:tr>
      <w:tr w:rsidR="008454B0" w:rsidRPr="003408A6" w:rsidTr="006B6D0F">
        <w:trPr>
          <w:trHeight w:val="288"/>
        </w:trPr>
        <w:tc>
          <w:tcPr>
            <w:tcW w:w="7260" w:type="dxa"/>
            <w:gridSpan w:val="2"/>
            <w:tcBorders>
              <w:top w:val="single" w:sz="4" w:space="0" w:color="auto"/>
              <w:left w:val="nil"/>
              <w:bottom w:val="nil"/>
              <w:right w:val="nil"/>
            </w:tcBorders>
          </w:tcPr>
          <w:p w:rsidR="008454B0" w:rsidRPr="003408A6" w:rsidRDefault="008454B0" w:rsidP="00BF3F7D">
            <w:pPr>
              <w:pStyle w:val="Tabletext"/>
              <w:rPr>
                <w:lang w:val="en-AU"/>
              </w:rPr>
            </w:pPr>
            <w:r w:rsidRPr="003408A6">
              <w:rPr>
                <w:lang w:val="en-AU"/>
              </w:rPr>
              <w:t>Planning and initial rollout of the female program (commencing 2007)</w:t>
            </w:r>
          </w:p>
        </w:tc>
        <w:tc>
          <w:tcPr>
            <w:tcW w:w="1417" w:type="dxa"/>
            <w:tcBorders>
              <w:top w:val="single" w:sz="4" w:space="0" w:color="auto"/>
              <w:left w:val="nil"/>
              <w:bottom w:val="nil"/>
              <w:right w:val="nil"/>
            </w:tcBorders>
            <w:shd w:val="solid" w:color="FFFFFF" w:fill="FFFFFF"/>
          </w:tcPr>
          <w:p w:rsidR="008454B0" w:rsidRPr="003408A6" w:rsidRDefault="008454B0" w:rsidP="00BF3F7D">
            <w:pPr>
              <w:pStyle w:val="Tabletextcentred"/>
              <w:rPr>
                <w:lang w:val="en-AU"/>
              </w:rPr>
            </w:pPr>
            <w:r w:rsidRPr="003408A6">
              <w:rPr>
                <w:lang w:val="en-AU"/>
              </w:rPr>
              <w:t>12 (60)</w:t>
            </w:r>
          </w:p>
        </w:tc>
      </w:tr>
      <w:tr w:rsidR="008454B0" w:rsidRPr="003408A6" w:rsidTr="006B6D0F">
        <w:trPr>
          <w:trHeight w:val="288"/>
        </w:trPr>
        <w:tc>
          <w:tcPr>
            <w:tcW w:w="7260" w:type="dxa"/>
            <w:gridSpan w:val="2"/>
            <w:tcBorders>
              <w:top w:val="nil"/>
              <w:left w:val="nil"/>
              <w:bottom w:val="nil"/>
              <w:right w:val="nil"/>
            </w:tcBorders>
          </w:tcPr>
          <w:p w:rsidR="008454B0" w:rsidRPr="003408A6" w:rsidRDefault="008454B0" w:rsidP="00BF3F7D">
            <w:pPr>
              <w:pStyle w:val="Tabletext"/>
              <w:rPr>
                <w:lang w:val="en-AU"/>
              </w:rPr>
            </w:pPr>
            <w:r w:rsidRPr="003408A6">
              <w:rPr>
                <w:lang w:val="en-AU"/>
              </w:rPr>
              <w:t xml:space="preserve">Ongoing school-based program for adolescent </w:t>
            </w:r>
            <w:r w:rsidR="00A42977" w:rsidRPr="003408A6">
              <w:rPr>
                <w:lang w:val="en-AU"/>
              </w:rPr>
              <w:t>females</w:t>
            </w:r>
            <w:r w:rsidRPr="003408A6">
              <w:rPr>
                <w:lang w:val="en-AU"/>
              </w:rPr>
              <w:t xml:space="preserve"> aged 12</w:t>
            </w:r>
            <w:r w:rsidR="00FC7D75" w:rsidRPr="003408A6">
              <w:rPr>
                <w:lang w:val="en-AU"/>
              </w:rPr>
              <w:t>–</w:t>
            </w:r>
            <w:r w:rsidRPr="003408A6">
              <w:rPr>
                <w:lang w:val="en-AU"/>
              </w:rPr>
              <w:t>13 years</w:t>
            </w:r>
          </w:p>
        </w:tc>
        <w:tc>
          <w:tcPr>
            <w:tcW w:w="1417" w:type="dxa"/>
            <w:tcBorders>
              <w:top w:val="nil"/>
              <w:left w:val="nil"/>
              <w:bottom w:val="nil"/>
              <w:right w:val="nil"/>
            </w:tcBorders>
            <w:shd w:val="solid" w:color="FFFFFF" w:fill="FFFFFF"/>
            <w:vAlign w:val="bottom"/>
          </w:tcPr>
          <w:p w:rsidR="008454B0" w:rsidRPr="003408A6" w:rsidRDefault="008454B0" w:rsidP="00BF3F7D">
            <w:pPr>
              <w:pStyle w:val="Tabletextcentred"/>
              <w:rPr>
                <w:lang w:val="en-AU"/>
              </w:rPr>
            </w:pPr>
            <w:r w:rsidRPr="003408A6">
              <w:rPr>
                <w:lang w:val="en-AU"/>
              </w:rPr>
              <w:t xml:space="preserve">16 (80) </w:t>
            </w:r>
          </w:p>
        </w:tc>
      </w:tr>
      <w:tr w:rsidR="008454B0" w:rsidRPr="003408A6" w:rsidTr="006B6D0F">
        <w:trPr>
          <w:trHeight w:val="288"/>
        </w:trPr>
        <w:tc>
          <w:tcPr>
            <w:tcW w:w="7260" w:type="dxa"/>
            <w:gridSpan w:val="2"/>
            <w:tcBorders>
              <w:top w:val="nil"/>
              <w:left w:val="nil"/>
              <w:bottom w:val="nil"/>
              <w:right w:val="nil"/>
            </w:tcBorders>
          </w:tcPr>
          <w:p w:rsidR="008454B0" w:rsidRPr="003408A6" w:rsidRDefault="008454B0" w:rsidP="00BF3F7D">
            <w:pPr>
              <w:pStyle w:val="Tabletext"/>
              <w:rPr>
                <w:lang w:val="en-AU"/>
              </w:rPr>
            </w:pPr>
            <w:r w:rsidRPr="003408A6">
              <w:rPr>
                <w:lang w:val="en-AU"/>
              </w:rPr>
              <w:t xml:space="preserve">School-based catch-up for adolescent </w:t>
            </w:r>
            <w:r w:rsidR="00A42977" w:rsidRPr="003408A6">
              <w:rPr>
                <w:lang w:val="en-AU"/>
              </w:rPr>
              <w:t>females</w:t>
            </w:r>
            <w:r w:rsidRPr="003408A6">
              <w:rPr>
                <w:lang w:val="en-AU"/>
              </w:rPr>
              <w:t xml:space="preserve"> aged 13</w:t>
            </w:r>
            <w:r w:rsidR="00FC7D75" w:rsidRPr="003408A6">
              <w:rPr>
                <w:lang w:val="en-AU"/>
              </w:rPr>
              <w:t>–</w:t>
            </w:r>
            <w:r w:rsidRPr="003408A6">
              <w:rPr>
                <w:lang w:val="en-AU"/>
              </w:rPr>
              <w:t>17 years (from 2007</w:t>
            </w:r>
            <w:r w:rsidR="00FC7D75" w:rsidRPr="003408A6">
              <w:rPr>
                <w:lang w:val="en-AU"/>
              </w:rPr>
              <w:t xml:space="preserve"> to </w:t>
            </w:r>
            <w:r w:rsidRPr="003408A6">
              <w:rPr>
                <w:lang w:val="en-AU"/>
              </w:rPr>
              <w:t>2009)</w:t>
            </w:r>
          </w:p>
        </w:tc>
        <w:tc>
          <w:tcPr>
            <w:tcW w:w="1417" w:type="dxa"/>
            <w:tcBorders>
              <w:top w:val="nil"/>
              <w:left w:val="nil"/>
              <w:bottom w:val="nil"/>
              <w:right w:val="nil"/>
            </w:tcBorders>
            <w:shd w:val="solid" w:color="FFFFFF" w:fill="FFFFFF"/>
            <w:vAlign w:val="bottom"/>
          </w:tcPr>
          <w:p w:rsidR="008454B0" w:rsidRPr="003408A6" w:rsidRDefault="008454B0" w:rsidP="00BF3F7D">
            <w:pPr>
              <w:pStyle w:val="Tabletextcentred"/>
              <w:rPr>
                <w:lang w:val="en-AU"/>
              </w:rPr>
            </w:pPr>
            <w:r w:rsidRPr="003408A6">
              <w:rPr>
                <w:lang w:val="en-AU"/>
              </w:rPr>
              <w:t>16 (80)</w:t>
            </w:r>
          </w:p>
        </w:tc>
      </w:tr>
      <w:tr w:rsidR="008454B0" w:rsidRPr="003408A6" w:rsidTr="006B6D0F">
        <w:trPr>
          <w:trHeight w:val="288"/>
        </w:trPr>
        <w:tc>
          <w:tcPr>
            <w:tcW w:w="7260" w:type="dxa"/>
            <w:gridSpan w:val="2"/>
            <w:tcBorders>
              <w:top w:val="nil"/>
              <w:left w:val="nil"/>
              <w:bottom w:val="nil"/>
              <w:right w:val="nil"/>
            </w:tcBorders>
          </w:tcPr>
          <w:p w:rsidR="008454B0" w:rsidRPr="003408A6" w:rsidRDefault="008454B0" w:rsidP="00BF3F7D">
            <w:pPr>
              <w:pStyle w:val="Tabletext"/>
              <w:rPr>
                <w:lang w:val="en-AU"/>
              </w:rPr>
            </w:pPr>
            <w:r w:rsidRPr="003408A6">
              <w:rPr>
                <w:lang w:val="en-AU"/>
              </w:rPr>
              <w:t xml:space="preserve">Community catch-up program for young </w:t>
            </w:r>
            <w:r w:rsidR="004E397F" w:rsidRPr="003408A6">
              <w:rPr>
                <w:lang w:val="en-AU"/>
              </w:rPr>
              <w:t xml:space="preserve">adult females </w:t>
            </w:r>
            <w:r w:rsidRPr="003408A6">
              <w:rPr>
                <w:lang w:val="en-AU"/>
              </w:rPr>
              <w:t>aged 18</w:t>
            </w:r>
            <w:r w:rsidR="00FC7D75" w:rsidRPr="003408A6">
              <w:rPr>
                <w:lang w:val="en-AU"/>
              </w:rPr>
              <w:t>–</w:t>
            </w:r>
            <w:r w:rsidRPr="003408A6">
              <w:rPr>
                <w:lang w:val="en-AU"/>
              </w:rPr>
              <w:t>26 years (from 2007</w:t>
            </w:r>
            <w:r w:rsidR="00FC7D75" w:rsidRPr="003408A6">
              <w:rPr>
                <w:lang w:val="en-AU"/>
              </w:rPr>
              <w:t xml:space="preserve"> to </w:t>
            </w:r>
            <w:r w:rsidRPr="003408A6">
              <w:rPr>
                <w:lang w:val="en-AU"/>
              </w:rPr>
              <w:t>2009)</w:t>
            </w:r>
          </w:p>
        </w:tc>
        <w:tc>
          <w:tcPr>
            <w:tcW w:w="1417" w:type="dxa"/>
            <w:tcBorders>
              <w:top w:val="nil"/>
              <w:left w:val="nil"/>
              <w:bottom w:val="nil"/>
              <w:right w:val="nil"/>
            </w:tcBorders>
            <w:shd w:val="solid" w:color="FFFFFF" w:fill="FFFFFF"/>
            <w:vAlign w:val="bottom"/>
          </w:tcPr>
          <w:p w:rsidR="008454B0" w:rsidRPr="003408A6" w:rsidRDefault="008454B0" w:rsidP="00BF3F7D">
            <w:pPr>
              <w:pStyle w:val="Tabletextcentred"/>
              <w:rPr>
                <w:lang w:val="en-AU"/>
              </w:rPr>
            </w:pPr>
            <w:r w:rsidRPr="003408A6">
              <w:rPr>
                <w:lang w:val="en-AU"/>
              </w:rPr>
              <w:t>12 (60)</w:t>
            </w:r>
          </w:p>
        </w:tc>
      </w:tr>
      <w:tr w:rsidR="008454B0" w:rsidRPr="003408A6" w:rsidTr="006B6D0F">
        <w:trPr>
          <w:trHeight w:val="288"/>
        </w:trPr>
        <w:tc>
          <w:tcPr>
            <w:tcW w:w="7260" w:type="dxa"/>
            <w:gridSpan w:val="2"/>
            <w:tcBorders>
              <w:top w:val="nil"/>
              <w:left w:val="nil"/>
              <w:bottom w:val="nil"/>
              <w:right w:val="nil"/>
            </w:tcBorders>
          </w:tcPr>
          <w:p w:rsidR="008454B0" w:rsidRPr="003408A6" w:rsidRDefault="008454B0" w:rsidP="00BF3F7D">
            <w:pPr>
              <w:pStyle w:val="Tabletext"/>
              <w:rPr>
                <w:lang w:val="en-AU"/>
              </w:rPr>
            </w:pPr>
            <w:r w:rsidRPr="003408A6">
              <w:rPr>
                <w:lang w:val="en-AU"/>
              </w:rPr>
              <w:t>Planning and initial rollout of the male program (commencing 2013)</w:t>
            </w:r>
          </w:p>
        </w:tc>
        <w:tc>
          <w:tcPr>
            <w:tcW w:w="1417" w:type="dxa"/>
            <w:tcBorders>
              <w:top w:val="nil"/>
              <w:left w:val="nil"/>
              <w:bottom w:val="nil"/>
              <w:right w:val="nil"/>
            </w:tcBorders>
            <w:shd w:val="solid" w:color="FFFFFF" w:fill="FFFFFF"/>
            <w:vAlign w:val="bottom"/>
          </w:tcPr>
          <w:p w:rsidR="008454B0" w:rsidRPr="003408A6" w:rsidRDefault="008454B0" w:rsidP="00BF3F7D">
            <w:pPr>
              <w:pStyle w:val="Tabletextcentred"/>
              <w:rPr>
                <w:lang w:val="en-AU"/>
              </w:rPr>
            </w:pPr>
            <w:r w:rsidRPr="003408A6">
              <w:rPr>
                <w:lang w:val="en-AU"/>
              </w:rPr>
              <w:t>16 (80)</w:t>
            </w:r>
          </w:p>
        </w:tc>
      </w:tr>
      <w:tr w:rsidR="008454B0" w:rsidRPr="003408A6" w:rsidTr="006B6D0F">
        <w:trPr>
          <w:trHeight w:val="288"/>
        </w:trPr>
        <w:tc>
          <w:tcPr>
            <w:tcW w:w="7260" w:type="dxa"/>
            <w:gridSpan w:val="2"/>
            <w:tcBorders>
              <w:top w:val="nil"/>
              <w:left w:val="nil"/>
              <w:right w:val="nil"/>
            </w:tcBorders>
          </w:tcPr>
          <w:p w:rsidR="008454B0" w:rsidRPr="003408A6" w:rsidRDefault="008454B0" w:rsidP="00BF3F7D">
            <w:pPr>
              <w:pStyle w:val="Tabletext"/>
              <w:rPr>
                <w:lang w:val="en-AU"/>
              </w:rPr>
            </w:pPr>
            <w:r w:rsidRPr="003408A6">
              <w:rPr>
                <w:lang w:val="en-AU"/>
              </w:rPr>
              <w:t xml:space="preserve">School-based program for adolescent </w:t>
            </w:r>
            <w:r w:rsidR="004E397F" w:rsidRPr="003408A6">
              <w:rPr>
                <w:lang w:val="en-AU"/>
              </w:rPr>
              <w:t xml:space="preserve">males </w:t>
            </w:r>
            <w:r w:rsidRPr="003408A6">
              <w:rPr>
                <w:lang w:val="en-AU"/>
              </w:rPr>
              <w:t>aged 12</w:t>
            </w:r>
            <w:r w:rsidR="00FC7D75" w:rsidRPr="003408A6">
              <w:rPr>
                <w:lang w:val="en-AU"/>
              </w:rPr>
              <w:t>–</w:t>
            </w:r>
            <w:r w:rsidRPr="003408A6">
              <w:rPr>
                <w:lang w:val="en-AU"/>
              </w:rPr>
              <w:t>15 years</w:t>
            </w:r>
          </w:p>
        </w:tc>
        <w:tc>
          <w:tcPr>
            <w:tcW w:w="1417" w:type="dxa"/>
            <w:tcBorders>
              <w:top w:val="nil"/>
              <w:left w:val="nil"/>
              <w:right w:val="nil"/>
            </w:tcBorders>
            <w:shd w:val="solid" w:color="FFFFFF" w:fill="FFFFFF"/>
            <w:vAlign w:val="bottom"/>
          </w:tcPr>
          <w:p w:rsidR="008454B0" w:rsidRPr="003408A6" w:rsidRDefault="008454B0" w:rsidP="00BF3F7D">
            <w:pPr>
              <w:pStyle w:val="Tabletextcentred"/>
              <w:rPr>
                <w:lang w:val="en-AU"/>
              </w:rPr>
            </w:pPr>
            <w:r w:rsidRPr="003408A6">
              <w:rPr>
                <w:lang w:val="en-AU"/>
              </w:rPr>
              <w:t>15 (75)</w:t>
            </w:r>
          </w:p>
        </w:tc>
      </w:tr>
      <w:tr w:rsidR="008454B0" w:rsidRPr="003408A6" w:rsidTr="006B6D0F">
        <w:trPr>
          <w:trHeight w:val="288"/>
        </w:trPr>
        <w:tc>
          <w:tcPr>
            <w:tcW w:w="7260" w:type="dxa"/>
            <w:gridSpan w:val="2"/>
            <w:tcBorders>
              <w:top w:val="nil"/>
              <w:left w:val="nil"/>
              <w:bottom w:val="single" w:sz="4" w:space="0" w:color="auto"/>
              <w:right w:val="nil"/>
            </w:tcBorders>
          </w:tcPr>
          <w:p w:rsidR="008454B0" w:rsidRPr="003408A6" w:rsidRDefault="008454B0" w:rsidP="00BF3F7D">
            <w:pPr>
              <w:pStyle w:val="Tabletext"/>
              <w:rPr>
                <w:lang w:val="en-AU"/>
              </w:rPr>
            </w:pPr>
            <w:r w:rsidRPr="003408A6">
              <w:rPr>
                <w:lang w:val="en-AU"/>
              </w:rPr>
              <w:t>Other</w:t>
            </w:r>
          </w:p>
        </w:tc>
        <w:tc>
          <w:tcPr>
            <w:tcW w:w="1417" w:type="dxa"/>
            <w:tcBorders>
              <w:top w:val="nil"/>
              <w:left w:val="nil"/>
              <w:bottom w:val="single" w:sz="4" w:space="0" w:color="auto"/>
              <w:right w:val="nil"/>
            </w:tcBorders>
            <w:shd w:val="solid" w:color="FFFFFF" w:fill="FFFFFF"/>
            <w:vAlign w:val="bottom"/>
          </w:tcPr>
          <w:p w:rsidR="008454B0" w:rsidRPr="003408A6" w:rsidRDefault="008454B0" w:rsidP="00BF3F7D">
            <w:pPr>
              <w:pStyle w:val="Tabletextcentred"/>
              <w:rPr>
                <w:lang w:val="en-AU"/>
              </w:rPr>
            </w:pPr>
            <w:r w:rsidRPr="003408A6">
              <w:rPr>
                <w:lang w:val="en-AU"/>
              </w:rPr>
              <w:t>2 (15)</w:t>
            </w:r>
          </w:p>
        </w:tc>
      </w:tr>
    </w:tbl>
    <w:p w:rsidR="006C73CE" w:rsidRPr="003408A6" w:rsidRDefault="006C73CE" w:rsidP="006C73CE">
      <w:pPr>
        <w:pStyle w:val="BodyText"/>
        <w:rPr>
          <w:lang w:val="en-AU"/>
        </w:rPr>
      </w:pPr>
    </w:p>
    <w:p w:rsidR="008454B0" w:rsidRPr="003408A6" w:rsidRDefault="002C781A" w:rsidP="0023448C">
      <w:pPr>
        <w:pStyle w:val="Heading4"/>
      </w:pPr>
      <w:r w:rsidRPr="003408A6">
        <w:t xml:space="preserve">National </w:t>
      </w:r>
      <w:r w:rsidR="008454B0" w:rsidRPr="003408A6">
        <w:t xml:space="preserve">Cervical </w:t>
      </w:r>
      <w:r w:rsidR="00844392" w:rsidRPr="003408A6">
        <w:t>S</w:t>
      </w:r>
      <w:r w:rsidR="008454B0" w:rsidRPr="003408A6">
        <w:t xml:space="preserve">creening </w:t>
      </w:r>
      <w:r w:rsidR="00844392" w:rsidRPr="003408A6">
        <w:t>P</w:t>
      </w:r>
      <w:r w:rsidR="008454B0" w:rsidRPr="003408A6">
        <w:t>rogram manager sample</w:t>
      </w:r>
    </w:p>
    <w:p w:rsidR="008454B0" w:rsidRPr="003408A6" w:rsidRDefault="008454B0" w:rsidP="006C73CE">
      <w:pPr>
        <w:pStyle w:val="BodyText"/>
        <w:rPr>
          <w:lang w:val="en-AU"/>
        </w:rPr>
      </w:pPr>
      <w:r w:rsidRPr="003408A6">
        <w:rPr>
          <w:lang w:val="en-AU"/>
        </w:rPr>
        <w:t xml:space="preserve">A further seven respondents from </w:t>
      </w:r>
      <w:r w:rsidR="00844392" w:rsidRPr="003408A6">
        <w:rPr>
          <w:lang w:val="en-AU"/>
        </w:rPr>
        <w:t>s</w:t>
      </w:r>
      <w:r w:rsidRPr="003408A6">
        <w:rPr>
          <w:lang w:val="en-AU"/>
        </w:rPr>
        <w:t xml:space="preserve">tate and </w:t>
      </w:r>
      <w:r w:rsidR="00844392" w:rsidRPr="003408A6">
        <w:rPr>
          <w:lang w:val="en-AU"/>
        </w:rPr>
        <w:t>t</w:t>
      </w:r>
      <w:r w:rsidRPr="003408A6">
        <w:rPr>
          <w:lang w:val="en-AU"/>
        </w:rPr>
        <w:t xml:space="preserve">erritory </w:t>
      </w:r>
      <w:r w:rsidR="00844392" w:rsidRPr="003408A6">
        <w:rPr>
          <w:lang w:val="en-AU"/>
        </w:rPr>
        <w:t>c</w:t>
      </w:r>
      <w:r w:rsidRPr="003408A6">
        <w:rPr>
          <w:lang w:val="en-AU"/>
        </w:rPr>
        <w:t xml:space="preserve">ervical </w:t>
      </w:r>
      <w:r w:rsidR="00844392" w:rsidRPr="003408A6">
        <w:rPr>
          <w:lang w:val="en-AU"/>
        </w:rPr>
        <w:t>s</w:t>
      </w:r>
      <w:r w:rsidRPr="003408A6">
        <w:rPr>
          <w:lang w:val="en-AU"/>
        </w:rPr>
        <w:t xml:space="preserve">creening </w:t>
      </w:r>
      <w:r w:rsidR="00844392" w:rsidRPr="003408A6">
        <w:rPr>
          <w:lang w:val="en-AU"/>
        </w:rPr>
        <w:t>p</w:t>
      </w:r>
      <w:r w:rsidRPr="003408A6">
        <w:rPr>
          <w:lang w:val="en-AU"/>
        </w:rPr>
        <w:t xml:space="preserve">rograms completed the online survey for </w:t>
      </w:r>
      <w:r w:rsidR="002C781A" w:rsidRPr="003408A6">
        <w:rPr>
          <w:lang w:val="en-AU"/>
        </w:rPr>
        <w:t xml:space="preserve">National </w:t>
      </w:r>
      <w:r w:rsidR="00844392" w:rsidRPr="003408A6">
        <w:rPr>
          <w:lang w:val="en-AU"/>
        </w:rPr>
        <w:t>C</w:t>
      </w:r>
      <w:r w:rsidRPr="003408A6">
        <w:rPr>
          <w:lang w:val="en-AU"/>
        </w:rPr>
        <w:t xml:space="preserve">ervical </w:t>
      </w:r>
      <w:r w:rsidR="00844392" w:rsidRPr="003408A6">
        <w:rPr>
          <w:lang w:val="en-AU"/>
        </w:rPr>
        <w:t>S</w:t>
      </w:r>
      <w:r w:rsidRPr="003408A6">
        <w:rPr>
          <w:lang w:val="en-AU"/>
        </w:rPr>
        <w:t xml:space="preserve">creening </w:t>
      </w:r>
      <w:r w:rsidR="00844392" w:rsidRPr="003408A6">
        <w:rPr>
          <w:lang w:val="en-AU"/>
        </w:rPr>
        <w:t>P</w:t>
      </w:r>
      <w:r w:rsidRPr="003408A6">
        <w:rPr>
          <w:lang w:val="en-AU"/>
        </w:rPr>
        <w:t>rogram managers.</w:t>
      </w:r>
    </w:p>
    <w:p w:rsidR="008454B0" w:rsidRPr="003408A6" w:rsidRDefault="008454B0" w:rsidP="008454B0">
      <w:pPr>
        <w:pStyle w:val="Heading3"/>
      </w:pPr>
      <w:bookmarkStart w:id="49" w:name="_Toc373497092"/>
      <w:r w:rsidRPr="003408A6">
        <w:t>Planning and rollout</w:t>
      </w:r>
      <w:bookmarkEnd w:id="49"/>
    </w:p>
    <w:p w:rsidR="008454B0" w:rsidRPr="003408A6" w:rsidRDefault="008454B0" w:rsidP="00FE32A9">
      <w:pPr>
        <w:pStyle w:val="Heading4"/>
      </w:pPr>
      <w:r w:rsidRPr="003408A6">
        <w:t>Survey results</w:t>
      </w:r>
    </w:p>
    <w:p w:rsidR="001D6068" w:rsidRPr="003408A6" w:rsidRDefault="008454B0" w:rsidP="006C73CE">
      <w:pPr>
        <w:pStyle w:val="BodyText"/>
        <w:rPr>
          <w:lang w:val="en-AU"/>
        </w:rPr>
      </w:pPr>
      <w:r w:rsidRPr="003408A6">
        <w:rPr>
          <w:b/>
          <w:lang w:val="en-AU"/>
        </w:rPr>
        <w:t>Table 2.</w:t>
      </w:r>
      <w:r w:rsidR="00CD45D0" w:rsidRPr="003408A6">
        <w:rPr>
          <w:b/>
          <w:lang w:val="en-AU"/>
        </w:rPr>
        <w:t>9</w:t>
      </w:r>
      <w:r w:rsidR="000271C1" w:rsidRPr="003408A6">
        <w:rPr>
          <w:lang w:val="en-AU"/>
        </w:rPr>
        <w:t xml:space="preserve"> </w:t>
      </w:r>
      <w:r w:rsidRPr="003408A6">
        <w:rPr>
          <w:lang w:val="en-AU"/>
        </w:rPr>
        <w:t xml:space="preserve">shows the results from the online survey questions on the adequacy of the lead-time </w:t>
      </w:r>
      <w:r w:rsidR="00AF4E5E" w:rsidRPr="003408A6">
        <w:rPr>
          <w:lang w:val="en-AU"/>
        </w:rPr>
        <w:t xml:space="preserve">from the announcement of funding of the program until the start of </w:t>
      </w:r>
      <w:r w:rsidR="00A76C78">
        <w:rPr>
          <w:lang w:val="en-AU"/>
        </w:rPr>
        <w:t xml:space="preserve">the </w:t>
      </w:r>
      <w:r w:rsidR="00AF4E5E" w:rsidRPr="003408A6">
        <w:rPr>
          <w:lang w:val="en-AU"/>
        </w:rPr>
        <w:t xml:space="preserve">program </w:t>
      </w:r>
      <w:r w:rsidRPr="003408A6">
        <w:rPr>
          <w:lang w:val="en-AU"/>
        </w:rPr>
        <w:t>for</w:t>
      </w:r>
      <w:r w:rsidR="00AF4E5E" w:rsidRPr="003408A6">
        <w:rPr>
          <w:lang w:val="en-AU"/>
        </w:rPr>
        <w:t xml:space="preserve"> aspects of </w:t>
      </w:r>
      <w:r w:rsidRPr="003408A6">
        <w:rPr>
          <w:lang w:val="en-AU"/>
        </w:rPr>
        <w:t>program planning</w:t>
      </w:r>
      <w:r w:rsidR="00AF4E5E" w:rsidRPr="003408A6">
        <w:rPr>
          <w:lang w:val="en-AU"/>
        </w:rPr>
        <w:t xml:space="preserve"> for the original female program and the extended male program</w:t>
      </w:r>
      <w:r w:rsidRPr="003408A6">
        <w:rPr>
          <w:lang w:val="en-AU"/>
        </w:rPr>
        <w:t>.</w:t>
      </w:r>
      <w:r w:rsidR="00AF4E5E" w:rsidRPr="003408A6">
        <w:rPr>
          <w:lang w:val="en-AU"/>
        </w:rPr>
        <w:t xml:space="preserve"> </w:t>
      </w:r>
      <w:r w:rsidR="00E5733B" w:rsidRPr="003408A6">
        <w:rPr>
          <w:lang w:val="en-AU"/>
        </w:rPr>
        <w:t>Less than half of</w:t>
      </w:r>
      <w:r w:rsidR="008F4631" w:rsidRPr="003408A6">
        <w:rPr>
          <w:lang w:val="en-AU"/>
        </w:rPr>
        <w:t xml:space="preserve"> respondents agreed or strongly agreed</w:t>
      </w:r>
      <w:r w:rsidRPr="003408A6">
        <w:rPr>
          <w:lang w:val="en-AU"/>
        </w:rPr>
        <w:t xml:space="preserve"> that the period from the announcement of the funding of the female HPV </w:t>
      </w:r>
      <w:r w:rsidR="00A76C78">
        <w:rPr>
          <w:lang w:val="en-AU"/>
        </w:rPr>
        <w:t>v</w:t>
      </w:r>
      <w:r w:rsidR="00FC7D75" w:rsidRPr="003408A6">
        <w:rPr>
          <w:lang w:val="en-AU"/>
        </w:rPr>
        <w:t xml:space="preserve">accination </w:t>
      </w:r>
      <w:r w:rsidR="00A76C78">
        <w:rPr>
          <w:lang w:val="en-AU"/>
        </w:rPr>
        <w:t>p</w:t>
      </w:r>
      <w:r w:rsidRPr="003408A6">
        <w:rPr>
          <w:lang w:val="en-AU"/>
        </w:rPr>
        <w:t xml:space="preserve">rogram to the start of the program was adequate </w:t>
      </w:r>
      <w:r w:rsidR="00694473">
        <w:rPr>
          <w:lang w:val="en-AU"/>
        </w:rPr>
        <w:t xml:space="preserve">in relation to </w:t>
      </w:r>
      <w:r w:rsidRPr="003408A6">
        <w:rPr>
          <w:lang w:val="en-AU"/>
        </w:rPr>
        <w:t>program planning</w:t>
      </w:r>
      <w:r w:rsidR="008F4631" w:rsidRPr="003408A6">
        <w:rPr>
          <w:lang w:val="en-AU"/>
        </w:rPr>
        <w:t xml:space="preserve"> (30%)</w:t>
      </w:r>
      <w:r w:rsidR="00A15E2C" w:rsidRPr="003408A6">
        <w:rPr>
          <w:lang w:val="en-AU"/>
        </w:rPr>
        <w:t xml:space="preserve">, </w:t>
      </w:r>
      <w:r w:rsidRPr="003408A6">
        <w:rPr>
          <w:lang w:val="en-AU"/>
        </w:rPr>
        <w:t>coordination</w:t>
      </w:r>
      <w:r w:rsidR="008F4631" w:rsidRPr="003408A6">
        <w:rPr>
          <w:lang w:val="en-AU"/>
        </w:rPr>
        <w:t xml:space="preserve"> (35%), developing information resources (30%), </w:t>
      </w:r>
      <w:r w:rsidR="00A15E2C" w:rsidRPr="003408A6">
        <w:rPr>
          <w:lang w:val="en-AU"/>
        </w:rPr>
        <w:t xml:space="preserve">communicating with schools and parents (30%), provider education (35%) and the set-up of data collection (20%). </w:t>
      </w:r>
      <w:r w:rsidR="008F4631" w:rsidRPr="003408A6">
        <w:rPr>
          <w:lang w:val="en-AU"/>
        </w:rPr>
        <w:t xml:space="preserve">A large proportion </w:t>
      </w:r>
      <w:r w:rsidR="00A15E2C" w:rsidRPr="003408A6">
        <w:rPr>
          <w:lang w:val="en-AU"/>
        </w:rPr>
        <w:t xml:space="preserve">of respondents </w:t>
      </w:r>
      <w:r w:rsidR="008F4631" w:rsidRPr="003408A6">
        <w:rPr>
          <w:lang w:val="en-AU"/>
        </w:rPr>
        <w:t>(</w:t>
      </w:r>
      <w:r w:rsidR="0023448C">
        <w:rPr>
          <w:lang w:val="en-AU"/>
        </w:rPr>
        <w:t>10</w:t>
      </w:r>
      <w:r w:rsidR="00A76C78">
        <w:rPr>
          <w:lang w:val="en-AU"/>
        </w:rPr>
        <w:t>–</w:t>
      </w:r>
      <w:r w:rsidR="008F4631" w:rsidRPr="003408A6">
        <w:rPr>
          <w:lang w:val="en-AU"/>
        </w:rPr>
        <w:t xml:space="preserve">20%) were neutral on these issues. </w:t>
      </w:r>
    </w:p>
    <w:p w:rsidR="00FE32A9" w:rsidRPr="003408A6" w:rsidRDefault="001D6068" w:rsidP="006C73CE">
      <w:pPr>
        <w:pStyle w:val="BodyText"/>
        <w:rPr>
          <w:lang w:val="en-AU"/>
        </w:rPr>
      </w:pPr>
      <w:r w:rsidRPr="003408A6">
        <w:rPr>
          <w:lang w:val="en-AU"/>
        </w:rPr>
        <w:t>Respondents generally thought that more adequate lead</w:t>
      </w:r>
      <w:r w:rsidR="00A76C78">
        <w:rPr>
          <w:lang w:val="en-AU"/>
        </w:rPr>
        <w:t>-</w:t>
      </w:r>
      <w:r w:rsidRPr="003408A6">
        <w:rPr>
          <w:lang w:val="en-AU"/>
        </w:rPr>
        <w:t>time was given between the announcement of the extension of the program for males and the start of the male program than was given for the female program. A</w:t>
      </w:r>
      <w:r w:rsidR="008454B0" w:rsidRPr="003408A6">
        <w:rPr>
          <w:lang w:val="en-AU"/>
        </w:rPr>
        <w:t xml:space="preserve">t least </w:t>
      </w:r>
      <w:r w:rsidR="000622B5" w:rsidRPr="003408A6">
        <w:rPr>
          <w:lang w:val="en-AU"/>
        </w:rPr>
        <w:t xml:space="preserve">50% </w:t>
      </w:r>
      <w:r w:rsidR="00A76C78">
        <w:rPr>
          <w:lang w:val="en-AU"/>
        </w:rPr>
        <w:t>of</w:t>
      </w:r>
      <w:r w:rsidR="00A76C78" w:rsidRPr="003408A6">
        <w:rPr>
          <w:lang w:val="en-AU"/>
        </w:rPr>
        <w:t xml:space="preserve"> </w:t>
      </w:r>
      <w:r w:rsidR="008454B0" w:rsidRPr="003408A6">
        <w:rPr>
          <w:lang w:val="en-AU"/>
        </w:rPr>
        <w:t>respondents agreed that the period from the announcement of the funding of the male program to the start of the program was adequate for aspects of planning and coordination</w:t>
      </w:r>
      <w:r w:rsidR="00A76C78">
        <w:rPr>
          <w:lang w:val="en-AU"/>
        </w:rPr>
        <w:t>,</w:t>
      </w:r>
      <w:r w:rsidR="00A15E2C" w:rsidRPr="003408A6">
        <w:rPr>
          <w:lang w:val="en-AU"/>
        </w:rPr>
        <w:t xml:space="preserve"> </w:t>
      </w:r>
      <w:r w:rsidR="008454B0" w:rsidRPr="003408A6">
        <w:rPr>
          <w:lang w:val="en-AU"/>
        </w:rPr>
        <w:t xml:space="preserve">provider education </w:t>
      </w:r>
      <w:r w:rsidR="00A15E2C" w:rsidRPr="003408A6">
        <w:rPr>
          <w:lang w:val="en-AU"/>
        </w:rPr>
        <w:t xml:space="preserve">(65%) </w:t>
      </w:r>
      <w:r w:rsidR="008454B0" w:rsidRPr="003408A6">
        <w:rPr>
          <w:lang w:val="en-AU"/>
        </w:rPr>
        <w:t xml:space="preserve">and the set-up of data </w:t>
      </w:r>
      <w:r w:rsidR="00A15E2C" w:rsidRPr="003408A6">
        <w:rPr>
          <w:lang w:val="en-AU"/>
        </w:rPr>
        <w:t>collection (65%)</w:t>
      </w:r>
      <w:r w:rsidR="008454B0" w:rsidRPr="003408A6">
        <w:rPr>
          <w:lang w:val="en-AU"/>
        </w:rPr>
        <w:t>.</w:t>
      </w:r>
      <w:r w:rsidR="00A15E2C" w:rsidRPr="003408A6">
        <w:rPr>
          <w:lang w:val="en-AU"/>
        </w:rPr>
        <w:t xml:space="preserve"> However</w:t>
      </w:r>
      <w:r w:rsidR="00E30BA1" w:rsidRPr="003408A6">
        <w:rPr>
          <w:lang w:val="en-AU"/>
        </w:rPr>
        <w:t>,</w:t>
      </w:r>
      <w:r w:rsidR="00A15E2C" w:rsidRPr="003408A6">
        <w:rPr>
          <w:lang w:val="en-AU"/>
        </w:rPr>
        <w:t xml:space="preserve"> only </w:t>
      </w:r>
      <w:r w:rsidR="000622B5" w:rsidRPr="003408A6">
        <w:rPr>
          <w:lang w:val="en-AU"/>
        </w:rPr>
        <w:t>40%</w:t>
      </w:r>
      <w:r w:rsidR="00A15E2C" w:rsidRPr="003408A6">
        <w:rPr>
          <w:lang w:val="en-AU"/>
        </w:rPr>
        <w:t xml:space="preserve"> </w:t>
      </w:r>
      <w:r w:rsidR="006976D1" w:rsidRPr="003408A6">
        <w:rPr>
          <w:lang w:val="en-AU"/>
        </w:rPr>
        <w:t xml:space="preserve">of respondents </w:t>
      </w:r>
      <w:r w:rsidR="00A15E2C" w:rsidRPr="003408A6">
        <w:rPr>
          <w:lang w:val="en-AU"/>
        </w:rPr>
        <w:t xml:space="preserve">agreed that the </w:t>
      </w:r>
      <w:r w:rsidR="006976D1" w:rsidRPr="003408A6">
        <w:rPr>
          <w:lang w:val="en-AU"/>
        </w:rPr>
        <w:t>interval</w:t>
      </w:r>
      <w:r w:rsidR="00A15E2C" w:rsidRPr="003408A6">
        <w:rPr>
          <w:lang w:val="en-AU"/>
        </w:rPr>
        <w:t xml:space="preserve"> between the announcement an</w:t>
      </w:r>
      <w:r w:rsidR="006976D1" w:rsidRPr="003408A6">
        <w:rPr>
          <w:lang w:val="en-AU"/>
        </w:rPr>
        <w:t xml:space="preserve">d start of the male program was </w:t>
      </w:r>
      <w:r w:rsidR="00A15E2C" w:rsidRPr="003408A6">
        <w:rPr>
          <w:lang w:val="en-AU"/>
        </w:rPr>
        <w:t xml:space="preserve">adequate </w:t>
      </w:r>
      <w:r w:rsidR="006976D1" w:rsidRPr="003408A6">
        <w:rPr>
          <w:lang w:val="en-AU"/>
        </w:rPr>
        <w:t>to</w:t>
      </w:r>
      <w:r w:rsidR="00A15E2C" w:rsidRPr="003408A6">
        <w:rPr>
          <w:lang w:val="en-AU"/>
        </w:rPr>
        <w:t xml:space="preserve"> develop information resources. A large majority of respondents agreed that there was adequate time for vaccine supply</w:t>
      </w:r>
      <w:r w:rsidR="006976D1" w:rsidRPr="003408A6">
        <w:rPr>
          <w:lang w:val="en-AU"/>
        </w:rPr>
        <w:t xml:space="preserve"> </w:t>
      </w:r>
      <w:r w:rsidR="00A15E2C" w:rsidRPr="003408A6">
        <w:rPr>
          <w:lang w:val="en-AU"/>
        </w:rPr>
        <w:t xml:space="preserve">(75%) and safety planning (70%) </w:t>
      </w:r>
      <w:r w:rsidR="006976D1" w:rsidRPr="003408A6">
        <w:rPr>
          <w:lang w:val="en-AU"/>
        </w:rPr>
        <w:t>for the male program, compared with 50% and 40%</w:t>
      </w:r>
      <w:r w:rsidR="00A76C78">
        <w:rPr>
          <w:lang w:val="en-AU"/>
        </w:rPr>
        <w:t>,</w:t>
      </w:r>
      <w:r w:rsidR="006976D1" w:rsidRPr="003408A6">
        <w:rPr>
          <w:lang w:val="en-AU"/>
        </w:rPr>
        <w:t xml:space="preserve"> </w:t>
      </w:r>
      <w:r w:rsidRPr="003408A6">
        <w:rPr>
          <w:lang w:val="en-AU"/>
        </w:rPr>
        <w:t>respectively</w:t>
      </w:r>
      <w:r w:rsidR="00A76C78">
        <w:rPr>
          <w:lang w:val="en-AU"/>
        </w:rPr>
        <w:t>,</w:t>
      </w:r>
      <w:r w:rsidRPr="003408A6">
        <w:rPr>
          <w:lang w:val="en-AU"/>
        </w:rPr>
        <w:t xml:space="preserve"> </w:t>
      </w:r>
      <w:r w:rsidR="006976D1" w:rsidRPr="003408A6">
        <w:rPr>
          <w:lang w:val="en-AU"/>
        </w:rPr>
        <w:t>for the female program.</w:t>
      </w:r>
      <w:r w:rsidR="00A15E2C" w:rsidRPr="003408A6">
        <w:rPr>
          <w:lang w:val="en-AU"/>
        </w:rPr>
        <w:t xml:space="preserve"> </w:t>
      </w:r>
    </w:p>
    <w:p w:rsidR="008454B0" w:rsidRPr="003408A6" w:rsidRDefault="008454B0" w:rsidP="00A76C78">
      <w:pPr>
        <w:pStyle w:val="Tableheading"/>
      </w:pPr>
      <w:bookmarkStart w:id="50" w:name="_Toc396475530"/>
      <w:bookmarkStart w:id="51" w:name="_Toc397000758"/>
      <w:r w:rsidRPr="003408A6">
        <w:t>Table 2.</w:t>
      </w:r>
      <w:r w:rsidR="00CD45D0" w:rsidRPr="003408A6">
        <w:t>9</w:t>
      </w:r>
      <w:r w:rsidR="00901C17" w:rsidRPr="003408A6">
        <w:t>.</w:t>
      </w:r>
      <w:r w:rsidR="00901C17" w:rsidRPr="003408A6">
        <w:tab/>
      </w:r>
      <w:r w:rsidRPr="003408A6">
        <w:t xml:space="preserve">Distribution (%) of responses to </w:t>
      </w:r>
      <w:r w:rsidR="00A76C78">
        <w:t xml:space="preserve">statements on </w:t>
      </w:r>
      <w:r w:rsidRPr="003408A6">
        <w:t>the adequacy of lead-time for planning and rollout</w:t>
      </w:r>
      <w:bookmarkEnd w:id="50"/>
      <w:bookmarkEnd w:id="51"/>
    </w:p>
    <w:tbl>
      <w:tblPr>
        <w:tblW w:w="8535" w:type="dxa"/>
        <w:tblInd w:w="78" w:type="dxa"/>
        <w:tblBorders>
          <w:top w:val="single" w:sz="4" w:space="0" w:color="auto"/>
          <w:bottom w:val="single" w:sz="4" w:space="0" w:color="auto"/>
        </w:tblBorders>
        <w:tblLayout w:type="fixed"/>
        <w:tblLook w:val="0000" w:firstRow="0" w:lastRow="0" w:firstColumn="0" w:lastColumn="0" w:noHBand="0" w:noVBand="0"/>
      </w:tblPr>
      <w:tblGrid>
        <w:gridCol w:w="2705"/>
        <w:gridCol w:w="16"/>
        <w:gridCol w:w="1148"/>
        <w:gridCol w:w="14"/>
        <w:gridCol w:w="1152"/>
        <w:gridCol w:w="10"/>
        <w:gridCol w:w="1155"/>
        <w:gridCol w:w="7"/>
        <w:gridCol w:w="1162"/>
        <w:gridCol w:w="1166"/>
      </w:tblGrid>
      <w:tr w:rsidR="008454B0" w:rsidRPr="003408A6" w:rsidTr="00DF273A">
        <w:trPr>
          <w:trHeight w:val="581"/>
        </w:trPr>
        <w:tc>
          <w:tcPr>
            <w:tcW w:w="2724" w:type="dxa"/>
            <w:gridSpan w:val="2"/>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p>
        </w:tc>
        <w:tc>
          <w:tcPr>
            <w:tcW w:w="1162" w:type="dxa"/>
            <w:gridSpan w:val="2"/>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r w:rsidRPr="003408A6">
              <w:rPr>
                <w:lang w:val="en-AU"/>
              </w:rPr>
              <w:t>Strongly disagree</w:t>
            </w:r>
          </w:p>
        </w:tc>
        <w:tc>
          <w:tcPr>
            <w:tcW w:w="1162" w:type="dxa"/>
            <w:gridSpan w:val="2"/>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r w:rsidRPr="003408A6">
              <w:rPr>
                <w:lang w:val="en-AU"/>
              </w:rPr>
              <w:t>Disagree</w:t>
            </w:r>
          </w:p>
        </w:tc>
        <w:tc>
          <w:tcPr>
            <w:tcW w:w="1162" w:type="dxa"/>
            <w:gridSpan w:val="2"/>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r w:rsidRPr="003408A6">
              <w:rPr>
                <w:lang w:val="en-AU"/>
              </w:rPr>
              <w:t>Neutral</w:t>
            </w:r>
          </w:p>
        </w:tc>
        <w:tc>
          <w:tcPr>
            <w:tcW w:w="1162" w:type="dxa"/>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r w:rsidRPr="003408A6">
              <w:rPr>
                <w:lang w:val="en-AU"/>
              </w:rPr>
              <w:t>Agree</w:t>
            </w:r>
          </w:p>
        </w:tc>
        <w:tc>
          <w:tcPr>
            <w:tcW w:w="1163" w:type="dxa"/>
            <w:tcBorders>
              <w:top w:val="single" w:sz="4" w:space="0" w:color="auto"/>
              <w:left w:val="nil"/>
              <w:bottom w:val="single" w:sz="4" w:space="0" w:color="auto"/>
              <w:right w:val="nil"/>
            </w:tcBorders>
          </w:tcPr>
          <w:p w:rsidR="008454B0" w:rsidRPr="003408A6" w:rsidRDefault="008454B0" w:rsidP="006C73CE">
            <w:pPr>
              <w:pStyle w:val="Tablecolumnheadings"/>
              <w:rPr>
                <w:lang w:val="en-AU"/>
              </w:rPr>
            </w:pPr>
            <w:r w:rsidRPr="003408A6">
              <w:rPr>
                <w:lang w:val="en-AU"/>
              </w:rPr>
              <w:t>Strongly agree</w:t>
            </w:r>
          </w:p>
        </w:tc>
      </w:tr>
      <w:tr w:rsidR="008454B0" w:rsidRPr="003408A6" w:rsidTr="00DF273A">
        <w:trPr>
          <w:trHeight w:val="290"/>
        </w:trPr>
        <w:tc>
          <w:tcPr>
            <w:tcW w:w="8535" w:type="dxa"/>
            <w:gridSpan w:val="10"/>
            <w:tcBorders>
              <w:top w:val="single" w:sz="4" w:space="0" w:color="auto"/>
              <w:left w:val="nil"/>
              <w:right w:val="nil"/>
            </w:tcBorders>
          </w:tcPr>
          <w:p w:rsidR="008454B0" w:rsidRPr="003408A6" w:rsidRDefault="008454B0" w:rsidP="006C73CE">
            <w:pPr>
              <w:pStyle w:val="Tabletextbold"/>
              <w:rPr>
                <w:lang w:val="en-AU"/>
              </w:rPr>
            </w:pPr>
            <w:r w:rsidRPr="003408A6">
              <w:rPr>
                <w:lang w:val="en-AU"/>
              </w:rPr>
              <w:t xml:space="preserve">The period from the announcement of the funding of the female HPV </w:t>
            </w:r>
            <w:r w:rsidR="00FC7D75" w:rsidRPr="003408A6">
              <w:rPr>
                <w:lang w:val="en-AU"/>
              </w:rPr>
              <w:t xml:space="preserve">vaccination </w:t>
            </w:r>
            <w:r w:rsidRPr="003408A6">
              <w:rPr>
                <w:lang w:val="en-AU"/>
              </w:rPr>
              <w:t>program (Nov</w:t>
            </w:r>
            <w:r w:rsidR="00FC7D75" w:rsidRPr="003408A6">
              <w:rPr>
                <w:lang w:val="en-AU"/>
              </w:rPr>
              <w:t>ember</w:t>
            </w:r>
            <w:r w:rsidRPr="003408A6">
              <w:rPr>
                <w:lang w:val="en-AU"/>
              </w:rPr>
              <w:t xml:space="preserve"> 2006) to the start of the program (April 2007) was adequate for:</w:t>
            </w:r>
          </w:p>
        </w:tc>
      </w:tr>
      <w:tr w:rsidR="008454B0" w:rsidRPr="003408A6" w:rsidTr="00DF273A">
        <w:trPr>
          <w:trHeight w:val="290"/>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Planning</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90"/>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Coordination</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30</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41"/>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Vaccine/supply delivery</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74"/>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Vaccine safety planning</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547"/>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Developing information resources</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610"/>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Communication with schools/parents/students</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90"/>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Provider education</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30</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304"/>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Set-up of data collection</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406"/>
        </w:trPr>
        <w:tc>
          <w:tcPr>
            <w:tcW w:w="8535" w:type="dxa"/>
            <w:gridSpan w:val="10"/>
            <w:tcBorders>
              <w:left w:val="nil"/>
              <w:right w:val="nil"/>
            </w:tcBorders>
          </w:tcPr>
          <w:p w:rsidR="008454B0" w:rsidRPr="003408A6" w:rsidRDefault="008454B0" w:rsidP="006C73CE">
            <w:pPr>
              <w:pStyle w:val="Tabletextbold"/>
              <w:rPr>
                <w:lang w:val="en-AU"/>
              </w:rPr>
            </w:pPr>
            <w:r w:rsidRPr="003408A6">
              <w:rPr>
                <w:lang w:val="en-AU"/>
              </w:rPr>
              <w:t xml:space="preserve">The period from the announcement of the funding of the male HPV </w:t>
            </w:r>
            <w:r w:rsidR="00FC7D75" w:rsidRPr="003408A6">
              <w:rPr>
                <w:lang w:val="en-AU"/>
              </w:rPr>
              <w:t xml:space="preserve">vaccination </w:t>
            </w:r>
            <w:r w:rsidRPr="003408A6">
              <w:rPr>
                <w:lang w:val="en-AU"/>
              </w:rPr>
              <w:t>program (July</w:t>
            </w:r>
            <w:r w:rsidR="00FC7D75" w:rsidRPr="003408A6">
              <w:rPr>
                <w:lang w:val="en-AU"/>
              </w:rPr>
              <w:t xml:space="preserve"> </w:t>
            </w:r>
            <w:r w:rsidRPr="003408A6">
              <w:rPr>
                <w:lang w:val="en-AU"/>
              </w:rPr>
              <w:t>2012) to the start of the program (February 2013) was adequate for:</w:t>
            </w:r>
          </w:p>
        </w:tc>
      </w:tr>
      <w:tr w:rsidR="008454B0" w:rsidRPr="003408A6" w:rsidTr="00DF273A">
        <w:trPr>
          <w:trHeight w:val="406"/>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Planning</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406"/>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Coordination</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308"/>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Vaccine/supply delivery</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70</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157"/>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Vaccine safety planning</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65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406"/>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Developing information resources</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40</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35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406"/>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Communication with schools/parents/students</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10</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45</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41"/>
        </w:trPr>
        <w:tc>
          <w:tcPr>
            <w:tcW w:w="2707" w:type="dxa"/>
            <w:tcBorders>
              <w:left w:val="nil"/>
              <w:right w:val="nil"/>
            </w:tcBorders>
            <w:vAlign w:val="center"/>
          </w:tcPr>
          <w:p w:rsidR="008454B0" w:rsidRPr="003408A6" w:rsidRDefault="008454B0" w:rsidP="006C73CE">
            <w:pPr>
              <w:pStyle w:val="Tabletext"/>
              <w:rPr>
                <w:lang w:val="en-AU"/>
              </w:rPr>
            </w:pPr>
            <w:r w:rsidRPr="003408A6">
              <w:rPr>
                <w:lang w:val="en-AU"/>
              </w:rPr>
              <w:t>Provider education</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25</w:t>
            </w:r>
          </w:p>
        </w:tc>
        <w:tc>
          <w:tcPr>
            <w:tcW w:w="1165"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60</w:t>
            </w:r>
          </w:p>
        </w:tc>
        <w:tc>
          <w:tcPr>
            <w:tcW w:w="1166" w:type="dxa"/>
            <w:tcBorders>
              <w:left w:val="nil"/>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r w:rsidR="008454B0" w:rsidRPr="003408A6" w:rsidTr="00DF273A">
        <w:trPr>
          <w:trHeight w:val="275"/>
        </w:trPr>
        <w:tc>
          <w:tcPr>
            <w:tcW w:w="2707" w:type="dxa"/>
            <w:tcBorders>
              <w:left w:val="nil"/>
              <w:bottom w:val="single" w:sz="4" w:space="0" w:color="auto"/>
              <w:right w:val="nil"/>
            </w:tcBorders>
            <w:vAlign w:val="center"/>
          </w:tcPr>
          <w:p w:rsidR="008454B0" w:rsidRPr="003408A6" w:rsidRDefault="008454B0" w:rsidP="006C73CE">
            <w:pPr>
              <w:pStyle w:val="Tabletext"/>
              <w:rPr>
                <w:lang w:val="en-AU"/>
              </w:rPr>
            </w:pPr>
            <w:r w:rsidRPr="003408A6">
              <w:rPr>
                <w:lang w:val="en-AU"/>
              </w:rPr>
              <w:t>Set-up of data collection</w:t>
            </w:r>
          </w:p>
        </w:tc>
        <w:tc>
          <w:tcPr>
            <w:tcW w:w="1165" w:type="dxa"/>
            <w:gridSpan w:val="2"/>
            <w:tcBorders>
              <w:left w:val="nil"/>
              <w:bottom w:val="single" w:sz="4" w:space="0" w:color="auto"/>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c>
          <w:tcPr>
            <w:tcW w:w="1166" w:type="dxa"/>
            <w:gridSpan w:val="2"/>
            <w:tcBorders>
              <w:left w:val="nil"/>
              <w:bottom w:val="single" w:sz="4" w:space="0" w:color="auto"/>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5" w:type="dxa"/>
            <w:gridSpan w:val="2"/>
            <w:tcBorders>
              <w:left w:val="nil"/>
              <w:bottom w:val="single" w:sz="4" w:space="0" w:color="auto"/>
              <w:right w:val="nil"/>
            </w:tcBorders>
            <w:vAlign w:val="center"/>
          </w:tcPr>
          <w:p w:rsidR="008454B0" w:rsidRPr="003408A6" w:rsidRDefault="008454B0" w:rsidP="006C73CE">
            <w:pPr>
              <w:pStyle w:val="Tabletextcentred"/>
              <w:rPr>
                <w:b/>
                <w:bCs/>
                <w:iCs/>
                <w:snapToGrid w:val="0"/>
                <w:lang w:val="en-AU"/>
              </w:rPr>
            </w:pPr>
            <w:r w:rsidRPr="003408A6">
              <w:rPr>
                <w:lang w:val="en-AU"/>
              </w:rPr>
              <w:t>15</w:t>
            </w:r>
          </w:p>
        </w:tc>
        <w:tc>
          <w:tcPr>
            <w:tcW w:w="1166" w:type="dxa"/>
            <w:gridSpan w:val="2"/>
            <w:tcBorders>
              <w:left w:val="nil"/>
              <w:bottom w:val="single" w:sz="4" w:space="0" w:color="auto"/>
              <w:right w:val="nil"/>
            </w:tcBorders>
            <w:vAlign w:val="center"/>
          </w:tcPr>
          <w:p w:rsidR="008454B0" w:rsidRPr="003408A6" w:rsidRDefault="008454B0" w:rsidP="006C73CE">
            <w:pPr>
              <w:pStyle w:val="Tabletextcentred"/>
              <w:rPr>
                <w:b/>
                <w:bCs/>
                <w:iCs/>
                <w:snapToGrid w:val="0"/>
                <w:lang w:val="en-AU"/>
              </w:rPr>
            </w:pPr>
            <w:r w:rsidRPr="003408A6">
              <w:rPr>
                <w:lang w:val="en-AU"/>
              </w:rPr>
              <w:t>60</w:t>
            </w:r>
          </w:p>
        </w:tc>
        <w:tc>
          <w:tcPr>
            <w:tcW w:w="1166" w:type="dxa"/>
            <w:tcBorders>
              <w:left w:val="nil"/>
              <w:bottom w:val="single" w:sz="4" w:space="0" w:color="auto"/>
              <w:right w:val="nil"/>
            </w:tcBorders>
            <w:vAlign w:val="center"/>
          </w:tcPr>
          <w:p w:rsidR="008454B0" w:rsidRPr="003408A6" w:rsidRDefault="008454B0" w:rsidP="006C73CE">
            <w:pPr>
              <w:pStyle w:val="Tabletextcentred"/>
              <w:rPr>
                <w:b/>
                <w:bCs/>
                <w:iCs/>
                <w:snapToGrid w:val="0"/>
                <w:lang w:val="en-AU"/>
              </w:rPr>
            </w:pPr>
            <w:r w:rsidRPr="003408A6">
              <w:rPr>
                <w:lang w:val="en-AU"/>
              </w:rPr>
              <w:t>5</w:t>
            </w:r>
          </w:p>
        </w:tc>
      </w:tr>
    </w:tbl>
    <w:p w:rsidR="00FE32A9" w:rsidRPr="003408A6" w:rsidRDefault="008454B0" w:rsidP="00786E4C">
      <w:pPr>
        <w:pStyle w:val="Bodytextaftertable"/>
      </w:pPr>
      <w:r w:rsidRPr="003408A6">
        <w:rPr>
          <w:b/>
          <w:lang w:val="en-AU"/>
        </w:rPr>
        <w:t>Table 2.</w:t>
      </w:r>
      <w:r w:rsidR="00CD45D0" w:rsidRPr="003408A6">
        <w:rPr>
          <w:b/>
          <w:lang w:val="en-AU"/>
        </w:rPr>
        <w:t>10</w:t>
      </w:r>
      <w:r w:rsidR="000271C1" w:rsidRPr="003408A6">
        <w:rPr>
          <w:lang w:val="en-AU"/>
        </w:rPr>
        <w:t xml:space="preserve"> </w:t>
      </w:r>
      <w:r w:rsidRPr="003408A6">
        <w:rPr>
          <w:lang w:val="en-AU"/>
        </w:rPr>
        <w:t>shows the distribution of responses to statements on the rollout of the extended program for males. The majority of respondents agreed that rollout of the extended program for males was able to take good advantage of the existing female program for all aspects of planning and implementation. Twenty per cent of respondents</w:t>
      </w:r>
      <w:r w:rsidR="00FC7D75" w:rsidRPr="003408A6">
        <w:rPr>
          <w:lang w:val="en-AU"/>
        </w:rPr>
        <w:t>,</w:t>
      </w:r>
      <w:r w:rsidRPr="003408A6">
        <w:rPr>
          <w:lang w:val="en-AU"/>
        </w:rPr>
        <w:t xml:space="preserve"> however</w:t>
      </w:r>
      <w:r w:rsidR="00FC7D75" w:rsidRPr="003408A6">
        <w:rPr>
          <w:lang w:val="en-AU"/>
        </w:rPr>
        <w:t>,</w:t>
      </w:r>
      <w:r w:rsidRPr="003408A6">
        <w:rPr>
          <w:lang w:val="en-AU"/>
        </w:rPr>
        <w:t xml:space="preserve"> disagreed that the existing female program assisted with the development of communication resources and communicating with parents and students </w:t>
      </w:r>
      <w:r w:rsidR="00A76C78">
        <w:rPr>
          <w:lang w:val="en-AU"/>
        </w:rPr>
        <w:t>about</w:t>
      </w:r>
      <w:r w:rsidR="00A76C78" w:rsidRPr="003408A6">
        <w:rPr>
          <w:lang w:val="en-AU"/>
        </w:rPr>
        <w:t xml:space="preserve"> </w:t>
      </w:r>
      <w:r w:rsidRPr="003408A6">
        <w:rPr>
          <w:lang w:val="en-AU"/>
        </w:rPr>
        <w:t xml:space="preserve">the extended program. The majority of respondents agreed that including both </w:t>
      </w:r>
      <w:r w:rsidR="00A42977" w:rsidRPr="003408A6">
        <w:rPr>
          <w:lang w:val="en-AU"/>
        </w:rPr>
        <w:t xml:space="preserve">males </w:t>
      </w:r>
      <w:r w:rsidRPr="003408A6">
        <w:rPr>
          <w:lang w:val="en-AU"/>
        </w:rPr>
        <w:t xml:space="preserve">and </w:t>
      </w:r>
      <w:r w:rsidR="00A42977" w:rsidRPr="003408A6">
        <w:rPr>
          <w:lang w:val="en-AU"/>
        </w:rPr>
        <w:t>females</w:t>
      </w:r>
      <w:r w:rsidRPr="003408A6">
        <w:rPr>
          <w:lang w:val="en-AU"/>
        </w:rPr>
        <w:t xml:space="preserve"> in the National HPV Vaccination Program had advantages over the previous female</w:t>
      </w:r>
      <w:r w:rsidR="00A42977" w:rsidRPr="003408A6">
        <w:rPr>
          <w:lang w:val="en-AU"/>
        </w:rPr>
        <w:t>-</w:t>
      </w:r>
      <w:r w:rsidRPr="003408A6">
        <w:rPr>
          <w:lang w:val="en-AU"/>
        </w:rPr>
        <w:t>only program in all aspects of planning and implementation.</w:t>
      </w:r>
    </w:p>
    <w:p w:rsidR="008454B0" w:rsidRPr="003408A6" w:rsidRDefault="008454B0" w:rsidP="006C73CE">
      <w:pPr>
        <w:pStyle w:val="Tableheading"/>
        <w:rPr>
          <w:lang w:val="en-AU"/>
        </w:rPr>
      </w:pPr>
      <w:bookmarkStart w:id="52" w:name="_Toc396475531"/>
      <w:bookmarkStart w:id="53" w:name="_Toc397000759"/>
      <w:r w:rsidRPr="003408A6">
        <w:rPr>
          <w:lang w:val="en-AU"/>
        </w:rPr>
        <w:t>Table 2.</w:t>
      </w:r>
      <w:r w:rsidR="00CD45D0" w:rsidRPr="003408A6">
        <w:rPr>
          <w:lang w:val="en-AU"/>
        </w:rPr>
        <w:t>10</w:t>
      </w:r>
      <w:r w:rsidRPr="003408A6">
        <w:rPr>
          <w:lang w:val="en-AU"/>
        </w:rPr>
        <w:t>.</w:t>
      </w:r>
      <w:r w:rsidR="00901C17" w:rsidRPr="003408A6">
        <w:rPr>
          <w:lang w:val="en-AU"/>
        </w:rPr>
        <w:tab/>
      </w:r>
      <w:r w:rsidRPr="003408A6">
        <w:rPr>
          <w:lang w:val="en-AU"/>
        </w:rPr>
        <w:t>Distribution (%) of responses to statements on the rollout of the extended program for males</w:t>
      </w:r>
      <w:bookmarkEnd w:id="52"/>
      <w:bookmarkEnd w:id="53"/>
    </w:p>
    <w:p w:rsidR="008454B0" w:rsidRPr="003408A6" w:rsidRDefault="008454B0" w:rsidP="006C73CE">
      <w:pPr>
        <w:pStyle w:val="Tabletextbold"/>
        <w:rPr>
          <w:lang w:val="en-AU"/>
        </w:rPr>
      </w:pPr>
      <w:r w:rsidRPr="003408A6">
        <w:rPr>
          <w:lang w:val="en-AU"/>
        </w:rPr>
        <w:t xml:space="preserve">The rollout of the </w:t>
      </w:r>
      <w:r w:rsidR="00FC7D75" w:rsidRPr="003408A6">
        <w:rPr>
          <w:lang w:val="en-AU"/>
        </w:rPr>
        <w:t>m</w:t>
      </w:r>
      <w:r w:rsidRPr="003408A6">
        <w:rPr>
          <w:lang w:val="en-AU"/>
        </w:rPr>
        <w:t xml:space="preserve">ale HPV </w:t>
      </w:r>
      <w:r w:rsidR="00FC7D75" w:rsidRPr="003408A6">
        <w:rPr>
          <w:lang w:val="en-AU"/>
        </w:rPr>
        <w:t xml:space="preserve">vaccination </w:t>
      </w:r>
      <w:r w:rsidRPr="003408A6">
        <w:rPr>
          <w:lang w:val="en-AU"/>
        </w:rPr>
        <w:t>program was able to take good advantage of the existing female program in terms of:</w:t>
      </w:r>
    </w:p>
    <w:tbl>
      <w:tblPr>
        <w:tblW w:w="8535" w:type="dxa"/>
        <w:tblInd w:w="78" w:type="dxa"/>
        <w:tblBorders>
          <w:top w:val="single" w:sz="4" w:space="0" w:color="auto"/>
          <w:bottom w:val="single" w:sz="4" w:space="0" w:color="auto"/>
        </w:tblBorders>
        <w:tblLayout w:type="fixed"/>
        <w:tblLook w:val="0000" w:firstRow="0" w:lastRow="0" w:firstColumn="0" w:lastColumn="0" w:noHBand="0" w:noVBand="0"/>
      </w:tblPr>
      <w:tblGrid>
        <w:gridCol w:w="2724"/>
        <w:gridCol w:w="1162"/>
        <w:gridCol w:w="1162"/>
        <w:gridCol w:w="1162"/>
        <w:gridCol w:w="1162"/>
        <w:gridCol w:w="1163"/>
      </w:tblGrid>
      <w:tr w:rsidR="00DF273A" w:rsidRPr="003408A6" w:rsidTr="009C1A43">
        <w:trPr>
          <w:trHeight w:val="290"/>
        </w:trPr>
        <w:tc>
          <w:tcPr>
            <w:tcW w:w="2724" w:type="dxa"/>
            <w:tcBorders>
              <w:top w:val="single" w:sz="4" w:space="0" w:color="auto"/>
              <w:left w:val="nil"/>
              <w:bottom w:val="single" w:sz="4" w:space="0" w:color="auto"/>
              <w:right w:val="nil"/>
            </w:tcBorders>
          </w:tcPr>
          <w:p w:rsidR="00DF273A" w:rsidRPr="003408A6" w:rsidRDefault="00DF273A" w:rsidP="00DF273A">
            <w:pPr>
              <w:pStyle w:val="Tablecolumnheadings"/>
            </w:pPr>
          </w:p>
        </w:tc>
        <w:tc>
          <w:tcPr>
            <w:tcW w:w="1162" w:type="dxa"/>
            <w:tcBorders>
              <w:top w:val="single" w:sz="4" w:space="0" w:color="auto"/>
              <w:left w:val="nil"/>
              <w:bottom w:val="single" w:sz="4" w:space="0" w:color="auto"/>
              <w:right w:val="nil"/>
            </w:tcBorders>
          </w:tcPr>
          <w:p w:rsidR="00DF273A" w:rsidRPr="003408A6" w:rsidRDefault="00DF273A" w:rsidP="00DF273A">
            <w:pPr>
              <w:pStyle w:val="Tablecolumnheadings"/>
            </w:pPr>
            <w:r w:rsidRPr="003408A6">
              <w:t>Strongly disagree</w:t>
            </w:r>
          </w:p>
        </w:tc>
        <w:tc>
          <w:tcPr>
            <w:tcW w:w="1162" w:type="dxa"/>
            <w:tcBorders>
              <w:top w:val="single" w:sz="4" w:space="0" w:color="auto"/>
              <w:left w:val="nil"/>
              <w:bottom w:val="single" w:sz="4" w:space="0" w:color="auto"/>
              <w:right w:val="nil"/>
            </w:tcBorders>
          </w:tcPr>
          <w:p w:rsidR="00DF273A" w:rsidRPr="003408A6" w:rsidRDefault="00DF273A" w:rsidP="00DF273A">
            <w:pPr>
              <w:pStyle w:val="Tablecolumnheadings"/>
            </w:pPr>
            <w:r w:rsidRPr="003408A6">
              <w:t>Disagree</w:t>
            </w:r>
          </w:p>
        </w:tc>
        <w:tc>
          <w:tcPr>
            <w:tcW w:w="1162" w:type="dxa"/>
            <w:tcBorders>
              <w:top w:val="single" w:sz="4" w:space="0" w:color="auto"/>
              <w:left w:val="nil"/>
              <w:bottom w:val="single" w:sz="4" w:space="0" w:color="auto"/>
              <w:right w:val="nil"/>
            </w:tcBorders>
          </w:tcPr>
          <w:p w:rsidR="00DF273A" w:rsidRPr="003408A6" w:rsidRDefault="00DF273A" w:rsidP="00DF273A">
            <w:pPr>
              <w:pStyle w:val="Tablecolumnheadings"/>
            </w:pPr>
            <w:r w:rsidRPr="003408A6">
              <w:t>Neutral</w:t>
            </w:r>
          </w:p>
        </w:tc>
        <w:tc>
          <w:tcPr>
            <w:tcW w:w="1162" w:type="dxa"/>
            <w:tcBorders>
              <w:top w:val="single" w:sz="4" w:space="0" w:color="auto"/>
              <w:left w:val="nil"/>
              <w:bottom w:val="single" w:sz="4" w:space="0" w:color="auto"/>
              <w:right w:val="nil"/>
            </w:tcBorders>
          </w:tcPr>
          <w:p w:rsidR="00DF273A" w:rsidRPr="003408A6" w:rsidRDefault="00DF273A" w:rsidP="00DF273A">
            <w:pPr>
              <w:pStyle w:val="Tablecolumnheadings"/>
            </w:pPr>
            <w:r w:rsidRPr="003408A6">
              <w:t>Agree</w:t>
            </w:r>
          </w:p>
        </w:tc>
        <w:tc>
          <w:tcPr>
            <w:tcW w:w="1163" w:type="dxa"/>
            <w:tcBorders>
              <w:top w:val="single" w:sz="4" w:space="0" w:color="auto"/>
              <w:left w:val="nil"/>
              <w:bottom w:val="single" w:sz="4" w:space="0" w:color="auto"/>
              <w:right w:val="nil"/>
            </w:tcBorders>
          </w:tcPr>
          <w:p w:rsidR="00DF273A" w:rsidRPr="003408A6" w:rsidRDefault="00DF273A" w:rsidP="00DF273A">
            <w:pPr>
              <w:pStyle w:val="Tablecolumnheadings"/>
            </w:pPr>
            <w:r w:rsidRPr="003408A6">
              <w:t>Strongly agree</w:t>
            </w:r>
          </w:p>
        </w:tc>
      </w:tr>
      <w:tr w:rsidR="00DF273A" w:rsidRPr="003408A6" w:rsidTr="009C1A43">
        <w:trPr>
          <w:trHeight w:val="290"/>
        </w:trPr>
        <w:tc>
          <w:tcPr>
            <w:tcW w:w="8535" w:type="dxa"/>
            <w:gridSpan w:val="6"/>
            <w:tcBorders>
              <w:top w:val="single" w:sz="4" w:space="0" w:color="auto"/>
              <w:left w:val="nil"/>
              <w:right w:val="nil"/>
            </w:tcBorders>
            <w:vAlign w:val="center"/>
          </w:tcPr>
          <w:p w:rsidR="00DF273A" w:rsidRPr="003408A6" w:rsidRDefault="00DF273A" w:rsidP="00DF273A">
            <w:pPr>
              <w:pStyle w:val="Tabletextbold"/>
              <w:rPr>
                <w:lang w:val="en-AU"/>
              </w:rPr>
            </w:pPr>
            <w:r w:rsidRPr="00DF273A">
              <w:t>The rollout of the male HPV vaccination program was able to take good advantage of the existing female program in terms of:</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Planning</w:t>
            </w:r>
          </w:p>
        </w:tc>
        <w:tc>
          <w:tcPr>
            <w:tcW w:w="1162" w:type="dxa"/>
            <w:tcBorders>
              <w:left w:val="nil"/>
              <w:right w:val="nil"/>
            </w:tcBorders>
            <w:vAlign w:val="center"/>
          </w:tcPr>
          <w:p w:rsidR="00DF273A" w:rsidRPr="003408A6" w:rsidRDefault="00DF273A" w:rsidP="006C73CE">
            <w:pPr>
              <w:pStyle w:val="Tabletextcentred"/>
              <w:rPr>
                <w:lang w:val="en-AU"/>
              </w:rPr>
            </w:pPr>
            <w:r w:rsidRPr="003408A6">
              <w:rPr>
                <w:lang w:val="en-AU"/>
              </w:rPr>
              <w:t>6</w:t>
            </w:r>
          </w:p>
        </w:tc>
        <w:tc>
          <w:tcPr>
            <w:tcW w:w="1162" w:type="dxa"/>
            <w:tcBorders>
              <w:left w:val="nil"/>
              <w:right w:val="nil"/>
            </w:tcBorders>
            <w:vAlign w:val="center"/>
          </w:tcPr>
          <w:p w:rsidR="00DF273A" w:rsidRPr="003408A6" w:rsidRDefault="00DF273A" w:rsidP="006C73CE">
            <w:pPr>
              <w:pStyle w:val="Tabletextcentred"/>
              <w:rPr>
                <w:lang w:val="en-AU"/>
              </w:rPr>
            </w:pPr>
            <w:r w:rsidRPr="003408A6">
              <w:rPr>
                <w:lang w:val="en-AU"/>
              </w:rPr>
              <w:t>6</w:t>
            </w:r>
          </w:p>
        </w:tc>
        <w:tc>
          <w:tcPr>
            <w:tcW w:w="1162" w:type="dxa"/>
            <w:tcBorders>
              <w:left w:val="nil"/>
              <w:right w:val="nil"/>
            </w:tcBorders>
            <w:vAlign w:val="center"/>
          </w:tcPr>
          <w:p w:rsidR="00DF273A" w:rsidRPr="003408A6" w:rsidRDefault="00DF273A" w:rsidP="006C73CE">
            <w:pPr>
              <w:pStyle w:val="Tabletextcentred"/>
              <w:rPr>
                <w:lang w:val="en-AU"/>
              </w:rPr>
            </w:pPr>
            <w:r w:rsidRPr="003408A6">
              <w:rPr>
                <w:lang w:val="en-AU"/>
              </w:rPr>
              <w:t>6</w:t>
            </w:r>
          </w:p>
        </w:tc>
        <w:tc>
          <w:tcPr>
            <w:tcW w:w="1162" w:type="dxa"/>
            <w:tcBorders>
              <w:left w:val="nil"/>
              <w:right w:val="nil"/>
            </w:tcBorders>
            <w:vAlign w:val="center"/>
          </w:tcPr>
          <w:p w:rsidR="00DF273A" w:rsidRPr="003408A6" w:rsidRDefault="00DF273A" w:rsidP="006C73CE">
            <w:pPr>
              <w:pStyle w:val="Tabletextcentred"/>
              <w:rPr>
                <w:lang w:val="en-AU"/>
              </w:rPr>
            </w:pPr>
            <w:r w:rsidRPr="003408A6">
              <w:rPr>
                <w:lang w:val="en-AU"/>
              </w:rPr>
              <w:t>61</w:t>
            </w:r>
          </w:p>
        </w:tc>
        <w:tc>
          <w:tcPr>
            <w:tcW w:w="1163" w:type="dxa"/>
            <w:tcBorders>
              <w:left w:val="nil"/>
              <w:right w:val="nil"/>
            </w:tcBorders>
            <w:vAlign w:val="center"/>
          </w:tcPr>
          <w:p w:rsidR="00DF273A" w:rsidRPr="003408A6" w:rsidRDefault="00DF273A" w:rsidP="006C73CE">
            <w:pPr>
              <w:pStyle w:val="Tabletextcentred"/>
              <w:rPr>
                <w:lang w:val="en-AU"/>
              </w:rPr>
            </w:pPr>
            <w:r w:rsidRPr="003408A6">
              <w:rPr>
                <w:lang w:val="en-AU"/>
              </w:rPr>
              <w:t>22</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Coordination</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6</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6</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67</w:t>
            </w:r>
          </w:p>
        </w:tc>
        <w:tc>
          <w:tcPr>
            <w:tcW w:w="1163"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22</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Vaccine/supply delivery</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75</w:t>
            </w:r>
          </w:p>
        </w:tc>
        <w:tc>
          <w:tcPr>
            <w:tcW w:w="1163"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20</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Developing information resources</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15</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10</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20</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Communication with schools/parents/students</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15</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10</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20</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Provider education</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10</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20</w:t>
            </w:r>
          </w:p>
        </w:tc>
        <w:tc>
          <w:tcPr>
            <w:tcW w:w="1162"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b/>
                <w:bCs/>
                <w:iCs/>
                <w:snapToGrid w:val="0"/>
                <w:lang w:val="en-AU"/>
              </w:rPr>
            </w:pPr>
            <w:r w:rsidRPr="003408A6">
              <w:rPr>
                <w:lang w:val="en-AU"/>
              </w:rPr>
              <w:t>20</w:t>
            </w:r>
          </w:p>
        </w:tc>
      </w:tr>
      <w:tr w:rsidR="00DF273A" w:rsidRPr="003408A6" w:rsidTr="009C1A43">
        <w:trPr>
          <w:trHeight w:val="426"/>
        </w:trPr>
        <w:tc>
          <w:tcPr>
            <w:tcW w:w="8535" w:type="dxa"/>
            <w:gridSpan w:val="6"/>
            <w:tcBorders>
              <w:left w:val="nil"/>
              <w:right w:val="nil"/>
            </w:tcBorders>
            <w:vAlign w:val="center"/>
          </w:tcPr>
          <w:p w:rsidR="00DF273A" w:rsidRPr="003408A6" w:rsidRDefault="00DF273A" w:rsidP="006C73CE">
            <w:pPr>
              <w:pStyle w:val="Tabletextbold"/>
              <w:rPr>
                <w:lang w:val="en-AU"/>
              </w:rPr>
            </w:pPr>
            <w:r w:rsidRPr="003408A6">
              <w:rPr>
                <w:lang w:val="en-AU"/>
              </w:rPr>
              <w:t>Including both boys and girls in the National HPV Vaccination Program has advantages over the previous female</w:t>
            </w:r>
            <w:r>
              <w:rPr>
                <w:lang w:val="en-AU"/>
              </w:rPr>
              <w:t>-</w:t>
            </w:r>
            <w:r w:rsidRPr="003408A6">
              <w:rPr>
                <w:lang w:val="en-AU"/>
              </w:rPr>
              <w:t>only program in terms of:</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Planning</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Coordination</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22</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28</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Vaccine/supply delivery</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5</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30</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40</w:t>
            </w:r>
          </w:p>
        </w:tc>
        <w:tc>
          <w:tcPr>
            <w:tcW w:w="1163"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Developing information resources</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50</w:t>
            </w:r>
          </w:p>
        </w:tc>
        <w:tc>
          <w:tcPr>
            <w:tcW w:w="1163"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r>
      <w:tr w:rsidR="00DF273A" w:rsidRPr="003408A6" w:rsidTr="009C1A43">
        <w:trPr>
          <w:trHeight w:val="290"/>
        </w:trPr>
        <w:tc>
          <w:tcPr>
            <w:tcW w:w="2724" w:type="dxa"/>
            <w:tcBorders>
              <w:left w:val="nil"/>
              <w:right w:val="nil"/>
            </w:tcBorders>
            <w:vAlign w:val="center"/>
          </w:tcPr>
          <w:p w:rsidR="00DF273A" w:rsidRPr="003408A6" w:rsidRDefault="00DF273A" w:rsidP="006C73CE">
            <w:pPr>
              <w:pStyle w:val="Tabletext"/>
              <w:rPr>
                <w:lang w:val="en-AU"/>
              </w:rPr>
            </w:pPr>
            <w:r w:rsidRPr="003408A6">
              <w:rPr>
                <w:lang w:val="en-AU"/>
              </w:rPr>
              <w:t>Communication with schools/parents/students</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20</w:t>
            </w:r>
          </w:p>
        </w:tc>
        <w:tc>
          <w:tcPr>
            <w:tcW w:w="1162"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55</w:t>
            </w:r>
          </w:p>
        </w:tc>
        <w:tc>
          <w:tcPr>
            <w:tcW w:w="1163" w:type="dxa"/>
            <w:tcBorders>
              <w:left w:val="nil"/>
              <w:right w:val="nil"/>
            </w:tcBorders>
            <w:vAlign w:val="center"/>
          </w:tcPr>
          <w:p w:rsidR="00DF273A" w:rsidRPr="003408A6" w:rsidRDefault="00DF273A" w:rsidP="006C73CE">
            <w:pPr>
              <w:pStyle w:val="Tabletextcentred"/>
              <w:rPr>
                <w:snapToGrid w:val="0"/>
                <w:lang w:val="en-AU"/>
              </w:rPr>
            </w:pPr>
            <w:r w:rsidRPr="003408A6">
              <w:rPr>
                <w:lang w:val="en-AU"/>
              </w:rPr>
              <w:t>25</w:t>
            </w:r>
          </w:p>
        </w:tc>
      </w:tr>
      <w:tr w:rsidR="00DF273A" w:rsidRPr="003408A6" w:rsidTr="009C1A43">
        <w:trPr>
          <w:trHeight w:val="290"/>
        </w:trPr>
        <w:tc>
          <w:tcPr>
            <w:tcW w:w="2724" w:type="dxa"/>
            <w:tcBorders>
              <w:left w:val="nil"/>
              <w:bottom w:val="single" w:sz="4" w:space="0" w:color="auto"/>
              <w:right w:val="nil"/>
            </w:tcBorders>
            <w:vAlign w:val="center"/>
          </w:tcPr>
          <w:p w:rsidR="00DF273A" w:rsidRPr="003408A6" w:rsidRDefault="00DF273A" w:rsidP="006C73CE">
            <w:pPr>
              <w:pStyle w:val="Tabletext"/>
              <w:rPr>
                <w:lang w:val="en-AU"/>
              </w:rPr>
            </w:pPr>
            <w:r w:rsidRPr="003408A6">
              <w:rPr>
                <w:lang w:val="en-AU"/>
              </w:rPr>
              <w:t>Provider education</w:t>
            </w:r>
          </w:p>
        </w:tc>
        <w:tc>
          <w:tcPr>
            <w:tcW w:w="1162" w:type="dxa"/>
            <w:tcBorders>
              <w:left w:val="nil"/>
              <w:bottom w:val="single" w:sz="4" w:space="0" w:color="auto"/>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bottom w:val="single" w:sz="4" w:space="0" w:color="auto"/>
              <w:right w:val="nil"/>
            </w:tcBorders>
            <w:vAlign w:val="center"/>
          </w:tcPr>
          <w:p w:rsidR="00DF273A" w:rsidRPr="003408A6" w:rsidRDefault="00DF273A" w:rsidP="006C73CE">
            <w:pPr>
              <w:pStyle w:val="Tabletextcentred"/>
              <w:rPr>
                <w:snapToGrid w:val="0"/>
                <w:lang w:val="en-AU"/>
              </w:rPr>
            </w:pPr>
            <w:r>
              <w:rPr>
                <w:lang w:val="en-AU"/>
              </w:rPr>
              <w:t>–</w:t>
            </w:r>
          </w:p>
        </w:tc>
        <w:tc>
          <w:tcPr>
            <w:tcW w:w="1162" w:type="dxa"/>
            <w:tcBorders>
              <w:left w:val="nil"/>
              <w:bottom w:val="single" w:sz="4" w:space="0" w:color="auto"/>
              <w:right w:val="nil"/>
            </w:tcBorders>
            <w:vAlign w:val="center"/>
          </w:tcPr>
          <w:p w:rsidR="00DF273A" w:rsidRPr="003408A6" w:rsidRDefault="00DF273A" w:rsidP="006C73CE">
            <w:pPr>
              <w:pStyle w:val="Tabletextcentred"/>
              <w:rPr>
                <w:snapToGrid w:val="0"/>
                <w:lang w:val="en-AU"/>
              </w:rPr>
            </w:pPr>
            <w:r w:rsidRPr="003408A6">
              <w:rPr>
                <w:lang w:val="en-AU"/>
              </w:rPr>
              <w:t>25</w:t>
            </w:r>
          </w:p>
        </w:tc>
        <w:tc>
          <w:tcPr>
            <w:tcW w:w="1162" w:type="dxa"/>
            <w:tcBorders>
              <w:left w:val="nil"/>
              <w:bottom w:val="single" w:sz="4" w:space="0" w:color="auto"/>
              <w:right w:val="nil"/>
            </w:tcBorders>
            <w:vAlign w:val="center"/>
          </w:tcPr>
          <w:p w:rsidR="00DF273A" w:rsidRPr="003408A6" w:rsidRDefault="00DF273A" w:rsidP="006C73CE">
            <w:pPr>
              <w:pStyle w:val="Tabletextcentred"/>
              <w:rPr>
                <w:snapToGrid w:val="0"/>
                <w:lang w:val="en-AU"/>
              </w:rPr>
            </w:pPr>
            <w:r w:rsidRPr="003408A6">
              <w:rPr>
                <w:lang w:val="en-AU"/>
              </w:rPr>
              <w:t>45</w:t>
            </w:r>
          </w:p>
        </w:tc>
        <w:tc>
          <w:tcPr>
            <w:tcW w:w="1163" w:type="dxa"/>
            <w:tcBorders>
              <w:left w:val="nil"/>
              <w:bottom w:val="single" w:sz="4" w:space="0" w:color="auto"/>
              <w:right w:val="nil"/>
            </w:tcBorders>
            <w:vAlign w:val="center"/>
          </w:tcPr>
          <w:p w:rsidR="00DF273A" w:rsidRPr="003408A6" w:rsidRDefault="00DF273A" w:rsidP="006C73CE">
            <w:pPr>
              <w:pStyle w:val="Tabletextcentred"/>
              <w:rPr>
                <w:snapToGrid w:val="0"/>
                <w:lang w:val="en-AU"/>
              </w:rPr>
            </w:pPr>
            <w:r w:rsidRPr="003408A6">
              <w:rPr>
                <w:lang w:val="en-AU"/>
              </w:rPr>
              <w:t>30</w:t>
            </w:r>
          </w:p>
        </w:tc>
      </w:tr>
    </w:tbl>
    <w:p w:rsidR="0088070C" w:rsidRPr="003408A6" w:rsidRDefault="008454B0" w:rsidP="006C73CE">
      <w:pPr>
        <w:pStyle w:val="Bodytextaftertable"/>
        <w:rPr>
          <w:lang w:val="en-AU"/>
        </w:rPr>
      </w:pPr>
      <w:r w:rsidRPr="003408A6">
        <w:rPr>
          <w:b/>
          <w:lang w:val="en-AU"/>
        </w:rPr>
        <w:t>Table 2.</w:t>
      </w:r>
      <w:r w:rsidR="000271C1" w:rsidRPr="003408A6">
        <w:rPr>
          <w:b/>
          <w:lang w:val="en-AU"/>
        </w:rPr>
        <w:t>1</w:t>
      </w:r>
      <w:r w:rsidR="00CD45D0" w:rsidRPr="003408A6">
        <w:rPr>
          <w:b/>
          <w:lang w:val="en-AU"/>
        </w:rPr>
        <w:t>1</w:t>
      </w:r>
      <w:r w:rsidR="000271C1" w:rsidRPr="003408A6">
        <w:rPr>
          <w:lang w:val="en-AU"/>
        </w:rPr>
        <w:t xml:space="preserve"> </w:t>
      </w:r>
      <w:r w:rsidRPr="003408A6">
        <w:rPr>
          <w:lang w:val="en-AU"/>
        </w:rPr>
        <w:t xml:space="preserve">summarises responses to statements on the delivery of </w:t>
      </w:r>
      <w:r w:rsidR="00006FDF" w:rsidRPr="003408A6">
        <w:rPr>
          <w:lang w:val="en-AU"/>
        </w:rPr>
        <w:t xml:space="preserve">3 </w:t>
      </w:r>
      <w:r w:rsidRPr="003408A6">
        <w:rPr>
          <w:lang w:val="en-AU"/>
        </w:rPr>
        <w:t xml:space="preserve">doses of HPV vaccine. Half the respondents agreed that the 3-dose schedule of the </w:t>
      </w:r>
      <w:r w:rsidR="00BC68C7" w:rsidRPr="003408A6">
        <w:rPr>
          <w:lang w:val="en-AU"/>
        </w:rPr>
        <w:t>HPV</w:t>
      </w:r>
      <w:r w:rsidRPr="003408A6">
        <w:rPr>
          <w:lang w:val="en-AU"/>
        </w:rPr>
        <w:t xml:space="preserve"> vaccine created difficulties for adolescent </w:t>
      </w:r>
      <w:r w:rsidR="00A42977" w:rsidRPr="003408A6">
        <w:rPr>
          <w:lang w:val="en-AU"/>
        </w:rPr>
        <w:t>females</w:t>
      </w:r>
      <w:r w:rsidRPr="003408A6">
        <w:rPr>
          <w:lang w:val="en-AU"/>
        </w:rPr>
        <w:t xml:space="preserve"> in the school-based program and 60% agreed that delivering </w:t>
      </w:r>
      <w:r w:rsidR="00006FDF" w:rsidRPr="003408A6">
        <w:rPr>
          <w:lang w:val="en-AU"/>
        </w:rPr>
        <w:t xml:space="preserve">3 </w:t>
      </w:r>
      <w:r w:rsidRPr="003408A6">
        <w:rPr>
          <w:lang w:val="en-AU"/>
        </w:rPr>
        <w:t xml:space="preserve">doses created difficulties for the community catch-up program for young </w:t>
      </w:r>
      <w:r w:rsidR="004E397F" w:rsidRPr="003408A6">
        <w:rPr>
          <w:lang w:val="en-AU"/>
        </w:rPr>
        <w:t>adult females</w:t>
      </w:r>
      <w:r w:rsidRPr="003408A6">
        <w:rPr>
          <w:lang w:val="en-AU"/>
        </w:rPr>
        <w:t>.</w:t>
      </w:r>
      <w:r w:rsidRPr="003408A6">
        <w:rPr>
          <w:lang w:val="en-AU"/>
        </w:rPr>
        <w:cr/>
        <w:t>The majority of respondents agreed that the return of consent forms, absenteeism on vaccination days and the scheduling of other school activities adversely affected vaccination coverage in their jurisdiction or region.</w:t>
      </w:r>
    </w:p>
    <w:p w:rsidR="006C73CE" w:rsidRPr="003408A6" w:rsidRDefault="006C73CE">
      <w:pPr>
        <w:rPr>
          <w:rFonts w:cs="Arial"/>
          <w:szCs w:val="22"/>
          <w:lang w:eastAsia="en-US"/>
        </w:rPr>
      </w:pPr>
      <w:r w:rsidRPr="003408A6">
        <w:br w:type="page"/>
      </w:r>
    </w:p>
    <w:p w:rsidR="008454B0" w:rsidRPr="003408A6" w:rsidRDefault="008454B0" w:rsidP="006C73CE">
      <w:pPr>
        <w:pStyle w:val="Tableheading"/>
        <w:rPr>
          <w:lang w:val="en-AU"/>
        </w:rPr>
      </w:pPr>
      <w:bookmarkStart w:id="54" w:name="_Toc396475532"/>
      <w:bookmarkStart w:id="55" w:name="_Toc397000760"/>
      <w:r w:rsidRPr="003408A6">
        <w:rPr>
          <w:lang w:val="en-AU"/>
        </w:rPr>
        <w:t>Table 2.</w:t>
      </w:r>
      <w:r w:rsidR="000271C1" w:rsidRPr="003408A6">
        <w:rPr>
          <w:lang w:val="en-AU"/>
        </w:rPr>
        <w:t>1</w:t>
      </w:r>
      <w:r w:rsidR="00CD45D0" w:rsidRPr="003408A6">
        <w:rPr>
          <w:lang w:val="en-AU"/>
        </w:rPr>
        <w:t>1</w:t>
      </w:r>
      <w:r w:rsidR="00901C17" w:rsidRPr="003408A6">
        <w:rPr>
          <w:lang w:val="en-AU"/>
        </w:rPr>
        <w:t>.</w:t>
      </w:r>
      <w:r w:rsidR="00901C17" w:rsidRPr="003408A6">
        <w:rPr>
          <w:lang w:val="en-AU"/>
        </w:rPr>
        <w:tab/>
      </w:r>
      <w:r w:rsidRPr="003408A6">
        <w:rPr>
          <w:lang w:val="en-AU"/>
        </w:rPr>
        <w:t>Distribution (%) of responses to statements on the delivery of 3 doses of HPV vaccine</w:t>
      </w:r>
      <w:bookmarkEnd w:id="54"/>
      <w:bookmarkEnd w:id="55"/>
    </w:p>
    <w:tbl>
      <w:tblPr>
        <w:tblW w:w="0" w:type="auto"/>
        <w:tblInd w:w="78" w:type="dxa"/>
        <w:tblLayout w:type="fixed"/>
        <w:tblLook w:val="0000" w:firstRow="0" w:lastRow="0" w:firstColumn="0" w:lastColumn="0" w:noHBand="0" w:noVBand="0"/>
      </w:tblPr>
      <w:tblGrid>
        <w:gridCol w:w="2724"/>
        <w:gridCol w:w="1162"/>
        <w:gridCol w:w="1162"/>
        <w:gridCol w:w="1162"/>
        <w:gridCol w:w="1162"/>
        <w:gridCol w:w="1163"/>
      </w:tblGrid>
      <w:tr w:rsidR="00CB4D99" w:rsidRPr="003408A6" w:rsidTr="003F6E91">
        <w:trPr>
          <w:trHeight w:val="290"/>
        </w:trPr>
        <w:tc>
          <w:tcPr>
            <w:tcW w:w="2724" w:type="dxa"/>
            <w:tcBorders>
              <w:top w:val="single" w:sz="4" w:space="0" w:color="auto"/>
              <w:bottom w:val="single" w:sz="4" w:space="0" w:color="auto"/>
            </w:tcBorders>
          </w:tcPr>
          <w:p w:rsidR="00CB4D99" w:rsidRPr="003408A6" w:rsidRDefault="00CB4D99" w:rsidP="003F6E91">
            <w:pPr>
              <w:pStyle w:val="Tablecolumnheadings"/>
            </w:pPr>
          </w:p>
        </w:tc>
        <w:tc>
          <w:tcPr>
            <w:tcW w:w="1162" w:type="dxa"/>
            <w:tcBorders>
              <w:top w:val="single" w:sz="4" w:space="0" w:color="auto"/>
              <w:bottom w:val="single" w:sz="4" w:space="0" w:color="auto"/>
            </w:tcBorders>
          </w:tcPr>
          <w:p w:rsidR="00CB4D99" w:rsidRPr="003408A6" w:rsidRDefault="00CB4D99" w:rsidP="003F6E91">
            <w:pPr>
              <w:pStyle w:val="Tablecolumnheadings"/>
            </w:pPr>
            <w:r w:rsidRPr="00D157B6">
              <w:t>Strongly disagree</w:t>
            </w:r>
          </w:p>
        </w:tc>
        <w:tc>
          <w:tcPr>
            <w:tcW w:w="1162" w:type="dxa"/>
            <w:tcBorders>
              <w:top w:val="single" w:sz="4" w:space="0" w:color="auto"/>
              <w:bottom w:val="single" w:sz="4" w:space="0" w:color="auto"/>
            </w:tcBorders>
          </w:tcPr>
          <w:p w:rsidR="00CB4D99" w:rsidRPr="003408A6" w:rsidRDefault="00CB4D99" w:rsidP="003F6E91">
            <w:pPr>
              <w:pStyle w:val="Tablecolumnheadings"/>
            </w:pPr>
            <w:r w:rsidRPr="00D157B6">
              <w:t>Disagree</w:t>
            </w:r>
          </w:p>
        </w:tc>
        <w:tc>
          <w:tcPr>
            <w:tcW w:w="1162" w:type="dxa"/>
            <w:tcBorders>
              <w:top w:val="single" w:sz="4" w:space="0" w:color="auto"/>
              <w:bottom w:val="single" w:sz="4" w:space="0" w:color="auto"/>
            </w:tcBorders>
          </w:tcPr>
          <w:p w:rsidR="00CB4D99" w:rsidRPr="003408A6" w:rsidRDefault="00CB4D99" w:rsidP="003F6E91">
            <w:pPr>
              <w:pStyle w:val="Tablecolumnheadings"/>
            </w:pPr>
            <w:r w:rsidRPr="00D157B6">
              <w:t>Neutral</w:t>
            </w:r>
          </w:p>
        </w:tc>
        <w:tc>
          <w:tcPr>
            <w:tcW w:w="1162" w:type="dxa"/>
            <w:tcBorders>
              <w:top w:val="single" w:sz="4" w:space="0" w:color="auto"/>
              <w:bottom w:val="single" w:sz="4" w:space="0" w:color="auto"/>
            </w:tcBorders>
          </w:tcPr>
          <w:p w:rsidR="00CB4D99" w:rsidRPr="003408A6" w:rsidRDefault="00CB4D99" w:rsidP="003F6E91">
            <w:pPr>
              <w:pStyle w:val="Tablecolumnheadings"/>
            </w:pPr>
            <w:r w:rsidRPr="00D157B6">
              <w:t>Agree</w:t>
            </w:r>
          </w:p>
        </w:tc>
        <w:tc>
          <w:tcPr>
            <w:tcW w:w="1163" w:type="dxa"/>
            <w:tcBorders>
              <w:top w:val="single" w:sz="4" w:space="0" w:color="auto"/>
              <w:bottom w:val="single" w:sz="4" w:space="0" w:color="auto"/>
            </w:tcBorders>
          </w:tcPr>
          <w:p w:rsidR="00CB4D99" w:rsidRPr="003408A6" w:rsidRDefault="00CB4D99" w:rsidP="003F6E91">
            <w:pPr>
              <w:pStyle w:val="Tablecolumnheadings"/>
            </w:pPr>
            <w:r w:rsidRPr="00D157B6">
              <w:t>Strongly agree</w:t>
            </w:r>
          </w:p>
        </w:tc>
      </w:tr>
      <w:tr w:rsidR="00CB4D99" w:rsidRPr="003408A6" w:rsidTr="003F6E91">
        <w:trPr>
          <w:trHeight w:val="290"/>
        </w:trPr>
        <w:tc>
          <w:tcPr>
            <w:tcW w:w="8535" w:type="dxa"/>
            <w:gridSpan w:val="6"/>
            <w:tcBorders>
              <w:top w:val="single" w:sz="4" w:space="0" w:color="auto"/>
              <w:bottom w:val="nil"/>
            </w:tcBorders>
          </w:tcPr>
          <w:p w:rsidR="00CB4D99" w:rsidRPr="003408A6" w:rsidRDefault="00CB4D99" w:rsidP="003F6E91">
            <w:pPr>
              <w:pStyle w:val="Tabletextbold"/>
            </w:pPr>
            <w:r w:rsidRPr="0014769C">
              <w:t>The 3-dose schedule of the HPV vaccine created difficulties for:</w:t>
            </w:r>
          </w:p>
        </w:tc>
      </w:tr>
      <w:tr w:rsidR="00CB4D99" w:rsidRPr="003408A6" w:rsidTr="003F6E91">
        <w:trPr>
          <w:trHeight w:val="290"/>
        </w:trPr>
        <w:tc>
          <w:tcPr>
            <w:tcW w:w="2724" w:type="dxa"/>
            <w:tcBorders>
              <w:top w:val="nil"/>
              <w:bottom w:val="nil"/>
            </w:tcBorders>
            <w:vAlign w:val="center"/>
          </w:tcPr>
          <w:p w:rsidR="00CB4D99" w:rsidRPr="003408A6" w:rsidRDefault="00CB4D99" w:rsidP="00CB4D99">
            <w:pPr>
              <w:pStyle w:val="Tabletext"/>
              <w:rPr>
                <w:lang w:val="en-AU"/>
              </w:rPr>
            </w:pPr>
            <w:r w:rsidRPr="003408A6">
              <w:rPr>
                <w:lang w:val="en-AU"/>
              </w:rPr>
              <w:t>Adolescent girls in the school-based program</w:t>
            </w:r>
          </w:p>
        </w:tc>
        <w:tc>
          <w:tcPr>
            <w:tcW w:w="1162" w:type="dxa"/>
            <w:tcBorders>
              <w:top w:val="nil"/>
              <w:bottom w:val="nil"/>
            </w:tcBorders>
            <w:vAlign w:val="center"/>
          </w:tcPr>
          <w:p w:rsidR="00CB4D99" w:rsidRPr="003408A6" w:rsidRDefault="00CB4D99" w:rsidP="00CB4D99">
            <w:pPr>
              <w:pStyle w:val="Tabletextcentred"/>
              <w:rPr>
                <w:b/>
                <w:bCs/>
                <w:iCs/>
                <w:snapToGrid w:val="0"/>
                <w:lang w:val="en-AU"/>
              </w:rPr>
            </w:pPr>
            <w:r w:rsidRPr="003408A6">
              <w:rPr>
                <w:lang w:val="en-AU"/>
              </w:rPr>
              <w:t>10</w:t>
            </w:r>
          </w:p>
        </w:tc>
        <w:tc>
          <w:tcPr>
            <w:tcW w:w="1162" w:type="dxa"/>
            <w:tcBorders>
              <w:top w:val="nil"/>
              <w:bottom w:val="nil"/>
            </w:tcBorders>
            <w:vAlign w:val="center"/>
          </w:tcPr>
          <w:p w:rsidR="00CB4D99" w:rsidRPr="003408A6" w:rsidRDefault="00CB4D99" w:rsidP="00CB4D99">
            <w:pPr>
              <w:pStyle w:val="Tabletextcentred"/>
              <w:rPr>
                <w:lang w:val="en-AU"/>
              </w:rPr>
            </w:pPr>
            <w:r w:rsidRPr="003408A6">
              <w:rPr>
                <w:lang w:val="en-AU"/>
              </w:rPr>
              <w:t>20</w:t>
            </w:r>
          </w:p>
        </w:tc>
        <w:tc>
          <w:tcPr>
            <w:tcW w:w="1162" w:type="dxa"/>
            <w:tcBorders>
              <w:top w:val="nil"/>
              <w:bottom w:val="nil"/>
            </w:tcBorders>
            <w:vAlign w:val="center"/>
          </w:tcPr>
          <w:p w:rsidR="00CB4D99" w:rsidRPr="003408A6" w:rsidRDefault="00CB4D99" w:rsidP="00CB4D99">
            <w:pPr>
              <w:pStyle w:val="Tabletextcentred"/>
              <w:rPr>
                <w:lang w:val="en-AU"/>
              </w:rPr>
            </w:pPr>
            <w:r w:rsidRPr="003408A6">
              <w:rPr>
                <w:lang w:val="en-AU"/>
              </w:rPr>
              <w:t>20</w:t>
            </w:r>
          </w:p>
        </w:tc>
        <w:tc>
          <w:tcPr>
            <w:tcW w:w="1162" w:type="dxa"/>
            <w:tcBorders>
              <w:top w:val="nil"/>
              <w:bottom w:val="nil"/>
            </w:tcBorders>
            <w:vAlign w:val="center"/>
          </w:tcPr>
          <w:p w:rsidR="00CB4D99" w:rsidRPr="003408A6" w:rsidRDefault="00CB4D99" w:rsidP="00CB4D99">
            <w:pPr>
              <w:pStyle w:val="Tabletextcentred"/>
              <w:rPr>
                <w:lang w:val="en-AU"/>
              </w:rPr>
            </w:pPr>
            <w:r w:rsidRPr="003408A6">
              <w:rPr>
                <w:lang w:val="en-AU"/>
              </w:rPr>
              <w:t>35</w:t>
            </w:r>
          </w:p>
        </w:tc>
        <w:tc>
          <w:tcPr>
            <w:tcW w:w="1163" w:type="dxa"/>
            <w:tcBorders>
              <w:top w:val="nil"/>
              <w:bottom w:val="nil"/>
            </w:tcBorders>
            <w:vAlign w:val="center"/>
          </w:tcPr>
          <w:p w:rsidR="00CB4D99" w:rsidRPr="003408A6" w:rsidRDefault="00CB4D99" w:rsidP="00CB4D99">
            <w:pPr>
              <w:pStyle w:val="Tabletextcentred"/>
              <w:rPr>
                <w:lang w:val="en-AU"/>
              </w:rPr>
            </w:pPr>
            <w:r w:rsidRPr="003408A6">
              <w:rPr>
                <w:lang w:val="en-AU"/>
              </w:rPr>
              <w:t>15</w:t>
            </w:r>
          </w:p>
        </w:tc>
      </w:tr>
      <w:tr w:rsidR="00CB4D99" w:rsidRPr="003408A6" w:rsidTr="003F6E91">
        <w:trPr>
          <w:trHeight w:val="290"/>
        </w:trPr>
        <w:tc>
          <w:tcPr>
            <w:tcW w:w="2724" w:type="dxa"/>
            <w:tcBorders>
              <w:top w:val="nil"/>
              <w:bottom w:val="nil"/>
            </w:tcBorders>
            <w:vAlign w:val="center"/>
          </w:tcPr>
          <w:p w:rsidR="00CB4D99" w:rsidRPr="003408A6" w:rsidRDefault="00CB4D99" w:rsidP="006C73CE">
            <w:pPr>
              <w:pStyle w:val="Tabletext"/>
              <w:rPr>
                <w:lang w:val="en-AU"/>
              </w:rPr>
            </w:pPr>
            <w:r w:rsidRPr="003408A6">
              <w:rPr>
                <w:lang w:val="en-AU"/>
              </w:rPr>
              <w:t>Young women in the community catch-up program</w:t>
            </w:r>
          </w:p>
        </w:tc>
        <w:tc>
          <w:tcPr>
            <w:tcW w:w="1162" w:type="dxa"/>
            <w:tcBorders>
              <w:top w:val="nil"/>
              <w:bottom w:val="nil"/>
            </w:tcBorders>
            <w:vAlign w:val="center"/>
          </w:tcPr>
          <w:p w:rsidR="00CB4D99" w:rsidRPr="003408A6" w:rsidRDefault="00CB4D99" w:rsidP="006C73CE">
            <w:pPr>
              <w:pStyle w:val="Tabletextcentred"/>
              <w:rPr>
                <w:lang w:val="en-AU"/>
              </w:rPr>
            </w:pPr>
            <w:r w:rsidRPr="003408A6">
              <w:rPr>
                <w:lang w:val="en-AU"/>
              </w:rPr>
              <w:t>10</w:t>
            </w:r>
          </w:p>
        </w:tc>
        <w:tc>
          <w:tcPr>
            <w:tcW w:w="1162" w:type="dxa"/>
            <w:tcBorders>
              <w:top w:val="nil"/>
              <w:bottom w:val="nil"/>
            </w:tcBorders>
            <w:vAlign w:val="center"/>
          </w:tcPr>
          <w:p w:rsidR="00CB4D99" w:rsidRPr="003408A6" w:rsidRDefault="00CB4D99" w:rsidP="006C73CE">
            <w:pPr>
              <w:pStyle w:val="Tabletextcentred"/>
              <w:rPr>
                <w:lang w:val="en-AU"/>
              </w:rPr>
            </w:pPr>
            <w:r w:rsidRPr="003408A6">
              <w:rPr>
                <w:lang w:val="en-AU"/>
              </w:rPr>
              <w:t>10</w:t>
            </w:r>
          </w:p>
        </w:tc>
        <w:tc>
          <w:tcPr>
            <w:tcW w:w="1162" w:type="dxa"/>
            <w:tcBorders>
              <w:top w:val="nil"/>
              <w:bottom w:val="nil"/>
            </w:tcBorders>
            <w:vAlign w:val="center"/>
          </w:tcPr>
          <w:p w:rsidR="00CB4D99" w:rsidRPr="003408A6" w:rsidRDefault="00CB4D99" w:rsidP="006C73CE">
            <w:pPr>
              <w:pStyle w:val="Tabletextcentred"/>
              <w:rPr>
                <w:lang w:val="en-AU"/>
              </w:rPr>
            </w:pPr>
            <w:r w:rsidRPr="003408A6">
              <w:rPr>
                <w:lang w:val="en-AU"/>
              </w:rPr>
              <w:t>20</w:t>
            </w:r>
          </w:p>
        </w:tc>
        <w:tc>
          <w:tcPr>
            <w:tcW w:w="1162" w:type="dxa"/>
            <w:tcBorders>
              <w:top w:val="nil"/>
              <w:bottom w:val="nil"/>
            </w:tcBorders>
            <w:vAlign w:val="center"/>
          </w:tcPr>
          <w:p w:rsidR="00CB4D99" w:rsidRPr="003408A6" w:rsidRDefault="00CB4D99" w:rsidP="006C73CE">
            <w:pPr>
              <w:pStyle w:val="Tabletextcentred"/>
              <w:rPr>
                <w:lang w:val="en-AU"/>
              </w:rPr>
            </w:pPr>
            <w:r w:rsidRPr="003408A6">
              <w:rPr>
                <w:lang w:val="en-AU"/>
              </w:rPr>
              <w:t>25</w:t>
            </w:r>
          </w:p>
        </w:tc>
        <w:tc>
          <w:tcPr>
            <w:tcW w:w="1163" w:type="dxa"/>
            <w:tcBorders>
              <w:top w:val="nil"/>
              <w:bottom w:val="nil"/>
            </w:tcBorders>
            <w:vAlign w:val="center"/>
          </w:tcPr>
          <w:p w:rsidR="00CB4D99" w:rsidRPr="003408A6" w:rsidRDefault="00CB4D99" w:rsidP="006C73CE">
            <w:pPr>
              <w:pStyle w:val="Tabletextcentred"/>
              <w:rPr>
                <w:lang w:val="en-AU"/>
              </w:rPr>
            </w:pPr>
            <w:r w:rsidRPr="003408A6">
              <w:rPr>
                <w:lang w:val="en-AU"/>
              </w:rPr>
              <w:t>35</w:t>
            </w:r>
          </w:p>
        </w:tc>
      </w:tr>
      <w:tr w:rsidR="00CB4D99" w:rsidRPr="003408A6" w:rsidTr="003F6E91">
        <w:trPr>
          <w:trHeight w:val="290"/>
        </w:trPr>
        <w:tc>
          <w:tcPr>
            <w:tcW w:w="8535" w:type="dxa"/>
            <w:gridSpan w:val="6"/>
            <w:tcBorders>
              <w:top w:val="nil"/>
              <w:bottom w:val="nil"/>
            </w:tcBorders>
            <w:vAlign w:val="center"/>
          </w:tcPr>
          <w:p w:rsidR="00CB4D99" w:rsidRPr="003408A6" w:rsidRDefault="00CB4D99" w:rsidP="003F6E91">
            <w:pPr>
              <w:pStyle w:val="Tabletextbold"/>
              <w:rPr>
                <w:lang w:val="en-AU"/>
              </w:rPr>
            </w:pPr>
            <w:r w:rsidRPr="003408A6">
              <w:rPr>
                <w:lang w:val="en-AU"/>
              </w:rPr>
              <w:t>Achieving vaccination coverage of the 3 HPV doses was adversely affected in my jurisdiction/region by:</w:t>
            </w:r>
          </w:p>
        </w:tc>
      </w:tr>
      <w:tr w:rsidR="00CB4D99" w:rsidRPr="003408A6" w:rsidTr="003F6E91">
        <w:trPr>
          <w:trHeight w:val="290"/>
        </w:trPr>
        <w:tc>
          <w:tcPr>
            <w:tcW w:w="2724" w:type="dxa"/>
            <w:tcBorders>
              <w:top w:val="nil"/>
              <w:bottom w:val="nil"/>
            </w:tcBorders>
            <w:vAlign w:val="center"/>
          </w:tcPr>
          <w:p w:rsidR="00CB4D99" w:rsidRPr="003408A6" w:rsidRDefault="00CB4D99" w:rsidP="006C73CE">
            <w:pPr>
              <w:pStyle w:val="Tabletext"/>
              <w:rPr>
                <w:lang w:val="en-AU"/>
              </w:rPr>
            </w:pPr>
            <w:r w:rsidRPr="003408A6">
              <w:rPr>
                <w:lang w:val="en-AU"/>
              </w:rPr>
              <w:t>School attendance rates</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25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30</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35</w:t>
            </w:r>
          </w:p>
        </w:tc>
        <w:tc>
          <w:tcPr>
            <w:tcW w:w="1163"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w:t>
            </w:r>
          </w:p>
        </w:tc>
      </w:tr>
      <w:tr w:rsidR="00CB4D99" w:rsidRPr="003408A6" w:rsidTr="003F6E91">
        <w:trPr>
          <w:trHeight w:val="290"/>
        </w:trPr>
        <w:tc>
          <w:tcPr>
            <w:tcW w:w="2724" w:type="dxa"/>
            <w:tcBorders>
              <w:top w:val="nil"/>
              <w:bottom w:val="nil"/>
            </w:tcBorders>
            <w:vAlign w:val="center"/>
          </w:tcPr>
          <w:p w:rsidR="00CB4D99" w:rsidRPr="003408A6" w:rsidRDefault="00CB4D99" w:rsidP="006C73CE">
            <w:pPr>
              <w:pStyle w:val="Tabletext"/>
              <w:rPr>
                <w:lang w:val="en-AU"/>
              </w:rPr>
            </w:pPr>
            <w:r w:rsidRPr="003408A6">
              <w:rPr>
                <w:lang w:val="en-AU"/>
              </w:rPr>
              <w:t>School absenteeism on vaccination day</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10</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15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60</w:t>
            </w:r>
          </w:p>
        </w:tc>
        <w:tc>
          <w:tcPr>
            <w:tcW w:w="1163"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10</w:t>
            </w:r>
          </w:p>
        </w:tc>
      </w:tr>
      <w:tr w:rsidR="00CB4D99" w:rsidRPr="003408A6" w:rsidTr="003F6E91">
        <w:trPr>
          <w:trHeight w:val="290"/>
        </w:trPr>
        <w:tc>
          <w:tcPr>
            <w:tcW w:w="2724" w:type="dxa"/>
            <w:tcBorders>
              <w:top w:val="nil"/>
              <w:bottom w:val="nil"/>
            </w:tcBorders>
            <w:vAlign w:val="center"/>
          </w:tcPr>
          <w:p w:rsidR="00CB4D99" w:rsidRPr="003408A6" w:rsidRDefault="00CB4D99" w:rsidP="006C73CE">
            <w:pPr>
              <w:pStyle w:val="Tabletext"/>
              <w:rPr>
                <w:lang w:val="en-AU"/>
              </w:rPr>
            </w:pPr>
            <w:r w:rsidRPr="003408A6">
              <w:rPr>
                <w:lang w:val="en-AU"/>
              </w:rPr>
              <w:t>Scheduling of other school activities/classes</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15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25</w:t>
            </w:r>
          </w:p>
        </w:tc>
        <w:tc>
          <w:tcPr>
            <w:tcW w:w="1162"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50</w:t>
            </w:r>
          </w:p>
        </w:tc>
        <w:tc>
          <w:tcPr>
            <w:tcW w:w="1163" w:type="dxa"/>
            <w:tcBorders>
              <w:top w:val="nil"/>
              <w:bottom w:val="nil"/>
            </w:tcBorders>
            <w:vAlign w:val="center"/>
          </w:tcPr>
          <w:p w:rsidR="00CB4D99" w:rsidRPr="003408A6" w:rsidRDefault="00CB4D99" w:rsidP="006C73CE">
            <w:pPr>
              <w:pStyle w:val="Tabletextcentred"/>
              <w:rPr>
                <w:b/>
                <w:bCs/>
                <w:iCs/>
                <w:snapToGrid w:val="0"/>
                <w:lang w:val="en-AU"/>
              </w:rPr>
            </w:pPr>
            <w:r w:rsidRPr="003408A6">
              <w:rPr>
                <w:lang w:val="en-AU"/>
              </w:rPr>
              <w:t>5</w:t>
            </w:r>
          </w:p>
        </w:tc>
      </w:tr>
      <w:tr w:rsidR="00CB4D99" w:rsidRPr="003408A6" w:rsidTr="003F6E91">
        <w:trPr>
          <w:trHeight w:val="290"/>
        </w:trPr>
        <w:tc>
          <w:tcPr>
            <w:tcW w:w="2724" w:type="dxa"/>
            <w:tcBorders>
              <w:top w:val="nil"/>
            </w:tcBorders>
            <w:vAlign w:val="center"/>
          </w:tcPr>
          <w:p w:rsidR="00CB4D99" w:rsidRPr="003408A6" w:rsidRDefault="00CB4D99" w:rsidP="006C73CE">
            <w:pPr>
              <w:pStyle w:val="Tabletext"/>
              <w:rPr>
                <w:lang w:val="en-AU"/>
              </w:rPr>
            </w:pPr>
            <w:r w:rsidRPr="003408A6">
              <w:rPr>
                <w:lang w:val="en-AU"/>
              </w:rPr>
              <w:t>Inadequate notification of students/parents</w:t>
            </w:r>
          </w:p>
        </w:tc>
        <w:tc>
          <w:tcPr>
            <w:tcW w:w="1162" w:type="dxa"/>
            <w:tcBorders>
              <w:top w:val="nil"/>
            </w:tcBorders>
            <w:vAlign w:val="center"/>
          </w:tcPr>
          <w:p w:rsidR="00CB4D99" w:rsidRPr="003408A6" w:rsidRDefault="00CB4D99" w:rsidP="006C73CE">
            <w:pPr>
              <w:pStyle w:val="Tabletextcentred"/>
              <w:rPr>
                <w:b/>
                <w:bCs/>
                <w:iCs/>
                <w:snapToGrid w:val="0"/>
                <w:lang w:val="en-AU"/>
              </w:rPr>
            </w:pPr>
            <w:r w:rsidRPr="003408A6">
              <w:rPr>
                <w:lang w:val="en-AU"/>
              </w:rPr>
              <w:t>5</w:t>
            </w:r>
          </w:p>
        </w:tc>
        <w:tc>
          <w:tcPr>
            <w:tcW w:w="1162" w:type="dxa"/>
            <w:tcBorders>
              <w:top w:val="nil"/>
            </w:tcBorders>
            <w:vAlign w:val="center"/>
          </w:tcPr>
          <w:p w:rsidR="00CB4D99" w:rsidRPr="003408A6" w:rsidRDefault="00CB4D99" w:rsidP="006C73CE">
            <w:pPr>
              <w:pStyle w:val="Tabletextcentred"/>
              <w:rPr>
                <w:b/>
                <w:bCs/>
                <w:iCs/>
                <w:snapToGrid w:val="0"/>
                <w:lang w:val="en-AU"/>
              </w:rPr>
            </w:pPr>
            <w:r w:rsidRPr="003408A6">
              <w:rPr>
                <w:lang w:val="en-AU"/>
              </w:rPr>
              <w:t>30</w:t>
            </w:r>
          </w:p>
        </w:tc>
        <w:tc>
          <w:tcPr>
            <w:tcW w:w="1162" w:type="dxa"/>
            <w:tcBorders>
              <w:top w:val="nil"/>
            </w:tcBorders>
            <w:vAlign w:val="center"/>
          </w:tcPr>
          <w:p w:rsidR="00CB4D99" w:rsidRPr="003408A6" w:rsidRDefault="00CB4D99" w:rsidP="006C73CE">
            <w:pPr>
              <w:pStyle w:val="Tabletextcentred"/>
              <w:rPr>
                <w:b/>
                <w:bCs/>
                <w:iCs/>
                <w:snapToGrid w:val="0"/>
                <w:lang w:val="en-AU"/>
              </w:rPr>
            </w:pPr>
            <w:r w:rsidRPr="003408A6">
              <w:rPr>
                <w:lang w:val="en-AU"/>
              </w:rPr>
              <w:t>30</w:t>
            </w:r>
          </w:p>
        </w:tc>
        <w:tc>
          <w:tcPr>
            <w:tcW w:w="1162" w:type="dxa"/>
            <w:tcBorders>
              <w:top w:val="nil"/>
            </w:tcBorders>
            <w:vAlign w:val="center"/>
          </w:tcPr>
          <w:p w:rsidR="00CB4D99" w:rsidRPr="003408A6" w:rsidRDefault="00CB4D99" w:rsidP="006C73CE">
            <w:pPr>
              <w:pStyle w:val="Tabletextcentred"/>
              <w:rPr>
                <w:b/>
                <w:bCs/>
                <w:iCs/>
                <w:snapToGrid w:val="0"/>
                <w:lang w:val="en-AU"/>
              </w:rPr>
            </w:pPr>
            <w:r w:rsidRPr="003408A6">
              <w:rPr>
                <w:lang w:val="en-AU"/>
              </w:rPr>
              <w:t>30</w:t>
            </w:r>
          </w:p>
        </w:tc>
        <w:tc>
          <w:tcPr>
            <w:tcW w:w="1163" w:type="dxa"/>
            <w:tcBorders>
              <w:top w:val="nil"/>
            </w:tcBorders>
            <w:vAlign w:val="center"/>
          </w:tcPr>
          <w:p w:rsidR="00CB4D99" w:rsidRPr="003408A6" w:rsidRDefault="00CB4D99" w:rsidP="006C73CE">
            <w:pPr>
              <w:pStyle w:val="Tabletextcentred"/>
              <w:rPr>
                <w:b/>
                <w:bCs/>
                <w:iCs/>
                <w:snapToGrid w:val="0"/>
                <w:lang w:val="en-AU"/>
              </w:rPr>
            </w:pPr>
            <w:r w:rsidRPr="003408A6">
              <w:rPr>
                <w:lang w:val="en-AU"/>
              </w:rPr>
              <w:t>5</w:t>
            </w:r>
          </w:p>
        </w:tc>
      </w:tr>
      <w:tr w:rsidR="00CB4D99" w:rsidRPr="003408A6" w:rsidTr="003F6E91">
        <w:trPr>
          <w:trHeight w:val="290"/>
        </w:trPr>
        <w:tc>
          <w:tcPr>
            <w:tcW w:w="2724" w:type="dxa"/>
            <w:tcBorders>
              <w:top w:val="nil"/>
              <w:bottom w:val="single" w:sz="4" w:space="0" w:color="auto"/>
            </w:tcBorders>
            <w:vAlign w:val="center"/>
          </w:tcPr>
          <w:p w:rsidR="00CB4D99" w:rsidRPr="003408A6" w:rsidRDefault="00CB4D99" w:rsidP="006C73CE">
            <w:pPr>
              <w:pStyle w:val="Tabletext"/>
              <w:rPr>
                <w:lang w:val="en-AU"/>
              </w:rPr>
            </w:pPr>
            <w:r w:rsidRPr="003408A6">
              <w:rPr>
                <w:lang w:val="en-AU"/>
              </w:rPr>
              <w:t>Return of consent forms</w:t>
            </w:r>
          </w:p>
        </w:tc>
        <w:tc>
          <w:tcPr>
            <w:tcW w:w="1162" w:type="dxa"/>
            <w:tcBorders>
              <w:top w:val="nil"/>
              <w:bottom w:val="single" w:sz="4" w:space="0" w:color="auto"/>
            </w:tcBorders>
            <w:vAlign w:val="center"/>
          </w:tcPr>
          <w:p w:rsidR="00CB4D99" w:rsidRPr="003408A6" w:rsidRDefault="00CB4D99" w:rsidP="006C73CE">
            <w:pPr>
              <w:pStyle w:val="Tabletextcentred"/>
              <w:rPr>
                <w:lang w:val="en-AU"/>
              </w:rPr>
            </w:pPr>
            <w:r w:rsidRPr="003408A6">
              <w:rPr>
                <w:lang w:val="en-AU"/>
              </w:rPr>
              <w:t>5</w:t>
            </w:r>
          </w:p>
        </w:tc>
        <w:tc>
          <w:tcPr>
            <w:tcW w:w="1162" w:type="dxa"/>
            <w:tcBorders>
              <w:top w:val="nil"/>
              <w:bottom w:val="single" w:sz="4" w:space="0" w:color="auto"/>
            </w:tcBorders>
            <w:vAlign w:val="center"/>
          </w:tcPr>
          <w:p w:rsidR="00CB4D99" w:rsidRPr="003408A6" w:rsidRDefault="00CB4D99" w:rsidP="006C73CE">
            <w:pPr>
              <w:pStyle w:val="Tabletextcentred"/>
              <w:rPr>
                <w:lang w:val="en-AU"/>
              </w:rPr>
            </w:pPr>
            <w:r w:rsidRPr="003408A6">
              <w:rPr>
                <w:lang w:val="en-AU"/>
              </w:rPr>
              <w:t>20</w:t>
            </w:r>
          </w:p>
        </w:tc>
        <w:tc>
          <w:tcPr>
            <w:tcW w:w="1162" w:type="dxa"/>
            <w:tcBorders>
              <w:top w:val="nil"/>
              <w:bottom w:val="single" w:sz="4" w:space="0" w:color="auto"/>
            </w:tcBorders>
            <w:vAlign w:val="center"/>
          </w:tcPr>
          <w:p w:rsidR="00CB4D99" w:rsidRPr="003408A6" w:rsidRDefault="00CB4D99" w:rsidP="006C73CE">
            <w:pPr>
              <w:pStyle w:val="Tabletextcentred"/>
              <w:rPr>
                <w:lang w:val="en-AU"/>
              </w:rPr>
            </w:pPr>
            <w:r w:rsidRPr="003408A6">
              <w:rPr>
                <w:lang w:val="en-AU"/>
              </w:rPr>
              <w:t>5</w:t>
            </w:r>
          </w:p>
        </w:tc>
        <w:tc>
          <w:tcPr>
            <w:tcW w:w="1162" w:type="dxa"/>
            <w:tcBorders>
              <w:top w:val="nil"/>
              <w:bottom w:val="single" w:sz="4" w:space="0" w:color="auto"/>
            </w:tcBorders>
            <w:vAlign w:val="center"/>
          </w:tcPr>
          <w:p w:rsidR="00CB4D99" w:rsidRPr="003408A6" w:rsidRDefault="00CB4D99" w:rsidP="006C73CE">
            <w:pPr>
              <w:pStyle w:val="Tabletextcentred"/>
              <w:rPr>
                <w:lang w:val="en-AU"/>
              </w:rPr>
            </w:pPr>
            <w:r w:rsidRPr="003408A6">
              <w:rPr>
                <w:lang w:val="en-AU"/>
              </w:rPr>
              <w:t>50</w:t>
            </w:r>
          </w:p>
        </w:tc>
        <w:tc>
          <w:tcPr>
            <w:tcW w:w="1163" w:type="dxa"/>
            <w:tcBorders>
              <w:top w:val="nil"/>
              <w:bottom w:val="single" w:sz="4" w:space="0" w:color="auto"/>
            </w:tcBorders>
            <w:vAlign w:val="center"/>
          </w:tcPr>
          <w:p w:rsidR="00CB4D99" w:rsidRPr="003408A6" w:rsidRDefault="00CB4D99" w:rsidP="006C73CE">
            <w:pPr>
              <w:pStyle w:val="Tabletextcentred"/>
              <w:rPr>
                <w:lang w:val="en-AU"/>
              </w:rPr>
            </w:pPr>
            <w:r w:rsidRPr="003408A6">
              <w:rPr>
                <w:lang w:val="en-AU"/>
              </w:rPr>
              <w:t>20</w:t>
            </w:r>
          </w:p>
        </w:tc>
      </w:tr>
    </w:tbl>
    <w:p w:rsidR="008454B0" w:rsidRPr="003408A6" w:rsidRDefault="008454B0" w:rsidP="006C73CE">
      <w:pPr>
        <w:pStyle w:val="Bodytextaftertable"/>
        <w:rPr>
          <w:lang w:val="en-AU"/>
        </w:rPr>
      </w:pPr>
      <w:r w:rsidRPr="003408A6">
        <w:rPr>
          <w:lang w:val="en-AU"/>
        </w:rPr>
        <w:t xml:space="preserve">The majority (65%) of respondents agreed that </w:t>
      </w:r>
      <w:r w:rsidR="00DE56C1" w:rsidRPr="003408A6">
        <w:rPr>
          <w:lang w:val="en-AU"/>
        </w:rPr>
        <w:t>t</w:t>
      </w:r>
      <w:r w:rsidRPr="003408A6">
        <w:rPr>
          <w:lang w:val="en-AU"/>
        </w:rPr>
        <w:t xml:space="preserve">he National HPV Vaccination Program in his/her jurisdiction/region provided adequate advice/information to adolescent </w:t>
      </w:r>
      <w:r w:rsidR="00A42977" w:rsidRPr="003408A6">
        <w:rPr>
          <w:lang w:val="en-AU"/>
        </w:rPr>
        <w:t>females</w:t>
      </w:r>
      <w:r w:rsidRPr="003408A6">
        <w:rPr>
          <w:lang w:val="en-AU"/>
        </w:rPr>
        <w:t xml:space="preserve"> and young </w:t>
      </w:r>
      <w:r w:rsidR="004E397F" w:rsidRPr="003408A6">
        <w:rPr>
          <w:lang w:val="en-AU"/>
        </w:rPr>
        <w:t xml:space="preserve">adult females </w:t>
      </w:r>
      <w:r w:rsidRPr="003408A6">
        <w:rPr>
          <w:lang w:val="en-AU"/>
        </w:rPr>
        <w:t>about the need for cervical screening (results not tabled). Half of the respondents disagreed that they were concerned that HPV vaccination will reduce the uptake of cervical screening</w:t>
      </w:r>
      <w:r w:rsidR="00BC68C7" w:rsidRPr="003408A6">
        <w:rPr>
          <w:lang w:val="en-AU"/>
        </w:rPr>
        <w:t>.</w:t>
      </w:r>
    </w:p>
    <w:p w:rsidR="008454B0" w:rsidRPr="003408A6" w:rsidRDefault="008454B0" w:rsidP="008454B0">
      <w:pPr>
        <w:spacing w:after="120" w:line="360" w:lineRule="auto"/>
      </w:pPr>
      <w:r w:rsidRPr="003408A6">
        <w:t xml:space="preserve">A small proportion (10%) of respondents agreed that the concurrent rollout of the National Rotavirus Program made the rollout for the female </w:t>
      </w:r>
      <w:r w:rsidR="00BC68C7" w:rsidRPr="003408A6">
        <w:t xml:space="preserve">HPV </w:t>
      </w:r>
      <w:r w:rsidRPr="003408A6">
        <w:t>program more difficult.</w:t>
      </w:r>
    </w:p>
    <w:p w:rsidR="008454B0" w:rsidRPr="003408A6" w:rsidRDefault="008454B0" w:rsidP="008454B0">
      <w:pPr>
        <w:spacing w:after="120" w:line="360" w:lineRule="auto"/>
      </w:pPr>
      <w:r w:rsidRPr="003408A6">
        <w:t>The majority (90%) of respondents agreed that the National HPV Vaccination Program in his/her jurisdiction was providing HPV vaccination in an efficient way to adolescent males and females.</w:t>
      </w:r>
    </w:p>
    <w:p w:rsidR="008454B0" w:rsidRPr="003408A6" w:rsidRDefault="008454B0" w:rsidP="006C73CE">
      <w:pPr>
        <w:pStyle w:val="Heading4"/>
      </w:pPr>
      <w:r w:rsidRPr="003408A6">
        <w:t>Respondent interviews</w:t>
      </w:r>
    </w:p>
    <w:p w:rsidR="008454B0" w:rsidRPr="003408A6" w:rsidRDefault="008454B0" w:rsidP="006C73CE">
      <w:pPr>
        <w:pStyle w:val="Heading5"/>
      </w:pPr>
      <w:r w:rsidRPr="003408A6">
        <w:t xml:space="preserve">Announcement of the extended </w:t>
      </w:r>
      <w:r w:rsidR="00FF38B9" w:rsidRPr="003408A6">
        <w:t xml:space="preserve">National </w:t>
      </w:r>
      <w:r w:rsidRPr="003408A6">
        <w:t xml:space="preserve">HPV </w:t>
      </w:r>
      <w:r w:rsidR="00DE56C1" w:rsidRPr="003408A6">
        <w:t>V</w:t>
      </w:r>
      <w:r w:rsidRPr="003408A6">
        <w:t xml:space="preserve">accination </w:t>
      </w:r>
      <w:r w:rsidR="00DE56C1" w:rsidRPr="003408A6">
        <w:t>P</w:t>
      </w:r>
      <w:r w:rsidRPr="003408A6">
        <w:t>rogram to include males</w:t>
      </w:r>
    </w:p>
    <w:p w:rsidR="008454B0" w:rsidRPr="003408A6" w:rsidRDefault="008454B0" w:rsidP="006C73CE">
      <w:pPr>
        <w:pStyle w:val="BodyText"/>
        <w:rPr>
          <w:lang w:val="en-AU"/>
        </w:rPr>
      </w:pPr>
      <w:r w:rsidRPr="003408A6">
        <w:rPr>
          <w:lang w:val="en-AU"/>
        </w:rPr>
        <w:t xml:space="preserve">The jurisdictions were expecting the program to be rolled out to adolescent males following the </w:t>
      </w:r>
      <w:r w:rsidR="00FF38B9" w:rsidRPr="003408A6">
        <w:rPr>
          <w:lang w:val="en-AU"/>
        </w:rPr>
        <w:t>positive recommendation of the HPV vaccine</w:t>
      </w:r>
      <w:r w:rsidRPr="003408A6">
        <w:rPr>
          <w:lang w:val="en-AU"/>
        </w:rPr>
        <w:t xml:space="preserve"> Gardasil</w:t>
      </w:r>
      <w:r w:rsidR="0043033C" w:rsidRPr="003408A6">
        <w:rPr>
          <w:vertAlign w:val="superscript"/>
          <w:lang w:val="en-AU"/>
        </w:rPr>
        <w:t>®</w:t>
      </w:r>
      <w:r w:rsidRPr="003408A6">
        <w:rPr>
          <w:lang w:val="en-AU"/>
        </w:rPr>
        <w:t xml:space="preserve"> for males by the PBAC in November 2011. </w:t>
      </w:r>
    </w:p>
    <w:p w:rsidR="008454B0" w:rsidRPr="003408A6" w:rsidRDefault="008454B0" w:rsidP="006C73CE">
      <w:pPr>
        <w:pStyle w:val="BodyText"/>
        <w:rPr>
          <w:lang w:val="en-AU"/>
        </w:rPr>
      </w:pPr>
      <w:r w:rsidRPr="003408A6">
        <w:rPr>
          <w:lang w:val="en-AU"/>
        </w:rPr>
        <w:t xml:space="preserve">Nearly all immunisation program managers mentioned that there had been preliminary consultations between the Australian </w:t>
      </w:r>
      <w:r w:rsidR="001B3B24" w:rsidRPr="003408A6">
        <w:rPr>
          <w:lang w:val="en-AU"/>
        </w:rPr>
        <w:t xml:space="preserve">Government </w:t>
      </w:r>
      <w:r w:rsidRPr="003408A6">
        <w:rPr>
          <w:lang w:val="en-AU"/>
        </w:rPr>
        <w:t>Department of Health</w:t>
      </w:r>
      <w:r w:rsidR="0023448C">
        <w:rPr>
          <w:lang w:val="en-AU"/>
        </w:rPr>
        <w:t xml:space="preserve"> </w:t>
      </w:r>
      <w:r w:rsidRPr="003408A6">
        <w:rPr>
          <w:lang w:val="en-AU"/>
        </w:rPr>
        <w:t>and the jurisdictions</w:t>
      </w:r>
      <w:r w:rsidR="00BC68C7" w:rsidRPr="003408A6">
        <w:rPr>
          <w:lang w:val="en-AU"/>
        </w:rPr>
        <w:t>,</w:t>
      </w:r>
      <w:r w:rsidRPr="003408A6">
        <w:rPr>
          <w:lang w:val="en-AU"/>
        </w:rPr>
        <w:t xml:space="preserve"> via the Jurisdictional Immunisation Committee teleconferences and meetings early in 2012</w:t>
      </w:r>
      <w:r w:rsidR="00BC68C7" w:rsidRPr="003408A6">
        <w:rPr>
          <w:lang w:val="en-AU"/>
        </w:rPr>
        <w:t>,</w:t>
      </w:r>
      <w:r w:rsidRPr="003408A6">
        <w:rPr>
          <w:lang w:val="en-AU"/>
        </w:rPr>
        <w:t xml:space="preserve"> around </w:t>
      </w:r>
      <w:r w:rsidR="00B0206F" w:rsidRPr="003408A6">
        <w:rPr>
          <w:lang w:val="en-AU"/>
        </w:rPr>
        <w:t xml:space="preserve">the possible </w:t>
      </w:r>
      <w:r w:rsidRPr="003408A6">
        <w:rPr>
          <w:lang w:val="en-AU"/>
        </w:rPr>
        <w:t>exten</w:t>
      </w:r>
      <w:r w:rsidR="00B0206F" w:rsidRPr="003408A6">
        <w:rPr>
          <w:lang w:val="en-AU"/>
        </w:rPr>
        <w:t>sion of</w:t>
      </w:r>
      <w:r w:rsidRPr="003408A6">
        <w:rPr>
          <w:lang w:val="en-AU"/>
        </w:rPr>
        <w:t xml:space="preserve"> the National HPV Vaccination Program to males. </w:t>
      </w:r>
    </w:p>
    <w:p w:rsidR="008454B0" w:rsidRPr="003408A6" w:rsidRDefault="008454B0" w:rsidP="006C73CE">
      <w:pPr>
        <w:pStyle w:val="Blockquote"/>
      </w:pPr>
      <w:r w:rsidRPr="003408A6">
        <w:t xml:space="preserve">“We were advised through the Jurisdictional Immunisation Committee and </w:t>
      </w:r>
      <w:r w:rsidR="00B0206F" w:rsidRPr="003408A6">
        <w:t>National Immunisation Committee</w:t>
      </w:r>
      <w:r w:rsidRPr="003408A6">
        <w:t xml:space="preserve"> in early 2012 that there was a probability that the HPV program would be funded and available for boys in 2013</w:t>
      </w:r>
      <w:r w:rsidR="00BC68C7" w:rsidRPr="003408A6">
        <w:t>.</w:t>
      </w:r>
      <w:r w:rsidRPr="003408A6">
        <w:t>”</w:t>
      </w:r>
    </w:p>
    <w:p w:rsidR="008454B0" w:rsidRPr="003408A6" w:rsidRDefault="008454B0" w:rsidP="006C73CE">
      <w:pPr>
        <w:pStyle w:val="BodyText"/>
        <w:rPr>
          <w:lang w:val="en-AU"/>
        </w:rPr>
      </w:pPr>
      <w:r w:rsidRPr="003408A6">
        <w:rPr>
          <w:lang w:val="en-AU"/>
        </w:rPr>
        <w:t xml:space="preserve">Most </w:t>
      </w:r>
      <w:r w:rsidR="003C41DF" w:rsidRPr="003408A6">
        <w:rPr>
          <w:lang w:val="en-AU"/>
        </w:rPr>
        <w:t xml:space="preserve">immunisation </w:t>
      </w:r>
      <w:r w:rsidRPr="003408A6">
        <w:rPr>
          <w:lang w:val="en-AU"/>
        </w:rPr>
        <w:t xml:space="preserve">program managers, however, noted that no firm date had been proposed for the rollout at these early discussions and that the first confirmation they received was on the day of the </w:t>
      </w:r>
      <w:r w:rsidR="00C50792">
        <w:rPr>
          <w:lang w:val="en-AU"/>
        </w:rPr>
        <w:t>m</w:t>
      </w:r>
      <w:r w:rsidRPr="003408A6">
        <w:rPr>
          <w:lang w:val="en-AU"/>
        </w:rPr>
        <w:t>inisterial announcement</w:t>
      </w:r>
      <w:r w:rsidR="00B0206F" w:rsidRPr="003408A6">
        <w:rPr>
          <w:lang w:val="en-AU"/>
        </w:rPr>
        <w:t xml:space="preserve"> of government funding for the extended program</w:t>
      </w:r>
      <w:r w:rsidRPr="003408A6">
        <w:rPr>
          <w:lang w:val="en-AU"/>
        </w:rPr>
        <w:t>. This was followed by official notification to the states and territories.</w:t>
      </w:r>
    </w:p>
    <w:p w:rsidR="008454B0" w:rsidRPr="003408A6" w:rsidRDefault="008454B0" w:rsidP="006C73CE">
      <w:pPr>
        <w:pStyle w:val="BodyText"/>
        <w:rPr>
          <w:lang w:val="en-AU"/>
        </w:rPr>
      </w:pPr>
      <w:r w:rsidRPr="003408A6">
        <w:rPr>
          <w:lang w:val="en-AU"/>
        </w:rPr>
        <w:t xml:space="preserve">Most managers expected the announcement but some expressed surprise that the announcement had come so quickly and the rollout was happening so soon. Managers understood that jurisdictions were going to be kept somewhat in the dark prior to a </w:t>
      </w:r>
      <w:r w:rsidR="00C50792">
        <w:rPr>
          <w:lang w:val="en-AU"/>
        </w:rPr>
        <w:t>m</w:t>
      </w:r>
      <w:r w:rsidRPr="003408A6">
        <w:rPr>
          <w:lang w:val="en-AU"/>
        </w:rPr>
        <w:t>inisterial announcement. Managers felt</w:t>
      </w:r>
      <w:r w:rsidR="00BC68C7" w:rsidRPr="003408A6">
        <w:rPr>
          <w:lang w:val="en-AU"/>
        </w:rPr>
        <w:t>,</w:t>
      </w:r>
      <w:r w:rsidRPr="003408A6">
        <w:rPr>
          <w:lang w:val="en-AU"/>
        </w:rPr>
        <w:t xml:space="preserve"> however</w:t>
      </w:r>
      <w:r w:rsidR="00BC68C7" w:rsidRPr="003408A6">
        <w:rPr>
          <w:lang w:val="en-AU"/>
        </w:rPr>
        <w:t>,</w:t>
      </w:r>
      <w:r w:rsidRPr="003408A6">
        <w:rPr>
          <w:lang w:val="en-AU"/>
        </w:rPr>
        <w:t xml:space="preserve"> that this approach to launching the program did not help with implementing the rollout in terms of jurisdictional budgets and planning. Most managers</w:t>
      </w:r>
      <w:r w:rsidR="00CE4193" w:rsidRPr="003408A6">
        <w:rPr>
          <w:lang w:val="en-AU"/>
        </w:rPr>
        <w:t xml:space="preserve"> (60%)</w:t>
      </w:r>
      <w:r w:rsidRPr="003408A6">
        <w:rPr>
          <w:lang w:val="en-AU"/>
        </w:rPr>
        <w:t xml:space="preserve"> </w:t>
      </w:r>
      <w:r w:rsidR="00CE4193" w:rsidRPr="003408A6">
        <w:rPr>
          <w:lang w:val="en-AU"/>
        </w:rPr>
        <w:t xml:space="preserve">indicated </w:t>
      </w:r>
      <w:r w:rsidRPr="003408A6">
        <w:rPr>
          <w:lang w:val="en-AU"/>
        </w:rPr>
        <w:t xml:space="preserve">a </w:t>
      </w:r>
      <w:r w:rsidR="00CE4193" w:rsidRPr="003408A6">
        <w:rPr>
          <w:lang w:val="en-AU"/>
        </w:rPr>
        <w:t xml:space="preserve">need </w:t>
      </w:r>
      <w:r w:rsidRPr="003408A6">
        <w:rPr>
          <w:lang w:val="en-AU"/>
        </w:rPr>
        <w:t xml:space="preserve">for greater transparency and consultation between the Australian government and the jurisdictions around the </w:t>
      </w:r>
      <w:r w:rsidR="00F30401" w:rsidRPr="003408A6">
        <w:rPr>
          <w:lang w:val="en-AU"/>
        </w:rPr>
        <w:t xml:space="preserve">timing of the </w:t>
      </w:r>
      <w:r w:rsidRPr="003408A6">
        <w:rPr>
          <w:lang w:val="en-AU"/>
        </w:rPr>
        <w:t>announcement of the program.</w:t>
      </w:r>
    </w:p>
    <w:p w:rsidR="008454B0" w:rsidRPr="003408A6" w:rsidRDefault="008454B0" w:rsidP="006C73CE">
      <w:pPr>
        <w:pStyle w:val="BodyText"/>
        <w:rPr>
          <w:lang w:val="en-AU"/>
        </w:rPr>
      </w:pPr>
      <w:r w:rsidRPr="003408A6">
        <w:rPr>
          <w:lang w:val="en-AU"/>
        </w:rPr>
        <w:t xml:space="preserve">Those </w:t>
      </w:r>
      <w:r w:rsidR="006C2F6B" w:rsidRPr="003408A6">
        <w:rPr>
          <w:lang w:val="en-AU"/>
        </w:rPr>
        <w:t xml:space="preserve">immunisation </w:t>
      </w:r>
      <w:r w:rsidRPr="003408A6">
        <w:rPr>
          <w:lang w:val="en-AU"/>
        </w:rPr>
        <w:t xml:space="preserve">program managers who could recall commented that the notification of the original female program had similarly been via the media announcement in 2006. </w:t>
      </w:r>
    </w:p>
    <w:p w:rsidR="008454B0" w:rsidRPr="003408A6" w:rsidRDefault="008454B0" w:rsidP="006C73CE">
      <w:pPr>
        <w:pStyle w:val="Blockquote"/>
      </w:pPr>
      <w:r w:rsidRPr="003408A6">
        <w:t>“The confirmation came through the media release. I believe that’s the case. That was the case with the girls’ program as well</w:t>
      </w:r>
      <w:r w:rsidR="00BC68C7" w:rsidRPr="003408A6">
        <w:t>.</w:t>
      </w:r>
      <w:r w:rsidRPr="003408A6">
        <w:t xml:space="preserve">” </w:t>
      </w:r>
    </w:p>
    <w:p w:rsidR="008454B0" w:rsidRPr="003408A6" w:rsidRDefault="008454B0" w:rsidP="006C73CE">
      <w:pPr>
        <w:pStyle w:val="BodyText"/>
        <w:rPr>
          <w:lang w:val="en-AU"/>
        </w:rPr>
      </w:pPr>
      <w:r w:rsidRPr="003408A6">
        <w:rPr>
          <w:lang w:val="en-AU"/>
        </w:rPr>
        <w:t xml:space="preserve">Many of the school-based vaccination providers and regional immunisation coordinators also remembered first hearing of the extension of the National HPV Vaccination Program to males through the media release. Official notification to providers and coordinators came from the </w:t>
      </w:r>
      <w:r w:rsidR="001320B0" w:rsidRPr="003408A6">
        <w:rPr>
          <w:lang w:val="en-AU"/>
        </w:rPr>
        <w:t>s</w:t>
      </w:r>
      <w:r w:rsidRPr="003408A6">
        <w:rPr>
          <w:lang w:val="en-AU"/>
        </w:rPr>
        <w:t xml:space="preserve">tate or </w:t>
      </w:r>
      <w:r w:rsidR="001320B0" w:rsidRPr="003408A6">
        <w:rPr>
          <w:lang w:val="en-AU"/>
        </w:rPr>
        <w:t>t</w:t>
      </w:r>
      <w:r w:rsidRPr="003408A6">
        <w:rPr>
          <w:lang w:val="en-AU"/>
        </w:rPr>
        <w:t>erritory health department</w:t>
      </w:r>
      <w:r w:rsidR="00BC68C7" w:rsidRPr="003408A6">
        <w:rPr>
          <w:lang w:val="en-AU"/>
        </w:rPr>
        <w:t>s</w:t>
      </w:r>
      <w:r w:rsidRPr="003408A6">
        <w:rPr>
          <w:lang w:val="en-AU"/>
        </w:rPr>
        <w:t>. Some school-based coordinators and regional immunisation coordinators had no clear recollection of how they were officially notified.</w:t>
      </w:r>
    </w:p>
    <w:p w:rsidR="008454B0" w:rsidRPr="003408A6" w:rsidRDefault="00B8021E" w:rsidP="006C73CE">
      <w:pPr>
        <w:pStyle w:val="Heading5"/>
      </w:pPr>
      <w:r>
        <w:t>I</w:t>
      </w:r>
      <w:r w:rsidR="008454B0" w:rsidRPr="003408A6">
        <w:t>nitial rollout of the National HPV Vaccination Program for adolescent males</w:t>
      </w:r>
    </w:p>
    <w:p w:rsidR="008454B0" w:rsidRPr="003408A6" w:rsidRDefault="008454B0" w:rsidP="006C73CE">
      <w:pPr>
        <w:pStyle w:val="BodyText"/>
        <w:rPr>
          <w:lang w:val="en-AU"/>
        </w:rPr>
      </w:pPr>
      <w:r w:rsidRPr="003408A6">
        <w:rPr>
          <w:lang w:val="en-AU"/>
        </w:rPr>
        <w:t xml:space="preserve">Most immunisation program managers felt that the </w:t>
      </w:r>
      <w:r w:rsidR="00006FDF" w:rsidRPr="003408A6">
        <w:rPr>
          <w:lang w:val="en-AU"/>
        </w:rPr>
        <w:t>6</w:t>
      </w:r>
      <w:r w:rsidRPr="003408A6">
        <w:rPr>
          <w:lang w:val="en-AU"/>
        </w:rPr>
        <w:t>-month lead-time between the announcement in July 2012 and the start of the program in February 2013 was</w:t>
      </w:r>
      <w:r w:rsidR="00C50792">
        <w:rPr>
          <w:lang w:val="en-AU"/>
        </w:rPr>
        <w:t>,</w:t>
      </w:r>
      <w:r w:rsidRPr="003408A6">
        <w:rPr>
          <w:lang w:val="en-AU"/>
        </w:rPr>
        <w:t xml:space="preserve"> in principle</w:t>
      </w:r>
      <w:r w:rsidR="00C50792">
        <w:rPr>
          <w:lang w:val="en-AU"/>
        </w:rPr>
        <w:t>,</w:t>
      </w:r>
      <w:r w:rsidRPr="003408A6">
        <w:rPr>
          <w:lang w:val="en-AU"/>
        </w:rPr>
        <w:t xml:space="preserve"> adequate and better than the previous lead-time for the female program. Six months was the lead-time that jurisdictions had campaigned for in initial discussions with the </w:t>
      </w:r>
      <w:r w:rsidR="003F411B" w:rsidRPr="003408A6">
        <w:rPr>
          <w:lang w:val="en-AU"/>
        </w:rPr>
        <w:t xml:space="preserve">Australian Department of Health </w:t>
      </w:r>
      <w:r w:rsidRPr="003408A6">
        <w:rPr>
          <w:lang w:val="en-AU"/>
        </w:rPr>
        <w:t>around the extended male program.</w:t>
      </w:r>
    </w:p>
    <w:p w:rsidR="008454B0" w:rsidRPr="003408A6" w:rsidRDefault="008454B0" w:rsidP="006C73CE">
      <w:pPr>
        <w:pStyle w:val="Blockquote"/>
      </w:pPr>
      <w:r w:rsidRPr="003408A6">
        <w:t>“I think the lead</w:t>
      </w:r>
      <w:r w:rsidR="0043033C" w:rsidRPr="003408A6">
        <w:t>-</w:t>
      </w:r>
      <w:r w:rsidRPr="003408A6">
        <w:t xml:space="preserve">time, I mean it was </w:t>
      </w:r>
      <w:r w:rsidR="00006FDF" w:rsidRPr="003408A6">
        <w:t xml:space="preserve">6 </w:t>
      </w:r>
      <w:r w:rsidRPr="003408A6">
        <w:t xml:space="preserve">months, that's a good amount of time. And that's what I suppose the states and territories have always said to the Commonwealth that we'd need at least </w:t>
      </w:r>
      <w:r w:rsidR="00006FDF" w:rsidRPr="003408A6">
        <w:t xml:space="preserve">6 </w:t>
      </w:r>
      <w:r w:rsidRPr="003408A6">
        <w:t xml:space="preserve">months.” </w:t>
      </w:r>
    </w:p>
    <w:p w:rsidR="00516224" w:rsidRPr="003408A6" w:rsidRDefault="008454B0" w:rsidP="006C73CE">
      <w:pPr>
        <w:pStyle w:val="BodyText"/>
        <w:rPr>
          <w:lang w:val="en-AU"/>
        </w:rPr>
      </w:pPr>
      <w:r w:rsidRPr="003408A6">
        <w:rPr>
          <w:lang w:val="en-AU"/>
        </w:rPr>
        <w:t xml:space="preserve">However, most immunisation program managers thought the effective lead-time was a lot shorter than </w:t>
      </w:r>
      <w:r w:rsidR="00006FDF" w:rsidRPr="003408A6">
        <w:rPr>
          <w:lang w:val="en-AU"/>
        </w:rPr>
        <w:t xml:space="preserve">6 </w:t>
      </w:r>
      <w:r w:rsidRPr="003408A6">
        <w:rPr>
          <w:lang w:val="en-AU"/>
        </w:rPr>
        <w:t xml:space="preserve">months. The main reasons for this were the need to find funding and </w:t>
      </w:r>
      <w:r w:rsidR="00694473">
        <w:rPr>
          <w:lang w:val="en-AU"/>
        </w:rPr>
        <w:t xml:space="preserve">time in </w:t>
      </w:r>
      <w:r w:rsidRPr="003408A6">
        <w:rPr>
          <w:lang w:val="en-AU"/>
        </w:rPr>
        <w:t xml:space="preserve">the school calendar. </w:t>
      </w:r>
    </w:p>
    <w:p w:rsidR="008454B0" w:rsidRPr="003408A6" w:rsidRDefault="00516224" w:rsidP="006C73CE">
      <w:pPr>
        <w:pStyle w:val="BodyText"/>
        <w:rPr>
          <w:lang w:val="en-AU"/>
        </w:rPr>
      </w:pPr>
      <w:r w:rsidRPr="003408A6">
        <w:rPr>
          <w:lang w:val="en-AU"/>
        </w:rPr>
        <w:t>The Australian Department of Health acknowledged that the lead</w:t>
      </w:r>
      <w:r w:rsidR="00C50792">
        <w:rPr>
          <w:lang w:val="en-AU"/>
        </w:rPr>
        <w:t>-</w:t>
      </w:r>
      <w:r w:rsidRPr="003408A6">
        <w:rPr>
          <w:lang w:val="en-AU"/>
        </w:rPr>
        <w:t>time for the rollout of the program for adolescent males was short. A lead</w:t>
      </w:r>
      <w:r w:rsidR="00C50792">
        <w:rPr>
          <w:lang w:val="en-AU"/>
        </w:rPr>
        <w:t>-</w:t>
      </w:r>
      <w:r w:rsidRPr="003408A6">
        <w:rPr>
          <w:lang w:val="en-AU"/>
        </w:rPr>
        <w:t>time of 12</w:t>
      </w:r>
      <w:r w:rsidR="00C50792">
        <w:rPr>
          <w:lang w:val="en-AU"/>
        </w:rPr>
        <w:t>–</w:t>
      </w:r>
      <w:r w:rsidR="004B36F0" w:rsidRPr="003408A6">
        <w:rPr>
          <w:lang w:val="en-AU"/>
        </w:rPr>
        <w:t>18</w:t>
      </w:r>
      <w:r w:rsidRPr="003408A6">
        <w:rPr>
          <w:lang w:val="en-AU"/>
        </w:rPr>
        <w:t xml:space="preserve"> months</w:t>
      </w:r>
      <w:r w:rsidR="00B37CA2" w:rsidRPr="003408A6">
        <w:rPr>
          <w:lang w:val="en-AU"/>
        </w:rPr>
        <w:t xml:space="preserve"> </w:t>
      </w:r>
      <w:r w:rsidRPr="003408A6">
        <w:rPr>
          <w:lang w:val="en-AU"/>
        </w:rPr>
        <w:t>would ideally allow all aspects of the program to be planned and implemented smoothly</w:t>
      </w:r>
      <w:r w:rsidR="00B37CA2" w:rsidRPr="003408A6">
        <w:rPr>
          <w:lang w:val="en-AU"/>
        </w:rPr>
        <w:t>, especially when setting up or modifying a vaccine register</w:t>
      </w:r>
      <w:r w:rsidRPr="003408A6">
        <w:rPr>
          <w:lang w:val="en-AU"/>
        </w:rPr>
        <w:t xml:space="preserve">. </w:t>
      </w:r>
    </w:p>
    <w:p w:rsidR="008454B0" w:rsidRPr="003408A6" w:rsidRDefault="00A72995" w:rsidP="006C73CE">
      <w:pPr>
        <w:pStyle w:val="BodyText"/>
        <w:rPr>
          <w:lang w:val="en-AU"/>
        </w:rPr>
      </w:pPr>
      <w:r w:rsidRPr="003408A6">
        <w:rPr>
          <w:lang w:val="en-AU"/>
        </w:rPr>
        <w:t>Commonwealth funding to the states and territories for immunisation service delivery is rolled into the National Health</w:t>
      </w:r>
      <w:r w:rsidR="00C50792">
        <w:rPr>
          <w:lang w:val="en-AU"/>
        </w:rPr>
        <w:t>c</w:t>
      </w:r>
      <w:r w:rsidRPr="003408A6">
        <w:rPr>
          <w:lang w:val="en-AU"/>
        </w:rPr>
        <w:t>are Agreements and under the National Partnership Agreement on Essential Vaccines</w:t>
      </w:r>
      <w:r w:rsidR="00E5733B" w:rsidRPr="003408A6">
        <w:rPr>
          <w:lang w:val="en-AU"/>
        </w:rPr>
        <w:t xml:space="preserve"> (N</w:t>
      </w:r>
      <w:r w:rsidRPr="003408A6">
        <w:rPr>
          <w:lang w:val="en-AU"/>
        </w:rPr>
        <w:t xml:space="preserve">PEV) states and territories are responsible to fund the service delivery of the </w:t>
      </w:r>
      <w:r w:rsidR="003E08A1" w:rsidRPr="003408A6">
        <w:rPr>
          <w:lang w:val="en-AU"/>
        </w:rPr>
        <w:t xml:space="preserve">HPV </w:t>
      </w:r>
      <w:r w:rsidRPr="003408A6">
        <w:rPr>
          <w:lang w:val="en-AU"/>
        </w:rPr>
        <w:t>vaccine.</w:t>
      </w:r>
      <w:hyperlink w:anchor="_ENREF_36" w:tooltip="COAG, 2009 #1354" w:history="1">
        <w:r w:rsidR="00F27F90" w:rsidRPr="003408A6">
          <w:rPr>
            <w:lang w:val="en-AU"/>
          </w:rPr>
          <w:fldChar w:fldCharType="begin"/>
        </w:r>
        <w:r w:rsidR="00F27F90">
          <w:rPr>
            <w:lang w:val="en-AU"/>
          </w:rPr>
          <w:instrText xml:space="preserve"> ADDIN EN.CITE &lt;EndNote&gt;&lt;Cite&gt;&lt;Author&gt;COAG&lt;/Author&gt;&lt;Year&gt;2009&lt;/Year&gt;&lt;RecNum&gt;1354&lt;/RecNum&gt;&lt;DisplayText&gt;&lt;style face="superscript"&gt;36&lt;/style&gt;&lt;/DisplayText&gt;&lt;record&gt;&lt;rec-number&gt;1354&lt;/rec-number&gt;&lt;foreign-keys&gt;&lt;key app="EN" db-id="dda0wweazfww9besetpx2r5pt0asp9ztvs95"&gt;1354&lt;/key&gt;&lt;/foreign-keys&gt;&lt;ref-type name="Web Page"&gt;12&lt;/ref-type&gt;&lt;contributors&gt;&lt;authors&gt;&lt;author&gt;COAG&lt;/author&gt;&lt;/authors&gt;&lt;/contributors&gt;&lt;titles&gt;&lt;title&gt;National Partnership Agreement on Essential Vaccines&lt;/title&gt;&lt;/titles&gt;&lt;dates&gt;&lt;year&gt;2009&lt;/year&gt;&lt;/dates&gt;&lt;urls&gt;&lt;related-urls&gt;&lt;url&gt;http://www.federalfinancialrelations.gov.au/content/npa/health_payments/essential_vaccines/national_partnership.pdf&lt;/url&gt;&lt;/related-urls&gt;&lt;/urls&gt;&lt;/record&gt;&lt;/Cite&gt;&lt;/EndNote&gt;</w:instrText>
        </w:r>
        <w:r w:rsidR="00F27F90" w:rsidRPr="003408A6">
          <w:rPr>
            <w:lang w:val="en-AU"/>
          </w:rPr>
          <w:fldChar w:fldCharType="separate"/>
        </w:r>
        <w:r w:rsidR="00F27F90" w:rsidRPr="003408A6">
          <w:rPr>
            <w:noProof/>
            <w:vertAlign w:val="superscript"/>
            <w:lang w:val="en-AU"/>
          </w:rPr>
          <w:t>36</w:t>
        </w:r>
        <w:r w:rsidR="00F27F90" w:rsidRPr="003408A6">
          <w:rPr>
            <w:lang w:val="en-AU"/>
          </w:rPr>
          <w:fldChar w:fldCharType="end"/>
        </w:r>
      </w:hyperlink>
      <w:r w:rsidR="001441B7" w:rsidRPr="003408A6">
        <w:rPr>
          <w:lang w:val="en-AU"/>
        </w:rPr>
        <w:t xml:space="preserve"> </w:t>
      </w:r>
      <w:r w:rsidR="003E08A1" w:rsidRPr="003408A6">
        <w:rPr>
          <w:lang w:val="en-AU"/>
        </w:rPr>
        <w:t>T</w:t>
      </w:r>
      <w:r w:rsidR="008454B0" w:rsidRPr="003408A6">
        <w:rPr>
          <w:lang w:val="en-AU"/>
        </w:rPr>
        <w:t xml:space="preserve">he announcement </w:t>
      </w:r>
      <w:r w:rsidR="003E08A1" w:rsidRPr="003408A6">
        <w:rPr>
          <w:lang w:val="en-AU"/>
        </w:rPr>
        <w:t xml:space="preserve">of the extension of the HPV </w:t>
      </w:r>
      <w:r w:rsidR="00C50792">
        <w:rPr>
          <w:lang w:val="en-AU"/>
        </w:rPr>
        <w:t>v</w:t>
      </w:r>
      <w:r w:rsidR="003E08A1" w:rsidRPr="003408A6">
        <w:rPr>
          <w:lang w:val="en-AU"/>
        </w:rPr>
        <w:t xml:space="preserve">accination </w:t>
      </w:r>
      <w:r w:rsidR="00C50792">
        <w:rPr>
          <w:lang w:val="en-AU"/>
        </w:rPr>
        <w:t>p</w:t>
      </w:r>
      <w:r w:rsidR="003E08A1" w:rsidRPr="003408A6">
        <w:rPr>
          <w:lang w:val="en-AU"/>
        </w:rPr>
        <w:t xml:space="preserve">rogram to males </w:t>
      </w:r>
      <w:r w:rsidR="008454B0" w:rsidRPr="003408A6">
        <w:rPr>
          <w:lang w:val="en-AU"/>
        </w:rPr>
        <w:t>arrived after some jurisdictions had already allocated their</w:t>
      </w:r>
      <w:r w:rsidRPr="003408A6">
        <w:rPr>
          <w:lang w:val="en-AU"/>
        </w:rPr>
        <w:t xml:space="preserve"> health</w:t>
      </w:r>
      <w:r w:rsidR="008454B0" w:rsidRPr="003408A6">
        <w:rPr>
          <w:lang w:val="en-AU"/>
        </w:rPr>
        <w:t xml:space="preserve"> budgets for 2013</w:t>
      </w:r>
      <w:r w:rsidR="00694473">
        <w:rPr>
          <w:lang w:val="en-AU"/>
        </w:rPr>
        <w:t xml:space="preserve"> -</w:t>
      </w:r>
      <w:r w:rsidR="008454B0" w:rsidRPr="003408A6">
        <w:rPr>
          <w:lang w:val="en-AU"/>
        </w:rPr>
        <w:t xml:space="preserve"> </w:t>
      </w:r>
      <w:r w:rsidR="00694473">
        <w:rPr>
          <w:lang w:val="en-AU"/>
        </w:rPr>
        <w:t>i</w:t>
      </w:r>
      <w:r w:rsidR="008454B0" w:rsidRPr="003408A6">
        <w:rPr>
          <w:lang w:val="en-AU"/>
        </w:rPr>
        <w:t>mmunisation program managers had to negotiate with their jurisdictions over funding the program</w:t>
      </w:r>
      <w:r w:rsidR="003E08A1" w:rsidRPr="003408A6">
        <w:rPr>
          <w:lang w:val="en-AU"/>
        </w:rPr>
        <w:t xml:space="preserve"> and</w:t>
      </w:r>
      <w:r w:rsidR="008454B0" w:rsidRPr="003408A6">
        <w:rPr>
          <w:lang w:val="en-AU"/>
        </w:rPr>
        <w:t xml:space="preserve"> could not plan to roll</w:t>
      </w:r>
      <w:r w:rsidR="00C50792">
        <w:rPr>
          <w:lang w:val="en-AU"/>
        </w:rPr>
        <w:t xml:space="preserve"> </w:t>
      </w:r>
      <w:r w:rsidR="008454B0" w:rsidRPr="003408A6">
        <w:rPr>
          <w:lang w:val="en-AU"/>
        </w:rPr>
        <w:t xml:space="preserve">out the program until the level of funding was established. </w:t>
      </w:r>
    </w:p>
    <w:p w:rsidR="008454B0" w:rsidRPr="003408A6" w:rsidRDefault="008454B0" w:rsidP="006C73CE">
      <w:pPr>
        <w:pStyle w:val="Blockquote"/>
      </w:pPr>
      <w:r w:rsidRPr="003408A6">
        <w:t>“And even though we were preparing on the assumption that we would be starting in 2013 without funding and nurses to actually administer it we were a bit stymied for the first couple of months. We knew we’d start it but we couldn't go ahead and prepare everything in case the [jurisdiction] government said</w:t>
      </w:r>
      <w:r w:rsidR="00C50792">
        <w:t>,</w:t>
      </w:r>
      <w:r w:rsidRPr="003408A6">
        <w:t xml:space="preserve"> </w:t>
      </w:r>
      <w:r w:rsidR="00C50792">
        <w:t>‘</w:t>
      </w:r>
      <w:r w:rsidRPr="003408A6">
        <w:t>well no we’re not going to do it</w:t>
      </w:r>
      <w:r w:rsidR="00C50792">
        <w:t>’</w:t>
      </w:r>
      <w:r w:rsidRPr="003408A6">
        <w:t>.”</w:t>
      </w:r>
    </w:p>
    <w:p w:rsidR="008454B0" w:rsidRPr="003408A6" w:rsidRDefault="008454B0" w:rsidP="006C73CE">
      <w:pPr>
        <w:pStyle w:val="BodyText"/>
        <w:rPr>
          <w:lang w:val="en-AU"/>
        </w:rPr>
      </w:pPr>
      <w:r w:rsidRPr="003408A6">
        <w:rPr>
          <w:lang w:val="en-AU"/>
        </w:rPr>
        <w:t xml:space="preserve">Most stakeholders would also have liked more lead-time to accommodate the summer school holidays. Many jurisdictions needed to finalise dates and </w:t>
      </w:r>
      <w:r w:rsidR="00694473">
        <w:rPr>
          <w:lang w:val="en-AU"/>
        </w:rPr>
        <w:t xml:space="preserve">develop and </w:t>
      </w:r>
      <w:r w:rsidRPr="003408A6">
        <w:rPr>
          <w:lang w:val="en-AU"/>
        </w:rPr>
        <w:t>deliver consent materials to schools for distribution prior to the summer break. Furthermore, jurisdictions were already negotiating school dates for the 2013 vaccination program when the announcement of the extended program was made in July 2012.</w:t>
      </w:r>
    </w:p>
    <w:p w:rsidR="008454B0" w:rsidRPr="003408A6" w:rsidRDefault="008454B0" w:rsidP="006C73CE">
      <w:pPr>
        <w:pStyle w:val="BodyText"/>
        <w:rPr>
          <w:lang w:val="en-AU"/>
        </w:rPr>
      </w:pPr>
      <w:r w:rsidRPr="003408A6">
        <w:rPr>
          <w:lang w:val="en-AU"/>
        </w:rPr>
        <w:t xml:space="preserve">Although the lead-time for the rollout of </w:t>
      </w:r>
      <w:r w:rsidR="00BC68C7" w:rsidRPr="003408A6">
        <w:rPr>
          <w:lang w:val="en-AU"/>
        </w:rPr>
        <w:t xml:space="preserve">the </w:t>
      </w:r>
      <w:r w:rsidRPr="003408A6">
        <w:rPr>
          <w:lang w:val="en-AU"/>
        </w:rPr>
        <w:t xml:space="preserve">male program was tight, it was acknowledged as more </w:t>
      </w:r>
      <w:r w:rsidR="00516224" w:rsidRPr="003408A6">
        <w:rPr>
          <w:lang w:val="en-AU"/>
        </w:rPr>
        <w:t xml:space="preserve">workable </w:t>
      </w:r>
      <w:r w:rsidRPr="003408A6">
        <w:rPr>
          <w:lang w:val="en-AU"/>
        </w:rPr>
        <w:t>than the shorter lead-time that had been available for the female program.</w:t>
      </w:r>
    </w:p>
    <w:p w:rsidR="008454B0" w:rsidRPr="003408A6" w:rsidRDefault="008454B0" w:rsidP="006C73CE">
      <w:pPr>
        <w:pStyle w:val="Blockquote"/>
      </w:pPr>
      <w:r w:rsidRPr="003408A6">
        <w:t>“From an operational point of view the lead</w:t>
      </w:r>
      <w:r w:rsidR="0043033C" w:rsidRPr="003408A6">
        <w:t>-</w:t>
      </w:r>
      <w:r w:rsidRPr="003408A6">
        <w:t>time was okay in the end but very condensed, especially towards the end</w:t>
      </w:r>
      <w:r w:rsidR="00BC68C7" w:rsidRPr="003408A6">
        <w:t>.</w:t>
      </w:r>
      <w:r w:rsidRPr="003408A6">
        <w:t xml:space="preserve">” </w:t>
      </w:r>
    </w:p>
    <w:p w:rsidR="008454B0" w:rsidRPr="003408A6" w:rsidRDefault="008454B0" w:rsidP="006C73CE">
      <w:pPr>
        <w:pStyle w:val="Heading5"/>
      </w:pPr>
      <w:r w:rsidRPr="003408A6">
        <w:t>Funding</w:t>
      </w:r>
    </w:p>
    <w:p w:rsidR="00264D74" w:rsidRPr="003408A6" w:rsidRDefault="008454B0" w:rsidP="006C73CE">
      <w:pPr>
        <w:pStyle w:val="BodyText"/>
        <w:rPr>
          <w:lang w:val="en-AU"/>
        </w:rPr>
      </w:pPr>
      <w:r w:rsidRPr="003408A6">
        <w:rPr>
          <w:lang w:val="en-AU"/>
        </w:rPr>
        <w:t xml:space="preserve">The Australian </w:t>
      </w:r>
      <w:r w:rsidR="00C50792">
        <w:rPr>
          <w:lang w:val="en-AU"/>
        </w:rPr>
        <w:t>g</w:t>
      </w:r>
      <w:r w:rsidRPr="003408A6">
        <w:rPr>
          <w:lang w:val="en-AU"/>
        </w:rPr>
        <w:t>overnment</w:t>
      </w:r>
      <w:r w:rsidR="001D2E22" w:rsidRPr="003408A6">
        <w:rPr>
          <w:lang w:val="en-AU"/>
        </w:rPr>
        <w:t>’s</w:t>
      </w:r>
      <w:r w:rsidRPr="003408A6">
        <w:rPr>
          <w:lang w:val="en-AU"/>
        </w:rPr>
        <w:t xml:space="preserve"> role in extending the National HPV Vaccination Program to males was to fund and </w:t>
      </w:r>
      <w:r w:rsidR="00B0206F" w:rsidRPr="003408A6">
        <w:rPr>
          <w:lang w:val="en-AU"/>
        </w:rPr>
        <w:t xml:space="preserve">procure </w:t>
      </w:r>
      <w:r w:rsidRPr="003408A6">
        <w:rPr>
          <w:lang w:val="en-AU"/>
        </w:rPr>
        <w:t>the vaccine, create and distribute communication resources</w:t>
      </w:r>
      <w:r w:rsidR="00B0206F" w:rsidRPr="003408A6">
        <w:rPr>
          <w:lang w:val="en-AU"/>
        </w:rPr>
        <w:t xml:space="preserve">, expand the National HPV Vaccination Program </w:t>
      </w:r>
      <w:r w:rsidR="00C50792">
        <w:rPr>
          <w:lang w:val="en-AU"/>
        </w:rPr>
        <w:t xml:space="preserve">Register </w:t>
      </w:r>
      <w:r w:rsidR="00B0206F" w:rsidRPr="003408A6">
        <w:rPr>
          <w:lang w:val="en-AU"/>
        </w:rPr>
        <w:t>to record doses for males</w:t>
      </w:r>
      <w:r w:rsidR="00C50792">
        <w:rPr>
          <w:lang w:val="en-AU"/>
        </w:rPr>
        <w:t>,</w:t>
      </w:r>
      <w:r w:rsidRPr="003408A6">
        <w:rPr>
          <w:lang w:val="en-AU"/>
        </w:rPr>
        <w:t xml:space="preserve"> and </w:t>
      </w:r>
      <w:r w:rsidR="00B0206F" w:rsidRPr="003408A6">
        <w:rPr>
          <w:lang w:val="en-AU"/>
        </w:rPr>
        <w:t>establish</w:t>
      </w:r>
      <w:r w:rsidRPr="003408A6">
        <w:rPr>
          <w:lang w:val="en-AU"/>
        </w:rPr>
        <w:t xml:space="preserve"> enhanced surveillance of adverse events</w:t>
      </w:r>
      <w:r w:rsidR="00B0206F" w:rsidRPr="003408A6">
        <w:rPr>
          <w:lang w:val="en-AU"/>
        </w:rPr>
        <w:t xml:space="preserve"> following immunisation with HPV</w:t>
      </w:r>
      <w:r w:rsidRPr="003408A6">
        <w:rPr>
          <w:lang w:val="en-AU"/>
        </w:rPr>
        <w:t xml:space="preserve">. </w:t>
      </w:r>
      <w:r w:rsidR="00FE5C85" w:rsidRPr="003408A6">
        <w:rPr>
          <w:lang w:val="en-AU"/>
        </w:rPr>
        <w:t>O</w:t>
      </w:r>
      <w:r w:rsidRPr="003408A6">
        <w:rPr>
          <w:lang w:val="en-AU"/>
        </w:rPr>
        <w:t>rganising</w:t>
      </w:r>
      <w:r w:rsidR="00FE5C85" w:rsidRPr="003408A6">
        <w:rPr>
          <w:lang w:val="en-AU"/>
        </w:rPr>
        <w:t xml:space="preserve"> and</w:t>
      </w:r>
      <w:r w:rsidRPr="003408A6">
        <w:rPr>
          <w:lang w:val="en-AU"/>
        </w:rPr>
        <w:t xml:space="preserve"> </w:t>
      </w:r>
      <w:r w:rsidR="00FE5C85" w:rsidRPr="003408A6">
        <w:rPr>
          <w:lang w:val="en-AU"/>
        </w:rPr>
        <w:t xml:space="preserve">funding of </w:t>
      </w:r>
      <w:r w:rsidRPr="003408A6">
        <w:rPr>
          <w:lang w:val="en-AU"/>
        </w:rPr>
        <w:t xml:space="preserve">the delivery of the program was the responsibility of the </w:t>
      </w:r>
      <w:r w:rsidR="001320B0" w:rsidRPr="003408A6">
        <w:rPr>
          <w:lang w:val="en-AU"/>
        </w:rPr>
        <w:t>s</w:t>
      </w:r>
      <w:r w:rsidRPr="003408A6">
        <w:rPr>
          <w:lang w:val="en-AU"/>
        </w:rPr>
        <w:t xml:space="preserve">tates and </w:t>
      </w:r>
      <w:r w:rsidR="001320B0" w:rsidRPr="003408A6">
        <w:rPr>
          <w:lang w:val="en-AU"/>
        </w:rPr>
        <w:t>t</w:t>
      </w:r>
      <w:r w:rsidRPr="003408A6">
        <w:rPr>
          <w:lang w:val="en-AU"/>
        </w:rPr>
        <w:t xml:space="preserve">erritories. </w:t>
      </w:r>
      <w:r w:rsidR="00F42839" w:rsidRPr="003408A6">
        <w:rPr>
          <w:lang w:val="en-AU"/>
        </w:rPr>
        <w:t>The</w:t>
      </w:r>
      <w:r w:rsidR="00CC6DFD" w:rsidRPr="003408A6">
        <w:rPr>
          <w:lang w:val="en-AU"/>
        </w:rPr>
        <w:t xml:space="preserve">se arrangements are consistent with the Commonwealth and state and territory responsibilities set out in the </w:t>
      </w:r>
      <w:r w:rsidR="00F42839" w:rsidRPr="003408A6">
        <w:rPr>
          <w:lang w:val="en-AU"/>
        </w:rPr>
        <w:t>National Partnership Agreement on Essential Vaccines (NPEV)</w:t>
      </w:r>
      <w:r w:rsidR="00264D74" w:rsidRPr="003408A6">
        <w:rPr>
          <w:lang w:val="en-AU"/>
        </w:rPr>
        <w:t xml:space="preserve"> which provides the framework for funding arrangements that support implementation of the </w:t>
      </w:r>
      <w:r w:rsidR="00E264E5">
        <w:rPr>
          <w:lang w:val="en-AU"/>
        </w:rPr>
        <w:t>NIP</w:t>
      </w:r>
      <w:r w:rsidR="00264D74" w:rsidRPr="003408A6">
        <w:rPr>
          <w:lang w:val="en-AU"/>
        </w:rPr>
        <w:t>.</w:t>
      </w:r>
    </w:p>
    <w:p w:rsidR="009A1A1C" w:rsidRPr="003408A6" w:rsidRDefault="00F42839" w:rsidP="006C73CE">
      <w:pPr>
        <w:pStyle w:val="BodyText"/>
        <w:rPr>
          <w:lang w:val="en-AU"/>
        </w:rPr>
      </w:pPr>
      <w:r w:rsidRPr="003408A6">
        <w:rPr>
          <w:lang w:val="en-AU"/>
        </w:rPr>
        <w:t xml:space="preserve">The NPEV does not provide funding for delivery activities associated with vaccination programs within </w:t>
      </w:r>
      <w:r w:rsidR="00786E4C">
        <w:rPr>
          <w:lang w:val="en-AU"/>
        </w:rPr>
        <w:t>s</w:t>
      </w:r>
      <w:r w:rsidRPr="003408A6">
        <w:rPr>
          <w:lang w:val="en-AU"/>
        </w:rPr>
        <w:t xml:space="preserve">tates and </w:t>
      </w:r>
      <w:r w:rsidR="00C50792">
        <w:rPr>
          <w:lang w:val="en-AU"/>
        </w:rPr>
        <w:t>t</w:t>
      </w:r>
      <w:r w:rsidRPr="003408A6">
        <w:rPr>
          <w:lang w:val="en-AU"/>
        </w:rPr>
        <w:t>erritories, including school</w:t>
      </w:r>
      <w:r w:rsidR="00C50792">
        <w:rPr>
          <w:lang w:val="en-AU"/>
        </w:rPr>
        <w:t>-</w:t>
      </w:r>
      <w:r w:rsidRPr="003408A6">
        <w:rPr>
          <w:lang w:val="en-AU"/>
        </w:rPr>
        <w:t xml:space="preserve">based programs. Funds </w:t>
      </w:r>
      <w:r w:rsidR="001D2E22" w:rsidRPr="003408A6">
        <w:rPr>
          <w:lang w:val="en-AU"/>
        </w:rPr>
        <w:t>for service delivery</w:t>
      </w:r>
      <w:r w:rsidRPr="003408A6">
        <w:rPr>
          <w:lang w:val="en-AU"/>
        </w:rPr>
        <w:t xml:space="preserve"> have been incorporated in the National H</w:t>
      </w:r>
      <w:r w:rsidR="001D2E22" w:rsidRPr="003408A6">
        <w:rPr>
          <w:lang w:val="en-AU"/>
        </w:rPr>
        <w:t xml:space="preserve">ealth Reform Agreement payments which are made under the </w:t>
      </w:r>
      <w:r w:rsidRPr="003408A6">
        <w:rPr>
          <w:lang w:val="en-AU"/>
        </w:rPr>
        <w:t>National Healthcare Agreement</w:t>
      </w:r>
      <w:r w:rsidR="001D2E22" w:rsidRPr="003408A6">
        <w:rPr>
          <w:lang w:val="en-AU"/>
        </w:rPr>
        <w:t>.</w:t>
      </w:r>
    </w:p>
    <w:p w:rsidR="008454B0" w:rsidRPr="003408A6" w:rsidRDefault="008454B0" w:rsidP="006C73CE">
      <w:pPr>
        <w:pStyle w:val="Heading5"/>
      </w:pPr>
      <w:r w:rsidRPr="003408A6">
        <w:t>Strengths of the funding model</w:t>
      </w:r>
    </w:p>
    <w:p w:rsidR="008454B0" w:rsidRPr="003408A6" w:rsidRDefault="008454B0" w:rsidP="006C73CE">
      <w:pPr>
        <w:pStyle w:val="BodyText"/>
        <w:rPr>
          <w:lang w:val="en-AU"/>
        </w:rPr>
      </w:pPr>
      <w:r w:rsidRPr="003408A6">
        <w:rPr>
          <w:lang w:val="en-AU"/>
        </w:rPr>
        <w:t xml:space="preserve">One </w:t>
      </w:r>
      <w:r w:rsidR="00C50792">
        <w:rPr>
          <w:lang w:val="en-AU"/>
        </w:rPr>
        <w:t>i</w:t>
      </w:r>
      <w:r w:rsidRPr="003408A6">
        <w:rPr>
          <w:lang w:val="en-AU"/>
        </w:rPr>
        <w:t xml:space="preserve">mmunisation program manager observed that Australia was a world leader in funding the HPV vaccine on a population level. Some immunisation program managers and school-based vaccination providers commended the Australian </w:t>
      </w:r>
      <w:r w:rsidR="001B3B24" w:rsidRPr="003408A6">
        <w:rPr>
          <w:lang w:val="en-AU"/>
        </w:rPr>
        <w:t>g</w:t>
      </w:r>
      <w:r w:rsidRPr="003408A6">
        <w:rPr>
          <w:lang w:val="en-AU"/>
        </w:rPr>
        <w:t>overnment for extending the funded program to include adolescent males.</w:t>
      </w:r>
    </w:p>
    <w:p w:rsidR="008454B0" w:rsidRPr="003408A6" w:rsidRDefault="008454B0" w:rsidP="006C73CE">
      <w:pPr>
        <w:pStyle w:val="Blockquote"/>
      </w:pPr>
      <w:r w:rsidRPr="003408A6">
        <w:t xml:space="preserve">“I think the strengths are that [it has] been acknowledged that there is value in giving it to boys and that the Commonwealth have put the funding to ensuring that it happens.” </w:t>
      </w:r>
    </w:p>
    <w:p w:rsidR="008454B0" w:rsidRPr="003408A6" w:rsidRDefault="008454B0" w:rsidP="006C73CE">
      <w:pPr>
        <w:pStyle w:val="Heading5"/>
      </w:pPr>
      <w:r w:rsidRPr="003408A6">
        <w:t>Challenges of the funding model</w:t>
      </w:r>
    </w:p>
    <w:p w:rsidR="008454B0" w:rsidRPr="003408A6" w:rsidRDefault="008454B0" w:rsidP="006C73CE">
      <w:pPr>
        <w:pStyle w:val="BodyText"/>
        <w:rPr>
          <w:lang w:val="en-AU"/>
        </w:rPr>
      </w:pPr>
      <w:r w:rsidRPr="003408A6">
        <w:rPr>
          <w:lang w:val="en-AU"/>
        </w:rPr>
        <w:t xml:space="preserve">The majority of immunisation program managers discussed funding of service delivery </w:t>
      </w:r>
      <w:r w:rsidR="00C50792">
        <w:rPr>
          <w:lang w:val="en-AU"/>
        </w:rPr>
        <w:t>for</w:t>
      </w:r>
      <w:r w:rsidRPr="003408A6">
        <w:rPr>
          <w:lang w:val="en-AU"/>
        </w:rPr>
        <w:t xml:space="preserve"> the rollout of the extended HPV </w:t>
      </w:r>
      <w:r w:rsidR="00C50792">
        <w:rPr>
          <w:lang w:val="en-AU"/>
        </w:rPr>
        <w:t>v</w:t>
      </w:r>
      <w:r w:rsidRPr="003408A6">
        <w:rPr>
          <w:lang w:val="en-AU"/>
        </w:rPr>
        <w:t xml:space="preserve">accination </w:t>
      </w:r>
      <w:r w:rsidR="00C50792">
        <w:rPr>
          <w:lang w:val="en-AU"/>
        </w:rPr>
        <w:t>p</w:t>
      </w:r>
      <w:r w:rsidRPr="003408A6">
        <w:rPr>
          <w:lang w:val="en-AU"/>
        </w:rPr>
        <w:t xml:space="preserve">rogram for adolescent males as a major challenge (n=7). Immunisation programs had to compete </w:t>
      </w:r>
      <w:r w:rsidR="00CE4193" w:rsidRPr="003408A6">
        <w:rPr>
          <w:lang w:val="en-AU"/>
        </w:rPr>
        <w:t xml:space="preserve">with other priorities </w:t>
      </w:r>
      <w:r w:rsidRPr="003408A6">
        <w:rPr>
          <w:lang w:val="en-AU"/>
        </w:rPr>
        <w:t xml:space="preserve">for funding </w:t>
      </w:r>
      <w:r w:rsidR="00CE4193" w:rsidRPr="003408A6">
        <w:rPr>
          <w:lang w:val="en-AU"/>
        </w:rPr>
        <w:t>within their</w:t>
      </w:r>
      <w:r w:rsidRPr="003408A6">
        <w:rPr>
          <w:lang w:val="en-AU"/>
        </w:rPr>
        <w:t xml:space="preserve"> jurisdictional health service</w:t>
      </w:r>
      <w:r w:rsidR="00CE4193" w:rsidRPr="003408A6">
        <w:rPr>
          <w:lang w:val="en-AU"/>
        </w:rPr>
        <w:t>s</w:t>
      </w:r>
      <w:r w:rsidRPr="003408A6">
        <w:rPr>
          <w:lang w:val="en-AU"/>
        </w:rPr>
        <w:t xml:space="preserve">. </w:t>
      </w:r>
      <w:r w:rsidR="003E08A1" w:rsidRPr="003408A6">
        <w:rPr>
          <w:lang w:val="en-AU"/>
        </w:rPr>
        <w:t xml:space="preserve">Some jurisdictions felt the strain of funding the extended program for males more than other jurisdictions. </w:t>
      </w:r>
      <w:r w:rsidR="00CE4193" w:rsidRPr="003408A6">
        <w:rPr>
          <w:lang w:val="en-AU"/>
        </w:rPr>
        <w:t xml:space="preserve">For some jurisdictions there </w:t>
      </w:r>
      <w:r w:rsidRPr="003408A6">
        <w:rPr>
          <w:lang w:val="en-AU"/>
        </w:rPr>
        <w:t>was a</w:t>
      </w:r>
      <w:r w:rsidR="00CE4193" w:rsidRPr="003408A6">
        <w:rPr>
          <w:lang w:val="en-AU"/>
        </w:rPr>
        <w:t>n appreciable</w:t>
      </w:r>
      <w:r w:rsidRPr="003408A6">
        <w:rPr>
          <w:lang w:val="en-AU"/>
        </w:rPr>
        <w:t xml:space="preserve"> opportunity cost of delivering the extended HPV </w:t>
      </w:r>
      <w:r w:rsidR="00C50792">
        <w:rPr>
          <w:lang w:val="en-AU"/>
        </w:rPr>
        <w:t>v</w:t>
      </w:r>
      <w:r w:rsidRPr="003408A6">
        <w:rPr>
          <w:lang w:val="en-AU"/>
        </w:rPr>
        <w:t xml:space="preserve">accination </w:t>
      </w:r>
      <w:r w:rsidR="00C50792">
        <w:rPr>
          <w:lang w:val="en-AU"/>
        </w:rPr>
        <w:t>p</w:t>
      </w:r>
      <w:r w:rsidRPr="003408A6">
        <w:rPr>
          <w:lang w:val="en-AU"/>
        </w:rPr>
        <w:t xml:space="preserve">rogram for adolescent males. Funding for the delivery of school-based </w:t>
      </w:r>
      <w:r w:rsidR="00C50792">
        <w:rPr>
          <w:lang w:val="en-AU"/>
        </w:rPr>
        <w:t>vaccination</w:t>
      </w:r>
      <w:r w:rsidR="00C50792" w:rsidRPr="003408A6">
        <w:rPr>
          <w:lang w:val="en-AU"/>
        </w:rPr>
        <w:t xml:space="preserve"> </w:t>
      </w:r>
      <w:r w:rsidRPr="003408A6">
        <w:rPr>
          <w:lang w:val="en-AU"/>
        </w:rPr>
        <w:t>programs has not kept pace with costs in some jurisdictions.</w:t>
      </w:r>
      <w:r w:rsidR="003E08A1" w:rsidRPr="003408A6">
        <w:rPr>
          <w:lang w:val="en-AU"/>
        </w:rPr>
        <w:t xml:space="preserve"> </w:t>
      </w:r>
    </w:p>
    <w:p w:rsidR="008454B0" w:rsidRPr="003408A6" w:rsidRDefault="008454B0" w:rsidP="006C73CE">
      <w:pPr>
        <w:pStyle w:val="Blockquote"/>
      </w:pPr>
      <w:r w:rsidRPr="003408A6">
        <w:t>“</w:t>
      </w:r>
      <w:r w:rsidR="00BC68C7" w:rsidRPr="003408A6">
        <w:t>T</w:t>
      </w:r>
      <w:r w:rsidRPr="003408A6">
        <w:t xml:space="preserve">he biggest challenge is resources and funding. Everybody’s competing for funding in the health services, and public health is always the poor people. Health services do not allocate sufficient funding to resource immunisation programs.” </w:t>
      </w:r>
    </w:p>
    <w:p w:rsidR="008454B0" w:rsidRPr="003408A6" w:rsidRDefault="008454B0" w:rsidP="006C73CE">
      <w:pPr>
        <w:pStyle w:val="BodyText"/>
        <w:rPr>
          <w:lang w:val="en-AU"/>
        </w:rPr>
      </w:pPr>
      <w:r w:rsidRPr="003408A6">
        <w:rPr>
          <w:lang w:val="en-AU"/>
        </w:rPr>
        <w:t xml:space="preserve">One school-based coordinator from South Australia noted that adequate funding of service delivery was important for the long-term sustainability of the program. Local government and other providers cannot be expected to keep supporting programs without funding. </w:t>
      </w:r>
    </w:p>
    <w:p w:rsidR="00A55621" w:rsidRPr="003408A6" w:rsidRDefault="003E08A1" w:rsidP="006C73CE">
      <w:pPr>
        <w:pStyle w:val="BodyText"/>
        <w:rPr>
          <w:lang w:val="en-AU"/>
        </w:rPr>
      </w:pPr>
      <w:r w:rsidRPr="003408A6">
        <w:rPr>
          <w:lang w:val="en-AU"/>
        </w:rPr>
        <w:t>Despite the funding model agreed to in the NPEV many, but not all, jurisdictional program managers expressed disappointment that the Commonwealth had not provided extra funding support for service delivery of such a large school-based program</w:t>
      </w:r>
      <w:r w:rsidR="004B36F0" w:rsidRPr="003408A6">
        <w:rPr>
          <w:lang w:val="en-AU"/>
        </w:rPr>
        <w:t>.</w:t>
      </w:r>
      <w:r w:rsidRPr="003408A6">
        <w:rPr>
          <w:lang w:val="en-AU"/>
        </w:rPr>
        <w:t xml:space="preserve"> </w:t>
      </w:r>
      <w:r w:rsidR="00A55621" w:rsidRPr="003408A6">
        <w:rPr>
          <w:lang w:val="en-AU"/>
        </w:rPr>
        <w:t>There had been some expectation of Commonwealth funding support for service delivery with the</w:t>
      </w:r>
      <w:r w:rsidR="008F29E5" w:rsidRPr="003408A6">
        <w:rPr>
          <w:lang w:val="en-AU"/>
        </w:rPr>
        <w:t xml:space="preserve"> rollout of the </w:t>
      </w:r>
      <w:r w:rsidR="00A55621" w:rsidRPr="003408A6">
        <w:rPr>
          <w:lang w:val="en-AU"/>
        </w:rPr>
        <w:t xml:space="preserve">male program as there had been for the rollout of the female program. </w:t>
      </w:r>
    </w:p>
    <w:p w:rsidR="00516224" w:rsidRPr="003408A6" w:rsidRDefault="008454B0" w:rsidP="006C73CE">
      <w:pPr>
        <w:pStyle w:val="BodyText"/>
        <w:rPr>
          <w:lang w:val="en-AU"/>
        </w:rPr>
      </w:pPr>
      <w:r w:rsidRPr="003408A6">
        <w:rPr>
          <w:lang w:val="en-AU"/>
        </w:rPr>
        <w:t xml:space="preserve">Several immunisation program managers discussed the need for a better model for funding the service delivery of the National HPV Vaccination Program. </w:t>
      </w:r>
    </w:p>
    <w:p w:rsidR="008454B0" w:rsidRPr="003408A6" w:rsidRDefault="00516224" w:rsidP="006C73CE">
      <w:pPr>
        <w:pStyle w:val="BodyText"/>
        <w:rPr>
          <w:lang w:val="en-AU"/>
        </w:rPr>
      </w:pPr>
      <w:r w:rsidRPr="003408A6">
        <w:rPr>
          <w:lang w:val="en-AU"/>
        </w:rPr>
        <w:t>The Australian Department of Health recognised that the announcement of the male program was made after jurisdictions had allocated their budgets and appreciated the efforts of the jurisdictions to accommodate the extended HPV vaccination program into their existing budget allocations to ensure the program was implemented.</w:t>
      </w:r>
    </w:p>
    <w:p w:rsidR="008454B0" w:rsidRPr="003408A6" w:rsidRDefault="008454B0" w:rsidP="006C73CE">
      <w:pPr>
        <w:pStyle w:val="Heading5"/>
      </w:pPr>
      <w:r w:rsidRPr="003408A6">
        <w:t xml:space="preserve">Amendments to policies and guidelines </w:t>
      </w:r>
    </w:p>
    <w:p w:rsidR="008454B0" w:rsidRPr="003408A6" w:rsidRDefault="008454B0" w:rsidP="006C73CE">
      <w:pPr>
        <w:pStyle w:val="BodyText"/>
        <w:rPr>
          <w:lang w:val="en-AU"/>
        </w:rPr>
      </w:pPr>
      <w:r w:rsidRPr="003408A6">
        <w:rPr>
          <w:lang w:val="en-AU"/>
        </w:rPr>
        <w:t xml:space="preserve">The extension of the National HPV Vaccination Program to include males did not require major amendments to policies </w:t>
      </w:r>
      <w:r w:rsidR="00516224" w:rsidRPr="003408A6">
        <w:rPr>
          <w:lang w:val="en-AU"/>
        </w:rPr>
        <w:t xml:space="preserve">by the Australian </w:t>
      </w:r>
      <w:r w:rsidR="00C50792">
        <w:rPr>
          <w:lang w:val="en-AU"/>
        </w:rPr>
        <w:t>g</w:t>
      </w:r>
      <w:r w:rsidR="00516224" w:rsidRPr="003408A6">
        <w:rPr>
          <w:lang w:val="en-AU"/>
        </w:rPr>
        <w:t xml:space="preserve">overnment or </w:t>
      </w:r>
      <w:r w:rsidRPr="003408A6">
        <w:rPr>
          <w:lang w:val="en-AU"/>
        </w:rPr>
        <w:t xml:space="preserve">in most jurisdictions. </w:t>
      </w:r>
    </w:p>
    <w:p w:rsidR="00782642" w:rsidRPr="003408A6" w:rsidRDefault="00516224" w:rsidP="006C73CE">
      <w:pPr>
        <w:pStyle w:val="BodyText"/>
        <w:rPr>
          <w:lang w:val="en-AU"/>
        </w:rPr>
      </w:pPr>
      <w:r w:rsidRPr="003408A6">
        <w:rPr>
          <w:lang w:val="en-AU"/>
        </w:rPr>
        <w:t xml:space="preserve">Amendments that were mentioned by </w:t>
      </w:r>
      <w:r w:rsidR="008454B0" w:rsidRPr="003408A6">
        <w:rPr>
          <w:lang w:val="en-AU"/>
        </w:rPr>
        <w:t>N</w:t>
      </w:r>
      <w:r w:rsidR="008B39E1" w:rsidRPr="003408A6">
        <w:rPr>
          <w:lang w:val="en-AU"/>
        </w:rPr>
        <w:t xml:space="preserve">ew </w:t>
      </w:r>
      <w:r w:rsidR="008454B0" w:rsidRPr="003408A6">
        <w:rPr>
          <w:lang w:val="en-AU"/>
        </w:rPr>
        <w:t>S</w:t>
      </w:r>
      <w:r w:rsidR="008B39E1" w:rsidRPr="003408A6">
        <w:rPr>
          <w:lang w:val="en-AU"/>
        </w:rPr>
        <w:t xml:space="preserve">outh </w:t>
      </w:r>
      <w:r w:rsidR="008454B0" w:rsidRPr="003408A6">
        <w:rPr>
          <w:lang w:val="en-AU"/>
        </w:rPr>
        <w:t>W</w:t>
      </w:r>
      <w:r w:rsidR="008B39E1" w:rsidRPr="003408A6">
        <w:rPr>
          <w:lang w:val="en-AU"/>
        </w:rPr>
        <w:t>ales</w:t>
      </w:r>
      <w:r w:rsidR="008454B0" w:rsidRPr="003408A6">
        <w:rPr>
          <w:lang w:val="en-AU"/>
        </w:rPr>
        <w:t xml:space="preserve">, the </w:t>
      </w:r>
      <w:r w:rsidR="008B39E1" w:rsidRPr="003408A6">
        <w:rPr>
          <w:lang w:val="en-AU"/>
        </w:rPr>
        <w:t xml:space="preserve">Australian Capital Territory </w:t>
      </w:r>
      <w:r w:rsidR="008454B0" w:rsidRPr="003408A6">
        <w:rPr>
          <w:lang w:val="en-AU"/>
        </w:rPr>
        <w:t xml:space="preserve">and Victoria </w:t>
      </w:r>
      <w:r w:rsidRPr="003408A6">
        <w:rPr>
          <w:lang w:val="en-AU"/>
        </w:rPr>
        <w:t>included changes</w:t>
      </w:r>
      <w:r w:rsidR="008454B0" w:rsidRPr="003408A6">
        <w:rPr>
          <w:lang w:val="en-AU"/>
        </w:rPr>
        <w:t xml:space="preserve"> to protocols, standing orders for nurses, eligibility policies</w:t>
      </w:r>
      <w:r w:rsidR="000D3A2B" w:rsidRPr="003408A6">
        <w:rPr>
          <w:lang w:val="en-AU"/>
        </w:rPr>
        <w:t xml:space="preserve"> and reviewing tenders for the purchase of vaccines. </w:t>
      </w:r>
    </w:p>
    <w:p w:rsidR="008454B0" w:rsidRPr="003408A6" w:rsidRDefault="00782642" w:rsidP="006C73CE">
      <w:pPr>
        <w:pStyle w:val="BodyText"/>
        <w:rPr>
          <w:lang w:val="en-AU"/>
        </w:rPr>
      </w:pPr>
      <w:r w:rsidRPr="003408A6">
        <w:rPr>
          <w:lang w:val="en-AU"/>
        </w:rPr>
        <w:t>In 2007</w:t>
      </w:r>
      <w:r w:rsidR="00C50792">
        <w:rPr>
          <w:lang w:val="en-AU"/>
        </w:rPr>
        <w:t>,</w:t>
      </w:r>
      <w:r w:rsidRPr="003408A6">
        <w:rPr>
          <w:lang w:val="en-AU"/>
        </w:rPr>
        <w:t xml:space="preserve"> at the start of the female program</w:t>
      </w:r>
      <w:r w:rsidR="00C50792">
        <w:rPr>
          <w:lang w:val="en-AU"/>
        </w:rPr>
        <w:t>,</w:t>
      </w:r>
      <w:r w:rsidRPr="003408A6">
        <w:rPr>
          <w:lang w:val="en-AU"/>
        </w:rPr>
        <w:t xml:space="preserve"> the Commonwealth funded the states and territories to purchase the</w:t>
      </w:r>
      <w:r w:rsidR="00AE7744" w:rsidRPr="003408A6">
        <w:rPr>
          <w:lang w:val="en-AU"/>
        </w:rPr>
        <w:t>ir own</w:t>
      </w:r>
      <w:r w:rsidRPr="003408A6">
        <w:rPr>
          <w:lang w:val="en-AU"/>
        </w:rPr>
        <w:t xml:space="preserve"> vaccine</w:t>
      </w:r>
      <w:r w:rsidR="00AE7744" w:rsidRPr="003408A6">
        <w:rPr>
          <w:lang w:val="en-AU"/>
        </w:rPr>
        <w:t>s</w:t>
      </w:r>
      <w:r w:rsidRPr="003408A6">
        <w:rPr>
          <w:lang w:val="en-AU"/>
        </w:rPr>
        <w:t>. From 2009</w:t>
      </w:r>
      <w:r w:rsidR="00C50792">
        <w:rPr>
          <w:lang w:val="en-AU"/>
        </w:rPr>
        <w:t>,</w:t>
      </w:r>
      <w:r w:rsidRPr="003408A6">
        <w:rPr>
          <w:lang w:val="en-AU"/>
        </w:rPr>
        <w:t xml:space="preserve"> </w:t>
      </w:r>
      <w:r w:rsidR="002F353D" w:rsidRPr="003408A6">
        <w:rPr>
          <w:lang w:val="en-AU"/>
        </w:rPr>
        <w:t xml:space="preserve">under the </w:t>
      </w:r>
      <w:r w:rsidR="00FD06F5">
        <w:rPr>
          <w:lang w:val="en-AU"/>
        </w:rPr>
        <w:t>NPEV</w:t>
      </w:r>
      <w:r w:rsidR="002F353D" w:rsidRPr="003408A6">
        <w:rPr>
          <w:lang w:val="en-AU"/>
        </w:rPr>
        <w:t xml:space="preserve">, </w:t>
      </w:r>
      <w:r w:rsidRPr="003408A6">
        <w:rPr>
          <w:lang w:val="en-AU"/>
        </w:rPr>
        <w:t xml:space="preserve">the Commonwealth </w:t>
      </w:r>
      <w:r w:rsidR="00AE7744" w:rsidRPr="003408A6">
        <w:rPr>
          <w:lang w:val="en-AU"/>
        </w:rPr>
        <w:t>progressively moved to directly purchasing</w:t>
      </w:r>
      <w:r w:rsidRPr="003408A6">
        <w:rPr>
          <w:lang w:val="en-AU"/>
        </w:rPr>
        <w:t xml:space="preserve"> vaccines </w:t>
      </w:r>
      <w:r w:rsidR="00AE7744" w:rsidRPr="003408A6">
        <w:rPr>
          <w:lang w:val="en-AU"/>
        </w:rPr>
        <w:t>for use by</w:t>
      </w:r>
      <w:r w:rsidRPr="003408A6">
        <w:rPr>
          <w:lang w:val="en-AU"/>
        </w:rPr>
        <w:t xml:space="preserve"> the states</w:t>
      </w:r>
      <w:r w:rsidR="002F353D" w:rsidRPr="003408A6">
        <w:rPr>
          <w:lang w:val="en-AU"/>
        </w:rPr>
        <w:t xml:space="preserve"> and territories</w:t>
      </w:r>
      <w:r w:rsidR="00413B61" w:rsidRPr="003408A6">
        <w:rPr>
          <w:lang w:val="en-AU"/>
        </w:rPr>
        <w:t>.</w:t>
      </w:r>
      <w:hyperlink w:anchor="_ENREF_36" w:tooltip="COAG, 2009 #1354" w:history="1">
        <w:r w:rsidR="00F27F90" w:rsidRPr="003408A6">
          <w:rPr>
            <w:lang w:val="en-AU"/>
          </w:rPr>
          <w:fldChar w:fldCharType="begin"/>
        </w:r>
        <w:r w:rsidR="00F27F90">
          <w:rPr>
            <w:lang w:val="en-AU"/>
          </w:rPr>
          <w:instrText xml:space="preserve"> ADDIN EN.CITE &lt;EndNote&gt;&lt;Cite&gt;&lt;Author&gt;COAG&lt;/Author&gt;&lt;Year&gt;2009&lt;/Year&gt;&lt;RecNum&gt;1354&lt;/RecNum&gt;&lt;DisplayText&gt;&lt;style face="superscript"&gt;36&lt;/style&gt;&lt;/DisplayText&gt;&lt;record&gt;&lt;rec-number&gt;1354&lt;/rec-number&gt;&lt;foreign-keys&gt;&lt;key app="EN" db-id="dda0wweazfww9besetpx2r5pt0asp9ztvs95"&gt;1354&lt;/key&gt;&lt;/foreign-keys&gt;&lt;ref-type name="Web Page"&gt;12&lt;/ref-type&gt;&lt;contributors&gt;&lt;authors&gt;&lt;author&gt;COAG&lt;/author&gt;&lt;/authors&gt;&lt;/contributors&gt;&lt;titles&gt;&lt;title&gt;National Partnership Agreement on Essential Vaccines&lt;/title&gt;&lt;/titles&gt;&lt;dates&gt;&lt;year&gt;2009&lt;/year&gt;&lt;/dates&gt;&lt;urls&gt;&lt;related-urls&gt;&lt;url&gt;http://www.federalfinancialrelations.gov.au/content/npa/health_payments/essential_vaccines/national_partnership.pdf&lt;/url&gt;&lt;/related-urls&gt;&lt;/urls&gt;&lt;/record&gt;&lt;/Cite&gt;&lt;/EndNote&gt;</w:instrText>
        </w:r>
        <w:r w:rsidR="00F27F90" w:rsidRPr="003408A6">
          <w:rPr>
            <w:lang w:val="en-AU"/>
          </w:rPr>
          <w:fldChar w:fldCharType="separate"/>
        </w:r>
        <w:r w:rsidR="00F27F90" w:rsidRPr="003408A6">
          <w:rPr>
            <w:noProof/>
            <w:vertAlign w:val="superscript"/>
            <w:lang w:val="en-AU"/>
          </w:rPr>
          <w:t>36</w:t>
        </w:r>
        <w:r w:rsidR="00F27F90" w:rsidRPr="003408A6">
          <w:rPr>
            <w:lang w:val="en-AU"/>
          </w:rPr>
          <w:fldChar w:fldCharType="end"/>
        </w:r>
      </w:hyperlink>
      <w:r w:rsidR="002F353D" w:rsidRPr="003408A6">
        <w:rPr>
          <w:lang w:val="en-AU"/>
        </w:rPr>
        <w:t xml:space="preserve"> Under the agreement</w:t>
      </w:r>
      <w:r w:rsidR="00C50792">
        <w:rPr>
          <w:lang w:val="en-AU"/>
        </w:rPr>
        <w:t>,</w:t>
      </w:r>
      <w:r w:rsidR="002F353D" w:rsidRPr="003408A6">
        <w:rPr>
          <w:lang w:val="en-AU"/>
        </w:rPr>
        <w:t xml:space="preserve"> the </w:t>
      </w:r>
      <w:r w:rsidR="00C50792">
        <w:rPr>
          <w:lang w:val="en-AU"/>
        </w:rPr>
        <w:t xml:space="preserve">role of </w:t>
      </w:r>
      <w:r w:rsidR="002F353D" w:rsidRPr="003408A6">
        <w:rPr>
          <w:lang w:val="en-AU"/>
        </w:rPr>
        <w:t xml:space="preserve">states and territories is to assist with advice and procurement of tenders for the purchase of vaccines. </w:t>
      </w:r>
      <w:r w:rsidRPr="003408A6">
        <w:rPr>
          <w:lang w:val="en-AU"/>
        </w:rPr>
        <w:t xml:space="preserve">With the announcement of the </w:t>
      </w:r>
      <w:r w:rsidR="00AE7744" w:rsidRPr="003408A6">
        <w:rPr>
          <w:lang w:val="en-AU"/>
        </w:rPr>
        <w:t xml:space="preserve">extension of the HPV program to adolescent </w:t>
      </w:r>
      <w:r w:rsidRPr="003408A6">
        <w:rPr>
          <w:lang w:val="en-AU"/>
        </w:rPr>
        <w:t>male</w:t>
      </w:r>
      <w:r w:rsidR="00AE7744" w:rsidRPr="003408A6">
        <w:rPr>
          <w:lang w:val="en-AU"/>
        </w:rPr>
        <w:t>s</w:t>
      </w:r>
      <w:r w:rsidRPr="003408A6">
        <w:rPr>
          <w:lang w:val="en-AU"/>
        </w:rPr>
        <w:t xml:space="preserve"> the </w:t>
      </w:r>
      <w:r w:rsidR="00AE7744" w:rsidRPr="003408A6">
        <w:rPr>
          <w:lang w:val="en-AU"/>
        </w:rPr>
        <w:t xml:space="preserve">Commonwealth took over the purchase and supply of the HPV vaccine for the </w:t>
      </w:r>
      <w:r w:rsidRPr="003408A6">
        <w:rPr>
          <w:lang w:val="en-AU"/>
        </w:rPr>
        <w:t xml:space="preserve">last of the jurisdictions still purchasing its own HPV vaccine </w:t>
      </w:r>
      <w:r w:rsidR="00AE7744" w:rsidRPr="003408A6">
        <w:rPr>
          <w:lang w:val="en-AU"/>
        </w:rPr>
        <w:t>under transitional arrangements</w:t>
      </w:r>
      <w:r w:rsidR="000D3A2B" w:rsidRPr="003408A6">
        <w:rPr>
          <w:lang w:val="en-AU"/>
        </w:rPr>
        <w:t xml:space="preserve">. </w:t>
      </w:r>
    </w:p>
    <w:p w:rsidR="00283733" w:rsidRPr="003408A6" w:rsidRDefault="008454B0" w:rsidP="006C73CE">
      <w:pPr>
        <w:pStyle w:val="BodyText"/>
        <w:rPr>
          <w:lang w:val="en-AU"/>
        </w:rPr>
      </w:pPr>
      <w:r w:rsidRPr="003408A6">
        <w:rPr>
          <w:lang w:val="en-AU"/>
        </w:rPr>
        <w:t xml:space="preserve">In </w:t>
      </w:r>
      <w:r w:rsidR="008B39E1" w:rsidRPr="003408A6">
        <w:rPr>
          <w:lang w:val="en-AU"/>
        </w:rPr>
        <w:t>Queensland</w:t>
      </w:r>
      <w:r w:rsidRPr="003408A6">
        <w:rPr>
          <w:lang w:val="en-AU"/>
        </w:rPr>
        <w:t xml:space="preserve">, Tasmania, </w:t>
      </w:r>
      <w:r w:rsidR="008B39E1" w:rsidRPr="003408A6">
        <w:rPr>
          <w:lang w:val="en-AU"/>
        </w:rPr>
        <w:t>Western Australia</w:t>
      </w:r>
      <w:r w:rsidRPr="003408A6">
        <w:rPr>
          <w:lang w:val="en-AU"/>
        </w:rPr>
        <w:t xml:space="preserve"> and the </w:t>
      </w:r>
      <w:r w:rsidR="008B39E1" w:rsidRPr="003408A6">
        <w:rPr>
          <w:lang w:val="en-AU"/>
        </w:rPr>
        <w:t>Australian Capital Territory</w:t>
      </w:r>
      <w:r w:rsidRPr="003408A6">
        <w:rPr>
          <w:lang w:val="en-AU"/>
        </w:rPr>
        <w:t xml:space="preserve"> the original National HPV Vaccination Program for females and the later extension of the program to include males </w:t>
      </w:r>
      <w:r w:rsidR="00F84836" w:rsidRPr="003408A6">
        <w:rPr>
          <w:lang w:val="en-AU"/>
        </w:rPr>
        <w:t xml:space="preserve">has </w:t>
      </w:r>
      <w:r w:rsidR="00C13DC4" w:rsidRPr="003408A6">
        <w:rPr>
          <w:lang w:val="en-AU"/>
        </w:rPr>
        <w:t>provided the impetus for</w:t>
      </w:r>
      <w:r w:rsidRPr="003408A6">
        <w:rPr>
          <w:lang w:val="en-AU"/>
        </w:rPr>
        <w:t xml:space="preserve"> changes to their school-based vaccination program schedules and delivery.</w:t>
      </w:r>
      <w:r w:rsidR="00F84836" w:rsidRPr="003408A6">
        <w:rPr>
          <w:lang w:val="en-AU"/>
        </w:rPr>
        <w:t xml:space="preserve"> </w:t>
      </w:r>
      <w:r w:rsidR="00C13DC4" w:rsidRPr="003408A6">
        <w:rPr>
          <w:lang w:val="en-AU"/>
        </w:rPr>
        <w:t>For example, at the start of the male program</w:t>
      </w:r>
      <w:r w:rsidR="00C50792">
        <w:rPr>
          <w:lang w:val="en-AU"/>
        </w:rPr>
        <w:t>,</w:t>
      </w:r>
      <w:r w:rsidR="00C13DC4" w:rsidRPr="003408A6">
        <w:rPr>
          <w:lang w:val="en-AU"/>
        </w:rPr>
        <w:t xml:space="preserve"> Western Australia brought forward by </w:t>
      </w:r>
      <w:r w:rsidR="00C50792">
        <w:rPr>
          <w:lang w:val="en-AU"/>
        </w:rPr>
        <w:t>1</w:t>
      </w:r>
      <w:r w:rsidR="00C50792" w:rsidRPr="003408A6">
        <w:rPr>
          <w:lang w:val="en-AU"/>
        </w:rPr>
        <w:t xml:space="preserve"> </w:t>
      </w:r>
      <w:r w:rsidR="00C13DC4" w:rsidRPr="003408A6">
        <w:rPr>
          <w:lang w:val="en-AU"/>
        </w:rPr>
        <w:t xml:space="preserve">year plans to move the school-based program from primary to high school </w:t>
      </w:r>
      <w:r w:rsidR="00F84836" w:rsidRPr="003408A6">
        <w:rPr>
          <w:lang w:val="en-AU"/>
        </w:rPr>
        <w:t>(</w:t>
      </w:r>
      <w:r w:rsidR="00C50792">
        <w:rPr>
          <w:lang w:val="en-AU"/>
        </w:rPr>
        <w:t>s</w:t>
      </w:r>
      <w:r w:rsidR="00F84836" w:rsidRPr="003408A6">
        <w:rPr>
          <w:lang w:val="en-AU"/>
        </w:rPr>
        <w:t xml:space="preserve">ee section </w:t>
      </w:r>
      <w:r w:rsidR="00782642" w:rsidRPr="003408A6">
        <w:rPr>
          <w:lang w:val="en-AU"/>
        </w:rPr>
        <w:t xml:space="preserve">below </w:t>
      </w:r>
      <w:r w:rsidR="00F84836" w:rsidRPr="003408A6">
        <w:rPr>
          <w:lang w:val="en-AU"/>
        </w:rPr>
        <w:t>on school-based programs for more details</w:t>
      </w:r>
      <w:r w:rsidR="00C13DC4" w:rsidRPr="003408A6">
        <w:rPr>
          <w:lang w:val="en-AU"/>
        </w:rPr>
        <w:t xml:space="preserve"> for each jurisdiction</w:t>
      </w:r>
      <w:r w:rsidR="00F84836" w:rsidRPr="003408A6">
        <w:rPr>
          <w:lang w:val="en-AU"/>
        </w:rPr>
        <w:t>.)</w:t>
      </w:r>
      <w:r w:rsidR="00482879" w:rsidRPr="003408A6">
        <w:rPr>
          <w:lang w:val="en-AU"/>
        </w:rPr>
        <w:t xml:space="preserve"> </w:t>
      </w:r>
    </w:p>
    <w:p w:rsidR="00283733" w:rsidRPr="003408A6" w:rsidRDefault="00283733" w:rsidP="006C73CE">
      <w:pPr>
        <w:pStyle w:val="Heading5"/>
      </w:pPr>
      <w:r w:rsidRPr="003408A6">
        <w:t xml:space="preserve">Vaccine </w:t>
      </w:r>
      <w:r w:rsidR="00C50792">
        <w:t>s</w:t>
      </w:r>
      <w:r w:rsidRPr="003408A6">
        <w:t xml:space="preserve">afety </w:t>
      </w:r>
      <w:r w:rsidR="00C50792">
        <w:t>p</w:t>
      </w:r>
      <w:r w:rsidRPr="003408A6">
        <w:t>lan</w:t>
      </w:r>
    </w:p>
    <w:p w:rsidR="00283733" w:rsidRPr="003408A6" w:rsidRDefault="00283733" w:rsidP="006C73CE">
      <w:pPr>
        <w:pStyle w:val="BodyText"/>
        <w:rPr>
          <w:lang w:val="en-AU"/>
        </w:rPr>
      </w:pPr>
      <w:r w:rsidRPr="003408A6">
        <w:rPr>
          <w:lang w:val="en-AU"/>
        </w:rPr>
        <w:t xml:space="preserve">The TGA and the Immunisation Branch </w:t>
      </w:r>
      <w:r w:rsidR="00C50792">
        <w:rPr>
          <w:lang w:val="en-AU"/>
        </w:rPr>
        <w:t xml:space="preserve">of the </w:t>
      </w:r>
      <w:r w:rsidR="00786E4C">
        <w:rPr>
          <w:lang w:val="en-AU"/>
        </w:rPr>
        <w:t xml:space="preserve">Australian Government </w:t>
      </w:r>
      <w:r w:rsidR="00C50792">
        <w:rPr>
          <w:lang w:val="en-AU"/>
        </w:rPr>
        <w:t>D</w:t>
      </w:r>
      <w:r w:rsidR="00786E4C">
        <w:rPr>
          <w:lang w:val="en-AU"/>
        </w:rPr>
        <w:t xml:space="preserve">epartment </w:t>
      </w:r>
      <w:r w:rsidR="00C50792">
        <w:rPr>
          <w:lang w:val="en-AU"/>
        </w:rPr>
        <w:t>o</w:t>
      </w:r>
      <w:r w:rsidR="00786E4C">
        <w:rPr>
          <w:lang w:val="en-AU"/>
        </w:rPr>
        <w:t xml:space="preserve">f </w:t>
      </w:r>
      <w:r w:rsidR="00C50792">
        <w:rPr>
          <w:lang w:val="en-AU"/>
        </w:rPr>
        <w:t>H</w:t>
      </w:r>
      <w:r w:rsidR="00786E4C">
        <w:rPr>
          <w:lang w:val="en-AU"/>
        </w:rPr>
        <w:t>ealth</w:t>
      </w:r>
      <w:r w:rsidR="00C50792">
        <w:rPr>
          <w:lang w:val="en-AU"/>
        </w:rPr>
        <w:t xml:space="preserve"> </w:t>
      </w:r>
      <w:r w:rsidRPr="003408A6">
        <w:rPr>
          <w:lang w:val="en-AU"/>
        </w:rPr>
        <w:t>implemented a safety plan of enhanced surveillance of adverse events following immunisation for the rollout of the male program. During the implementation of the female program</w:t>
      </w:r>
      <w:r w:rsidR="000F3047" w:rsidRPr="003408A6">
        <w:rPr>
          <w:lang w:val="en-AU"/>
        </w:rPr>
        <w:t>,</w:t>
      </w:r>
      <w:r w:rsidRPr="003408A6">
        <w:rPr>
          <w:lang w:val="en-AU"/>
        </w:rPr>
        <w:t xml:space="preserve"> there was some concern that information about unexpected events (e</w:t>
      </w:r>
      <w:r w:rsidR="000F3047" w:rsidRPr="003408A6">
        <w:rPr>
          <w:lang w:val="en-AU"/>
        </w:rPr>
        <w:t>.</w:t>
      </w:r>
      <w:r w:rsidRPr="003408A6">
        <w:rPr>
          <w:lang w:val="en-AU"/>
        </w:rPr>
        <w:t>g</w:t>
      </w:r>
      <w:r w:rsidR="000F3047" w:rsidRPr="003408A6">
        <w:rPr>
          <w:lang w:val="en-AU"/>
        </w:rPr>
        <w:t>.</w:t>
      </w:r>
      <w:r w:rsidRPr="003408A6">
        <w:rPr>
          <w:lang w:val="en-AU"/>
        </w:rPr>
        <w:t xml:space="preserve"> the mass psychogenic illness in Victoria, the anaphylaxis cluster in NSW and the claims of a link between Gardasil</w:t>
      </w:r>
      <w:r w:rsidR="00413B61" w:rsidRPr="003408A6">
        <w:rPr>
          <w:vertAlign w:val="superscript"/>
          <w:lang w:val="en-AU"/>
        </w:rPr>
        <w:t>®</w:t>
      </w:r>
      <w:r w:rsidRPr="003408A6">
        <w:rPr>
          <w:lang w:val="en-AU"/>
        </w:rPr>
        <w:t xml:space="preserve"> and multiple sclerosis) was not </w:t>
      </w:r>
      <w:r w:rsidR="001C31F7" w:rsidRPr="003408A6">
        <w:rPr>
          <w:lang w:val="en-AU"/>
        </w:rPr>
        <w:t xml:space="preserve">rapidly </w:t>
      </w:r>
      <w:r w:rsidRPr="003408A6">
        <w:rPr>
          <w:lang w:val="en-AU"/>
        </w:rPr>
        <w:t>collated centrally and shared early enough.</w:t>
      </w:r>
    </w:p>
    <w:p w:rsidR="00283733" w:rsidRPr="003408A6" w:rsidRDefault="00283733" w:rsidP="006C73CE">
      <w:pPr>
        <w:pStyle w:val="BodyText"/>
        <w:rPr>
          <w:lang w:val="en-AU"/>
        </w:rPr>
      </w:pPr>
      <w:r w:rsidRPr="003408A6">
        <w:rPr>
          <w:lang w:val="en-AU"/>
        </w:rPr>
        <w:t xml:space="preserve">The main aim of the safety plan was to ensure that the TGA and jurisdictions were notified early of any unexpected adverse events with the male program. </w:t>
      </w:r>
    </w:p>
    <w:p w:rsidR="00283733" w:rsidRPr="003408A6" w:rsidRDefault="00283733" w:rsidP="006C73CE">
      <w:pPr>
        <w:pStyle w:val="BodyText"/>
        <w:rPr>
          <w:lang w:val="en-AU"/>
        </w:rPr>
      </w:pPr>
      <w:r w:rsidRPr="003408A6">
        <w:rPr>
          <w:lang w:val="en-AU"/>
        </w:rPr>
        <w:t>The safety plan involve</w:t>
      </w:r>
      <w:r w:rsidR="000F3047" w:rsidRPr="003408A6">
        <w:rPr>
          <w:lang w:val="en-AU"/>
        </w:rPr>
        <w:t>d</w:t>
      </w:r>
      <w:r w:rsidRPr="003408A6">
        <w:rPr>
          <w:lang w:val="en-AU"/>
        </w:rPr>
        <w:t xml:space="preserve"> enhanced surveillance of four conditions: anaphylaxis; generalised allergic reaction; loss of consciousness (simple faints, faints with injury, faints with convulsion); and any condition requiring emergency department attendance or hospitalisation.</w:t>
      </w:r>
      <w:r w:rsidRPr="003408A6" w:rsidDel="000C3205">
        <w:rPr>
          <w:lang w:val="en-AU"/>
        </w:rPr>
        <w:t xml:space="preserve"> </w:t>
      </w:r>
    </w:p>
    <w:p w:rsidR="00283733" w:rsidRPr="003408A6" w:rsidRDefault="00283733" w:rsidP="006C73CE">
      <w:pPr>
        <w:pStyle w:val="BodyText"/>
        <w:rPr>
          <w:lang w:val="en-AU"/>
        </w:rPr>
      </w:pPr>
      <w:r w:rsidRPr="003408A6">
        <w:rPr>
          <w:lang w:val="en-AU"/>
        </w:rPr>
        <w:t>The enhanced surveillance of adverse events involve</w:t>
      </w:r>
      <w:r w:rsidR="000F3047" w:rsidRPr="003408A6">
        <w:rPr>
          <w:lang w:val="en-AU"/>
        </w:rPr>
        <w:t>d</w:t>
      </w:r>
      <w:r w:rsidRPr="003408A6">
        <w:rPr>
          <w:lang w:val="en-AU"/>
        </w:rPr>
        <w:t xml:space="preserve"> more rapid reporting from the states/territories to the TGA and a weekly collation of summary data by the TGA shared with the Immunisation Branch and the jurisdictions and discussed at regular teleconferences. Teleconferences were held weekly until the completion of the first dose of vaccine</w:t>
      </w:r>
      <w:r w:rsidR="00C50792">
        <w:rPr>
          <w:lang w:val="en-AU"/>
        </w:rPr>
        <w:t xml:space="preserve"> in all jurisdictions</w:t>
      </w:r>
      <w:r w:rsidRPr="003408A6">
        <w:rPr>
          <w:lang w:val="en-AU"/>
        </w:rPr>
        <w:t xml:space="preserve">. Since no unexpected safety signal was detected during the first dose, meetings were then held monthly. </w:t>
      </w:r>
    </w:p>
    <w:p w:rsidR="00283733" w:rsidRPr="003408A6" w:rsidRDefault="00283733" w:rsidP="006C73CE">
      <w:pPr>
        <w:pStyle w:val="Heading5"/>
      </w:pPr>
      <w:r w:rsidRPr="003408A6">
        <w:t xml:space="preserve">Strengths of the </w:t>
      </w:r>
      <w:r w:rsidR="00C50792">
        <w:t>s</w:t>
      </w:r>
      <w:r w:rsidRPr="003408A6">
        <w:t xml:space="preserve">afety </w:t>
      </w:r>
      <w:r w:rsidR="00C50792">
        <w:t>p</w:t>
      </w:r>
      <w:r w:rsidRPr="003408A6">
        <w:t>lan</w:t>
      </w:r>
    </w:p>
    <w:p w:rsidR="00283733" w:rsidRPr="003408A6" w:rsidRDefault="00283733" w:rsidP="006C73CE">
      <w:pPr>
        <w:pStyle w:val="BodyText"/>
        <w:rPr>
          <w:lang w:val="en-AU"/>
        </w:rPr>
      </w:pPr>
      <w:r w:rsidRPr="003408A6">
        <w:rPr>
          <w:lang w:val="en-AU"/>
        </w:rPr>
        <w:t xml:space="preserve">The male program was the first program with such a comprehensive safety plan for early detection of signals for adverse events. </w:t>
      </w:r>
    </w:p>
    <w:p w:rsidR="00283733" w:rsidRPr="003408A6" w:rsidRDefault="00283733" w:rsidP="006C73CE">
      <w:pPr>
        <w:pStyle w:val="BodyText"/>
        <w:rPr>
          <w:lang w:val="en-AU"/>
        </w:rPr>
      </w:pPr>
      <w:r w:rsidRPr="003408A6">
        <w:rPr>
          <w:lang w:val="en-AU"/>
        </w:rPr>
        <w:t>The safety plan was put in place in time for the rollout of the male program.</w:t>
      </w:r>
    </w:p>
    <w:p w:rsidR="00283733" w:rsidRPr="003408A6" w:rsidRDefault="00283733" w:rsidP="006C73CE">
      <w:pPr>
        <w:pStyle w:val="BodyText"/>
        <w:rPr>
          <w:lang w:val="en-AU"/>
        </w:rPr>
      </w:pPr>
      <w:r w:rsidRPr="003408A6">
        <w:rPr>
          <w:lang w:val="en-AU"/>
        </w:rPr>
        <w:t xml:space="preserve">Weekly meetings ensured that the </w:t>
      </w:r>
      <w:r w:rsidR="00786E4C">
        <w:rPr>
          <w:lang w:val="en-AU"/>
        </w:rPr>
        <w:t xml:space="preserve">Australian Government </w:t>
      </w:r>
      <w:r w:rsidRPr="003408A6">
        <w:rPr>
          <w:lang w:val="en-AU"/>
        </w:rPr>
        <w:t>Department</w:t>
      </w:r>
      <w:r w:rsidR="00786E4C">
        <w:rPr>
          <w:lang w:val="en-AU"/>
        </w:rPr>
        <w:t xml:space="preserve"> of Health</w:t>
      </w:r>
      <w:r w:rsidRPr="003408A6">
        <w:rPr>
          <w:lang w:val="en-AU"/>
        </w:rPr>
        <w:t xml:space="preserve"> and </w:t>
      </w:r>
      <w:r w:rsidR="001C31F7" w:rsidRPr="003408A6">
        <w:rPr>
          <w:lang w:val="en-AU"/>
        </w:rPr>
        <w:t>j</w:t>
      </w:r>
      <w:r w:rsidRPr="003408A6">
        <w:rPr>
          <w:lang w:val="en-AU"/>
        </w:rPr>
        <w:t xml:space="preserve">urisdictions were informed early of any </w:t>
      </w:r>
      <w:r w:rsidR="001C31F7" w:rsidRPr="003408A6">
        <w:rPr>
          <w:lang w:val="en-AU"/>
        </w:rPr>
        <w:t xml:space="preserve">potential or perceived </w:t>
      </w:r>
      <w:r w:rsidRPr="003408A6">
        <w:rPr>
          <w:lang w:val="en-AU"/>
        </w:rPr>
        <w:t xml:space="preserve">safety signal and could be </w:t>
      </w:r>
      <w:r w:rsidR="001C31F7" w:rsidRPr="003408A6">
        <w:rPr>
          <w:lang w:val="en-AU"/>
        </w:rPr>
        <w:t xml:space="preserve">well </w:t>
      </w:r>
      <w:r w:rsidRPr="003408A6">
        <w:rPr>
          <w:lang w:val="en-AU"/>
        </w:rPr>
        <w:t xml:space="preserve">prepared for any </w:t>
      </w:r>
      <w:r w:rsidR="001C31F7" w:rsidRPr="003408A6">
        <w:rPr>
          <w:lang w:val="en-AU"/>
        </w:rPr>
        <w:t>follow</w:t>
      </w:r>
      <w:r w:rsidR="00C50792">
        <w:rPr>
          <w:lang w:val="en-AU"/>
        </w:rPr>
        <w:t>-</w:t>
      </w:r>
      <w:r w:rsidR="001C31F7" w:rsidRPr="003408A6">
        <w:rPr>
          <w:lang w:val="en-AU"/>
        </w:rPr>
        <w:t xml:space="preserve">up action and </w:t>
      </w:r>
      <w:r w:rsidRPr="003408A6">
        <w:rPr>
          <w:lang w:val="en-AU"/>
        </w:rPr>
        <w:t>media attention.</w:t>
      </w:r>
    </w:p>
    <w:p w:rsidR="00283733" w:rsidRPr="003408A6" w:rsidRDefault="00B37994" w:rsidP="006C73CE">
      <w:pPr>
        <w:pStyle w:val="BodyText"/>
        <w:rPr>
          <w:lang w:val="en-AU"/>
        </w:rPr>
      </w:pPr>
      <w:r>
        <w:rPr>
          <w:lang w:val="en-AU"/>
        </w:rPr>
        <w:t xml:space="preserve">The </w:t>
      </w:r>
      <w:r w:rsidR="00283733" w:rsidRPr="003408A6">
        <w:rPr>
          <w:lang w:val="en-AU"/>
        </w:rPr>
        <w:t xml:space="preserve">TGA and </w:t>
      </w:r>
      <w:r w:rsidR="000F3047" w:rsidRPr="003408A6">
        <w:rPr>
          <w:lang w:val="en-AU"/>
        </w:rPr>
        <w:t xml:space="preserve">the </w:t>
      </w:r>
      <w:r w:rsidR="00786E4C">
        <w:rPr>
          <w:lang w:val="en-AU"/>
        </w:rPr>
        <w:t xml:space="preserve">Australian Government </w:t>
      </w:r>
      <w:r w:rsidR="000F3047" w:rsidRPr="003408A6">
        <w:rPr>
          <w:lang w:val="en-AU"/>
        </w:rPr>
        <w:t xml:space="preserve">Department of </w:t>
      </w:r>
      <w:r w:rsidR="00F75DF8" w:rsidRPr="003408A6">
        <w:rPr>
          <w:lang w:val="en-AU"/>
        </w:rPr>
        <w:t xml:space="preserve">Health </w:t>
      </w:r>
      <w:r w:rsidR="00283733" w:rsidRPr="003408A6">
        <w:rPr>
          <w:lang w:val="en-AU"/>
        </w:rPr>
        <w:t xml:space="preserve">were prepared to </w:t>
      </w:r>
      <w:r w:rsidR="001C31F7" w:rsidRPr="003408A6">
        <w:rPr>
          <w:lang w:val="en-AU"/>
        </w:rPr>
        <w:t xml:space="preserve">rapidly </w:t>
      </w:r>
      <w:r w:rsidR="00283733" w:rsidRPr="003408A6">
        <w:rPr>
          <w:lang w:val="en-AU"/>
        </w:rPr>
        <w:t>detect and act upon any expected and unexpected adverse events following immunisation in the male program.</w:t>
      </w:r>
    </w:p>
    <w:p w:rsidR="008454B0" w:rsidRPr="003408A6" w:rsidRDefault="00283733" w:rsidP="006C73CE">
      <w:pPr>
        <w:pStyle w:val="Blockquote"/>
      </w:pPr>
      <w:r w:rsidRPr="003408A6">
        <w:t xml:space="preserve">“We had those processes set up and running at the </w:t>
      </w:r>
      <w:r w:rsidR="001C31F7" w:rsidRPr="003408A6">
        <w:t>start of the program.</w:t>
      </w:r>
      <w:r w:rsidRPr="003408A6">
        <w:t xml:space="preserve"> I think the safety planning was a real strength.”</w:t>
      </w:r>
    </w:p>
    <w:p w:rsidR="008454B0" w:rsidRPr="003408A6" w:rsidRDefault="008454B0" w:rsidP="006C73CE">
      <w:pPr>
        <w:pStyle w:val="Heading5"/>
      </w:pPr>
      <w:r w:rsidRPr="003408A6">
        <w:t xml:space="preserve">Communication from </w:t>
      </w:r>
      <w:r w:rsidR="00BC68C7" w:rsidRPr="003408A6">
        <w:t>j</w:t>
      </w:r>
      <w:r w:rsidRPr="003408A6">
        <w:t>urisdiction</w:t>
      </w:r>
      <w:r w:rsidR="00B8021E">
        <w:t>s</w:t>
      </w:r>
      <w:r w:rsidRPr="003408A6">
        <w:t xml:space="preserve"> to their stakeholders</w:t>
      </w:r>
    </w:p>
    <w:p w:rsidR="008454B0" w:rsidRPr="003408A6" w:rsidRDefault="008454B0" w:rsidP="006C73CE">
      <w:pPr>
        <w:pStyle w:val="BodyText"/>
        <w:rPr>
          <w:lang w:val="en-AU"/>
        </w:rPr>
      </w:pPr>
      <w:r w:rsidRPr="003408A6">
        <w:rPr>
          <w:lang w:val="en-AU"/>
        </w:rPr>
        <w:t>The jurisdictions had a diverse range of stakeholders who they were responsible to inform about the extension of the program to males. This included stakeholders directly involved in the program such as local government, the education sector and immunisation nurses. They also informed a broad range of other areas of the health sector</w:t>
      </w:r>
      <w:r w:rsidR="00092229">
        <w:rPr>
          <w:lang w:val="en-AU"/>
        </w:rPr>
        <w:t>,</w:t>
      </w:r>
      <w:r w:rsidRPr="003408A6">
        <w:rPr>
          <w:lang w:val="en-AU"/>
        </w:rPr>
        <w:t xml:space="preserve"> such as remote and regional health services, Aboriginal Medical Services, public hospitals, general practice and Medicare Locals. </w:t>
      </w:r>
    </w:p>
    <w:p w:rsidR="008454B0" w:rsidRPr="003408A6" w:rsidRDefault="008454B0" w:rsidP="006C73CE">
      <w:pPr>
        <w:pStyle w:val="BodyText"/>
        <w:rPr>
          <w:lang w:val="en-AU"/>
        </w:rPr>
      </w:pPr>
      <w:r w:rsidRPr="003408A6">
        <w:rPr>
          <w:lang w:val="en-AU"/>
        </w:rPr>
        <w:t xml:space="preserve">The jurisdictions informed other stakeholders at different levels in each sector, from briefing the </w:t>
      </w:r>
      <w:r w:rsidR="001320B0" w:rsidRPr="003408A6">
        <w:rPr>
          <w:lang w:val="en-AU"/>
        </w:rPr>
        <w:t>s</w:t>
      </w:r>
      <w:r w:rsidRPr="003408A6">
        <w:rPr>
          <w:lang w:val="en-AU"/>
        </w:rPr>
        <w:t xml:space="preserve">tate or </w:t>
      </w:r>
      <w:r w:rsidR="001320B0" w:rsidRPr="003408A6">
        <w:rPr>
          <w:lang w:val="en-AU"/>
        </w:rPr>
        <w:t>t</w:t>
      </w:r>
      <w:r w:rsidRPr="003408A6">
        <w:rPr>
          <w:lang w:val="en-AU"/>
        </w:rPr>
        <w:t xml:space="preserve">erritory Minister of Health, meeting with representatives of the Education Department, Catholic and </w:t>
      </w:r>
      <w:r w:rsidR="00092229">
        <w:rPr>
          <w:lang w:val="en-AU"/>
        </w:rPr>
        <w:t>i</w:t>
      </w:r>
      <w:r w:rsidRPr="003408A6">
        <w:rPr>
          <w:lang w:val="en-AU"/>
        </w:rPr>
        <w:t>ndependent school sectors</w:t>
      </w:r>
      <w:r w:rsidR="00BC68C7" w:rsidRPr="003408A6">
        <w:rPr>
          <w:lang w:val="en-AU"/>
        </w:rPr>
        <w:t>,</w:t>
      </w:r>
      <w:r w:rsidRPr="003408A6">
        <w:rPr>
          <w:lang w:val="en-AU"/>
        </w:rPr>
        <w:t xml:space="preserve"> and directly informing individual school principals and parents.</w:t>
      </w:r>
    </w:p>
    <w:p w:rsidR="008454B0" w:rsidRPr="003408A6" w:rsidRDefault="008454B0" w:rsidP="006C73CE">
      <w:pPr>
        <w:pStyle w:val="BodyText"/>
        <w:rPr>
          <w:lang w:val="en-AU"/>
        </w:rPr>
      </w:pPr>
      <w:r w:rsidRPr="003408A6">
        <w:rPr>
          <w:lang w:val="en-AU"/>
        </w:rPr>
        <w:t xml:space="preserve">Communication activities included letters, faxes, emails, teleconferences, face-to-face meetings, media releases, articles in newsletters and information posted on </w:t>
      </w:r>
      <w:r w:rsidR="001320B0" w:rsidRPr="003408A6">
        <w:rPr>
          <w:lang w:val="en-AU"/>
        </w:rPr>
        <w:t>s</w:t>
      </w:r>
      <w:r w:rsidRPr="003408A6">
        <w:rPr>
          <w:lang w:val="en-AU"/>
        </w:rPr>
        <w:t>tate/</w:t>
      </w:r>
      <w:r w:rsidR="001320B0" w:rsidRPr="003408A6">
        <w:rPr>
          <w:lang w:val="en-AU"/>
        </w:rPr>
        <w:t>t</w:t>
      </w:r>
      <w:r w:rsidRPr="003408A6">
        <w:rPr>
          <w:lang w:val="en-AU"/>
        </w:rPr>
        <w:t xml:space="preserve">erritory </w:t>
      </w:r>
      <w:r w:rsidR="001320B0" w:rsidRPr="003408A6">
        <w:rPr>
          <w:lang w:val="en-AU"/>
        </w:rPr>
        <w:t>h</w:t>
      </w:r>
      <w:r w:rsidRPr="003408A6">
        <w:rPr>
          <w:lang w:val="en-AU"/>
        </w:rPr>
        <w:t xml:space="preserve">ealth </w:t>
      </w:r>
      <w:r w:rsidR="001320B0" w:rsidRPr="003408A6">
        <w:rPr>
          <w:lang w:val="en-AU"/>
        </w:rPr>
        <w:t xml:space="preserve">department </w:t>
      </w:r>
      <w:r w:rsidRPr="003408A6">
        <w:rPr>
          <w:lang w:val="en-AU"/>
        </w:rPr>
        <w:t xml:space="preserve">websites. </w:t>
      </w:r>
      <w:r w:rsidR="007F3930" w:rsidRPr="003408A6">
        <w:rPr>
          <w:lang w:val="en-AU"/>
        </w:rPr>
        <w:t xml:space="preserve">Early direct notification of organisations and individuals involved in the HPV </w:t>
      </w:r>
      <w:r w:rsidR="00092229">
        <w:rPr>
          <w:lang w:val="en-AU"/>
        </w:rPr>
        <w:t>v</w:t>
      </w:r>
      <w:r w:rsidR="007F3930" w:rsidRPr="003408A6">
        <w:rPr>
          <w:lang w:val="en-AU"/>
        </w:rPr>
        <w:t xml:space="preserve">accination </w:t>
      </w:r>
      <w:r w:rsidR="00092229">
        <w:rPr>
          <w:lang w:val="en-AU"/>
        </w:rPr>
        <w:t>p</w:t>
      </w:r>
      <w:r w:rsidR="007F3930" w:rsidRPr="003408A6">
        <w:rPr>
          <w:lang w:val="en-AU"/>
        </w:rPr>
        <w:t>rogram was seen as key to effective communication.</w:t>
      </w:r>
      <w:r w:rsidR="00DD4879" w:rsidRPr="003408A6">
        <w:rPr>
          <w:lang w:val="en-AU"/>
        </w:rPr>
        <w:t xml:space="preserve"> </w:t>
      </w:r>
      <w:r w:rsidRPr="003408A6">
        <w:rPr>
          <w:lang w:val="en-AU"/>
        </w:rPr>
        <w:t xml:space="preserve"> </w:t>
      </w:r>
    </w:p>
    <w:p w:rsidR="008454B0" w:rsidRPr="003408A6" w:rsidRDefault="008454B0" w:rsidP="006C73CE">
      <w:pPr>
        <w:pStyle w:val="Heading5"/>
      </w:pPr>
      <w:r w:rsidRPr="003408A6">
        <w:t>Communication with private practice</w:t>
      </w:r>
    </w:p>
    <w:p w:rsidR="00CB3363" w:rsidRPr="003408A6" w:rsidRDefault="00CB3363" w:rsidP="006C73CE">
      <w:pPr>
        <w:pStyle w:val="BodyText"/>
        <w:rPr>
          <w:lang w:val="en-AU"/>
        </w:rPr>
      </w:pPr>
      <w:r w:rsidRPr="003408A6">
        <w:rPr>
          <w:lang w:val="en-AU"/>
        </w:rPr>
        <w:t xml:space="preserve">The Australian </w:t>
      </w:r>
      <w:r w:rsidR="00092229">
        <w:rPr>
          <w:lang w:val="en-AU"/>
        </w:rPr>
        <w:t>g</w:t>
      </w:r>
      <w:r w:rsidRPr="003408A6">
        <w:rPr>
          <w:lang w:val="en-AU"/>
        </w:rPr>
        <w:t>overnment communicated with all GPs about the extended program for males via a letter from the Chief Medical Officer and through an announcement in the RACGP Friday Facts.</w:t>
      </w:r>
    </w:p>
    <w:p w:rsidR="008454B0" w:rsidRPr="003408A6" w:rsidRDefault="00B0206F" w:rsidP="006C73CE">
      <w:pPr>
        <w:pStyle w:val="BodyText"/>
        <w:rPr>
          <w:lang w:val="en-AU"/>
        </w:rPr>
      </w:pPr>
      <w:r w:rsidRPr="003408A6">
        <w:rPr>
          <w:lang w:val="en-AU"/>
        </w:rPr>
        <w:t xml:space="preserve">Respondents </w:t>
      </w:r>
      <w:r w:rsidR="008454B0" w:rsidRPr="003408A6">
        <w:rPr>
          <w:lang w:val="en-AU"/>
        </w:rPr>
        <w:t>involved with general practice thought</w:t>
      </w:r>
      <w:r w:rsidR="00092229">
        <w:rPr>
          <w:lang w:val="en-AU"/>
        </w:rPr>
        <w:t>,</w:t>
      </w:r>
      <w:r w:rsidR="008454B0" w:rsidRPr="003408A6">
        <w:rPr>
          <w:lang w:val="en-AU"/>
        </w:rPr>
        <w:t xml:space="preserve"> </w:t>
      </w:r>
      <w:r w:rsidR="00092229" w:rsidRPr="003408A6">
        <w:rPr>
          <w:lang w:val="en-AU"/>
        </w:rPr>
        <w:t>however,</w:t>
      </w:r>
      <w:r w:rsidR="00092229">
        <w:rPr>
          <w:lang w:val="en-AU"/>
        </w:rPr>
        <w:t xml:space="preserve"> </w:t>
      </w:r>
      <w:r w:rsidR="008454B0" w:rsidRPr="003408A6">
        <w:rPr>
          <w:lang w:val="en-AU"/>
        </w:rPr>
        <w:t xml:space="preserve">that because the </w:t>
      </w:r>
      <w:r w:rsidRPr="003408A6">
        <w:rPr>
          <w:lang w:val="en-AU"/>
        </w:rPr>
        <w:t xml:space="preserve">National </w:t>
      </w:r>
      <w:r w:rsidR="008454B0" w:rsidRPr="003408A6">
        <w:rPr>
          <w:lang w:val="en-AU"/>
        </w:rPr>
        <w:t xml:space="preserve">HPV </w:t>
      </w:r>
      <w:r w:rsidRPr="003408A6">
        <w:rPr>
          <w:lang w:val="en-AU"/>
        </w:rPr>
        <w:t>Vaccination P</w:t>
      </w:r>
      <w:r w:rsidR="008454B0" w:rsidRPr="003408A6">
        <w:rPr>
          <w:lang w:val="en-AU"/>
        </w:rPr>
        <w:t>rogram was currently a school-based program there had been a lack of communication with general practice around the extension of the program to include males.</w:t>
      </w:r>
      <w:r w:rsidR="00503910" w:rsidRPr="003408A6">
        <w:rPr>
          <w:lang w:val="en-AU"/>
        </w:rPr>
        <w:t xml:space="preserve"> As one Medicare Local respondent observed:</w:t>
      </w:r>
    </w:p>
    <w:p w:rsidR="008454B0" w:rsidRPr="003408A6" w:rsidRDefault="00503910" w:rsidP="006C73CE">
      <w:pPr>
        <w:pStyle w:val="Blockquote"/>
      </w:pPr>
      <w:r w:rsidRPr="003408A6">
        <w:t>“There has been a real lack in communication with how the boys’ program has been rolled out, we haven’t had nearly as much information as when the girls program was rolled out and I know that it was a larger catch</w:t>
      </w:r>
      <w:r w:rsidR="00EE26E6">
        <w:t>-</w:t>
      </w:r>
      <w:r w:rsidRPr="003408A6">
        <w:t xml:space="preserve">up that they were doing [for females] but there just hasn’t been much [for males], I think it’s all been very much school based”.  </w:t>
      </w:r>
    </w:p>
    <w:p w:rsidR="00503910" w:rsidRPr="003408A6" w:rsidRDefault="00503910" w:rsidP="006C73CE">
      <w:pPr>
        <w:pStyle w:val="BodyText"/>
        <w:rPr>
          <w:lang w:val="en-AU"/>
        </w:rPr>
      </w:pPr>
      <w:r w:rsidRPr="003408A6">
        <w:rPr>
          <w:lang w:val="en-AU"/>
        </w:rPr>
        <w:t xml:space="preserve">In contrast with the initial female program providers in general practice were more engaged with the </w:t>
      </w:r>
      <w:r w:rsidR="00092229">
        <w:rPr>
          <w:lang w:val="en-AU"/>
        </w:rPr>
        <w:t xml:space="preserve">male </w:t>
      </w:r>
      <w:r w:rsidRPr="003408A6">
        <w:rPr>
          <w:lang w:val="en-AU"/>
        </w:rPr>
        <w:t xml:space="preserve">program. </w:t>
      </w:r>
    </w:p>
    <w:p w:rsidR="00004B6E" w:rsidRPr="003408A6" w:rsidRDefault="00503910" w:rsidP="006C73CE">
      <w:pPr>
        <w:pStyle w:val="Blockquote"/>
      </w:pPr>
      <w:r w:rsidRPr="003408A6">
        <w:t>“</w:t>
      </w:r>
      <w:r w:rsidR="00092229">
        <w:t>O</w:t>
      </w:r>
      <w:r w:rsidRPr="003408A6">
        <w:t>ne positive thing about it was it was active promotion to the community to involve your general practitioner and so</w:t>
      </w:r>
      <w:r w:rsidR="00092229">
        <w:t>,</w:t>
      </w:r>
      <w:r w:rsidRPr="003408A6">
        <w:t xml:space="preserve"> you know, the GPs felt engaged.” </w:t>
      </w:r>
      <w:bookmarkStart w:id="56" w:name="_Toc373497093"/>
    </w:p>
    <w:p w:rsidR="006C3676" w:rsidRPr="003408A6" w:rsidRDefault="008454B0" w:rsidP="006C3676">
      <w:pPr>
        <w:pStyle w:val="Heading3"/>
      </w:pPr>
      <w:r w:rsidRPr="003408A6">
        <w:t>Information resources</w:t>
      </w:r>
      <w:bookmarkEnd w:id="56"/>
    </w:p>
    <w:p w:rsidR="008454B0" w:rsidRPr="003408A6" w:rsidRDefault="008454B0" w:rsidP="00FE32A9">
      <w:pPr>
        <w:pStyle w:val="Heading4"/>
      </w:pPr>
      <w:r w:rsidRPr="003408A6">
        <w:t>Survey results</w:t>
      </w:r>
    </w:p>
    <w:p w:rsidR="008454B0" w:rsidRPr="003408A6" w:rsidRDefault="008454B0" w:rsidP="006C73CE">
      <w:pPr>
        <w:pStyle w:val="BodyText"/>
        <w:rPr>
          <w:lang w:val="en-AU"/>
        </w:rPr>
      </w:pPr>
      <w:r w:rsidRPr="003408A6">
        <w:rPr>
          <w:lang w:val="en-AU"/>
        </w:rPr>
        <w:t xml:space="preserve">In the online survey respondents were asked to rate the usefulness of the HPV-related information resources created by the </w:t>
      </w:r>
      <w:r w:rsidR="004F3832">
        <w:rPr>
          <w:lang w:val="en-AU"/>
        </w:rPr>
        <w:t>Australian Government Department of Health</w:t>
      </w:r>
      <w:r w:rsidRPr="003408A6">
        <w:rPr>
          <w:lang w:val="en-AU"/>
        </w:rPr>
        <w:t xml:space="preserve">, </w:t>
      </w:r>
      <w:r w:rsidR="001320B0" w:rsidRPr="003408A6">
        <w:rPr>
          <w:lang w:val="en-AU"/>
        </w:rPr>
        <w:t>jurisdictions</w:t>
      </w:r>
      <w:r w:rsidRPr="003408A6">
        <w:rPr>
          <w:lang w:val="en-AU"/>
        </w:rPr>
        <w:t xml:space="preserve"> and other organisations.</w:t>
      </w:r>
      <w:r w:rsidR="006C3676" w:rsidRPr="003408A6">
        <w:rPr>
          <w:lang w:val="en-AU"/>
        </w:rPr>
        <w:t xml:space="preserve"> </w:t>
      </w:r>
    </w:p>
    <w:p w:rsidR="008454B0" w:rsidRPr="003408A6" w:rsidRDefault="008454B0" w:rsidP="000A2125">
      <w:pPr>
        <w:pStyle w:val="Tableheading"/>
        <w:rPr>
          <w:lang w:val="en-AU"/>
        </w:rPr>
      </w:pPr>
      <w:bookmarkStart w:id="57" w:name="_Toc396475533"/>
      <w:bookmarkStart w:id="58" w:name="_Toc397000761"/>
      <w:r w:rsidRPr="003408A6">
        <w:rPr>
          <w:lang w:val="en-AU"/>
        </w:rPr>
        <w:t>Table 2.1</w:t>
      </w:r>
      <w:r w:rsidR="00CD45D0" w:rsidRPr="003408A6">
        <w:rPr>
          <w:lang w:val="en-AU"/>
        </w:rPr>
        <w:t>2</w:t>
      </w:r>
      <w:r w:rsidR="00901C17" w:rsidRPr="003408A6">
        <w:rPr>
          <w:lang w:val="en-AU"/>
        </w:rPr>
        <w:t>.</w:t>
      </w:r>
      <w:r w:rsidR="00901C17" w:rsidRPr="003408A6">
        <w:rPr>
          <w:lang w:val="en-AU"/>
        </w:rPr>
        <w:tab/>
      </w:r>
      <w:r w:rsidR="0059360E">
        <w:rPr>
          <w:lang w:val="en-AU"/>
        </w:rPr>
        <w:t>K</w:t>
      </w:r>
      <w:r w:rsidRPr="003408A6">
        <w:rPr>
          <w:lang w:val="en-AU"/>
        </w:rPr>
        <w:t xml:space="preserve">ey </w:t>
      </w:r>
      <w:r w:rsidR="00BC68C7" w:rsidRPr="003408A6">
        <w:rPr>
          <w:lang w:val="en-AU"/>
        </w:rPr>
        <w:t xml:space="preserve">stakeholders’ </w:t>
      </w:r>
      <w:r w:rsidRPr="003408A6">
        <w:rPr>
          <w:lang w:val="en-AU"/>
        </w:rPr>
        <w:t xml:space="preserve">rating of </w:t>
      </w:r>
      <w:r w:rsidR="0059360E">
        <w:rPr>
          <w:lang w:val="en-AU"/>
        </w:rPr>
        <w:t xml:space="preserve">usefulness of </w:t>
      </w:r>
      <w:r w:rsidRPr="003408A6">
        <w:rPr>
          <w:lang w:val="en-AU"/>
        </w:rPr>
        <w:t>information resources</w:t>
      </w:r>
      <w:bookmarkEnd w:id="57"/>
      <w:bookmarkEnd w:id="58"/>
    </w:p>
    <w:tbl>
      <w:tblPr>
        <w:tblW w:w="8662" w:type="dxa"/>
        <w:tblInd w:w="93" w:type="dxa"/>
        <w:tblLayout w:type="fixed"/>
        <w:tblLook w:val="04A0" w:firstRow="1" w:lastRow="0" w:firstColumn="1" w:lastColumn="0" w:noHBand="0" w:noVBand="1"/>
      </w:tblPr>
      <w:tblGrid>
        <w:gridCol w:w="3701"/>
        <w:gridCol w:w="1134"/>
        <w:gridCol w:w="850"/>
        <w:gridCol w:w="993"/>
        <w:gridCol w:w="850"/>
        <w:gridCol w:w="1134"/>
      </w:tblGrid>
      <w:tr w:rsidR="008454B0" w:rsidRPr="003408A6" w:rsidTr="000229BA">
        <w:trPr>
          <w:trHeight w:val="600"/>
        </w:trPr>
        <w:tc>
          <w:tcPr>
            <w:tcW w:w="3701" w:type="dxa"/>
            <w:tcBorders>
              <w:top w:val="single" w:sz="4" w:space="0" w:color="auto"/>
              <w:left w:val="nil"/>
              <w:right w:val="nil"/>
            </w:tcBorders>
            <w:shd w:val="clear" w:color="auto" w:fill="auto"/>
            <w:vAlign w:val="bottom"/>
            <w:hideMark/>
          </w:tcPr>
          <w:p w:rsidR="008454B0" w:rsidRPr="003408A6" w:rsidRDefault="00627C33" w:rsidP="0062325E">
            <w:pPr>
              <w:pStyle w:val="Tablecolumnheadings"/>
              <w:jc w:val="left"/>
              <w:rPr>
                <w:lang w:val="en-AU"/>
              </w:rPr>
            </w:pPr>
            <w:r w:rsidRPr="003408A6">
              <w:rPr>
                <w:lang w:val="en-AU"/>
              </w:rPr>
              <w:t>Resource</w:t>
            </w:r>
          </w:p>
        </w:tc>
        <w:tc>
          <w:tcPr>
            <w:tcW w:w="1134" w:type="dxa"/>
            <w:tcBorders>
              <w:top w:val="single" w:sz="4" w:space="0" w:color="auto"/>
              <w:left w:val="nil"/>
              <w:right w:val="nil"/>
            </w:tcBorders>
            <w:shd w:val="clear" w:color="auto" w:fill="auto"/>
            <w:vAlign w:val="bottom"/>
            <w:hideMark/>
          </w:tcPr>
          <w:p w:rsidR="008454B0" w:rsidRPr="003408A6" w:rsidRDefault="00BC68C7" w:rsidP="00627C33">
            <w:pPr>
              <w:pStyle w:val="Tablecolumnheadings"/>
              <w:rPr>
                <w:lang w:val="en-AU"/>
              </w:rPr>
            </w:pPr>
            <w:r w:rsidRPr="003408A6">
              <w:rPr>
                <w:lang w:val="en-AU"/>
              </w:rPr>
              <w:t>Don’t know</w:t>
            </w:r>
            <w:r w:rsidR="00A55C9D" w:rsidRPr="003408A6">
              <w:rPr>
                <w:lang w:val="en-AU"/>
              </w:rPr>
              <w:t>/Not aware</w:t>
            </w:r>
            <w:r w:rsidR="00A55C9D" w:rsidRPr="003408A6">
              <w:rPr>
                <w:rFonts w:ascii="Arial Bold" w:hAnsi="Arial Bold"/>
                <w:vertAlign w:val="superscript"/>
                <w:lang w:val="en-AU"/>
              </w:rPr>
              <w:t>†</w:t>
            </w:r>
          </w:p>
        </w:tc>
        <w:tc>
          <w:tcPr>
            <w:tcW w:w="850" w:type="dxa"/>
            <w:tcBorders>
              <w:top w:val="single" w:sz="4" w:space="0" w:color="auto"/>
              <w:left w:val="nil"/>
              <w:right w:val="nil"/>
            </w:tcBorders>
            <w:shd w:val="clear" w:color="auto" w:fill="auto"/>
            <w:vAlign w:val="bottom"/>
            <w:hideMark/>
          </w:tcPr>
          <w:p w:rsidR="008454B0" w:rsidRPr="003408A6" w:rsidRDefault="008454B0" w:rsidP="00627C33">
            <w:pPr>
              <w:pStyle w:val="Tablecolumnheadings"/>
              <w:rPr>
                <w:lang w:val="en-AU"/>
              </w:rPr>
            </w:pPr>
            <w:r w:rsidRPr="003408A6">
              <w:rPr>
                <w:lang w:val="en-AU"/>
              </w:rPr>
              <w:t>Not at all useful</w:t>
            </w:r>
          </w:p>
        </w:tc>
        <w:tc>
          <w:tcPr>
            <w:tcW w:w="993" w:type="dxa"/>
            <w:tcBorders>
              <w:top w:val="single" w:sz="4" w:space="0" w:color="auto"/>
              <w:left w:val="nil"/>
              <w:right w:val="nil"/>
            </w:tcBorders>
            <w:shd w:val="clear" w:color="auto" w:fill="auto"/>
            <w:vAlign w:val="bottom"/>
            <w:hideMark/>
          </w:tcPr>
          <w:p w:rsidR="008454B0" w:rsidRPr="003408A6" w:rsidRDefault="008454B0" w:rsidP="00A115CE">
            <w:pPr>
              <w:pStyle w:val="Tablecolumnheadings"/>
              <w:rPr>
                <w:lang w:val="en-AU"/>
              </w:rPr>
            </w:pPr>
            <w:r w:rsidRPr="003408A6">
              <w:rPr>
                <w:lang w:val="en-AU"/>
              </w:rPr>
              <w:t>Not very useful</w:t>
            </w:r>
          </w:p>
        </w:tc>
        <w:tc>
          <w:tcPr>
            <w:tcW w:w="850" w:type="dxa"/>
            <w:tcBorders>
              <w:top w:val="single" w:sz="4" w:space="0" w:color="auto"/>
              <w:left w:val="nil"/>
              <w:right w:val="nil"/>
            </w:tcBorders>
            <w:shd w:val="clear" w:color="auto" w:fill="auto"/>
            <w:vAlign w:val="bottom"/>
            <w:hideMark/>
          </w:tcPr>
          <w:p w:rsidR="008454B0" w:rsidRPr="003408A6" w:rsidRDefault="008454B0" w:rsidP="00DC19CA">
            <w:pPr>
              <w:pStyle w:val="Tablecolumnheadings"/>
              <w:rPr>
                <w:lang w:val="en-AU"/>
              </w:rPr>
            </w:pPr>
            <w:r w:rsidRPr="003408A6">
              <w:rPr>
                <w:lang w:val="en-AU"/>
              </w:rPr>
              <w:t>Useful</w:t>
            </w:r>
          </w:p>
        </w:tc>
        <w:tc>
          <w:tcPr>
            <w:tcW w:w="1134" w:type="dxa"/>
            <w:tcBorders>
              <w:top w:val="single" w:sz="4" w:space="0" w:color="auto"/>
              <w:left w:val="nil"/>
              <w:right w:val="nil"/>
            </w:tcBorders>
            <w:shd w:val="clear" w:color="auto" w:fill="auto"/>
            <w:vAlign w:val="bottom"/>
            <w:hideMark/>
          </w:tcPr>
          <w:p w:rsidR="008454B0" w:rsidRPr="003408A6" w:rsidRDefault="008454B0" w:rsidP="00A25E36">
            <w:pPr>
              <w:pStyle w:val="Tablecolumnheadings"/>
              <w:rPr>
                <w:lang w:val="en-AU"/>
              </w:rPr>
            </w:pPr>
            <w:r w:rsidRPr="003408A6">
              <w:rPr>
                <w:lang w:val="en-AU"/>
              </w:rPr>
              <w:t>Very useful</w:t>
            </w:r>
          </w:p>
        </w:tc>
      </w:tr>
      <w:tr w:rsidR="00627C33" w:rsidRPr="003408A6" w:rsidTr="000229BA">
        <w:trPr>
          <w:cantSplit/>
          <w:trHeight w:val="284"/>
        </w:trPr>
        <w:tc>
          <w:tcPr>
            <w:tcW w:w="3701" w:type="dxa"/>
            <w:tcBorders>
              <w:left w:val="nil"/>
              <w:bottom w:val="single" w:sz="4" w:space="0" w:color="auto"/>
              <w:right w:val="nil"/>
            </w:tcBorders>
            <w:shd w:val="clear" w:color="auto" w:fill="auto"/>
            <w:vAlign w:val="center"/>
          </w:tcPr>
          <w:p w:rsidR="00627C33" w:rsidRPr="003408A6" w:rsidRDefault="00627C33" w:rsidP="006C73CE">
            <w:pPr>
              <w:pStyle w:val="Tabletext"/>
              <w:rPr>
                <w:lang w:val="en-AU"/>
              </w:rPr>
            </w:pPr>
          </w:p>
        </w:tc>
        <w:tc>
          <w:tcPr>
            <w:tcW w:w="1134" w:type="dxa"/>
            <w:tcBorders>
              <w:left w:val="nil"/>
              <w:bottom w:val="single" w:sz="4" w:space="0" w:color="auto"/>
              <w:right w:val="nil"/>
            </w:tcBorders>
            <w:shd w:val="clear" w:color="auto" w:fill="auto"/>
            <w:noWrap/>
            <w:vAlign w:val="center"/>
          </w:tcPr>
          <w:p w:rsidR="00627C33" w:rsidRPr="003408A6" w:rsidRDefault="00627C33" w:rsidP="006C73CE">
            <w:pPr>
              <w:pStyle w:val="Tabletextcentred"/>
              <w:rPr>
                <w:lang w:val="en-AU"/>
              </w:rPr>
            </w:pPr>
            <w:r>
              <w:rPr>
                <w:lang w:val="en-AU"/>
              </w:rPr>
              <w:t>%</w:t>
            </w:r>
          </w:p>
        </w:tc>
        <w:tc>
          <w:tcPr>
            <w:tcW w:w="850" w:type="dxa"/>
            <w:tcBorders>
              <w:left w:val="nil"/>
              <w:bottom w:val="single" w:sz="4" w:space="0" w:color="auto"/>
              <w:right w:val="nil"/>
            </w:tcBorders>
            <w:shd w:val="clear" w:color="auto" w:fill="auto"/>
            <w:noWrap/>
            <w:vAlign w:val="center"/>
          </w:tcPr>
          <w:p w:rsidR="00627C33" w:rsidRPr="003408A6" w:rsidRDefault="00627C33" w:rsidP="006C73CE">
            <w:pPr>
              <w:pStyle w:val="Tabletextcentred"/>
              <w:rPr>
                <w:lang w:val="en-AU"/>
              </w:rPr>
            </w:pPr>
            <w:r>
              <w:rPr>
                <w:lang w:val="en-AU"/>
              </w:rPr>
              <w:t>%</w:t>
            </w:r>
          </w:p>
        </w:tc>
        <w:tc>
          <w:tcPr>
            <w:tcW w:w="993" w:type="dxa"/>
            <w:tcBorders>
              <w:left w:val="nil"/>
              <w:bottom w:val="single" w:sz="4" w:space="0" w:color="auto"/>
              <w:right w:val="nil"/>
            </w:tcBorders>
            <w:shd w:val="clear" w:color="auto" w:fill="auto"/>
            <w:noWrap/>
            <w:vAlign w:val="center"/>
          </w:tcPr>
          <w:p w:rsidR="00627C33" w:rsidRPr="003408A6" w:rsidRDefault="00627C33" w:rsidP="006C73CE">
            <w:pPr>
              <w:pStyle w:val="Tabletextcentred"/>
              <w:rPr>
                <w:lang w:val="en-AU"/>
              </w:rPr>
            </w:pPr>
            <w:r>
              <w:rPr>
                <w:lang w:val="en-AU"/>
              </w:rPr>
              <w:t>%</w:t>
            </w:r>
          </w:p>
        </w:tc>
        <w:tc>
          <w:tcPr>
            <w:tcW w:w="850" w:type="dxa"/>
            <w:tcBorders>
              <w:left w:val="nil"/>
              <w:bottom w:val="single" w:sz="4" w:space="0" w:color="auto"/>
              <w:right w:val="nil"/>
            </w:tcBorders>
            <w:shd w:val="clear" w:color="auto" w:fill="auto"/>
            <w:noWrap/>
            <w:vAlign w:val="center"/>
          </w:tcPr>
          <w:p w:rsidR="00627C33" w:rsidRPr="003408A6" w:rsidRDefault="00627C33" w:rsidP="006C73CE">
            <w:pPr>
              <w:pStyle w:val="Tabletextcentred"/>
              <w:rPr>
                <w:lang w:val="en-AU"/>
              </w:rPr>
            </w:pPr>
            <w:r>
              <w:rPr>
                <w:lang w:val="en-AU"/>
              </w:rPr>
              <w:t>%</w:t>
            </w:r>
          </w:p>
        </w:tc>
        <w:tc>
          <w:tcPr>
            <w:tcW w:w="1134" w:type="dxa"/>
            <w:tcBorders>
              <w:left w:val="nil"/>
              <w:bottom w:val="single" w:sz="4" w:space="0" w:color="auto"/>
              <w:right w:val="nil"/>
            </w:tcBorders>
            <w:shd w:val="clear" w:color="auto" w:fill="auto"/>
            <w:noWrap/>
            <w:vAlign w:val="center"/>
          </w:tcPr>
          <w:p w:rsidR="00627C33" w:rsidRPr="003408A6" w:rsidRDefault="00627C33" w:rsidP="006C73CE">
            <w:pPr>
              <w:pStyle w:val="Tabletextcentred"/>
              <w:rPr>
                <w:lang w:val="en-AU"/>
              </w:rPr>
            </w:pPr>
            <w:r>
              <w:rPr>
                <w:lang w:val="en-AU"/>
              </w:rPr>
              <w:t>%</w:t>
            </w:r>
          </w:p>
        </w:tc>
      </w:tr>
      <w:tr w:rsidR="008454B0" w:rsidRPr="003408A6" w:rsidTr="000229BA">
        <w:trPr>
          <w:cantSplit/>
          <w:trHeight w:val="284"/>
        </w:trPr>
        <w:tc>
          <w:tcPr>
            <w:tcW w:w="3701" w:type="dxa"/>
            <w:tcBorders>
              <w:top w:val="single" w:sz="4" w:space="0" w:color="auto"/>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HPV website</w:t>
            </w:r>
          </w:p>
        </w:tc>
        <w:tc>
          <w:tcPr>
            <w:tcW w:w="1134" w:type="dxa"/>
            <w:tcBorders>
              <w:top w:val="single" w:sz="4" w:space="0" w:color="auto"/>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850" w:type="dxa"/>
            <w:tcBorders>
              <w:top w:val="single" w:sz="4" w:space="0" w:color="auto"/>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single" w:sz="4" w:space="0" w:color="auto"/>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single" w:sz="4" w:space="0" w:color="auto"/>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60</w:t>
            </w:r>
          </w:p>
        </w:tc>
        <w:tc>
          <w:tcPr>
            <w:tcW w:w="1134" w:type="dxa"/>
            <w:tcBorders>
              <w:top w:val="single" w:sz="4" w:space="0" w:color="auto"/>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fact</w:t>
            </w:r>
            <w:r w:rsidR="00BC68C7" w:rsidRPr="003408A6">
              <w:rPr>
                <w:lang w:val="en-AU"/>
              </w:rPr>
              <w:t xml:space="preserve"> </w:t>
            </w:r>
            <w:r w:rsidR="008454B0" w:rsidRPr="003408A6">
              <w:rPr>
                <w:lang w:val="en-AU"/>
              </w:rPr>
              <w:t>sheet for professionals</w:t>
            </w:r>
          </w:p>
        </w:tc>
        <w:tc>
          <w:tcPr>
            <w:tcW w:w="1134"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60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resources for schools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HPV resources for students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HPV resources for parents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HPV resources for Aboriginal and Torres Strait Islander students/parents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0229BA" w:rsidP="006C73CE">
            <w:pPr>
              <w:pStyle w:val="Tabletext"/>
              <w:rPr>
                <w:lang w:val="en-AU"/>
              </w:rPr>
            </w:pPr>
            <w:r>
              <w:rPr>
                <w:lang w:val="en-AU"/>
              </w:rPr>
              <w:t>Department of Health</w:t>
            </w:r>
            <w:r w:rsidR="008454B0" w:rsidRPr="003408A6">
              <w:rPr>
                <w:lang w:val="en-AU"/>
              </w:rPr>
              <w:t xml:space="preserve"> HPV resources for </w:t>
            </w:r>
            <w:r w:rsidR="00852439" w:rsidRPr="003408A6">
              <w:rPr>
                <w:lang w:val="en-AU"/>
              </w:rPr>
              <w:t>c</w:t>
            </w:r>
            <w:r w:rsidR="008454B0" w:rsidRPr="003408A6">
              <w:rPr>
                <w:lang w:val="en-AU"/>
              </w:rPr>
              <w:t xml:space="preserve">ulturally and </w:t>
            </w:r>
            <w:r w:rsidR="00852439" w:rsidRPr="003408A6">
              <w:rPr>
                <w:lang w:val="en-AU"/>
              </w:rPr>
              <w:t>l</w:t>
            </w:r>
            <w:r w:rsidR="008454B0" w:rsidRPr="003408A6">
              <w:rPr>
                <w:lang w:val="en-AU"/>
              </w:rPr>
              <w:t xml:space="preserve">inguistically </w:t>
            </w:r>
            <w:r w:rsidR="00852439" w:rsidRPr="003408A6">
              <w:rPr>
                <w:lang w:val="en-AU"/>
              </w:rPr>
              <w:t>d</w:t>
            </w:r>
            <w:r w:rsidR="008454B0" w:rsidRPr="003408A6">
              <w:rPr>
                <w:lang w:val="en-AU"/>
              </w:rPr>
              <w:t>iverse students/parents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NCIRS HPV fact sheet for providers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NCIRS HPV fact sheet for patients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State/</w:t>
            </w:r>
            <w:r w:rsidR="001320B0" w:rsidRPr="003408A6">
              <w:rPr>
                <w:lang w:val="en-AU"/>
              </w:rPr>
              <w:t>t</w:t>
            </w:r>
            <w:r w:rsidRPr="003408A6">
              <w:rPr>
                <w:lang w:val="en-AU"/>
              </w:rPr>
              <w:t xml:space="preserve">erritory-based </w:t>
            </w:r>
            <w:r w:rsidR="001320B0" w:rsidRPr="003408A6">
              <w:rPr>
                <w:lang w:val="en-AU"/>
              </w:rPr>
              <w:t>h</w:t>
            </w:r>
            <w:r w:rsidRPr="003408A6">
              <w:rPr>
                <w:lang w:val="en-AU"/>
              </w:rPr>
              <w:t xml:space="preserve">ealth </w:t>
            </w:r>
            <w:r w:rsidR="001320B0" w:rsidRPr="003408A6">
              <w:rPr>
                <w:lang w:val="en-AU"/>
              </w:rPr>
              <w:t>d</w:t>
            </w:r>
            <w:r w:rsidRPr="003408A6">
              <w:rPr>
                <w:lang w:val="en-AU"/>
              </w:rPr>
              <w:t>epartment information</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Medicare Local/GP Division information</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Medical media (e.g. Medical Observer)</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Pharmaceutical company website</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Pharmaceutical company promotional material</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Vaccine product information</w:t>
            </w:r>
          </w:p>
        </w:tc>
        <w:tc>
          <w:tcPr>
            <w:tcW w:w="1134"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Cancer Council information</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bottom w:val="nil"/>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35</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40</w:t>
            </w:r>
          </w:p>
        </w:tc>
      </w:tr>
      <w:tr w:rsidR="008454B0" w:rsidRPr="003408A6" w:rsidTr="000229BA">
        <w:trPr>
          <w:cantSplit/>
          <w:trHeight w:val="284"/>
        </w:trPr>
        <w:tc>
          <w:tcPr>
            <w:tcW w:w="3701" w:type="dxa"/>
            <w:tcBorders>
              <w:top w:val="nil"/>
              <w:left w:val="nil"/>
              <w:bottom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Peer-reviewed publications</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45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850"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1134" w:type="dxa"/>
            <w:tcBorders>
              <w:top w:val="nil"/>
              <w:left w:val="nil"/>
              <w:bottom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25</w:t>
            </w:r>
          </w:p>
        </w:tc>
      </w:tr>
      <w:tr w:rsidR="008454B0" w:rsidRPr="003408A6" w:rsidTr="000229BA">
        <w:trPr>
          <w:cantSplit/>
          <w:trHeight w:val="284"/>
        </w:trPr>
        <w:tc>
          <w:tcPr>
            <w:tcW w:w="3701" w:type="dxa"/>
            <w:tcBorders>
              <w:top w:val="nil"/>
              <w:left w:val="nil"/>
              <w:right w:val="nil"/>
            </w:tcBorders>
            <w:shd w:val="clear" w:color="auto" w:fill="auto"/>
            <w:vAlign w:val="center"/>
            <w:hideMark/>
          </w:tcPr>
          <w:p w:rsidR="008454B0" w:rsidRPr="003408A6" w:rsidRDefault="008454B0" w:rsidP="006C73CE">
            <w:pPr>
              <w:pStyle w:val="Tabletext"/>
              <w:rPr>
                <w:lang w:val="en-AU"/>
              </w:rPr>
            </w:pPr>
            <w:r w:rsidRPr="003408A6">
              <w:rPr>
                <w:lang w:val="en-AU"/>
              </w:rPr>
              <w:t>Newspapers/radio/television</w:t>
            </w:r>
          </w:p>
        </w:tc>
        <w:tc>
          <w:tcPr>
            <w:tcW w:w="1134" w:type="dxa"/>
            <w:tcBorders>
              <w:top w:val="nil"/>
              <w:left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15</w:t>
            </w:r>
          </w:p>
        </w:tc>
        <w:tc>
          <w:tcPr>
            <w:tcW w:w="850" w:type="dxa"/>
            <w:tcBorders>
              <w:top w:val="nil"/>
              <w:left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5</w:t>
            </w:r>
          </w:p>
        </w:tc>
        <w:tc>
          <w:tcPr>
            <w:tcW w:w="993" w:type="dxa"/>
            <w:tcBorders>
              <w:top w:val="nil"/>
              <w:left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850" w:type="dxa"/>
            <w:tcBorders>
              <w:top w:val="nil"/>
              <w:left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30</w:t>
            </w:r>
          </w:p>
        </w:tc>
        <w:tc>
          <w:tcPr>
            <w:tcW w:w="1134" w:type="dxa"/>
            <w:tcBorders>
              <w:top w:val="nil"/>
              <w:left w:val="nil"/>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r>
      <w:tr w:rsidR="008454B0" w:rsidRPr="003408A6" w:rsidTr="000229BA">
        <w:trPr>
          <w:cantSplit/>
          <w:trHeight w:val="284"/>
        </w:trPr>
        <w:tc>
          <w:tcPr>
            <w:tcW w:w="3701" w:type="dxa"/>
            <w:tcBorders>
              <w:top w:val="nil"/>
              <w:left w:val="nil"/>
              <w:bottom w:val="single" w:sz="4" w:space="0" w:color="auto"/>
              <w:right w:val="nil"/>
            </w:tcBorders>
            <w:shd w:val="clear" w:color="auto" w:fill="auto"/>
            <w:vAlign w:val="center"/>
            <w:hideMark/>
          </w:tcPr>
          <w:p w:rsidR="008454B0" w:rsidRPr="003408A6" w:rsidRDefault="008454B0" w:rsidP="006C73CE">
            <w:pPr>
              <w:pStyle w:val="Tabletext"/>
              <w:rPr>
                <w:lang w:val="en-AU"/>
              </w:rPr>
            </w:pPr>
            <w:r w:rsidRPr="003408A6">
              <w:rPr>
                <w:lang w:val="en-AU"/>
              </w:rPr>
              <w:t xml:space="preserve">Social media (e.g. </w:t>
            </w:r>
            <w:r w:rsidR="00FC57B4" w:rsidRPr="003408A6">
              <w:rPr>
                <w:lang w:val="en-AU"/>
              </w:rPr>
              <w:t>F</w:t>
            </w:r>
            <w:r w:rsidRPr="003408A6">
              <w:rPr>
                <w:lang w:val="en-AU"/>
              </w:rPr>
              <w:t xml:space="preserve">acebook, </w:t>
            </w:r>
            <w:r w:rsidR="00FC57B4" w:rsidRPr="003408A6">
              <w:rPr>
                <w:lang w:val="en-AU"/>
              </w:rPr>
              <w:t>T</w:t>
            </w:r>
            <w:r w:rsidRPr="003408A6">
              <w:rPr>
                <w:lang w:val="en-AU"/>
              </w:rPr>
              <w:t>witter)</w:t>
            </w:r>
          </w:p>
        </w:tc>
        <w:tc>
          <w:tcPr>
            <w:tcW w:w="1134" w:type="dxa"/>
            <w:tcBorders>
              <w:top w:val="nil"/>
              <w:left w:val="nil"/>
              <w:bottom w:val="single" w:sz="4" w:space="0" w:color="auto"/>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60</w:t>
            </w:r>
          </w:p>
        </w:tc>
        <w:tc>
          <w:tcPr>
            <w:tcW w:w="850" w:type="dxa"/>
            <w:tcBorders>
              <w:top w:val="nil"/>
              <w:left w:val="nil"/>
              <w:bottom w:val="single" w:sz="4" w:space="0" w:color="auto"/>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993" w:type="dxa"/>
            <w:tcBorders>
              <w:top w:val="nil"/>
              <w:left w:val="nil"/>
              <w:bottom w:val="single" w:sz="4" w:space="0" w:color="auto"/>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20</w:t>
            </w:r>
          </w:p>
        </w:tc>
        <w:tc>
          <w:tcPr>
            <w:tcW w:w="850" w:type="dxa"/>
            <w:tcBorders>
              <w:top w:val="nil"/>
              <w:left w:val="nil"/>
              <w:bottom w:val="single" w:sz="4" w:space="0" w:color="auto"/>
              <w:right w:val="nil"/>
            </w:tcBorders>
            <w:shd w:val="clear" w:color="auto" w:fill="auto"/>
            <w:noWrap/>
            <w:vAlign w:val="center"/>
            <w:hideMark/>
          </w:tcPr>
          <w:p w:rsidR="008454B0" w:rsidRPr="003408A6" w:rsidRDefault="008454B0" w:rsidP="006C73CE">
            <w:pPr>
              <w:pStyle w:val="Tabletextcentred"/>
              <w:rPr>
                <w:snapToGrid w:val="0"/>
                <w:lang w:val="en-AU"/>
              </w:rPr>
            </w:pPr>
            <w:r w:rsidRPr="003408A6">
              <w:rPr>
                <w:lang w:val="en-AU"/>
              </w:rPr>
              <w:t>10</w:t>
            </w:r>
          </w:p>
        </w:tc>
        <w:tc>
          <w:tcPr>
            <w:tcW w:w="1134" w:type="dxa"/>
            <w:tcBorders>
              <w:top w:val="nil"/>
              <w:left w:val="nil"/>
              <w:bottom w:val="single" w:sz="4" w:space="0" w:color="auto"/>
              <w:right w:val="nil"/>
            </w:tcBorders>
            <w:shd w:val="clear" w:color="auto" w:fill="auto"/>
            <w:noWrap/>
            <w:vAlign w:val="center"/>
            <w:hideMark/>
          </w:tcPr>
          <w:p w:rsidR="008454B0" w:rsidRPr="003408A6" w:rsidRDefault="00092229" w:rsidP="006C73CE">
            <w:pPr>
              <w:pStyle w:val="Tabletextcentred"/>
              <w:rPr>
                <w:snapToGrid w:val="0"/>
                <w:lang w:val="en-AU"/>
              </w:rPr>
            </w:pPr>
            <w:r>
              <w:rPr>
                <w:lang w:val="en-AU"/>
              </w:rPr>
              <w:t>–</w:t>
            </w:r>
          </w:p>
        </w:tc>
      </w:tr>
    </w:tbl>
    <w:p w:rsidR="008454B0" w:rsidRPr="003408A6" w:rsidRDefault="00A55C9D" w:rsidP="005B66D7">
      <w:pPr>
        <w:pStyle w:val="Tablefootnote"/>
      </w:pPr>
      <w:r w:rsidRPr="003408A6">
        <w:t>†</w:t>
      </w:r>
      <w:r w:rsidR="005B66D7" w:rsidRPr="003408A6">
        <w:tab/>
      </w:r>
      <w:r w:rsidR="00092229">
        <w:t>‘</w:t>
      </w:r>
      <w:r w:rsidRPr="003408A6">
        <w:t>Don’t know/Not aware</w:t>
      </w:r>
      <w:r w:rsidR="00092229">
        <w:t>’:</w:t>
      </w:r>
      <w:r w:rsidRPr="003408A6">
        <w:t xml:space="preserve"> Respondents were either not aware of or not familiar with the resource</w:t>
      </w:r>
      <w:r w:rsidR="00092229">
        <w:t>.</w:t>
      </w:r>
    </w:p>
    <w:p w:rsidR="00882551" w:rsidRPr="003408A6" w:rsidRDefault="00882551" w:rsidP="00882551">
      <w:pPr>
        <w:pStyle w:val="BodyText"/>
        <w:spacing w:before="360"/>
        <w:rPr>
          <w:lang w:val="en-AU"/>
        </w:rPr>
      </w:pPr>
      <w:r w:rsidRPr="003408A6">
        <w:rPr>
          <w:b/>
          <w:lang w:val="en-AU"/>
        </w:rPr>
        <w:t>Table 2.12</w:t>
      </w:r>
      <w:r w:rsidRPr="003408A6">
        <w:rPr>
          <w:lang w:val="en-AU"/>
        </w:rPr>
        <w:t xml:space="preserve"> summarises respondents’ ratings for each resource. The </w:t>
      </w:r>
      <w:r>
        <w:rPr>
          <w:lang w:val="en-AU"/>
        </w:rPr>
        <w:t>Australian Government Department of Health</w:t>
      </w:r>
      <w:r w:rsidRPr="003408A6">
        <w:rPr>
          <w:lang w:val="en-AU"/>
        </w:rPr>
        <w:t xml:space="preserve"> website was the current site that includes information resources for both females and males. Respondents could follow links to the relevant websites to check the exact resource materials being evaluated. </w:t>
      </w:r>
    </w:p>
    <w:p w:rsidR="008454B0" w:rsidRPr="003408A6" w:rsidRDefault="008454B0" w:rsidP="00882551">
      <w:pPr>
        <w:pStyle w:val="Bodytextaftertable"/>
        <w:spacing w:before="0"/>
        <w:rPr>
          <w:lang w:val="en-AU"/>
        </w:rPr>
      </w:pPr>
      <w:r w:rsidRPr="003408A6">
        <w:rPr>
          <w:lang w:val="en-AU"/>
        </w:rPr>
        <w:t xml:space="preserve">Respondents were aware of and made use of HPV-related information from a wide range of sources. </w:t>
      </w:r>
    </w:p>
    <w:p w:rsidR="008454B0" w:rsidRPr="003408A6" w:rsidRDefault="008454B0" w:rsidP="005B66D7">
      <w:pPr>
        <w:pStyle w:val="BodyText"/>
        <w:rPr>
          <w:lang w:val="en-AU"/>
        </w:rPr>
      </w:pPr>
      <w:r w:rsidRPr="003408A6">
        <w:rPr>
          <w:lang w:val="en-AU"/>
        </w:rPr>
        <w:t xml:space="preserve">All respondents were aware of the </w:t>
      </w:r>
      <w:r w:rsidR="004F3832">
        <w:rPr>
          <w:lang w:val="en-AU"/>
        </w:rPr>
        <w:t>Australian Government Department of Health</w:t>
      </w:r>
      <w:r w:rsidRPr="003408A6">
        <w:rPr>
          <w:lang w:val="en-AU"/>
        </w:rPr>
        <w:t xml:space="preserve"> HPV website and the fact sheet for professionals and 85% of respondents found these resources useful or very useful.  </w:t>
      </w:r>
    </w:p>
    <w:p w:rsidR="008454B0" w:rsidRPr="003408A6" w:rsidRDefault="008454B0" w:rsidP="005B66D7">
      <w:pPr>
        <w:pStyle w:val="BodyText"/>
        <w:rPr>
          <w:lang w:val="en-AU"/>
        </w:rPr>
      </w:pPr>
      <w:r w:rsidRPr="003408A6">
        <w:rPr>
          <w:lang w:val="en-AU"/>
        </w:rPr>
        <w:t xml:space="preserve">One quarter of respondents were not aware of the HPV resources developed by the </w:t>
      </w:r>
      <w:r w:rsidR="004F3832">
        <w:rPr>
          <w:lang w:val="en-AU"/>
        </w:rPr>
        <w:t>Australian Government Department of Health</w:t>
      </w:r>
      <w:r w:rsidRPr="003408A6">
        <w:rPr>
          <w:lang w:val="en-AU"/>
        </w:rPr>
        <w:t xml:space="preserve"> for Aboriginal and Torres Strait Islander students/parents and 35% were not aware of the language resources for </w:t>
      </w:r>
      <w:r w:rsidR="00852439" w:rsidRPr="003408A6">
        <w:rPr>
          <w:lang w:val="en-AU"/>
        </w:rPr>
        <w:t>c</w:t>
      </w:r>
      <w:r w:rsidRPr="003408A6">
        <w:rPr>
          <w:lang w:val="en-AU"/>
        </w:rPr>
        <w:t xml:space="preserve">ulturally and </w:t>
      </w:r>
      <w:r w:rsidR="00852439" w:rsidRPr="003408A6">
        <w:rPr>
          <w:lang w:val="en-AU"/>
        </w:rPr>
        <w:t>l</w:t>
      </w:r>
      <w:r w:rsidRPr="003408A6">
        <w:rPr>
          <w:lang w:val="en-AU"/>
        </w:rPr>
        <w:t xml:space="preserve">inguistically </w:t>
      </w:r>
      <w:r w:rsidR="00852439" w:rsidRPr="003408A6">
        <w:rPr>
          <w:lang w:val="en-AU"/>
        </w:rPr>
        <w:t>d</w:t>
      </w:r>
      <w:r w:rsidRPr="003408A6">
        <w:rPr>
          <w:lang w:val="en-AU"/>
        </w:rPr>
        <w:t xml:space="preserve">iverse (CALD) students and parents. However, of those respondents who knew of the Indigenous or CALD resources, the majority found the resources to be useful or very useful. </w:t>
      </w:r>
    </w:p>
    <w:p w:rsidR="008454B0" w:rsidRPr="003408A6" w:rsidRDefault="008454B0" w:rsidP="005B66D7">
      <w:pPr>
        <w:pStyle w:val="BodyText"/>
        <w:rPr>
          <w:lang w:val="en-AU"/>
        </w:rPr>
      </w:pPr>
      <w:r w:rsidRPr="003408A6">
        <w:rPr>
          <w:lang w:val="en-AU"/>
        </w:rPr>
        <w:t xml:space="preserve">Other resources that were rated as most useful by respondents were the information provided by their </w:t>
      </w:r>
      <w:r w:rsidR="001320B0" w:rsidRPr="003408A6">
        <w:rPr>
          <w:lang w:val="en-AU"/>
        </w:rPr>
        <w:t>s</w:t>
      </w:r>
      <w:r w:rsidRPr="003408A6">
        <w:rPr>
          <w:lang w:val="en-AU"/>
        </w:rPr>
        <w:t xml:space="preserve">tate or </w:t>
      </w:r>
      <w:r w:rsidR="001320B0" w:rsidRPr="003408A6">
        <w:rPr>
          <w:lang w:val="en-AU"/>
        </w:rPr>
        <w:t>t</w:t>
      </w:r>
      <w:r w:rsidRPr="003408A6">
        <w:rPr>
          <w:lang w:val="en-AU"/>
        </w:rPr>
        <w:t xml:space="preserve">erritory </w:t>
      </w:r>
      <w:r w:rsidR="001320B0" w:rsidRPr="003408A6">
        <w:rPr>
          <w:lang w:val="en-AU"/>
        </w:rPr>
        <w:t>health d</w:t>
      </w:r>
      <w:r w:rsidRPr="003408A6">
        <w:rPr>
          <w:lang w:val="en-AU"/>
        </w:rPr>
        <w:t xml:space="preserve">epartments, the NCIRS HPV fact sheet for providers and information provided by the Cancer Council. </w:t>
      </w:r>
    </w:p>
    <w:p w:rsidR="008454B0" w:rsidRPr="003408A6" w:rsidRDefault="008454B0" w:rsidP="005B66D7">
      <w:pPr>
        <w:pStyle w:val="BodyText"/>
        <w:rPr>
          <w:lang w:val="en-AU"/>
        </w:rPr>
      </w:pPr>
      <w:r w:rsidRPr="003408A6">
        <w:rPr>
          <w:lang w:val="en-AU"/>
        </w:rPr>
        <w:t>Half the respondents reported they were not aware of any information or promotional material on HPV in the medical media and 40% of respondents were not aware of any promotional material provided by Medicare Locals or GP Divisions.</w:t>
      </w:r>
    </w:p>
    <w:p w:rsidR="008454B0" w:rsidRPr="003408A6" w:rsidRDefault="008454B0" w:rsidP="00FE32A9">
      <w:pPr>
        <w:pStyle w:val="Heading4"/>
      </w:pPr>
      <w:r w:rsidRPr="003408A6">
        <w:t>Respondent interviews</w:t>
      </w:r>
    </w:p>
    <w:p w:rsidR="008454B0" w:rsidRPr="003408A6" w:rsidRDefault="008454B0" w:rsidP="005B66D7">
      <w:pPr>
        <w:pStyle w:val="Heading5"/>
      </w:pPr>
      <w:r w:rsidRPr="003408A6">
        <w:t xml:space="preserve">National information resources developed by </w:t>
      </w:r>
      <w:r w:rsidR="00092229">
        <w:t xml:space="preserve">the Australian Government </w:t>
      </w:r>
      <w:r w:rsidRPr="003408A6">
        <w:t>Department of Health</w:t>
      </w:r>
    </w:p>
    <w:p w:rsidR="008454B0" w:rsidRPr="003408A6" w:rsidRDefault="00D97849" w:rsidP="005B66D7">
      <w:pPr>
        <w:pStyle w:val="BodyText"/>
        <w:rPr>
          <w:lang w:val="en-AU"/>
        </w:rPr>
      </w:pPr>
      <w:r w:rsidRPr="003408A6">
        <w:rPr>
          <w:lang w:val="en-AU"/>
        </w:rPr>
        <w:t>Prior to the start of the male program, t</w:t>
      </w:r>
      <w:r w:rsidR="00175F8F" w:rsidRPr="003408A6">
        <w:rPr>
          <w:lang w:val="en-AU"/>
        </w:rPr>
        <w:t xml:space="preserve">he </w:t>
      </w:r>
      <w:r w:rsidR="0062325E">
        <w:rPr>
          <w:lang w:val="en-AU"/>
        </w:rPr>
        <w:t xml:space="preserve">Government </w:t>
      </w:r>
      <w:r w:rsidR="00175F8F" w:rsidRPr="003408A6">
        <w:rPr>
          <w:lang w:val="en-AU"/>
        </w:rPr>
        <w:t xml:space="preserve"> consulted with the jurisdictions to agree to a set of key messages for use in the development of </w:t>
      </w:r>
      <w:r w:rsidRPr="003408A6">
        <w:rPr>
          <w:lang w:val="en-AU"/>
        </w:rPr>
        <w:t xml:space="preserve">national and </w:t>
      </w:r>
      <w:r w:rsidR="00175F8F" w:rsidRPr="003408A6">
        <w:rPr>
          <w:lang w:val="en-AU"/>
        </w:rPr>
        <w:t xml:space="preserve">local level communication resources. </w:t>
      </w:r>
      <w:r w:rsidR="008454B0" w:rsidRPr="003408A6">
        <w:rPr>
          <w:lang w:val="en-AU"/>
        </w:rPr>
        <w:t xml:space="preserve">Draft materials were circulated to </w:t>
      </w:r>
      <w:r w:rsidR="009B55D0" w:rsidRPr="003408A6">
        <w:rPr>
          <w:lang w:val="en-AU"/>
        </w:rPr>
        <w:t xml:space="preserve">all </w:t>
      </w:r>
      <w:r w:rsidR="008454B0" w:rsidRPr="003408A6">
        <w:rPr>
          <w:lang w:val="en-AU"/>
        </w:rPr>
        <w:t>jurisdictions for comment.</w:t>
      </w:r>
      <w:r w:rsidR="00175F8F" w:rsidRPr="003408A6">
        <w:rPr>
          <w:lang w:val="en-AU"/>
        </w:rPr>
        <w:t xml:space="preserve"> </w:t>
      </w:r>
      <w:r w:rsidRPr="003408A6">
        <w:rPr>
          <w:lang w:val="en-AU"/>
        </w:rPr>
        <w:t>The consultation process around key messages allowed jurisdictions to go ahead and develop their own information resources even though the national resources were delayed.</w:t>
      </w:r>
    </w:p>
    <w:p w:rsidR="008454B0" w:rsidRPr="003408A6" w:rsidRDefault="008454B0" w:rsidP="005B66D7">
      <w:pPr>
        <w:pStyle w:val="Heading5"/>
      </w:pPr>
      <w:r w:rsidRPr="003408A6">
        <w:t xml:space="preserve">Information resources developed by </w:t>
      </w:r>
      <w:r w:rsidR="00BC68C7" w:rsidRPr="003408A6">
        <w:t>j</w:t>
      </w:r>
      <w:r w:rsidRPr="003408A6">
        <w:t>urisdictions/regions</w:t>
      </w:r>
    </w:p>
    <w:p w:rsidR="008454B0" w:rsidRPr="003408A6" w:rsidRDefault="008454B0" w:rsidP="005B66D7">
      <w:pPr>
        <w:pStyle w:val="BodyText"/>
        <w:rPr>
          <w:lang w:val="en-AU"/>
        </w:rPr>
      </w:pPr>
      <w:r w:rsidRPr="003408A6">
        <w:rPr>
          <w:lang w:val="en-AU"/>
        </w:rPr>
        <w:t xml:space="preserve">Most jurisdictions did not develop extensive information resources for the extension of the </w:t>
      </w:r>
      <w:r w:rsidR="00BC68C7" w:rsidRPr="003408A6">
        <w:rPr>
          <w:lang w:val="en-AU"/>
        </w:rPr>
        <w:t xml:space="preserve">National </w:t>
      </w:r>
      <w:r w:rsidRPr="003408A6">
        <w:rPr>
          <w:lang w:val="en-AU"/>
        </w:rPr>
        <w:t xml:space="preserve">HPV </w:t>
      </w:r>
      <w:r w:rsidR="00BC68C7" w:rsidRPr="003408A6">
        <w:rPr>
          <w:lang w:val="en-AU"/>
        </w:rPr>
        <w:t xml:space="preserve">Vaccination </w:t>
      </w:r>
      <w:r w:rsidRPr="003408A6">
        <w:rPr>
          <w:lang w:val="en-AU"/>
        </w:rPr>
        <w:t xml:space="preserve">Program to include adolescent males. Instead, they depended on the national communication resource materials developed by the </w:t>
      </w:r>
      <w:r w:rsidR="004F3832">
        <w:rPr>
          <w:lang w:val="en-AU"/>
        </w:rPr>
        <w:t>Australian Government Department of Health</w:t>
      </w:r>
      <w:r w:rsidRPr="003408A6">
        <w:rPr>
          <w:lang w:val="en-AU"/>
        </w:rPr>
        <w:t xml:space="preserve">. </w:t>
      </w:r>
    </w:p>
    <w:p w:rsidR="008454B0" w:rsidRPr="003408A6" w:rsidRDefault="008454B0" w:rsidP="005B66D7">
      <w:pPr>
        <w:pStyle w:val="BodyText"/>
        <w:rPr>
          <w:lang w:val="en-AU"/>
        </w:rPr>
      </w:pPr>
      <w:r w:rsidRPr="003408A6">
        <w:rPr>
          <w:lang w:val="en-AU"/>
        </w:rPr>
        <w:t xml:space="preserve">The most important resources developed by most jurisdictions for the extended HPV program </w:t>
      </w:r>
      <w:r w:rsidR="00EA7C2D" w:rsidRPr="003408A6">
        <w:rPr>
          <w:lang w:val="en-AU"/>
        </w:rPr>
        <w:t xml:space="preserve">were </w:t>
      </w:r>
      <w:r w:rsidRPr="003408A6">
        <w:rPr>
          <w:lang w:val="en-AU"/>
        </w:rPr>
        <w:t>the revision and adaption of their consent forms and the accompanying fact</w:t>
      </w:r>
      <w:r w:rsidR="00EA7C2D" w:rsidRPr="003408A6">
        <w:rPr>
          <w:lang w:val="en-AU"/>
        </w:rPr>
        <w:t xml:space="preserve"> </w:t>
      </w:r>
      <w:r w:rsidRPr="003408A6">
        <w:rPr>
          <w:lang w:val="en-AU"/>
        </w:rPr>
        <w:t xml:space="preserve">sheets on HPV to include information for males. </w:t>
      </w:r>
    </w:p>
    <w:p w:rsidR="008454B0" w:rsidRPr="003408A6" w:rsidRDefault="008454B0" w:rsidP="005B66D7">
      <w:pPr>
        <w:pStyle w:val="BodyText"/>
        <w:rPr>
          <w:lang w:val="en-AU"/>
        </w:rPr>
      </w:pPr>
      <w:r w:rsidRPr="003408A6">
        <w:rPr>
          <w:lang w:val="en-AU"/>
        </w:rPr>
        <w:t>The other major activity</w:t>
      </w:r>
      <w:r w:rsidR="00092229">
        <w:rPr>
          <w:lang w:val="en-AU"/>
        </w:rPr>
        <w:t xml:space="preserve"> that</w:t>
      </w:r>
      <w:r w:rsidRPr="003408A6">
        <w:rPr>
          <w:lang w:val="en-AU"/>
        </w:rPr>
        <w:t xml:space="preserve"> jurisdictions undertook was updating web-based information on jurisdiction websites to ensure that information on HPV was readily accessible and up-to-date for females and males. Other resources developed at the jurisdiction level included advice packs for immunisation providers and </w:t>
      </w:r>
      <w:r w:rsidR="00092229">
        <w:rPr>
          <w:lang w:val="en-AU"/>
        </w:rPr>
        <w:t>New South Wales</w:t>
      </w:r>
      <w:r w:rsidR="00092229" w:rsidRPr="003408A6">
        <w:rPr>
          <w:lang w:val="en-AU"/>
        </w:rPr>
        <w:t xml:space="preserve"> </w:t>
      </w:r>
      <w:r w:rsidR="00D45178" w:rsidRPr="003408A6">
        <w:rPr>
          <w:lang w:val="en-AU"/>
        </w:rPr>
        <w:t>translated its</w:t>
      </w:r>
      <w:r w:rsidRPr="003408A6">
        <w:rPr>
          <w:lang w:val="en-AU"/>
        </w:rPr>
        <w:t xml:space="preserve"> consent forms into languages other than English. </w:t>
      </w:r>
      <w:r w:rsidR="00092229">
        <w:rPr>
          <w:lang w:val="en-AU"/>
        </w:rPr>
        <w:t>Because</w:t>
      </w:r>
      <w:r w:rsidRPr="003408A6">
        <w:rPr>
          <w:lang w:val="en-AU"/>
        </w:rPr>
        <w:t xml:space="preserve"> in 2013 Western Australia was running a male</w:t>
      </w:r>
      <w:r w:rsidR="00EA7C2D" w:rsidRPr="003408A6">
        <w:rPr>
          <w:lang w:val="en-AU"/>
        </w:rPr>
        <w:t>-</w:t>
      </w:r>
      <w:r w:rsidRPr="003408A6">
        <w:rPr>
          <w:lang w:val="en-AU"/>
        </w:rPr>
        <w:t>only program</w:t>
      </w:r>
      <w:r w:rsidR="00726ADE" w:rsidRPr="003408A6">
        <w:rPr>
          <w:lang w:val="en-AU"/>
        </w:rPr>
        <w:t xml:space="preserve"> (since females in Year 8 had been vaccinated in 2012)</w:t>
      </w:r>
      <w:r w:rsidR="00EA7C2D" w:rsidRPr="003408A6">
        <w:rPr>
          <w:lang w:val="en-AU"/>
        </w:rPr>
        <w:t>,</w:t>
      </w:r>
      <w:r w:rsidRPr="003408A6">
        <w:rPr>
          <w:lang w:val="en-AU"/>
        </w:rPr>
        <w:t xml:space="preserve"> the state had to adapt the national resources for adolescent males only. </w:t>
      </w:r>
    </w:p>
    <w:p w:rsidR="008454B0" w:rsidRPr="003408A6" w:rsidRDefault="003C41DF" w:rsidP="005B66D7">
      <w:pPr>
        <w:pStyle w:val="BodyText"/>
        <w:rPr>
          <w:lang w:val="en-AU"/>
        </w:rPr>
      </w:pPr>
      <w:r w:rsidRPr="003408A6">
        <w:rPr>
          <w:lang w:val="en-AU"/>
        </w:rPr>
        <w:t xml:space="preserve">Immunisation program </w:t>
      </w:r>
      <w:r w:rsidR="008454B0" w:rsidRPr="003408A6">
        <w:rPr>
          <w:lang w:val="en-AU"/>
        </w:rPr>
        <w:t xml:space="preserve">managers thought it was important that the jurisdiction and </w:t>
      </w:r>
      <w:r w:rsidR="00D97849" w:rsidRPr="003408A6">
        <w:rPr>
          <w:lang w:val="en-AU"/>
        </w:rPr>
        <w:t xml:space="preserve">national </w:t>
      </w:r>
      <w:r w:rsidR="008454B0" w:rsidRPr="003408A6">
        <w:rPr>
          <w:lang w:val="en-AU"/>
        </w:rPr>
        <w:t xml:space="preserve">communication resources had a consistent message around HPV and vaccination. </w:t>
      </w:r>
    </w:p>
    <w:p w:rsidR="008454B0" w:rsidRPr="003408A6" w:rsidRDefault="008454B0" w:rsidP="005B66D7">
      <w:pPr>
        <w:pStyle w:val="Blockquote"/>
      </w:pPr>
      <w:r w:rsidRPr="003408A6">
        <w:t>“We developed our messages using the key national messages for consistency which placed emphasis on other cancers more common in males</w:t>
      </w:r>
      <w:r w:rsidR="00EA7C2D" w:rsidRPr="003408A6">
        <w:t>.</w:t>
      </w:r>
      <w:r w:rsidRPr="003408A6">
        <w:t xml:space="preserve">” </w:t>
      </w:r>
    </w:p>
    <w:p w:rsidR="008454B0" w:rsidRPr="003408A6" w:rsidRDefault="008454B0" w:rsidP="005B66D7">
      <w:pPr>
        <w:pStyle w:val="BodyText"/>
        <w:rPr>
          <w:lang w:val="en-AU"/>
        </w:rPr>
      </w:pPr>
      <w:r w:rsidRPr="003408A6">
        <w:rPr>
          <w:lang w:val="en-AU"/>
        </w:rPr>
        <w:t xml:space="preserve">Some </w:t>
      </w:r>
      <w:r w:rsidR="003C41DF" w:rsidRPr="003408A6">
        <w:rPr>
          <w:lang w:val="en-AU"/>
        </w:rPr>
        <w:t xml:space="preserve">immunisation program </w:t>
      </w:r>
      <w:r w:rsidRPr="003408A6">
        <w:rPr>
          <w:lang w:val="en-AU"/>
        </w:rPr>
        <w:t xml:space="preserve">managers thought that the </w:t>
      </w:r>
      <w:r w:rsidR="004F3832">
        <w:rPr>
          <w:lang w:val="en-AU"/>
        </w:rPr>
        <w:t>Australian Government Department of Health</w:t>
      </w:r>
      <w:r w:rsidRPr="003408A6">
        <w:rPr>
          <w:lang w:val="en-AU"/>
        </w:rPr>
        <w:t xml:space="preserve"> resources </w:t>
      </w:r>
      <w:r w:rsidR="00D97849" w:rsidRPr="003408A6">
        <w:rPr>
          <w:lang w:val="en-AU"/>
        </w:rPr>
        <w:t xml:space="preserve">for the extended program </w:t>
      </w:r>
      <w:r w:rsidRPr="003408A6">
        <w:rPr>
          <w:lang w:val="en-AU"/>
        </w:rPr>
        <w:t>did not provide enough detail of HPV as a sexually transmitted infection. Therefore, some of the jurisdictions’ fact sheets and websites include more detail on HPV and sexual transmission.</w:t>
      </w:r>
    </w:p>
    <w:p w:rsidR="008454B0" w:rsidRPr="003408A6" w:rsidRDefault="003C41DF" w:rsidP="005B66D7">
      <w:pPr>
        <w:pStyle w:val="BodyText"/>
        <w:rPr>
          <w:lang w:val="en-AU"/>
        </w:rPr>
      </w:pPr>
      <w:r w:rsidRPr="003408A6">
        <w:rPr>
          <w:lang w:val="en-AU"/>
        </w:rPr>
        <w:t xml:space="preserve">Immunisation program </w:t>
      </w:r>
      <w:r w:rsidR="008454B0" w:rsidRPr="003408A6">
        <w:rPr>
          <w:lang w:val="en-AU"/>
        </w:rPr>
        <w:t>managers recalled that jurisdictions had developed more of their own resources for the initial female program than they had for the male program. Jurisdiction resources for the initial female program included information pamphlets, posters</w:t>
      </w:r>
      <w:r w:rsidR="00EA7C2D" w:rsidRPr="003408A6">
        <w:rPr>
          <w:lang w:val="en-AU"/>
        </w:rPr>
        <w:t xml:space="preserve"> and</w:t>
      </w:r>
      <w:r w:rsidR="008454B0" w:rsidRPr="003408A6">
        <w:rPr>
          <w:lang w:val="en-AU"/>
        </w:rPr>
        <w:t xml:space="preserve"> Indigenous-specific resources, including consent forms for remote communities.  </w:t>
      </w:r>
    </w:p>
    <w:p w:rsidR="008454B0" w:rsidRPr="003408A6" w:rsidRDefault="008454B0" w:rsidP="005B66D7">
      <w:pPr>
        <w:pStyle w:val="BodyText"/>
        <w:rPr>
          <w:lang w:val="en-AU"/>
        </w:rPr>
      </w:pPr>
      <w:r w:rsidRPr="003408A6">
        <w:rPr>
          <w:lang w:val="en-AU"/>
        </w:rPr>
        <w:t xml:space="preserve">School-based vaccination providers and regional immunisation coordinators used resources provided by the </w:t>
      </w:r>
      <w:r w:rsidR="004F3832">
        <w:rPr>
          <w:lang w:val="en-AU"/>
        </w:rPr>
        <w:t>Australian Government Department of Health</w:t>
      </w:r>
      <w:r w:rsidRPr="003408A6">
        <w:rPr>
          <w:lang w:val="en-AU"/>
        </w:rPr>
        <w:t xml:space="preserve"> or the jurisdiction. Few resources were developed at the local level, although one immunisation</w:t>
      </w:r>
      <w:r w:rsidR="003C41DF" w:rsidRPr="003408A6">
        <w:rPr>
          <w:lang w:val="en-AU"/>
        </w:rPr>
        <w:t xml:space="preserve"> program</w:t>
      </w:r>
      <w:r w:rsidRPr="003408A6">
        <w:rPr>
          <w:lang w:val="en-AU"/>
        </w:rPr>
        <w:t xml:space="preserve"> manager mentioned vaccination day posters developed by staff. </w:t>
      </w:r>
    </w:p>
    <w:p w:rsidR="008454B0" w:rsidRPr="003408A6" w:rsidRDefault="008454B0" w:rsidP="005B66D7">
      <w:pPr>
        <w:pStyle w:val="BodyText"/>
        <w:rPr>
          <w:lang w:val="en-AU"/>
        </w:rPr>
      </w:pPr>
      <w:r w:rsidRPr="003408A6">
        <w:rPr>
          <w:lang w:val="en-AU"/>
        </w:rPr>
        <w:t xml:space="preserve">Some stakeholders, both in the school-based program and private practice, recalled relying on messages and materials from the </w:t>
      </w:r>
      <w:r w:rsidR="00296C1F" w:rsidRPr="003408A6">
        <w:rPr>
          <w:lang w:val="en-AU"/>
        </w:rPr>
        <w:t>vaccine manufacturer</w:t>
      </w:r>
      <w:r w:rsidRPr="003408A6">
        <w:rPr>
          <w:lang w:val="en-AU"/>
        </w:rPr>
        <w:t xml:space="preserve"> and Cancer Council for the female program. </w:t>
      </w:r>
    </w:p>
    <w:p w:rsidR="008454B0" w:rsidRPr="003408A6" w:rsidRDefault="008454B0" w:rsidP="005B66D7">
      <w:pPr>
        <w:pStyle w:val="Heading5"/>
      </w:pPr>
      <w:r w:rsidRPr="003408A6">
        <w:t>Strengths of communication and resources</w:t>
      </w:r>
    </w:p>
    <w:p w:rsidR="008454B0" w:rsidRPr="003408A6" w:rsidRDefault="008454B0" w:rsidP="005B66D7">
      <w:pPr>
        <w:pStyle w:val="BodyText"/>
        <w:rPr>
          <w:lang w:val="en-AU"/>
        </w:rPr>
      </w:pPr>
      <w:r w:rsidRPr="003408A6">
        <w:rPr>
          <w:lang w:val="en-AU"/>
        </w:rPr>
        <w:t xml:space="preserve">Respondents mostly had positive opinions of the information resources developed by the </w:t>
      </w:r>
      <w:r w:rsidR="004F3832">
        <w:rPr>
          <w:lang w:val="en-AU"/>
        </w:rPr>
        <w:t>Australian Government Department of Health</w:t>
      </w:r>
      <w:r w:rsidRPr="003408A6">
        <w:rPr>
          <w:lang w:val="en-AU"/>
        </w:rPr>
        <w:t xml:space="preserve"> for the extended program </w:t>
      </w:r>
      <w:r w:rsidR="00092229">
        <w:rPr>
          <w:lang w:val="en-AU"/>
        </w:rPr>
        <w:t>in</w:t>
      </w:r>
      <w:r w:rsidRPr="003408A6">
        <w:rPr>
          <w:lang w:val="en-AU"/>
        </w:rPr>
        <w:t xml:space="preserve"> adolescent males. The </w:t>
      </w:r>
      <w:r w:rsidR="0062325E">
        <w:rPr>
          <w:lang w:val="en-AU"/>
        </w:rPr>
        <w:t xml:space="preserve">Australian Government </w:t>
      </w:r>
      <w:r w:rsidR="001D3F58" w:rsidRPr="003408A6">
        <w:rPr>
          <w:lang w:val="en-AU"/>
        </w:rPr>
        <w:t>Department</w:t>
      </w:r>
      <w:r w:rsidR="0062325E">
        <w:rPr>
          <w:lang w:val="en-AU"/>
        </w:rPr>
        <w:t xml:space="preserve"> of Health </w:t>
      </w:r>
      <w:r w:rsidRPr="003408A6">
        <w:rPr>
          <w:lang w:val="en-AU"/>
        </w:rPr>
        <w:t xml:space="preserve">had consulted </w:t>
      </w:r>
      <w:r w:rsidR="00115D57" w:rsidRPr="003408A6">
        <w:rPr>
          <w:lang w:val="en-AU"/>
        </w:rPr>
        <w:t xml:space="preserve">early </w:t>
      </w:r>
      <w:r w:rsidRPr="003408A6">
        <w:rPr>
          <w:lang w:val="en-AU"/>
        </w:rPr>
        <w:t xml:space="preserve">with </w:t>
      </w:r>
      <w:r w:rsidR="00115D57" w:rsidRPr="003408A6">
        <w:rPr>
          <w:lang w:val="en-AU"/>
        </w:rPr>
        <w:t>the jurisdictions when preparing the materials, especially around key messages.</w:t>
      </w:r>
      <w:r w:rsidR="001D3F58" w:rsidRPr="003408A6">
        <w:rPr>
          <w:lang w:val="en-AU"/>
        </w:rPr>
        <w:t xml:space="preserve"> Two </w:t>
      </w:r>
      <w:r w:rsidR="00092229">
        <w:rPr>
          <w:lang w:val="en-AU"/>
        </w:rPr>
        <w:t>i</w:t>
      </w:r>
      <w:r w:rsidRPr="003408A6">
        <w:rPr>
          <w:lang w:val="en-AU"/>
        </w:rPr>
        <w:t xml:space="preserve">mmunisation program managers commented that using a market research </w:t>
      </w:r>
      <w:r w:rsidR="001D3F58" w:rsidRPr="003408A6">
        <w:rPr>
          <w:lang w:val="en-AU"/>
        </w:rPr>
        <w:t xml:space="preserve">company </w:t>
      </w:r>
      <w:r w:rsidRPr="003408A6">
        <w:rPr>
          <w:lang w:val="en-AU"/>
        </w:rPr>
        <w:t>to</w:t>
      </w:r>
      <w:r w:rsidR="001D3F58" w:rsidRPr="003408A6">
        <w:rPr>
          <w:lang w:val="en-AU"/>
        </w:rPr>
        <w:t xml:space="preserve"> assist in</w:t>
      </w:r>
      <w:r w:rsidRPr="003408A6">
        <w:rPr>
          <w:lang w:val="en-AU"/>
        </w:rPr>
        <w:t xml:space="preserve"> develop</w:t>
      </w:r>
      <w:r w:rsidR="001D3F58" w:rsidRPr="003408A6">
        <w:rPr>
          <w:lang w:val="en-AU"/>
        </w:rPr>
        <w:t>ing</w:t>
      </w:r>
      <w:r w:rsidRPr="003408A6">
        <w:rPr>
          <w:lang w:val="en-AU"/>
        </w:rPr>
        <w:t xml:space="preserve"> information materials </w:t>
      </w:r>
      <w:r w:rsidR="001D3F58" w:rsidRPr="003408A6">
        <w:rPr>
          <w:lang w:val="en-AU"/>
        </w:rPr>
        <w:t>for the extended program was a good approach. The information resources produced were useful.</w:t>
      </w:r>
    </w:p>
    <w:p w:rsidR="008454B0" w:rsidRPr="003408A6" w:rsidRDefault="008454B0" w:rsidP="005B66D7">
      <w:pPr>
        <w:pStyle w:val="Blockquote"/>
      </w:pPr>
      <w:r w:rsidRPr="003408A6">
        <w:t>“They had a good website, they had good resources that could be used. I think they did a really good job with them and it just seemed like a very broad and thorough communication strategy</w:t>
      </w:r>
      <w:r w:rsidR="00EA7C2D" w:rsidRPr="003408A6">
        <w:t>.</w:t>
      </w:r>
      <w:r w:rsidRPr="003408A6">
        <w:t xml:space="preserve">” </w:t>
      </w:r>
    </w:p>
    <w:p w:rsidR="008454B0" w:rsidRPr="003408A6" w:rsidRDefault="008454B0" w:rsidP="005B66D7">
      <w:pPr>
        <w:pStyle w:val="BodyText"/>
        <w:rPr>
          <w:lang w:val="en-AU"/>
        </w:rPr>
      </w:pPr>
      <w:r w:rsidRPr="003408A6">
        <w:rPr>
          <w:lang w:val="en-AU"/>
        </w:rPr>
        <w:t xml:space="preserve">Respondents </w:t>
      </w:r>
      <w:r w:rsidR="001D3F58" w:rsidRPr="003408A6">
        <w:rPr>
          <w:lang w:val="en-AU"/>
        </w:rPr>
        <w:t>noted that up</w:t>
      </w:r>
      <w:r w:rsidR="00092229">
        <w:rPr>
          <w:lang w:val="en-AU"/>
        </w:rPr>
        <w:t>-</w:t>
      </w:r>
      <w:r w:rsidR="001D3F58" w:rsidRPr="003408A6">
        <w:rPr>
          <w:lang w:val="en-AU"/>
        </w:rPr>
        <w:t>to</w:t>
      </w:r>
      <w:r w:rsidR="00092229">
        <w:rPr>
          <w:lang w:val="en-AU"/>
        </w:rPr>
        <w:t>-</w:t>
      </w:r>
      <w:r w:rsidR="001D3F58" w:rsidRPr="003408A6">
        <w:rPr>
          <w:lang w:val="en-AU"/>
        </w:rPr>
        <w:t xml:space="preserve">date use of </w:t>
      </w:r>
      <w:r w:rsidRPr="003408A6">
        <w:rPr>
          <w:lang w:val="en-AU"/>
        </w:rPr>
        <w:t xml:space="preserve">information technology and developing eye-catching materials was a strength of the </w:t>
      </w:r>
      <w:r w:rsidR="008E6E49">
        <w:rPr>
          <w:lang w:val="en-AU"/>
        </w:rPr>
        <w:t>Australian Government Department of Health</w:t>
      </w:r>
      <w:r w:rsidR="00092229" w:rsidRPr="003408A6">
        <w:rPr>
          <w:lang w:val="en-AU"/>
        </w:rPr>
        <w:t xml:space="preserve">’s </w:t>
      </w:r>
      <w:r w:rsidRPr="003408A6">
        <w:rPr>
          <w:lang w:val="en-AU"/>
        </w:rPr>
        <w:t xml:space="preserve">communication strategy for the extended program </w:t>
      </w:r>
      <w:r w:rsidR="001D3F58" w:rsidRPr="003408A6">
        <w:rPr>
          <w:lang w:val="en-AU"/>
        </w:rPr>
        <w:t xml:space="preserve">for </w:t>
      </w:r>
      <w:r w:rsidRPr="003408A6">
        <w:rPr>
          <w:lang w:val="en-AU"/>
        </w:rPr>
        <w:t xml:space="preserve">males. </w:t>
      </w:r>
    </w:p>
    <w:p w:rsidR="008454B0" w:rsidRPr="003408A6" w:rsidRDefault="008454B0" w:rsidP="005B66D7">
      <w:pPr>
        <w:pStyle w:val="Blockquote"/>
      </w:pPr>
      <w:r w:rsidRPr="003408A6">
        <w:t>“</w:t>
      </w:r>
      <w:r w:rsidR="00EA7C2D" w:rsidRPr="003408A6">
        <w:t>W</w:t>
      </w:r>
      <w:r w:rsidRPr="003408A6">
        <w:t>e’re seeing the role of the internet and Facebook and information technology has increased so much in that short space of time, so I think they’re a lot more</w:t>
      </w:r>
      <w:r w:rsidR="001D3F58" w:rsidRPr="003408A6">
        <w:t xml:space="preserve"> </w:t>
      </w:r>
      <w:r w:rsidRPr="003408A6">
        <w:t>savvy with their approach</w:t>
      </w:r>
      <w:r w:rsidR="00EA7C2D" w:rsidRPr="003408A6">
        <w:t>.</w:t>
      </w:r>
      <w:r w:rsidRPr="003408A6">
        <w:t xml:space="preserve">” </w:t>
      </w:r>
    </w:p>
    <w:p w:rsidR="008454B0" w:rsidRPr="003408A6" w:rsidRDefault="00826200" w:rsidP="005B66D7">
      <w:pPr>
        <w:pStyle w:val="BodyText"/>
        <w:rPr>
          <w:lang w:val="en-AU"/>
        </w:rPr>
      </w:pPr>
      <w:r w:rsidRPr="003408A6">
        <w:rPr>
          <w:lang w:val="en-AU"/>
        </w:rPr>
        <w:t xml:space="preserve">Respondents </w:t>
      </w:r>
      <w:r w:rsidR="008454B0" w:rsidRPr="003408A6">
        <w:rPr>
          <w:lang w:val="en-AU"/>
        </w:rPr>
        <w:t xml:space="preserve">also observed that with the extended program for males the </w:t>
      </w:r>
      <w:r w:rsidR="004F3832">
        <w:rPr>
          <w:lang w:val="en-AU"/>
        </w:rPr>
        <w:t>Australian Government Department of Health</w:t>
      </w:r>
      <w:r w:rsidR="00092229" w:rsidRPr="003408A6">
        <w:rPr>
          <w:lang w:val="en-AU"/>
        </w:rPr>
        <w:t xml:space="preserve"> </w:t>
      </w:r>
      <w:r w:rsidR="008454B0" w:rsidRPr="003408A6">
        <w:rPr>
          <w:lang w:val="en-AU"/>
        </w:rPr>
        <w:t xml:space="preserve">had developed a more proactive communication strategy, using evidence-based messages to avert potential negative community attitudes and misinformation. The </w:t>
      </w:r>
      <w:r w:rsidR="008E6E49">
        <w:rPr>
          <w:lang w:val="en-AU"/>
        </w:rPr>
        <w:t>Australian Government Department of Health</w:t>
      </w:r>
      <w:r w:rsidR="00092229" w:rsidRPr="003408A6">
        <w:rPr>
          <w:lang w:val="en-AU"/>
        </w:rPr>
        <w:t xml:space="preserve"> </w:t>
      </w:r>
      <w:r w:rsidR="008454B0" w:rsidRPr="003408A6">
        <w:rPr>
          <w:lang w:val="en-AU"/>
        </w:rPr>
        <w:t>had also developed better lines of communication with schools and</w:t>
      </w:r>
      <w:r w:rsidR="00EA7C2D" w:rsidRPr="003408A6">
        <w:rPr>
          <w:lang w:val="en-AU"/>
        </w:rPr>
        <w:t>,</w:t>
      </w:r>
      <w:r w:rsidR="008454B0" w:rsidRPr="003408A6">
        <w:rPr>
          <w:lang w:val="en-AU"/>
        </w:rPr>
        <w:t xml:space="preserve"> generally, the communication program had worked</w:t>
      </w:r>
      <w:r w:rsidR="00EA7C2D" w:rsidRPr="003408A6">
        <w:rPr>
          <w:lang w:val="en-AU"/>
        </w:rPr>
        <w:t>;</w:t>
      </w:r>
      <w:r w:rsidR="008454B0" w:rsidRPr="003408A6">
        <w:rPr>
          <w:lang w:val="en-AU"/>
        </w:rPr>
        <w:t xml:space="preserve"> parents were reading the information and consenting to vaccinate their children. </w:t>
      </w:r>
    </w:p>
    <w:p w:rsidR="008454B0" w:rsidRPr="003408A6" w:rsidRDefault="008454B0" w:rsidP="005B66D7">
      <w:pPr>
        <w:pStyle w:val="Heading5"/>
      </w:pPr>
      <w:r w:rsidRPr="003408A6">
        <w:t>Challenges of communication</w:t>
      </w:r>
      <w:r w:rsidR="00B8021E">
        <w:t xml:space="preserve"> and</w:t>
      </w:r>
      <w:r w:rsidRPr="003408A6">
        <w:t xml:space="preserve"> resources</w:t>
      </w:r>
    </w:p>
    <w:p w:rsidR="008454B0" w:rsidRPr="003408A6" w:rsidRDefault="008454B0" w:rsidP="005B66D7">
      <w:pPr>
        <w:pStyle w:val="BodyText"/>
        <w:rPr>
          <w:lang w:val="en-AU"/>
        </w:rPr>
      </w:pPr>
      <w:r w:rsidRPr="003408A6">
        <w:rPr>
          <w:lang w:val="en-AU"/>
        </w:rPr>
        <w:t xml:space="preserve">Many immunisation program managers and school-based coordinators agreed that the </w:t>
      </w:r>
      <w:r w:rsidR="003C454D" w:rsidRPr="003408A6">
        <w:rPr>
          <w:lang w:val="en-AU"/>
        </w:rPr>
        <w:t xml:space="preserve">national </w:t>
      </w:r>
      <w:r w:rsidRPr="003408A6">
        <w:rPr>
          <w:lang w:val="en-AU"/>
        </w:rPr>
        <w:t xml:space="preserve">information resources had been prepared too late for distribution before or at the start of the program rollout. This was the case both for the original female program and the extended male program. </w:t>
      </w:r>
    </w:p>
    <w:p w:rsidR="008454B0" w:rsidRPr="003408A6" w:rsidRDefault="008454B0" w:rsidP="005B66D7">
      <w:pPr>
        <w:pStyle w:val="BodyText"/>
        <w:rPr>
          <w:lang w:val="en-AU"/>
        </w:rPr>
      </w:pPr>
      <w:r w:rsidRPr="003408A6">
        <w:rPr>
          <w:lang w:val="en-AU"/>
        </w:rPr>
        <w:t xml:space="preserve">To immunisation program managers, the late arrival of information resources was a problem as information materials were needed early to allow for better preparation of the program rollout and </w:t>
      </w:r>
      <w:r w:rsidR="00EA7C2D" w:rsidRPr="003408A6">
        <w:rPr>
          <w:lang w:val="en-AU"/>
        </w:rPr>
        <w:t xml:space="preserve">to </w:t>
      </w:r>
      <w:r w:rsidRPr="003408A6">
        <w:rPr>
          <w:lang w:val="en-AU"/>
        </w:rPr>
        <w:t>provid</w:t>
      </w:r>
      <w:r w:rsidR="00EA7C2D" w:rsidRPr="003408A6">
        <w:rPr>
          <w:lang w:val="en-AU"/>
        </w:rPr>
        <w:t>e</w:t>
      </w:r>
      <w:r w:rsidRPr="003408A6">
        <w:rPr>
          <w:lang w:val="en-AU"/>
        </w:rPr>
        <w:t xml:space="preserve"> consistent messages about HPV and vaccination. </w:t>
      </w:r>
    </w:p>
    <w:p w:rsidR="008454B0" w:rsidRPr="003408A6" w:rsidRDefault="008454B0" w:rsidP="005B66D7">
      <w:pPr>
        <w:pStyle w:val="Blockquote"/>
      </w:pPr>
      <w:r w:rsidRPr="003408A6">
        <w:t xml:space="preserve">“The material must be ready </w:t>
      </w:r>
      <w:r w:rsidR="00006FDF" w:rsidRPr="003408A6">
        <w:t xml:space="preserve">6 </w:t>
      </w:r>
      <w:r w:rsidRPr="003408A6">
        <w:t>months in advance of the year starting in a school</w:t>
      </w:r>
      <w:r w:rsidR="00414E05" w:rsidRPr="003408A6">
        <w:t>-</w:t>
      </w:r>
      <w:r w:rsidRPr="003408A6">
        <w:t xml:space="preserve">based program so that we can all use it and know that consistent messages are used.” </w:t>
      </w:r>
    </w:p>
    <w:p w:rsidR="008454B0" w:rsidRPr="003408A6" w:rsidRDefault="008454B0" w:rsidP="005B66D7">
      <w:pPr>
        <w:pStyle w:val="BodyText"/>
        <w:rPr>
          <w:lang w:val="en-AU"/>
        </w:rPr>
      </w:pPr>
      <w:r w:rsidRPr="003408A6">
        <w:rPr>
          <w:lang w:val="en-AU"/>
        </w:rPr>
        <w:t xml:space="preserve">Late arrival of </w:t>
      </w:r>
      <w:r w:rsidR="001D3F58" w:rsidRPr="003408A6">
        <w:rPr>
          <w:lang w:val="en-AU"/>
        </w:rPr>
        <w:t xml:space="preserve">the national </w:t>
      </w:r>
      <w:r w:rsidRPr="003408A6">
        <w:rPr>
          <w:lang w:val="en-AU"/>
        </w:rPr>
        <w:t>resources was also seen to waste jurisdiction resources due to the duplication of materials. Resources were less likely to be used at all if they arrived late.</w:t>
      </w:r>
    </w:p>
    <w:p w:rsidR="008454B0" w:rsidRPr="003408A6" w:rsidRDefault="008454B0" w:rsidP="005B66D7">
      <w:pPr>
        <w:pStyle w:val="Blockquote"/>
      </w:pPr>
      <w:r w:rsidRPr="003408A6">
        <w:t>“The girls’ stuff all came out late, which is another reason why we tend not to use Commonwealth materials</w:t>
      </w:r>
      <w:r w:rsidR="00075771" w:rsidRPr="003408A6">
        <w:t>.</w:t>
      </w:r>
      <w:r w:rsidRPr="003408A6">
        <w:t xml:space="preserve">” </w:t>
      </w:r>
    </w:p>
    <w:p w:rsidR="008454B0" w:rsidRPr="003408A6" w:rsidRDefault="008454B0" w:rsidP="005B66D7">
      <w:pPr>
        <w:pStyle w:val="BodyText"/>
        <w:rPr>
          <w:lang w:val="en-AU"/>
        </w:rPr>
      </w:pPr>
      <w:r w:rsidRPr="003408A6">
        <w:rPr>
          <w:lang w:val="en-AU"/>
        </w:rPr>
        <w:t xml:space="preserve">One practice nurse considered that the original female resources had been too wordy and that nurses had still needed to explain the message to females in their practices. </w:t>
      </w:r>
    </w:p>
    <w:p w:rsidR="008454B0" w:rsidRPr="003408A6" w:rsidRDefault="008454B0" w:rsidP="005B66D7">
      <w:pPr>
        <w:pStyle w:val="BodyText"/>
        <w:rPr>
          <w:lang w:val="en-AU"/>
        </w:rPr>
      </w:pPr>
      <w:r w:rsidRPr="003408A6">
        <w:rPr>
          <w:lang w:val="en-AU"/>
        </w:rPr>
        <w:t xml:space="preserve">Two respondents from </w:t>
      </w:r>
      <w:r w:rsidR="008B39E1" w:rsidRPr="003408A6">
        <w:rPr>
          <w:lang w:val="en-AU"/>
        </w:rPr>
        <w:t>South Australia</w:t>
      </w:r>
      <w:r w:rsidRPr="003408A6">
        <w:rPr>
          <w:lang w:val="en-AU"/>
        </w:rPr>
        <w:t xml:space="preserve"> and </w:t>
      </w:r>
      <w:r w:rsidR="00075771" w:rsidRPr="003408A6">
        <w:rPr>
          <w:lang w:val="en-AU"/>
        </w:rPr>
        <w:t xml:space="preserve">the </w:t>
      </w:r>
      <w:r w:rsidR="008B39E1" w:rsidRPr="003408A6">
        <w:rPr>
          <w:lang w:val="en-AU"/>
        </w:rPr>
        <w:t>Australian Capital Territory</w:t>
      </w:r>
      <w:r w:rsidRPr="003408A6">
        <w:rPr>
          <w:lang w:val="en-AU"/>
        </w:rPr>
        <w:t xml:space="preserve"> mentioned logistic problems with distributing the </w:t>
      </w:r>
      <w:r w:rsidR="001D3F58" w:rsidRPr="003408A6">
        <w:rPr>
          <w:lang w:val="en-AU"/>
        </w:rPr>
        <w:t xml:space="preserve">national </w:t>
      </w:r>
      <w:r w:rsidRPr="003408A6">
        <w:rPr>
          <w:lang w:val="en-AU"/>
        </w:rPr>
        <w:t>resources through schools. Sending materials direct</w:t>
      </w:r>
      <w:r w:rsidR="00092229">
        <w:rPr>
          <w:lang w:val="en-AU"/>
        </w:rPr>
        <w:t>ly</w:t>
      </w:r>
      <w:r w:rsidRPr="003408A6">
        <w:rPr>
          <w:lang w:val="en-AU"/>
        </w:rPr>
        <w:t xml:space="preserve"> was an issue because schools did not distribute them</w:t>
      </w:r>
      <w:r w:rsidR="00075771" w:rsidRPr="003408A6">
        <w:rPr>
          <w:lang w:val="en-AU"/>
        </w:rPr>
        <w:t>,</w:t>
      </w:r>
      <w:r w:rsidRPr="003408A6">
        <w:rPr>
          <w:lang w:val="en-AU"/>
        </w:rPr>
        <w:t xml:space="preserve"> especially when they arrived after the start of the school year. It was also impractical for providers to carry all the information resources to vaccination days along with the vaccines and consent materials.</w:t>
      </w:r>
    </w:p>
    <w:p w:rsidR="008454B0" w:rsidRPr="003408A6" w:rsidRDefault="008454B0" w:rsidP="005B66D7">
      <w:pPr>
        <w:pStyle w:val="BodyText"/>
        <w:rPr>
          <w:lang w:val="en-AU"/>
        </w:rPr>
      </w:pPr>
      <w:r w:rsidRPr="003408A6">
        <w:rPr>
          <w:lang w:val="en-AU"/>
        </w:rPr>
        <w:t xml:space="preserve">Several stakeholders thought that since the community could now be more easily reached via the internet and phone messages than was possible </w:t>
      </w:r>
      <w:r w:rsidR="00092229">
        <w:rPr>
          <w:lang w:val="en-AU"/>
        </w:rPr>
        <w:t>5</w:t>
      </w:r>
      <w:r w:rsidR="00092229" w:rsidRPr="003408A6">
        <w:rPr>
          <w:lang w:val="en-AU"/>
        </w:rPr>
        <w:t xml:space="preserve"> </w:t>
      </w:r>
      <w:r w:rsidRPr="003408A6">
        <w:rPr>
          <w:lang w:val="en-AU"/>
        </w:rPr>
        <w:t xml:space="preserve">years ago, distributing paper-based information resources was not </w:t>
      </w:r>
      <w:r w:rsidR="00075771" w:rsidRPr="003408A6">
        <w:rPr>
          <w:lang w:val="en-AU"/>
        </w:rPr>
        <w:t xml:space="preserve">as </w:t>
      </w:r>
      <w:r w:rsidRPr="003408A6">
        <w:rPr>
          <w:lang w:val="en-AU"/>
        </w:rPr>
        <w:t>critical as it had been at the start of the female program and could be superseded by electronic media.</w:t>
      </w:r>
    </w:p>
    <w:p w:rsidR="008454B0" w:rsidRPr="003408A6" w:rsidRDefault="008454B0" w:rsidP="005B66D7">
      <w:pPr>
        <w:pStyle w:val="BodyText"/>
        <w:rPr>
          <w:lang w:val="en-AU"/>
        </w:rPr>
      </w:pPr>
      <w:r w:rsidRPr="003408A6">
        <w:rPr>
          <w:lang w:val="en-AU"/>
        </w:rPr>
        <w:t xml:space="preserve">Not all immunisation program managers considered that the market research approach to developing materials had been useful. </w:t>
      </w:r>
      <w:r w:rsidR="002544F6" w:rsidRPr="003408A6">
        <w:rPr>
          <w:lang w:val="en-AU"/>
        </w:rPr>
        <w:t xml:space="preserve">Two stakeholders </w:t>
      </w:r>
      <w:r w:rsidR="00F77711" w:rsidRPr="003408A6">
        <w:rPr>
          <w:lang w:val="en-AU"/>
        </w:rPr>
        <w:t>mentioned they preferred to use</w:t>
      </w:r>
      <w:r w:rsidR="002544F6" w:rsidRPr="003408A6">
        <w:rPr>
          <w:lang w:val="en-AU"/>
        </w:rPr>
        <w:t xml:space="preserve"> </w:t>
      </w:r>
      <w:r w:rsidR="00092229">
        <w:rPr>
          <w:lang w:val="en-AU"/>
        </w:rPr>
        <w:t xml:space="preserve">the </w:t>
      </w:r>
      <w:r w:rsidR="002544F6" w:rsidRPr="003408A6">
        <w:rPr>
          <w:lang w:val="en-AU"/>
        </w:rPr>
        <w:t xml:space="preserve">Immunise Australia </w:t>
      </w:r>
      <w:r w:rsidR="00296C1F" w:rsidRPr="003408A6">
        <w:rPr>
          <w:lang w:val="en-AU"/>
        </w:rPr>
        <w:t xml:space="preserve">Program </w:t>
      </w:r>
      <w:r w:rsidR="00092229">
        <w:rPr>
          <w:lang w:val="en-AU"/>
        </w:rPr>
        <w:t xml:space="preserve">website </w:t>
      </w:r>
      <w:r w:rsidR="002544F6" w:rsidRPr="003408A6">
        <w:rPr>
          <w:lang w:val="en-AU"/>
        </w:rPr>
        <w:t>for information resources rather than the HPV Program website and</w:t>
      </w:r>
      <w:r w:rsidRPr="003408A6">
        <w:rPr>
          <w:lang w:val="en-AU"/>
        </w:rPr>
        <w:t xml:space="preserve"> </w:t>
      </w:r>
      <w:r w:rsidR="002544F6" w:rsidRPr="003408A6">
        <w:rPr>
          <w:lang w:val="en-AU"/>
        </w:rPr>
        <w:t>one suggested</w:t>
      </w:r>
      <w:r w:rsidRPr="003408A6">
        <w:rPr>
          <w:lang w:val="en-AU"/>
        </w:rPr>
        <w:t xml:space="preserve"> the HPV website </w:t>
      </w:r>
      <w:r w:rsidR="002544F6" w:rsidRPr="003408A6">
        <w:rPr>
          <w:lang w:val="en-AU"/>
        </w:rPr>
        <w:t xml:space="preserve">should be </w:t>
      </w:r>
      <w:r w:rsidRPr="003408A6">
        <w:rPr>
          <w:lang w:val="en-AU"/>
        </w:rPr>
        <w:t xml:space="preserve">integrated into the Immunise Australia </w:t>
      </w:r>
      <w:r w:rsidR="00844392" w:rsidRPr="003408A6">
        <w:rPr>
          <w:lang w:val="en-AU"/>
        </w:rPr>
        <w:t>w</w:t>
      </w:r>
      <w:r w:rsidRPr="003408A6">
        <w:rPr>
          <w:lang w:val="en-AU"/>
        </w:rPr>
        <w:t>ebsite.</w:t>
      </w:r>
    </w:p>
    <w:p w:rsidR="008454B0" w:rsidRPr="003408A6" w:rsidRDefault="008454B0" w:rsidP="005B66D7">
      <w:pPr>
        <w:pStyle w:val="Heading5"/>
      </w:pPr>
      <w:r w:rsidRPr="003408A6">
        <w:t>Communicating messages about HPV</w:t>
      </w:r>
    </w:p>
    <w:p w:rsidR="008454B0" w:rsidRPr="003408A6" w:rsidRDefault="008454B0" w:rsidP="005B66D7">
      <w:pPr>
        <w:pStyle w:val="BodyText"/>
        <w:rPr>
          <w:lang w:val="en-AU"/>
        </w:rPr>
      </w:pPr>
      <w:r w:rsidRPr="003408A6">
        <w:rPr>
          <w:lang w:val="en-AU"/>
        </w:rPr>
        <w:t xml:space="preserve">A unique aspect of the National HPV Vaccination Program was communicating messages around sexual transmission of the virus. This created both challenges and opportunities for sexual health messages. One regional immunisation coordinator remarked that with the start of the female program immunisation nurses had received more questions from adolescent girls about sexual health, which was initially a challenge but also ultimately a good outcome. </w:t>
      </w:r>
    </w:p>
    <w:p w:rsidR="008454B0" w:rsidRPr="003408A6" w:rsidRDefault="008454B0" w:rsidP="005B66D7">
      <w:pPr>
        <w:pStyle w:val="BodyText"/>
        <w:rPr>
          <w:lang w:val="en-AU"/>
        </w:rPr>
      </w:pPr>
      <w:r w:rsidRPr="003408A6">
        <w:rPr>
          <w:lang w:val="en-AU"/>
        </w:rPr>
        <w:t>Several respondents saw value in the original message of a vaccine against cervical cancer, as it targeted a specific disease and it was a less controversial message to sell to parents of young adolescent females. Many respondents</w:t>
      </w:r>
      <w:r w:rsidR="00075771" w:rsidRPr="003408A6">
        <w:rPr>
          <w:lang w:val="en-AU"/>
        </w:rPr>
        <w:t>,</w:t>
      </w:r>
      <w:r w:rsidRPr="003408A6">
        <w:rPr>
          <w:lang w:val="en-AU"/>
        </w:rPr>
        <w:t xml:space="preserve"> however</w:t>
      </w:r>
      <w:r w:rsidR="00075771" w:rsidRPr="003408A6">
        <w:rPr>
          <w:lang w:val="en-AU"/>
        </w:rPr>
        <w:t>,</w:t>
      </w:r>
      <w:r w:rsidRPr="003408A6">
        <w:rPr>
          <w:lang w:val="en-AU"/>
        </w:rPr>
        <w:t xml:space="preserve"> thought the original message to females should have more fully explained the link between HPV, sexual transmission and cancer. </w:t>
      </w:r>
    </w:p>
    <w:p w:rsidR="008454B0" w:rsidRPr="003408A6" w:rsidRDefault="008454B0" w:rsidP="005B66D7">
      <w:pPr>
        <w:pStyle w:val="BodyText"/>
        <w:rPr>
          <w:lang w:val="en-AU"/>
        </w:rPr>
      </w:pPr>
      <w:r w:rsidRPr="003408A6">
        <w:rPr>
          <w:lang w:val="en-AU"/>
        </w:rPr>
        <w:t>A large proportion of respondents commented that the original emphasis on a cervical cancer vaccine made it more difficult to explain why the program was being extended to adolescent males.</w:t>
      </w:r>
    </w:p>
    <w:p w:rsidR="008454B0" w:rsidRPr="003408A6" w:rsidRDefault="008454B0" w:rsidP="005B66D7">
      <w:pPr>
        <w:pStyle w:val="Blockquote"/>
      </w:pPr>
      <w:r w:rsidRPr="003408A6">
        <w:t xml:space="preserve">“I don’t think just the actual vaccine on the day getting all these kids in and jabbing them is any more challenging just because you’ve put the boys in. It’s getting parents and schools and students to understand why it’s a good vaccine for a boy because it was so much </w:t>
      </w:r>
      <w:r w:rsidR="00075771" w:rsidRPr="003408A6">
        <w:t>‘</w:t>
      </w:r>
      <w:r w:rsidRPr="003408A6">
        <w:t>we’re going to cure cervical cancer</w:t>
      </w:r>
      <w:r w:rsidR="00075771" w:rsidRPr="003408A6">
        <w:t>’</w:t>
      </w:r>
      <w:r w:rsidRPr="003408A6">
        <w:t xml:space="preserve">.” </w:t>
      </w:r>
    </w:p>
    <w:p w:rsidR="008454B0" w:rsidRPr="003408A6" w:rsidRDefault="008454B0" w:rsidP="005B66D7">
      <w:pPr>
        <w:pStyle w:val="Heading5"/>
      </w:pPr>
      <w:r w:rsidRPr="003408A6">
        <w:t xml:space="preserve">Role of </w:t>
      </w:r>
      <w:r w:rsidR="007F14FA" w:rsidRPr="003408A6">
        <w:t>m</w:t>
      </w:r>
      <w:r w:rsidRPr="003408A6">
        <w:t>edia</w:t>
      </w:r>
    </w:p>
    <w:p w:rsidR="008454B0" w:rsidRPr="003408A6" w:rsidRDefault="008454B0" w:rsidP="005B66D7">
      <w:pPr>
        <w:pStyle w:val="BodyText"/>
        <w:rPr>
          <w:lang w:val="en-AU"/>
        </w:rPr>
      </w:pPr>
      <w:r w:rsidRPr="003408A6">
        <w:rPr>
          <w:lang w:val="en-AU"/>
        </w:rPr>
        <w:t>Respondents had very different perceptions of the role of media in promoting the National HPV Vaccination Program, possibly due to differences in media attention across jurisdictions. There was negative attention from the media at the start of the female program, which affected the initial community acceptance of the program for females. This adverse media attention was largely absent for the announcement and rollout of the extended program for males. One respondent noted that although there had been negative media around the female program</w:t>
      </w:r>
      <w:r w:rsidR="00075771" w:rsidRPr="003408A6">
        <w:rPr>
          <w:lang w:val="en-AU"/>
        </w:rPr>
        <w:t>,</w:t>
      </w:r>
      <w:r w:rsidRPr="003408A6">
        <w:rPr>
          <w:lang w:val="en-AU"/>
        </w:rPr>
        <w:t xml:space="preserve"> it had not stopped a good uptake of the vaccine.</w:t>
      </w:r>
    </w:p>
    <w:p w:rsidR="008454B0" w:rsidRPr="003408A6" w:rsidRDefault="008454B0" w:rsidP="005B66D7">
      <w:pPr>
        <w:pStyle w:val="BodyText"/>
        <w:rPr>
          <w:lang w:val="en-AU"/>
        </w:rPr>
      </w:pPr>
      <w:r w:rsidRPr="003408A6">
        <w:rPr>
          <w:lang w:val="en-AU"/>
        </w:rPr>
        <w:t xml:space="preserve">However, several stakeholders also discussed the role of media in the positive promotion and communication of the National HPV Vaccination Program. </w:t>
      </w:r>
    </w:p>
    <w:p w:rsidR="008454B0" w:rsidRPr="003408A6" w:rsidRDefault="008454B0" w:rsidP="005B66D7">
      <w:pPr>
        <w:pStyle w:val="BodyText"/>
        <w:rPr>
          <w:lang w:val="en-AU"/>
        </w:rPr>
      </w:pPr>
      <w:r w:rsidRPr="003408A6">
        <w:rPr>
          <w:lang w:val="en-AU"/>
        </w:rPr>
        <w:t xml:space="preserve">Several school-based coordinators recalled there had been some positive promotional announcements on radio and in magazines for the female program, in particular around the female community catch-up in general practice. </w:t>
      </w:r>
    </w:p>
    <w:p w:rsidR="008454B0" w:rsidRPr="003408A6" w:rsidRDefault="008454B0" w:rsidP="005B66D7">
      <w:pPr>
        <w:pStyle w:val="BodyText"/>
        <w:rPr>
          <w:lang w:val="en-AU"/>
        </w:rPr>
      </w:pPr>
      <w:r w:rsidRPr="003408A6">
        <w:rPr>
          <w:lang w:val="en-AU"/>
        </w:rPr>
        <w:t xml:space="preserve">Another school-based coordinator had also noticed positive promotion of the program by the media </w:t>
      </w:r>
      <w:r w:rsidR="00075771" w:rsidRPr="003408A6">
        <w:rPr>
          <w:lang w:val="en-AU"/>
        </w:rPr>
        <w:t>coverage of</w:t>
      </w:r>
      <w:r w:rsidRPr="003408A6">
        <w:rPr>
          <w:lang w:val="en-AU"/>
        </w:rPr>
        <w:t xml:space="preserve"> the rollout of the male program. </w:t>
      </w:r>
    </w:p>
    <w:p w:rsidR="008454B0" w:rsidRPr="003408A6" w:rsidRDefault="008454B0" w:rsidP="005B66D7">
      <w:pPr>
        <w:pStyle w:val="Blockquote"/>
      </w:pPr>
      <w:r w:rsidRPr="003408A6">
        <w:t>“</w:t>
      </w:r>
      <w:r w:rsidR="00075771" w:rsidRPr="003408A6">
        <w:t>Q</w:t>
      </w:r>
      <w:r w:rsidRPr="003408A6">
        <w:t xml:space="preserve">uite a bit in the media recently especially just before the male program was introduced they had quite a few documentary type programs and talkback programs.” </w:t>
      </w:r>
    </w:p>
    <w:p w:rsidR="00F452B0" w:rsidRPr="003408A6" w:rsidRDefault="008454B0" w:rsidP="005B66D7">
      <w:pPr>
        <w:pStyle w:val="BodyText"/>
        <w:rPr>
          <w:u w:val="single"/>
          <w:lang w:val="en-AU"/>
        </w:rPr>
      </w:pPr>
      <w:r w:rsidRPr="003408A6">
        <w:rPr>
          <w:lang w:val="en-AU"/>
        </w:rPr>
        <w:t>Respondents suggested that the media could be better used to promote the program, either at the local level through local papers or through wider coverage such as glossy magazines.</w:t>
      </w:r>
      <w:r w:rsidR="00F452B0" w:rsidRPr="003408A6">
        <w:rPr>
          <w:u w:val="single"/>
          <w:lang w:val="en-AU"/>
        </w:rPr>
        <w:t xml:space="preserve"> </w:t>
      </w:r>
    </w:p>
    <w:p w:rsidR="00F452B0" w:rsidRPr="003408A6" w:rsidRDefault="00F452B0" w:rsidP="005B66D7">
      <w:pPr>
        <w:pStyle w:val="BodyText"/>
        <w:rPr>
          <w:lang w:val="en-AU"/>
        </w:rPr>
      </w:pPr>
      <w:r w:rsidRPr="003408A6">
        <w:rPr>
          <w:lang w:val="en-AU"/>
        </w:rPr>
        <w:t xml:space="preserve">The </w:t>
      </w:r>
      <w:r w:rsidR="008E6E49">
        <w:rPr>
          <w:lang w:val="en-AU"/>
        </w:rPr>
        <w:t>Australian Government Department of Health</w:t>
      </w:r>
      <w:r w:rsidRPr="003408A6">
        <w:rPr>
          <w:lang w:val="en-AU"/>
        </w:rPr>
        <w:t xml:space="preserve"> observed that the safety plan of enhanced surveillance of adverse events allowed the Department and the jurisdictions to be forewarned to handle any media attention for the male program </w:t>
      </w:r>
      <w:r w:rsidR="001C31F7" w:rsidRPr="003408A6">
        <w:rPr>
          <w:lang w:val="en-AU"/>
        </w:rPr>
        <w:t>regarding safety concerns</w:t>
      </w:r>
      <w:r w:rsidRPr="003408A6">
        <w:rPr>
          <w:lang w:val="en-AU"/>
        </w:rPr>
        <w:t>.</w:t>
      </w:r>
    </w:p>
    <w:p w:rsidR="008454B0" w:rsidRPr="003408A6" w:rsidRDefault="008454B0" w:rsidP="005B66D7">
      <w:pPr>
        <w:pStyle w:val="Heading5"/>
      </w:pPr>
      <w:r w:rsidRPr="003408A6">
        <w:t xml:space="preserve">Role of </w:t>
      </w:r>
      <w:r w:rsidR="00482879" w:rsidRPr="003408A6">
        <w:t xml:space="preserve">vaccine </w:t>
      </w:r>
      <w:r w:rsidRPr="003408A6">
        <w:t>company</w:t>
      </w:r>
    </w:p>
    <w:p w:rsidR="008454B0" w:rsidRPr="003408A6" w:rsidRDefault="008454B0" w:rsidP="005B66D7">
      <w:pPr>
        <w:pStyle w:val="BodyText"/>
        <w:rPr>
          <w:lang w:val="en-AU"/>
        </w:rPr>
      </w:pPr>
      <w:r w:rsidRPr="003408A6">
        <w:rPr>
          <w:lang w:val="en-AU"/>
        </w:rPr>
        <w:t>Some respondents from private practice and Medicare Locals and one immunisation program manager mentioned the information provided by the vaccine pharmaceutical company as a positive aspect of the original female program</w:t>
      </w:r>
      <w:r w:rsidR="00075771" w:rsidRPr="003408A6">
        <w:rPr>
          <w:lang w:val="en-AU"/>
        </w:rPr>
        <w:t>,</w:t>
      </w:r>
      <w:r w:rsidRPr="003408A6">
        <w:rPr>
          <w:lang w:val="en-AU"/>
        </w:rPr>
        <w:t xml:space="preserve"> although not all private providers used the pharmaceutical company information.  </w:t>
      </w:r>
    </w:p>
    <w:p w:rsidR="008454B0" w:rsidRPr="003408A6" w:rsidRDefault="008454B0" w:rsidP="005B66D7">
      <w:pPr>
        <w:pStyle w:val="BodyText"/>
        <w:rPr>
          <w:lang w:val="en-AU"/>
        </w:rPr>
      </w:pPr>
      <w:r w:rsidRPr="003408A6">
        <w:rPr>
          <w:lang w:val="en-AU"/>
        </w:rPr>
        <w:t>The information from the pharmaceutical company was seen as important to fill the initial gap in information at the start of the female program but was not so important once the national resources became available.</w:t>
      </w:r>
    </w:p>
    <w:p w:rsidR="008454B0" w:rsidRPr="003408A6" w:rsidRDefault="008454B0" w:rsidP="005B66D7">
      <w:pPr>
        <w:pStyle w:val="Blockquote"/>
      </w:pPr>
      <w:r w:rsidRPr="003408A6">
        <w:t>“I can remember that most of the information did come from drug reps. I can remember being bombarded by drug reps and not much information coming from [jurisdiction health dep</w:t>
      </w:r>
      <w:r w:rsidR="00075771" w:rsidRPr="003408A6">
        <w:t>artment</w:t>
      </w:r>
      <w:r w:rsidRPr="003408A6">
        <w:t>]</w:t>
      </w:r>
      <w:r w:rsidR="00075771" w:rsidRPr="003408A6">
        <w:t>.</w:t>
      </w:r>
      <w:r w:rsidRPr="003408A6">
        <w:t>”</w:t>
      </w:r>
    </w:p>
    <w:p w:rsidR="00E12362" w:rsidRPr="003408A6" w:rsidRDefault="00E12362" w:rsidP="005B66D7">
      <w:pPr>
        <w:pStyle w:val="BodyText"/>
        <w:rPr>
          <w:lang w:val="en-AU"/>
        </w:rPr>
      </w:pPr>
      <w:r w:rsidRPr="003408A6">
        <w:rPr>
          <w:lang w:val="en-AU"/>
        </w:rPr>
        <w:t xml:space="preserve">Besides providing information the vaccine company </w:t>
      </w:r>
      <w:r w:rsidR="007C1C87" w:rsidRPr="003408A6">
        <w:rPr>
          <w:lang w:val="en-AU"/>
        </w:rPr>
        <w:t xml:space="preserve">actively </w:t>
      </w:r>
      <w:r w:rsidRPr="003408A6">
        <w:rPr>
          <w:lang w:val="en-AU"/>
        </w:rPr>
        <w:t>promoted</w:t>
      </w:r>
      <w:r w:rsidR="007C1C87" w:rsidRPr="003408A6">
        <w:rPr>
          <w:lang w:val="en-AU"/>
        </w:rPr>
        <w:t xml:space="preserve"> the </w:t>
      </w:r>
      <w:r w:rsidRPr="003408A6">
        <w:rPr>
          <w:lang w:val="en-AU"/>
        </w:rPr>
        <w:t xml:space="preserve">engagement of general practice in the female program. </w:t>
      </w:r>
    </w:p>
    <w:p w:rsidR="008454B0" w:rsidRPr="003408A6" w:rsidRDefault="008454B0" w:rsidP="005B66D7">
      <w:pPr>
        <w:pStyle w:val="BodyText"/>
        <w:rPr>
          <w:lang w:val="en-AU"/>
        </w:rPr>
      </w:pPr>
      <w:r w:rsidRPr="003408A6">
        <w:rPr>
          <w:lang w:val="en-AU"/>
        </w:rPr>
        <w:t xml:space="preserve">One school-based coordinator and one immunisation program manager also mentioned using </w:t>
      </w:r>
      <w:r w:rsidR="00D67FE6" w:rsidRPr="003408A6">
        <w:rPr>
          <w:lang w:val="en-AU"/>
        </w:rPr>
        <w:t xml:space="preserve">vaccine </w:t>
      </w:r>
      <w:r w:rsidRPr="003408A6">
        <w:rPr>
          <w:lang w:val="en-AU"/>
        </w:rPr>
        <w:t>company market research findings for the male program.</w:t>
      </w:r>
      <w:r w:rsidR="00E12362" w:rsidRPr="003408A6">
        <w:rPr>
          <w:lang w:val="en-AU"/>
        </w:rPr>
        <w:t xml:space="preserve"> However</w:t>
      </w:r>
      <w:r w:rsidR="00092229">
        <w:rPr>
          <w:lang w:val="en-AU"/>
        </w:rPr>
        <w:t>,</w:t>
      </w:r>
      <w:r w:rsidR="00E12362" w:rsidRPr="003408A6">
        <w:rPr>
          <w:lang w:val="en-AU"/>
        </w:rPr>
        <w:t xml:space="preserve"> a respondent from private practice considered that the </w:t>
      </w:r>
      <w:r w:rsidR="007C1C87" w:rsidRPr="003408A6">
        <w:rPr>
          <w:lang w:val="en-AU"/>
        </w:rPr>
        <w:t xml:space="preserve">relative </w:t>
      </w:r>
      <w:r w:rsidR="00E12362" w:rsidRPr="003408A6">
        <w:rPr>
          <w:lang w:val="en-AU"/>
        </w:rPr>
        <w:t xml:space="preserve">lack of promotion </w:t>
      </w:r>
      <w:r w:rsidR="007C1C87" w:rsidRPr="003408A6">
        <w:rPr>
          <w:lang w:val="en-AU"/>
        </w:rPr>
        <w:t xml:space="preserve">of the male program </w:t>
      </w:r>
      <w:r w:rsidR="00E12362" w:rsidRPr="003408A6">
        <w:rPr>
          <w:lang w:val="en-AU"/>
        </w:rPr>
        <w:t xml:space="preserve">by the vaccine company </w:t>
      </w:r>
      <w:r w:rsidR="007C1C87" w:rsidRPr="003408A6">
        <w:rPr>
          <w:lang w:val="en-AU"/>
        </w:rPr>
        <w:t xml:space="preserve">contributed to less awareness of and engagement with the male program by general practice providers. </w:t>
      </w:r>
    </w:p>
    <w:p w:rsidR="008454B0" w:rsidRPr="003408A6" w:rsidRDefault="008454B0" w:rsidP="008454B0">
      <w:pPr>
        <w:pStyle w:val="Heading3"/>
      </w:pPr>
      <w:bookmarkStart w:id="59" w:name="_Toc373497094"/>
      <w:r w:rsidRPr="003408A6">
        <w:t>Service delivery</w:t>
      </w:r>
      <w:bookmarkEnd w:id="59"/>
    </w:p>
    <w:p w:rsidR="008454B0" w:rsidRPr="003408A6" w:rsidRDefault="008454B0" w:rsidP="005B66D7">
      <w:pPr>
        <w:pStyle w:val="BodyText"/>
        <w:rPr>
          <w:lang w:val="en-AU"/>
        </w:rPr>
      </w:pPr>
      <w:r w:rsidRPr="003408A6">
        <w:rPr>
          <w:lang w:val="en-AU"/>
        </w:rPr>
        <w:t>Respondents did not recall any major issues with vaccine supply</w:t>
      </w:r>
      <w:r w:rsidR="00850B70" w:rsidRPr="003408A6">
        <w:rPr>
          <w:lang w:val="en-AU"/>
        </w:rPr>
        <w:t xml:space="preserve">, </w:t>
      </w:r>
      <w:r w:rsidRPr="003408A6">
        <w:rPr>
          <w:lang w:val="en-AU"/>
        </w:rPr>
        <w:t>cold chain or administration. Two school-based coordinators noted that the single doses were convenient but came with excessive packaging.</w:t>
      </w:r>
    </w:p>
    <w:p w:rsidR="008454B0" w:rsidRPr="003408A6" w:rsidRDefault="008454B0" w:rsidP="005B66D7">
      <w:pPr>
        <w:pStyle w:val="Heading5"/>
      </w:pPr>
      <w:r w:rsidRPr="003408A6">
        <w:t>School-based programs</w:t>
      </w:r>
    </w:p>
    <w:p w:rsidR="008454B0" w:rsidRPr="003408A6" w:rsidRDefault="008454B0" w:rsidP="005B66D7">
      <w:pPr>
        <w:pStyle w:val="BodyText"/>
        <w:rPr>
          <w:lang w:val="en-AU"/>
        </w:rPr>
      </w:pPr>
      <w:r w:rsidRPr="003408A6">
        <w:rPr>
          <w:lang w:val="en-AU"/>
        </w:rPr>
        <w:t xml:space="preserve">Immunisation program managers in several jurisdictions credited the National HPV Vaccination Program for providing the impetus for changes to the jurisdiction’s delivery of the school-based vaccination program. </w:t>
      </w:r>
    </w:p>
    <w:p w:rsidR="008454B0" w:rsidRPr="003408A6" w:rsidRDefault="008454B0" w:rsidP="005B66D7">
      <w:pPr>
        <w:pStyle w:val="BodyText"/>
        <w:rPr>
          <w:lang w:val="en-AU"/>
        </w:rPr>
      </w:pPr>
      <w:r w:rsidRPr="003408A6">
        <w:rPr>
          <w:lang w:val="en-AU"/>
        </w:rPr>
        <w:t xml:space="preserve">In Queensland, the female HPV </w:t>
      </w:r>
      <w:r w:rsidR="00092229">
        <w:rPr>
          <w:lang w:val="en-AU"/>
        </w:rPr>
        <w:t>v</w:t>
      </w:r>
      <w:r w:rsidRPr="003408A6">
        <w:rPr>
          <w:lang w:val="en-AU"/>
        </w:rPr>
        <w:t xml:space="preserve">accination </w:t>
      </w:r>
      <w:r w:rsidR="00092229">
        <w:rPr>
          <w:lang w:val="en-AU"/>
        </w:rPr>
        <w:t>p</w:t>
      </w:r>
      <w:r w:rsidRPr="003408A6">
        <w:rPr>
          <w:lang w:val="en-AU"/>
        </w:rPr>
        <w:t xml:space="preserve">rogram brought the </w:t>
      </w:r>
      <w:r w:rsidR="001320B0" w:rsidRPr="003408A6">
        <w:rPr>
          <w:lang w:val="en-AU"/>
        </w:rPr>
        <w:t>s</w:t>
      </w:r>
      <w:r w:rsidRPr="003408A6">
        <w:rPr>
          <w:lang w:val="en-AU"/>
        </w:rPr>
        <w:t xml:space="preserve">tate and Australian government into the school-based program, which was formerly run solely by local councils. </w:t>
      </w:r>
    </w:p>
    <w:p w:rsidR="008454B0" w:rsidRPr="003408A6" w:rsidRDefault="008B39E1" w:rsidP="005B66D7">
      <w:pPr>
        <w:pStyle w:val="BodyText"/>
        <w:rPr>
          <w:lang w:val="en-AU"/>
        </w:rPr>
      </w:pPr>
      <w:r w:rsidRPr="003408A6">
        <w:rPr>
          <w:lang w:val="en-AU"/>
        </w:rPr>
        <w:t>Western Australia</w:t>
      </w:r>
      <w:r w:rsidR="00482879" w:rsidRPr="003408A6">
        <w:rPr>
          <w:lang w:val="en-AU"/>
        </w:rPr>
        <w:t xml:space="preserve"> was planning to move the school-based </w:t>
      </w:r>
      <w:r w:rsidR="00092229">
        <w:rPr>
          <w:lang w:val="en-AU"/>
        </w:rPr>
        <w:t>vaccination</w:t>
      </w:r>
      <w:r w:rsidR="00092229" w:rsidRPr="003408A6">
        <w:rPr>
          <w:lang w:val="en-AU"/>
        </w:rPr>
        <w:t xml:space="preserve"> </w:t>
      </w:r>
      <w:r w:rsidR="00482879" w:rsidRPr="003408A6">
        <w:rPr>
          <w:lang w:val="en-AU"/>
        </w:rPr>
        <w:t>program to high school in line with the education department decision to move Year 7 into high school in 2014. However</w:t>
      </w:r>
      <w:r w:rsidR="00413B61" w:rsidRPr="003408A6">
        <w:rPr>
          <w:lang w:val="en-AU"/>
        </w:rPr>
        <w:t>,</w:t>
      </w:r>
      <w:r w:rsidR="008454B0" w:rsidRPr="003408A6">
        <w:rPr>
          <w:lang w:val="en-AU"/>
        </w:rPr>
        <w:t xml:space="preserve"> th</w:t>
      </w:r>
      <w:r w:rsidR="00482879" w:rsidRPr="003408A6">
        <w:rPr>
          <w:lang w:val="en-AU"/>
        </w:rPr>
        <w:t>e</w:t>
      </w:r>
      <w:r w:rsidR="008454B0" w:rsidRPr="003408A6">
        <w:rPr>
          <w:lang w:val="en-AU"/>
        </w:rPr>
        <w:t xml:space="preserve"> move </w:t>
      </w:r>
      <w:r w:rsidR="00482879" w:rsidRPr="003408A6">
        <w:rPr>
          <w:lang w:val="en-AU"/>
        </w:rPr>
        <w:t xml:space="preserve">of the school-based vaccination program </w:t>
      </w:r>
      <w:r w:rsidR="008454B0" w:rsidRPr="003408A6">
        <w:rPr>
          <w:lang w:val="en-AU"/>
        </w:rPr>
        <w:t xml:space="preserve">from primary to high school </w:t>
      </w:r>
      <w:r w:rsidR="00482879" w:rsidRPr="003408A6">
        <w:rPr>
          <w:lang w:val="en-AU"/>
        </w:rPr>
        <w:t xml:space="preserve">was fast tracked to start </w:t>
      </w:r>
      <w:r w:rsidR="00B9108E" w:rsidRPr="003408A6">
        <w:rPr>
          <w:lang w:val="en-AU"/>
        </w:rPr>
        <w:t>in 2013</w:t>
      </w:r>
      <w:r w:rsidR="00092229">
        <w:rPr>
          <w:lang w:val="en-AU"/>
        </w:rPr>
        <w:t>,</w:t>
      </w:r>
      <w:r w:rsidR="00B9108E" w:rsidRPr="003408A6">
        <w:rPr>
          <w:lang w:val="en-AU"/>
        </w:rPr>
        <w:t xml:space="preserve"> </w:t>
      </w:r>
      <w:r w:rsidR="00482879" w:rsidRPr="003408A6">
        <w:rPr>
          <w:lang w:val="en-AU"/>
        </w:rPr>
        <w:t>a year earlier than planned</w:t>
      </w:r>
      <w:r w:rsidR="00B9108E" w:rsidRPr="003408A6">
        <w:rPr>
          <w:lang w:val="en-AU"/>
        </w:rPr>
        <w:t xml:space="preserve">, to coincide with the start of </w:t>
      </w:r>
      <w:r w:rsidR="00092229">
        <w:rPr>
          <w:lang w:val="en-AU"/>
        </w:rPr>
        <w:t xml:space="preserve">the </w:t>
      </w:r>
      <w:r w:rsidR="00B9108E" w:rsidRPr="003408A6">
        <w:rPr>
          <w:lang w:val="en-AU"/>
        </w:rPr>
        <w:t xml:space="preserve">extended HPV </w:t>
      </w:r>
      <w:r w:rsidR="00092229">
        <w:rPr>
          <w:lang w:val="en-AU"/>
        </w:rPr>
        <w:t>v</w:t>
      </w:r>
      <w:r w:rsidR="00B9108E" w:rsidRPr="003408A6">
        <w:rPr>
          <w:lang w:val="en-AU"/>
        </w:rPr>
        <w:t xml:space="preserve">accination </w:t>
      </w:r>
      <w:r w:rsidR="00092229">
        <w:rPr>
          <w:lang w:val="en-AU"/>
        </w:rPr>
        <w:t>p</w:t>
      </w:r>
      <w:r w:rsidR="00B9108E" w:rsidRPr="003408A6">
        <w:rPr>
          <w:lang w:val="en-AU"/>
        </w:rPr>
        <w:t>rogram for males</w:t>
      </w:r>
      <w:r w:rsidR="008454B0" w:rsidRPr="003408A6">
        <w:rPr>
          <w:lang w:val="en-AU"/>
        </w:rPr>
        <w:t>.</w:t>
      </w:r>
      <w:r w:rsidR="00B9108E" w:rsidRPr="003408A6">
        <w:rPr>
          <w:lang w:val="en-AU"/>
        </w:rPr>
        <w:t xml:space="preserve"> This provided Western Australia with an opportunity to focus on the vaccination of males only in 2013, because females in Year 8 at high school in 2013 had already been vaccinated against HPV in Year 7 at primary school in 2012.</w:t>
      </w:r>
    </w:p>
    <w:p w:rsidR="008454B0" w:rsidRPr="003408A6" w:rsidRDefault="008454B0" w:rsidP="005B66D7">
      <w:pPr>
        <w:pStyle w:val="BodyText"/>
        <w:rPr>
          <w:lang w:val="en-AU"/>
        </w:rPr>
      </w:pPr>
      <w:r w:rsidRPr="003408A6">
        <w:rPr>
          <w:lang w:val="en-AU"/>
        </w:rPr>
        <w:t xml:space="preserve">In </w:t>
      </w:r>
      <w:r w:rsidR="008B39E1" w:rsidRPr="003408A6">
        <w:rPr>
          <w:lang w:val="en-AU"/>
        </w:rPr>
        <w:t>the Australian Capital Territory</w:t>
      </w:r>
      <w:r w:rsidRPr="003408A6">
        <w:rPr>
          <w:lang w:val="en-AU"/>
        </w:rPr>
        <w:t>, the female program resulted in the establishment of a dedicated school immunisation team. Formerly school vaccinations were given by maternal and child health nurses. Collaboration with schools has improved since the start of the female program.</w:t>
      </w:r>
    </w:p>
    <w:p w:rsidR="008454B0" w:rsidRPr="003408A6" w:rsidRDefault="008454B0" w:rsidP="005B66D7">
      <w:pPr>
        <w:pStyle w:val="BodyText"/>
        <w:rPr>
          <w:lang w:val="en-AU"/>
        </w:rPr>
      </w:pPr>
      <w:r w:rsidRPr="003408A6">
        <w:rPr>
          <w:lang w:val="en-AU"/>
        </w:rPr>
        <w:t xml:space="preserve">In Tasmania, the male program was the impetus for accelerating the review of the whole school-based program, including moving </w:t>
      </w:r>
      <w:r w:rsidR="00464820" w:rsidRPr="003408A6">
        <w:rPr>
          <w:lang w:val="en-AU"/>
        </w:rPr>
        <w:t xml:space="preserve">the program from primary </w:t>
      </w:r>
      <w:r w:rsidRPr="003408A6">
        <w:rPr>
          <w:lang w:val="en-AU"/>
        </w:rPr>
        <w:t xml:space="preserve">to high school, more direct communication with schools, and developing consistent consent forms across the </w:t>
      </w:r>
      <w:r w:rsidR="001320B0" w:rsidRPr="003408A6">
        <w:rPr>
          <w:lang w:val="en-AU"/>
        </w:rPr>
        <w:t>s</w:t>
      </w:r>
      <w:r w:rsidRPr="003408A6">
        <w:rPr>
          <w:lang w:val="en-AU"/>
        </w:rPr>
        <w:t xml:space="preserve">tate. </w:t>
      </w:r>
    </w:p>
    <w:p w:rsidR="00A27E43" w:rsidRPr="003408A6" w:rsidRDefault="00A27E43" w:rsidP="005B66D7">
      <w:pPr>
        <w:pStyle w:val="Heading5"/>
      </w:pPr>
      <w:r w:rsidRPr="003408A6">
        <w:t xml:space="preserve">Collaboration between the </w:t>
      </w:r>
      <w:r w:rsidR="00B8021E">
        <w:t>h</w:t>
      </w:r>
      <w:r w:rsidRPr="003408A6">
        <w:t xml:space="preserve">ealth and </w:t>
      </w:r>
      <w:r w:rsidR="00B8021E">
        <w:t>e</w:t>
      </w:r>
      <w:r w:rsidRPr="003408A6">
        <w:t>ducation sectors</w:t>
      </w:r>
    </w:p>
    <w:p w:rsidR="00A27E43" w:rsidRPr="003408A6" w:rsidRDefault="00A27E43" w:rsidP="005B66D7">
      <w:pPr>
        <w:pStyle w:val="BodyText"/>
        <w:rPr>
          <w:lang w:val="en-AU"/>
        </w:rPr>
      </w:pPr>
      <w:r w:rsidRPr="003408A6">
        <w:rPr>
          <w:lang w:val="en-AU"/>
        </w:rPr>
        <w:t xml:space="preserve">In </w:t>
      </w:r>
      <w:r w:rsidR="00E20DFE" w:rsidRPr="003408A6">
        <w:rPr>
          <w:lang w:val="en-AU"/>
        </w:rPr>
        <w:t xml:space="preserve">most </w:t>
      </w:r>
      <w:r w:rsidRPr="003408A6">
        <w:rPr>
          <w:lang w:val="en-AU"/>
        </w:rPr>
        <w:t>jurisdictions</w:t>
      </w:r>
      <w:r w:rsidR="00D67FE6" w:rsidRPr="003408A6">
        <w:rPr>
          <w:lang w:val="en-AU"/>
        </w:rPr>
        <w:t>,</w:t>
      </w:r>
      <w:r w:rsidRPr="003408A6">
        <w:rPr>
          <w:lang w:val="en-AU"/>
        </w:rPr>
        <w:t xml:space="preserve"> the collaboration between the schools sector and the school-based programs was relatively </w:t>
      </w:r>
      <w:r w:rsidR="00E20DFE" w:rsidRPr="003408A6">
        <w:rPr>
          <w:lang w:val="en-AU"/>
        </w:rPr>
        <w:t>robust. However</w:t>
      </w:r>
      <w:r w:rsidR="0088070C" w:rsidRPr="003408A6">
        <w:rPr>
          <w:lang w:val="en-AU"/>
        </w:rPr>
        <w:t>,</w:t>
      </w:r>
      <w:r w:rsidR="00E20DFE" w:rsidRPr="003408A6">
        <w:rPr>
          <w:lang w:val="en-AU"/>
        </w:rPr>
        <w:t xml:space="preserve"> some jurisdictions</w:t>
      </w:r>
      <w:r w:rsidRPr="003408A6">
        <w:rPr>
          <w:lang w:val="en-AU"/>
        </w:rPr>
        <w:t xml:space="preserve"> </w:t>
      </w:r>
      <w:r w:rsidR="00E20DFE" w:rsidRPr="003408A6">
        <w:rPr>
          <w:lang w:val="en-AU"/>
        </w:rPr>
        <w:t xml:space="preserve">mentioned that </w:t>
      </w:r>
      <w:r w:rsidRPr="003408A6">
        <w:rPr>
          <w:lang w:val="en-AU"/>
        </w:rPr>
        <w:t>the relationship was more fragile</w:t>
      </w:r>
      <w:r w:rsidR="00E20DFE" w:rsidRPr="003408A6">
        <w:rPr>
          <w:lang w:val="en-AU"/>
        </w:rPr>
        <w:t xml:space="preserve"> and the extended male program created some pressure</w:t>
      </w:r>
      <w:r w:rsidRPr="003408A6">
        <w:rPr>
          <w:lang w:val="en-AU"/>
        </w:rPr>
        <w:t>. Stakeholders were aware that the success of t</w:t>
      </w:r>
      <w:r w:rsidR="005E4D8B" w:rsidRPr="003408A6">
        <w:rPr>
          <w:lang w:val="en-AU"/>
        </w:rPr>
        <w:t>he program depended on the good</w:t>
      </w:r>
      <w:r w:rsidRPr="003408A6">
        <w:rPr>
          <w:lang w:val="en-AU"/>
        </w:rPr>
        <w:t>will of the education sector. Therefore improving communication strategies with the education sector was important for ongoing success of the program.</w:t>
      </w:r>
    </w:p>
    <w:p w:rsidR="00B9108E" w:rsidRPr="003408A6" w:rsidRDefault="00E20DFE" w:rsidP="005B66D7">
      <w:pPr>
        <w:pStyle w:val="BodyText"/>
        <w:rPr>
          <w:lang w:val="en-AU"/>
        </w:rPr>
      </w:pPr>
      <w:r w:rsidRPr="003408A6">
        <w:rPr>
          <w:lang w:val="en-AU"/>
        </w:rPr>
        <w:t>Some of the</w:t>
      </w:r>
      <w:r w:rsidR="00A27E43" w:rsidRPr="003408A6">
        <w:rPr>
          <w:lang w:val="en-AU"/>
        </w:rPr>
        <w:t xml:space="preserve"> i</w:t>
      </w:r>
      <w:r w:rsidR="00414C68" w:rsidRPr="003408A6">
        <w:rPr>
          <w:lang w:val="en-AU"/>
        </w:rPr>
        <w:t xml:space="preserve">nitiatives </w:t>
      </w:r>
      <w:r w:rsidRPr="003408A6">
        <w:rPr>
          <w:lang w:val="en-AU"/>
        </w:rPr>
        <w:t>jurisdictions were undertaking to</w:t>
      </w:r>
      <w:r w:rsidR="00414C68" w:rsidRPr="003408A6">
        <w:rPr>
          <w:lang w:val="en-AU"/>
        </w:rPr>
        <w:t xml:space="preserve"> improv</w:t>
      </w:r>
      <w:r w:rsidRPr="003408A6">
        <w:rPr>
          <w:lang w:val="en-AU"/>
        </w:rPr>
        <w:t xml:space="preserve">e the </w:t>
      </w:r>
      <w:r w:rsidR="00414C68" w:rsidRPr="003408A6">
        <w:rPr>
          <w:lang w:val="en-AU"/>
        </w:rPr>
        <w:t xml:space="preserve">collaboration between the </w:t>
      </w:r>
      <w:r w:rsidR="00092229">
        <w:rPr>
          <w:lang w:val="en-AU"/>
        </w:rPr>
        <w:t>h</w:t>
      </w:r>
      <w:r w:rsidR="00414C68" w:rsidRPr="003408A6">
        <w:rPr>
          <w:lang w:val="en-AU"/>
        </w:rPr>
        <w:t xml:space="preserve">ealth </w:t>
      </w:r>
      <w:r w:rsidR="00A27E43" w:rsidRPr="003408A6">
        <w:rPr>
          <w:lang w:val="en-AU"/>
        </w:rPr>
        <w:t xml:space="preserve">and </w:t>
      </w:r>
      <w:r w:rsidR="00092229">
        <w:rPr>
          <w:lang w:val="en-AU"/>
        </w:rPr>
        <w:t>e</w:t>
      </w:r>
      <w:r w:rsidR="00A27E43" w:rsidRPr="003408A6">
        <w:rPr>
          <w:lang w:val="en-AU"/>
        </w:rPr>
        <w:t>ducation sectors</w:t>
      </w:r>
      <w:r w:rsidRPr="003408A6">
        <w:rPr>
          <w:lang w:val="en-AU"/>
        </w:rPr>
        <w:t xml:space="preserve"> </w:t>
      </w:r>
      <w:r w:rsidR="00A27E43" w:rsidRPr="003408A6">
        <w:rPr>
          <w:lang w:val="en-AU"/>
        </w:rPr>
        <w:t>includ</w:t>
      </w:r>
      <w:r w:rsidR="00596BEA" w:rsidRPr="003408A6">
        <w:rPr>
          <w:lang w:val="en-AU"/>
        </w:rPr>
        <w:t>ed</w:t>
      </w:r>
      <w:r w:rsidR="00A27E43" w:rsidRPr="003408A6">
        <w:rPr>
          <w:lang w:val="en-AU"/>
        </w:rPr>
        <w:t xml:space="preserve"> formal research into inter-</w:t>
      </w:r>
      <w:r w:rsidRPr="003408A6">
        <w:rPr>
          <w:lang w:val="en-AU"/>
        </w:rPr>
        <w:t xml:space="preserve">sector </w:t>
      </w:r>
      <w:r w:rsidR="00A27E43" w:rsidRPr="003408A6">
        <w:rPr>
          <w:lang w:val="en-AU"/>
        </w:rPr>
        <w:t>collaboration,</w:t>
      </w:r>
      <w:r w:rsidR="00596BEA" w:rsidRPr="003408A6">
        <w:rPr>
          <w:lang w:val="en-AU"/>
        </w:rPr>
        <w:t xml:space="preserve"> liaison between Medicare Local</w:t>
      </w:r>
      <w:r w:rsidR="00092229">
        <w:rPr>
          <w:lang w:val="en-AU"/>
        </w:rPr>
        <w:t>s</w:t>
      </w:r>
      <w:r w:rsidR="00A27E43" w:rsidRPr="003408A6">
        <w:rPr>
          <w:lang w:val="en-AU"/>
        </w:rPr>
        <w:t xml:space="preserve"> and </w:t>
      </w:r>
      <w:r w:rsidR="00102F67" w:rsidRPr="003408A6">
        <w:rPr>
          <w:lang w:val="en-AU"/>
        </w:rPr>
        <w:t>the</w:t>
      </w:r>
      <w:r w:rsidR="00596BEA" w:rsidRPr="003408A6">
        <w:rPr>
          <w:lang w:val="en-AU"/>
        </w:rPr>
        <w:t xml:space="preserve"> </w:t>
      </w:r>
      <w:r w:rsidR="00A27E43" w:rsidRPr="003408A6">
        <w:rPr>
          <w:lang w:val="en-AU"/>
        </w:rPr>
        <w:t>education dep</w:t>
      </w:r>
      <w:r w:rsidR="00596BEA" w:rsidRPr="003408A6">
        <w:rPr>
          <w:lang w:val="en-AU"/>
        </w:rPr>
        <w:t>ar</w:t>
      </w:r>
      <w:r w:rsidR="00A27E43" w:rsidRPr="003408A6">
        <w:rPr>
          <w:lang w:val="en-AU"/>
        </w:rPr>
        <w:t>t</w:t>
      </w:r>
      <w:r w:rsidR="00596BEA" w:rsidRPr="003408A6">
        <w:rPr>
          <w:lang w:val="en-AU"/>
        </w:rPr>
        <w:t xml:space="preserve">ment on strategies to </w:t>
      </w:r>
      <w:r w:rsidR="00102F67" w:rsidRPr="003408A6">
        <w:rPr>
          <w:lang w:val="en-AU"/>
        </w:rPr>
        <w:t xml:space="preserve">improve the </w:t>
      </w:r>
      <w:r w:rsidR="00596BEA" w:rsidRPr="003408A6">
        <w:rPr>
          <w:lang w:val="en-AU"/>
        </w:rPr>
        <w:t xml:space="preserve">return </w:t>
      </w:r>
      <w:r w:rsidR="00102F67" w:rsidRPr="003408A6">
        <w:rPr>
          <w:lang w:val="en-AU"/>
        </w:rPr>
        <w:t xml:space="preserve">of </w:t>
      </w:r>
      <w:r w:rsidR="00596BEA" w:rsidRPr="003408A6">
        <w:rPr>
          <w:lang w:val="en-AU"/>
        </w:rPr>
        <w:t>consent forms, surveying schools on the progress of the</w:t>
      </w:r>
      <w:r w:rsidR="00102F67" w:rsidRPr="003408A6">
        <w:rPr>
          <w:lang w:val="en-AU"/>
        </w:rPr>
        <w:t xml:space="preserve"> school-based program and the </w:t>
      </w:r>
      <w:r w:rsidR="00F452B0" w:rsidRPr="003408A6">
        <w:rPr>
          <w:lang w:val="en-AU"/>
        </w:rPr>
        <w:t xml:space="preserve">jurisdictional </w:t>
      </w:r>
      <w:r w:rsidR="00102F67" w:rsidRPr="003408A6">
        <w:rPr>
          <w:lang w:val="en-AU"/>
        </w:rPr>
        <w:t>health department communicating with schools directly rather than indirectly through local government.</w:t>
      </w:r>
    </w:p>
    <w:p w:rsidR="00B7506E" w:rsidRPr="003408A6" w:rsidRDefault="00B7506E" w:rsidP="005B66D7">
      <w:pPr>
        <w:pStyle w:val="BodyText"/>
        <w:rPr>
          <w:lang w:val="en-AU"/>
        </w:rPr>
      </w:pPr>
      <w:r w:rsidRPr="003408A6">
        <w:rPr>
          <w:lang w:val="en-AU"/>
        </w:rPr>
        <w:t xml:space="preserve">The approach by the </w:t>
      </w:r>
      <w:r w:rsidR="008E6E49">
        <w:rPr>
          <w:lang w:val="en-AU"/>
        </w:rPr>
        <w:t>Australian Government Department of Health</w:t>
      </w:r>
      <w:r w:rsidRPr="003408A6">
        <w:rPr>
          <w:lang w:val="en-AU"/>
        </w:rPr>
        <w:t xml:space="preserve"> was to communicate with schools and distribute information resources to schools through existing mechanisms in each jurisdiction, for example</w:t>
      </w:r>
      <w:r w:rsidR="00092229">
        <w:rPr>
          <w:lang w:val="en-AU"/>
        </w:rPr>
        <w:t>,</w:t>
      </w:r>
      <w:r w:rsidRPr="003408A6">
        <w:rPr>
          <w:lang w:val="en-AU"/>
        </w:rPr>
        <w:t xml:space="preserve"> through Public Health Units. Some jurisdictions</w:t>
      </w:r>
      <w:r w:rsidR="00092229">
        <w:rPr>
          <w:lang w:val="en-AU"/>
        </w:rPr>
        <w:t>,</w:t>
      </w:r>
      <w:r w:rsidRPr="003408A6">
        <w:rPr>
          <w:lang w:val="en-AU"/>
        </w:rPr>
        <w:t xml:space="preserve"> however</w:t>
      </w:r>
      <w:r w:rsidR="00092229">
        <w:rPr>
          <w:lang w:val="en-AU"/>
        </w:rPr>
        <w:t>,</w:t>
      </w:r>
      <w:r w:rsidRPr="003408A6">
        <w:rPr>
          <w:lang w:val="en-AU"/>
        </w:rPr>
        <w:t xml:space="preserve"> requested that the </w:t>
      </w:r>
      <w:r w:rsidR="008E6E49">
        <w:rPr>
          <w:lang w:val="en-AU"/>
        </w:rPr>
        <w:t>Australian Government Department of Health</w:t>
      </w:r>
      <w:r w:rsidR="00092229" w:rsidRPr="003408A6">
        <w:rPr>
          <w:lang w:val="en-AU"/>
        </w:rPr>
        <w:t xml:space="preserve"> </w:t>
      </w:r>
      <w:r w:rsidRPr="003408A6">
        <w:rPr>
          <w:lang w:val="en-AU"/>
        </w:rPr>
        <w:t>communicate directly to schools due to the short timeframe allowed for the rollout.</w:t>
      </w:r>
    </w:p>
    <w:p w:rsidR="008454B0" w:rsidRPr="003408A6" w:rsidRDefault="008454B0" w:rsidP="005B66D7">
      <w:pPr>
        <w:pStyle w:val="Heading5"/>
      </w:pPr>
      <w:r w:rsidRPr="003408A6">
        <w:t xml:space="preserve">Strengths of </w:t>
      </w:r>
      <w:r w:rsidR="00B8021E">
        <w:t xml:space="preserve">the </w:t>
      </w:r>
      <w:r w:rsidR="001320B0" w:rsidRPr="003408A6">
        <w:t>s</w:t>
      </w:r>
      <w:r w:rsidRPr="003408A6">
        <w:t>chool-</w:t>
      </w:r>
      <w:r w:rsidR="001320B0" w:rsidRPr="003408A6">
        <w:t>b</w:t>
      </w:r>
      <w:r w:rsidRPr="003408A6">
        <w:t xml:space="preserve">ased </w:t>
      </w:r>
      <w:r w:rsidR="001320B0" w:rsidRPr="003408A6">
        <w:t>p</w:t>
      </w:r>
      <w:r w:rsidRPr="003408A6">
        <w:t>rogram</w:t>
      </w:r>
    </w:p>
    <w:p w:rsidR="008454B0" w:rsidRPr="003408A6" w:rsidRDefault="008454B0" w:rsidP="005B66D7">
      <w:pPr>
        <w:pStyle w:val="BodyText"/>
        <w:rPr>
          <w:lang w:val="en-AU"/>
        </w:rPr>
      </w:pPr>
      <w:r w:rsidRPr="003408A6">
        <w:rPr>
          <w:lang w:val="en-AU"/>
        </w:rPr>
        <w:t xml:space="preserve">A large proportion of </w:t>
      </w:r>
      <w:r w:rsidR="003C41DF" w:rsidRPr="003408A6">
        <w:rPr>
          <w:rFonts w:eastAsiaTheme="minorEastAsia"/>
          <w:bCs/>
          <w:snapToGrid w:val="0"/>
          <w:lang w:val="en-AU"/>
        </w:rPr>
        <w:t>stakeholders</w:t>
      </w:r>
      <w:r w:rsidRPr="003408A6">
        <w:rPr>
          <w:lang w:val="en-AU"/>
        </w:rPr>
        <w:t xml:space="preserve"> (n=10) including immunisation program managers, regional and school-based coordinators, private providers and Medicare Locals mentioned delivering the HPV vaccine through the school-based program in Australia as a major strength of the National HPV Vaccination Program.  </w:t>
      </w:r>
    </w:p>
    <w:p w:rsidR="008454B0" w:rsidRPr="003408A6" w:rsidRDefault="008454B0" w:rsidP="005B66D7">
      <w:pPr>
        <w:pStyle w:val="BodyText"/>
        <w:rPr>
          <w:lang w:val="en-AU"/>
        </w:rPr>
      </w:pPr>
      <w:r w:rsidRPr="003408A6">
        <w:rPr>
          <w:lang w:val="en-AU"/>
        </w:rPr>
        <w:t xml:space="preserve">Australia has a good international reputation for delivering school-based </w:t>
      </w:r>
      <w:r w:rsidR="00F66AC5">
        <w:rPr>
          <w:lang w:val="en-AU"/>
        </w:rPr>
        <w:t>vaccination</w:t>
      </w:r>
      <w:r w:rsidR="00F66AC5" w:rsidRPr="003408A6">
        <w:rPr>
          <w:lang w:val="en-AU"/>
        </w:rPr>
        <w:t xml:space="preserve"> </w:t>
      </w:r>
      <w:r w:rsidRPr="003408A6">
        <w:rPr>
          <w:lang w:val="en-AU"/>
        </w:rPr>
        <w:t>programs.</w:t>
      </w:r>
    </w:p>
    <w:p w:rsidR="008454B0" w:rsidRPr="003408A6" w:rsidRDefault="008454B0" w:rsidP="005B66D7">
      <w:pPr>
        <w:pStyle w:val="Blockquote"/>
      </w:pPr>
      <w:r w:rsidRPr="003408A6">
        <w:t>“</w:t>
      </w:r>
      <w:r w:rsidR="00075771" w:rsidRPr="003408A6">
        <w:t>I</w:t>
      </w:r>
      <w:r w:rsidRPr="003408A6">
        <w:t>nternationally I think Australian delivery of school</w:t>
      </w:r>
      <w:r w:rsidR="00414E05" w:rsidRPr="003408A6">
        <w:t>-</w:t>
      </w:r>
      <w:r w:rsidRPr="003408A6">
        <w:t>based programs is very impressive</w:t>
      </w:r>
      <w:r w:rsidR="00075771" w:rsidRPr="003408A6">
        <w:t>.</w:t>
      </w:r>
      <w:r w:rsidRPr="003408A6">
        <w:t xml:space="preserve">” </w:t>
      </w:r>
    </w:p>
    <w:p w:rsidR="008454B0" w:rsidRPr="003408A6" w:rsidRDefault="008454B0" w:rsidP="005B66D7">
      <w:pPr>
        <w:pStyle w:val="BodyText"/>
        <w:rPr>
          <w:lang w:val="en-AU"/>
        </w:rPr>
      </w:pPr>
      <w:r w:rsidRPr="003408A6">
        <w:rPr>
          <w:lang w:val="en-AU"/>
        </w:rPr>
        <w:t xml:space="preserve">Delivering school-based programs was seen by immunisation program managers as the most efficient way to reach large numbers of adolescents and achieve the best coverage possible and more cost effective than delivering through general practice. </w:t>
      </w:r>
    </w:p>
    <w:p w:rsidR="008454B0" w:rsidRPr="003408A6" w:rsidRDefault="008454B0" w:rsidP="005B66D7">
      <w:pPr>
        <w:pStyle w:val="Blockquote"/>
      </w:pPr>
      <w:r w:rsidRPr="003408A6">
        <w:t>“Well I think that a school</w:t>
      </w:r>
      <w:r w:rsidR="00414E05" w:rsidRPr="003408A6">
        <w:t>-</w:t>
      </w:r>
      <w:r w:rsidRPr="003408A6">
        <w:t>based program is by far the best, to reach large numbers of students. If you relied on parents visiting their GP they’d probably never get there</w:t>
      </w:r>
      <w:r w:rsidR="00075771" w:rsidRPr="003408A6">
        <w:t>.</w:t>
      </w:r>
      <w:r w:rsidRPr="003408A6">
        <w:t xml:space="preserve">” </w:t>
      </w:r>
    </w:p>
    <w:p w:rsidR="008454B0" w:rsidRPr="003408A6" w:rsidRDefault="008454B0" w:rsidP="005B66D7">
      <w:pPr>
        <w:pStyle w:val="BodyText"/>
        <w:rPr>
          <w:lang w:val="en-AU"/>
        </w:rPr>
      </w:pPr>
      <w:r w:rsidRPr="003408A6">
        <w:rPr>
          <w:lang w:val="en-AU"/>
        </w:rPr>
        <w:t xml:space="preserve">The majority of immunisation program managers mentioned school-based vaccination programs as a strength of their </w:t>
      </w:r>
      <w:r w:rsidR="001320B0" w:rsidRPr="003408A6">
        <w:rPr>
          <w:lang w:val="en-AU"/>
        </w:rPr>
        <w:t>s</w:t>
      </w:r>
      <w:r w:rsidRPr="003408A6">
        <w:rPr>
          <w:lang w:val="en-AU"/>
        </w:rPr>
        <w:t xml:space="preserve">tate or </w:t>
      </w:r>
      <w:r w:rsidR="001320B0" w:rsidRPr="003408A6">
        <w:rPr>
          <w:lang w:val="en-AU"/>
        </w:rPr>
        <w:t>t</w:t>
      </w:r>
      <w:r w:rsidRPr="003408A6">
        <w:rPr>
          <w:lang w:val="en-AU"/>
        </w:rPr>
        <w:t xml:space="preserve">erritory. Most immunisation program managers felt that school-based programs were well established in their jurisdictions and they feel that the </w:t>
      </w:r>
      <w:r w:rsidR="001320B0" w:rsidRPr="003408A6">
        <w:rPr>
          <w:lang w:val="en-AU"/>
        </w:rPr>
        <w:t>s</w:t>
      </w:r>
      <w:r w:rsidRPr="003408A6">
        <w:rPr>
          <w:lang w:val="en-AU"/>
        </w:rPr>
        <w:t>tate/</w:t>
      </w:r>
      <w:r w:rsidR="001320B0" w:rsidRPr="003408A6">
        <w:rPr>
          <w:lang w:val="en-AU"/>
        </w:rPr>
        <w:t>t</w:t>
      </w:r>
      <w:r w:rsidRPr="003408A6">
        <w:rPr>
          <w:lang w:val="en-AU"/>
        </w:rPr>
        <w:t xml:space="preserve">erritory owns the school-based programs. States and </w:t>
      </w:r>
      <w:r w:rsidR="001320B0" w:rsidRPr="003408A6">
        <w:rPr>
          <w:lang w:val="en-AU"/>
        </w:rPr>
        <w:t>t</w:t>
      </w:r>
      <w:r w:rsidRPr="003408A6">
        <w:rPr>
          <w:lang w:val="en-AU"/>
        </w:rPr>
        <w:t>erritories have knowledgeable</w:t>
      </w:r>
      <w:r w:rsidR="00075771" w:rsidRPr="003408A6">
        <w:rPr>
          <w:lang w:val="en-AU"/>
        </w:rPr>
        <w:t>,</w:t>
      </w:r>
      <w:r w:rsidRPr="003408A6">
        <w:rPr>
          <w:lang w:val="en-AU"/>
        </w:rPr>
        <w:t xml:space="preserve"> experienced staff and the jurisdictions are motivated and able to deliver a quality program. </w:t>
      </w:r>
    </w:p>
    <w:p w:rsidR="008454B0" w:rsidRPr="003408A6" w:rsidRDefault="008454B0" w:rsidP="005B66D7">
      <w:pPr>
        <w:pStyle w:val="Blockquote"/>
      </w:pPr>
      <w:r w:rsidRPr="003408A6">
        <w:t xml:space="preserve"> “[We have] knowledge about how to go and do it. We've done it before, we know how to do it, it's just a matter of pointing us in the right direction</w:t>
      </w:r>
      <w:r w:rsidR="00075771" w:rsidRPr="003408A6">
        <w:t>.</w:t>
      </w:r>
      <w:r w:rsidRPr="003408A6">
        <w:t xml:space="preserve">” </w:t>
      </w:r>
    </w:p>
    <w:p w:rsidR="008454B0" w:rsidRPr="003408A6" w:rsidRDefault="008454B0" w:rsidP="005B66D7">
      <w:pPr>
        <w:pStyle w:val="BodyText"/>
        <w:rPr>
          <w:lang w:val="en-AU"/>
        </w:rPr>
      </w:pPr>
      <w:r w:rsidRPr="003408A6">
        <w:rPr>
          <w:lang w:val="en-AU"/>
        </w:rPr>
        <w:t xml:space="preserve">With school-based programs, immunisation program managers felt that the jurisdiction had more direct control over the quality of the program so it could deliver an optimal quality service. This includes providing flexibility for adolescents to go to another service if needed. </w:t>
      </w:r>
    </w:p>
    <w:p w:rsidR="008454B0" w:rsidRPr="003408A6" w:rsidRDefault="008454B0" w:rsidP="005B66D7">
      <w:pPr>
        <w:pStyle w:val="BodyText"/>
        <w:rPr>
          <w:lang w:val="en-AU"/>
        </w:rPr>
      </w:pPr>
      <w:r w:rsidRPr="003408A6">
        <w:rPr>
          <w:lang w:val="en-AU"/>
        </w:rPr>
        <w:t>Delivering HPV vaccination in schools was an advantage as the school-based program is well accepted by schools and parents and a good way to reach the targeted age groups.</w:t>
      </w:r>
    </w:p>
    <w:p w:rsidR="008454B0" w:rsidRPr="003408A6" w:rsidRDefault="008454B0" w:rsidP="005B66D7">
      <w:pPr>
        <w:pStyle w:val="Blockquote"/>
      </w:pPr>
      <w:r w:rsidRPr="003408A6">
        <w:t>“</w:t>
      </w:r>
      <w:r w:rsidR="00075771" w:rsidRPr="003408A6">
        <w:t>P</w:t>
      </w:r>
      <w:r w:rsidRPr="003408A6">
        <w:t xml:space="preserve">arents </w:t>
      </w:r>
      <w:r w:rsidR="00075771" w:rsidRPr="003408A6">
        <w:t xml:space="preserve">… </w:t>
      </w:r>
      <w:r w:rsidRPr="003408A6">
        <w:t>they're totally in tune with there being a school-based program as well</w:t>
      </w:r>
      <w:r w:rsidR="00075771" w:rsidRPr="003408A6">
        <w:t>.</w:t>
      </w:r>
      <w:r w:rsidRPr="003408A6">
        <w:t xml:space="preserve">” </w:t>
      </w:r>
    </w:p>
    <w:p w:rsidR="008454B0" w:rsidRPr="003408A6" w:rsidRDefault="008454B0" w:rsidP="005B66D7">
      <w:pPr>
        <w:pStyle w:val="Heading5"/>
      </w:pPr>
      <w:r w:rsidRPr="003408A6">
        <w:t>Challenges to the school</w:t>
      </w:r>
      <w:r w:rsidR="00414E05" w:rsidRPr="003408A6">
        <w:t>-</w:t>
      </w:r>
      <w:r w:rsidRPr="003408A6">
        <w:t>based program</w:t>
      </w:r>
    </w:p>
    <w:p w:rsidR="008454B0" w:rsidRPr="003408A6" w:rsidRDefault="008454B0" w:rsidP="005B66D7">
      <w:pPr>
        <w:pStyle w:val="BodyText"/>
        <w:rPr>
          <w:lang w:val="en-AU"/>
        </w:rPr>
      </w:pPr>
      <w:r w:rsidRPr="003408A6">
        <w:rPr>
          <w:lang w:val="en-AU"/>
        </w:rPr>
        <w:t>School absenteeism, return of consent forms, scheduling vaccination days and delivering 3 doses at the right intervals during the school calendar year were major challenges for delivering the HPV vaccine through the school</w:t>
      </w:r>
      <w:r w:rsidR="003077BD" w:rsidRPr="003408A6">
        <w:rPr>
          <w:lang w:val="en-AU"/>
        </w:rPr>
        <w:t>-based</w:t>
      </w:r>
      <w:r w:rsidRPr="003408A6">
        <w:rPr>
          <w:lang w:val="en-AU"/>
        </w:rPr>
        <w:t xml:space="preserve"> program</w:t>
      </w:r>
      <w:r w:rsidR="00F66AC5">
        <w:rPr>
          <w:lang w:val="en-AU"/>
        </w:rPr>
        <w:t>.</w:t>
      </w:r>
    </w:p>
    <w:p w:rsidR="00E93800" w:rsidRPr="003408A6" w:rsidRDefault="00E93800" w:rsidP="005B66D7">
      <w:pPr>
        <w:pStyle w:val="BodyText"/>
        <w:rPr>
          <w:lang w:val="en-AU"/>
        </w:rPr>
      </w:pPr>
      <w:r w:rsidRPr="003408A6">
        <w:rPr>
          <w:lang w:val="en-AU"/>
        </w:rPr>
        <w:t xml:space="preserve">Several stakeholders mentioned that adding more vaccines to the school-based program was an imposition on schools. </w:t>
      </w:r>
      <w:r w:rsidR="00795986" w:rsidRPr="003408A6">
        <w:rPr>
          <w:lang w:val="en-AU"/>
        </w:rPr>
        <w:t>A bigger program also places extra burden on school-based immunisation providers. The increased work load makes it more difficult for staff to manage the vaccination day setting and increases the risk of errors.</w:t>
      </w:r>
    </w:p>
    <w:p w:rsidR="00795986" w:rsidRPr="003408A6" w:rsidRDefault="00795986" w:rsidP="005B66D7">
      <w:pPr>
        <w:pStyle w:val="BodyText"/>
        <w:rPr>
          <w:lang w:val="en-AU"/>
        </w:rPr>
      </w:pPr>
      <w:r w:rsidRPr="003408A6">
        <w:rPr>
          <w:lang w:val="en-AU"/>
        </w:rPr>
        <w:t>A number of stakeholders mentioned that improving uptake for both males and females remains a challenge. Immunisation program managers were interested in understanding the reasons for incomplete coverage through the school-based program and how to improve uptake.</w:t>
      </w:r>
    </w:p>
    <w:p w:rsidR="00795986" w:rsidRPr="003408A6" w:rsidRDefault="00795986" w:rsidP="005B66D7">
      <w:pPr>
        <w:pStyle w:val="Blockquote"/>
      </w:pPr>
      <w:r w:rsidRPr="003408A6">
        <w:t xml:space="preserve">“I did want this year to look at, well if we get 85% of dose 1, where are the other 15% going?” </w:t>
      </w:r>
    </w:p>
    <w:p w:rsidR="00795986" w:rsidRPr="003408A6" w:rsidRDefault="00795986" w:rsidP="005B66D7">
      <w:pPr>
        <w:pStyle w:val="BodyText"/>
        <w:rPr>
          <w:lang w:val="en-AU"/>
        </w:rPr>
      </w:pPr>
      <w:r w:rsidRPr="003408A6">
        <w:rPr>
          <w:lang w:val="en-AU"/>
        </w:rPr>
        <w:t xml:space="preserve">Several jurisdictions had strategies in place to ensure that as many adolescents as possible were vaccinated through the school system as a way to optimise uptake and track missed doses. Strategies to ensure vaccinations were performed at school included limiting access to vaccinations in general practice and allowing catch-up of missed doses at the next scheduled school vaccination day. </w:t>
      </w:r>
    </w:p>
    <w:p w:rsidR="008454B0" w:rsidRPr="003408A6" w:rsidRDefault="00B8021E" w:rsidP="005B66D7">
      <w:pPr>
        <w:pStyle w:val="Heading5"/>
      </w:pPr>
      <w:r>
        <w:t>R</w:t>
      </w:r>
      <w:r w:rsidR="008454B0" w:rsidRPr="003408A6">
        <w:t>ollout of the catch-up program for males aged 15 years</w:t>
      </w:r>
    </w:p>
    <w:p w:rsidR="008454B0" w:rsidRPr="003408A6" w:rsidRDefault="008454B0" w:rsidP="005B66D7">
      <w:pPr>
        <w:pStyle w:val="BodyText"/>
        <w:rPr>
          <w:lang w:val="en-AU"/>
        </w:rPr>
      </w:pPr>
      <w:r w:rsidRPr="003408A6">
        <w:rPr>
          <w:lang w:val="en-AU"/>
        </w:rPr>
        <w:t>The original announcement of the male catch-up program was for males in Year 9 in 2013 and 2014.</w:t>
      </w:r>
      <w:hyperlink w:anchor="_ENREF_26" w:tooltip="Plibersek, 2012 #1218" w:history="1">
        <w:r w:rsidR="00F27F90" w:rsidRPr="003408A6">
          <w:rPr>
            <w:lang w:val="en-AU"/>
          </w:rPr>
          <w:fldChar w:fldCharType="begin"/>
        </w:r>
        <w:r w:rsidR="00F27F90" w:rsidRPr="003408A6">
          <w:rPr>
            <w:lang w:val="en-AU"/>
          </w:rPr>
          <w:instrText xml:space="preserve"> ADDIN EN.CITE &lt;EndNote&gt;&lt;Cite&gt;&lt;Author&gt;Plibersek&lt;/Author&gt;&lt;Year&gt;2012&lt;/Year&gt;&lt;RecNum&gt;1218&lt;/RecNum&gt;&lt;DisplayText&gt;&lt;style face="superscript"&gt;26&lt;/style&gt;&lt;/DisplayText&gt;&lt;record&gt;&lt;rec-number&gt;1218&lt;/rec-number&gt;&lt;foreign-keys&gt;&lt;key app="EN" db-id="dda0wweazfww9besetpx2r5pt0asp9ztvs95"&gt;1218&lt;/key&gt;&lt;/foreign-keys&gt;&lt;ref-type name="Web Page"&gt;12&lt;/ref-type&gt;&lt;contributors&gt;&lt;authors&gt;&lt;author&gt;Plibersek, T&lt;/author&gt;&lt;/authors&gt;&lt;/contributors&gt;&lt;titles&gt;&lt;title&gt;Media release: HPV vaccine extended to boys&lt;/title&gt;&lt;/titles&gt;&lt;volume&gt;2012&lt;/volume&gt;&lt;number&gt;12 July 2013&lt;/number&gt;&lt;dates&gt;&lt;year&gt;2012&lt;/year&gt;&lt;/dates&gt;&lt;urls&gt;&lt;related-urls&gt;&lt;url&gt;http://www.health.gov.au/internet/ministers/publishing.nsf/Content/59C397F61CACF02FCA257A390000C65A/$File/TP059.pdf&lt;/url&gt;&lt;/related-urls&gt;&lt;/urls&gt;&lt;/record&gt;&lt;/Cite&gt;&lt;/EndNote&gt;</w:instrText>
        </w:r>
        <w:r w:rsidR="00F27F90" w:rsidRPr="003408A6">
          <w:rPr>
            <w:lang w:val="en-AU"/>
          </w:rPr>
          <w:fldChar w:fldCharType="separate"/>
        </w:r>
        <w:r w:rsidR="00F27F90" w:rsidRPr="003408A6">
          <w:rPr>
            <w:noProof/>
            <w:vertAlign w:val="superscript"/>
            <w:lang w:val="en-AU"/>
          </w:rPr>
          <w:t>26</w:t>
        </w:r>
        <w:r w:rsidR="00F27F90" w:rsidRPr="003408A6">
          <w:rPr>
            <w:lang w:val="en-AU"/>
          </w:rPr>
          <w:fldChar w:fldCharType="end"/>
        </w:r>
      </w:hyperlink>
      <w:r w:rsidRPr="003408A6">
        <w:rPr>
          <w:lang w:val="en-AU"/>
        </w:rPr>
        <w:t xml:space="preserve"> </w:t>
      </w:r>
      <w:r w:rsidR="00A04D58" w:rsidRPr="003408A6">
        <w:rPr>
          <w:lang w:val="en-AU"/>
        </w:rPr>
        <w:t xml:space="preserve">The PBAC determination was a </w:t>
      </w:r>
      <w:r w:rsidR="00D67FE6" w:rsidRPr="003408A6">
        <w:rPr>
          <w:lang w:val="en-AU"/>
        </w:rPr>
        <w:t>2-year</w:t>
      </w:r>
      <w:r w:rsidR="00A04D58" w:rsidRPr="003408A6">
        <w:rPr>
          <w:lang w:val="en-AU"/>
        </w:rPr>
        <w:t xml:space="preserve"> catch</w:t>
      </w:r>
      <w:r w:rsidR="00EE26E6">
        <w:rPr>
          <w:lang w:val="en-AU"/>
        </w:rPr>
        <w:t>-</w:t>
      </w:r>
      <w:r w:rsidR="00A04D58" w:rsidRPr="003408A6">
        <w:rPr>
          <w:lang w:val="en-AU"/>
        </w:rPr>
        <w:t>up program for males in the 2</w:t>
      </w:r>
      <w:r w:rsidR="00E170E3">
        <w:rPr>
          <w:lang w:val="en-AU"/>
        </w:rPr>
        <w:t>-</w:t>
      </w:r>
      <w:r w:rsidR="00A04D58" w:rsidRPr="003408A6">
        <w:rPr>
          <w:lang w:val="en-AU"/>
        </w:rPr>
        <w:t>year age group above the ongoing cohort (i</w:t>
      </w:r>
      <w:r w:rsidR="00E170E3">
        <w:rPr>
          <w:lang w:val="en-AU"/>
        </w:rPr>
        <w:t>.</w:t>
      </w:r>
      <w:r w:rsidR="00A04D58" w:rsidRPr="003408A6">
        <w:rPr>
          <w:lang w:val="en-AU"/>
        </w:rPr>
        <w:t>e</w:t>
      </w:r>
      <w:r w:rsidR="00E170E3">
        <w:rPr>
          <w:lang w:val="en-AU"/>
        </w:rPr>
        <w:t>.</w:t>
      </w:r>
      <w:r w:rsidR="00A04D58" w:rsidRPr="003408A6">
        <w:rPr>
          <w:lang w:val="en-AU"/>
        </w:rPr>
        <w:t xml:space="preserve"> up to 15 years old). Program delivery was based on the most appropriate school year for eligible males</w:t>
      </w:r>
      <w:r w:rsidR="00413B61" w:rsidRPr="003408A6">
        <w:rPr>
          <w:lang w:val="en-AU"/>
        </w:rPr>
        <w:t>.</w:t>
      </w:r>
      <w:hyperlink w:anchor="_ENREF_37" w:tooltip="PBAC, 2011 #1355" w:history="1">
        <w:r w:rsidR="00F27F90" w:rsidRPr="003408A6">
          <w:rPr>
            <w:lang w:val="en-AU"/>
          </w:rPr>
          <w:fldChar w:fldCharType="begin"/>
        </w:r>
        <w:r w:rsidR="00F27F90" w:rsidRPr="003408A6">
          <w:rPr>
            <w:lang w:val="en-AU"/>
          </w:rPr>
          <w:instrText xml:space="preserve"> ADDIN EN.CITE &lt;EndNote&gt;&lt;Cite&gt;&lt;Author&gt;PBAC&lt;/Author&gt;&lt;Year&gt;2011&lt;/Year&gt;&lt;RecNum&gt;1355&lt;/RecNum&gt;&lt;DisplayText&gt;&lt;style face="superscript"&gt;37&lt;/style&gt;&lt;/DisplayText&gt;&lt;record&gt;&lt;rec-number&gt;1355&lt;/rec-number&gt;&lt;foreign-keys&gt;&lt;key app="EN" db-id="dda0wweazfww9besetpx2r5pt0asp9ztvs95"&gt;1355&lt;/key&gt;&lt;/foreign-keys&gt;&lt;ref-type name="Report"&gt;27&lt;/ref-type&gt;&lt;contributors&gt;&lt;authors&gt;&lt;author&gt;PBAC&lt;/author&gt;&lt;/authors&gt;&lt;/contributors&gt;&lt;titles&gt;&lt;title&gt;November 2011 PBAC Outcomes - Positive Recommendations&lt;/title&gt;&lt;/titles&gt;&lt;dates&gt;&lt;year&gt;2011&lt;/year&gt;&lt;/dates&gt;&lt;pub-location&gt;Australian Department of Health&lt;/pub-location&gt;&lt;urls&gt;&lt;/urls&gt;&lt;access-date&gt;1/05/2014&lt;/access-date&gt;&lt;/record&gt;&lt;/Cite&gt;&lt;/EndNote&gt;</w:instrText>
        </w:r>
        <w:r w:rsidR="00F27F90" w:rsidRPr="003408A6">
          <w:rPr>
            <w:lang w:val="en-AU"/>
          </w:rPr>
          <w:fldChar w:fldCharType="separate"/>
        </w:r>
        <w:r w:rsidR="00F27F90" w:rsidRPr="003408A6">
          <w:rPr>
            <w:noProof/>
            <w:vertAlign w:val="superscript"/>
            <w:lang w:val="en-AU"/>
          </w:rPr>
          <w:t>37</w:t>
        </w:r>
        <w:r w:rsidR="00F27F90" w:rsidRPr="003408A6">
          <w:rPr>
            <w:lang w:val="en-AU"/>
          </w:rPr>
          <w:fldChar w:fldCharType="end"/>
        </w:r>
      </w:hyperlink>
      <w:r w:rsidR="00A04D58" w:rsidRPr="003408A6">
        <w:rPr>
          <w:lang w:val="en-AU"/>
        </w:rPr>
        <w:t xml:space="preserve"> </w:t>
      </w:r>
      <w:r w:rsidRPr="003408A6">
        <w:rPr>
          <w:lang w:val="en-AU"/>
        </w:rPr>
        <w:t>All jurisdictions</w:t>
      </w:r>
      <w:r w:rsidR="00E170E3">
        <w:rPr>
          <w:lang w:val="en-AU"/>
        </w:rPr>
        <w:t>,</w:t>
      </w:r>
      <w:r w:rsidR="00A04D58" w:rsidRPr="003408A6">
        <w:rPr>
          <w:lang w:val="en-AU"/>
        </w:rPr>
        <w:t xml:space="preserve"> however,</w:t>
      </w:r>
      <w:r w:rsidRPr="003408A6">
        <w:rPr>
          <w:lang w:val="en-AU"/>
        </w:rPr>
        <w:t xml:space="preserve"> ensured that eligible males aged 15 years</w:t>
      </w:r>
      <w:r w:rsidR="00826200" w:rsidRPr="003408A6">
        <w:rPr>
          <w:lang w:val="en-AU"/>
        </w:rPr>
        <w:t xml:space="preserve"> in 2013</w:t>
      </w:r>
      <w:r w:rsidRPr="003408A6">
        <w:rPr>
          <w:lang w:val="en-AU"/>
        </w:rPr>
        <w:t xml:space="preserve"> who were not in the targeted school year could access the free vaccine outside school through community clinics or general practice.</w:t>
      </w:r>
    </w:p>
    <w:p w:rsidR="008454B0" w:rsidRPr="003408A6" w:rsidRDefault="008454B0" w:rsidP="005B66D7">
      <w:pPr>
        <w:pStyle w:val="Heading5"/>
      </w:pPr>
      <w:r w:rsidRPr="003408A6">
        <w:t>Challenges to the catch</w:t>
      </w:r>
      <w:r w:rsidR="0043033C" w:rsidRPr="003408A6">
        <w:t>-</w:t>
      </w:r>
      <w:r w:rsidRPr="003408A6">
        <w:t>up program</w:t>
      </w:r>
    </w:p>
    <w:p w:rsidR="008454B0" w:rsidRPr="003408A6" w:rsidRDefault="008454B0" w:rsidP="005B66D7">
      <w:pPr>
        <w:pStyle w:val="BodyText"/>
        <w:rPr>
          <w:lang w:val="en-AU"/>
        </w:rPr>
      </w:pPr>
      <w:r w:rsidRPr="003408A6">
        <w:rPr>
          <w:lang w:val="en-AU"/>
        </w:rPr>
        <w:t>The difference in coverage provided by the male and female catch</w:t>
      </w:r>
      <w:r w:rsidR="0043033C" w:rsidRPr="003408A6">
        <w:rPr>
          <w:lang w:val="en-AU"/>
        </w:rPr>
        <w:t>-</w:t>
      </w:r>
      <w:r w:rsidRPr="003408A6">
        <w:rPr>
          <w:lang w:val="en-AU"/>
        </w:rPr>
        <w:t>up programs was mentioned by four respondents. Eligibility for the male catch-up</w:t>
      </w:r>
      <w:r w:rsidR="00075771" w:rsidRPr="003408A6">
        <w:rPr>
          <w:lang w:val="en-AU"/>
        </w:rPr>
        <w:t xml:space="preserve"> program</w:t>
      </w:r>
      <w:r w:rsidRPr="003408A6">
        <w:rPr>
          <w:lang w:val="en-AU"/>
        </w:rPr>
        <w:t xml:space="preserve"> was considered too restricted and extending vaccination to all high school males would have improved coverage. Restricting the eligibility age was also thought to disadvantage individuals who find it difficult to vaccinate on time due to life circumstances. In contrast, the whole</w:t>
      </w:r>
      <w:r w:rsidR="00075771" w:rsidRPr="003408A6">
        <w:rPr>
          <w:lang w:val="en-AU"/>
        </w:rPr>
        <w:t>-</w:t>
      </w:r>
      <w:r w:rsidRPr="003408A6">
        <w:rPr>
          <w:lang w:val="en-AU"/>
        </w:rPr>
        <w:t>of</w:t>
      </w:r>
      <w:r w:rsidR="00075771" w:rsidRPr="003408A6">
        <w:rPr>
          <w:lang w:val="en-AU"/>
        </w:rPr>
        <w:t>-</w:t>
      </w:r>
      <w:r w:rsidRPr="003408A6">
        <w:rPr>
          <w:lang w:val="en-AU"/>
        </w:rPr>
        <w:t>school catch</w:t>
      </w:r>
      <w:r w:rsidR="0043033C" w:rsidRPr="003408A6">
        <w:rPr>
          <w:lang w:val="en-AU"/>
        </w:rPr>
        <w:t>-</w:t>
      </w:r>
      <w:r w:rsidRPr="003408A6">
        <w:rPr>
          <w:lang w:val="en-AU"/>
        </w:rPr>
        <w:t>up for the female program achieved better coverage and immunisation program managers reported community and parent interest in broadening the age eligibility for the free vaccine for males.</w:t>
      </w:r>
    </w:p>
    <w:p w:rsidR="008454B0" w:rsidRPr="003408A6" w:rsidRDefault="008454B0" w:rsidP="005B66D7">
      <w:pPr>
        <w:pStyle w:val="Blockquote"/>
      </w:pPr>
      <w:r w:rsidRPr="003408A6">
        <w:t>“In fact, if we’d run this program like we did the female program</w:t>
      </w:r>
      <w:r w:rsidR="00075771" w:rsidRPr="003408A6">
        <w:t>,</w:t>
      </w:r>
      <w:r w:rsidRPr="003408A6">
        <w:t xml:space="preserve"> that is up to </w:t>
      </w:r>
      <w:r w:rsidR="00075771" w:rsidRPr="003408A6">
        <w:t>Y</w:t>
      </w:r>
      <w:r w:rsidRPr="003408A6">
        <w:t>ear 12, we would have had an excellent uptake, because many parents rang and complained because their sons were in year 11 and year 12,</w:t>
      </w:r>
      <w:r w:rsidR="00075771" w:rsidRPr="003408A6">
        <w:t xml:space="preserve"> </w:t>
      </w:r>
      <w:r w:rsidRPr="003408A6">
        <w:t>and missed out</w:t>
      </w:r>
      <w:r w:rsidR="00075771" w:rsidRPr="003408A6">
        <w:t>.</w:t>
      </w:r>
      <w:r w:rsidRPr="003408A6">
        <w:t xml:space="preserve">” </w:t>
      </w:r>
    </w:p>
    <w:p w:rsidR="008454B0" w:rsidRPr="003408A6" w:rsidRDefault="008454B0" w:rsidP="005B66D7">
      <w:pPr>
        <w:pStyle w:val="BodyText"/>
        <w:rPr>
          <w:lang w:val="en-AU"/>
        </w:rPr>
      </w:pPr>
      <w:r w:rsidRPr="003408A6">
        <w:rPr>
          <w:lang w:val="en-AU"/>
        </w:rPr>
        <w:t xml:space="preserve">A large proportion of </w:t>
      </w:r>
      <w:r w:rsidR="003C41DF" w:rsidRPr="003408A6">
        <w:rPr>
          <w:rFonts w:eastAsiaTheme="minorEastAsia"/>
          <w:bCs/>
          <w:snapToGrid w:val="0"/>
          <w:lang w:val="en-AU"/>
        </w:rPr>
        <w:t>stakeholders</w:t>
      </w:r>
      <w:r w:rsidR="00075771" w:rsidRPr="003408A6">
        <w:rPr>
          <w:rFonts w:eastAsiaTheme="minorEastAsia"/>
          <w:bCs/>
          <w:snapToGrid w:val="0"/>
          <w:lang w:val="en-AU"/>
        </w:rPr>
        <w:t>,</w:t>
      </w:r>
      <w:r w:rsidRPr="003408A6">
        <w:rPr>
          <w:lang w:val="en-AU"/>
        </w:rPr>
        <w:t xml:space="preserve"> however, also perceived that adolescent males aged 15 years in the catch</w:t>
      </w:r>
      <w:r w:rsidR="0043033C" w:rsidRPr="003408A6">
        <w:rPr>
          <w:lang w:val="en-AU"/>
        </w:rPr>
        <w:t>-</w:t>
      </w:r>
      <w:r w:rsidRPr="003408A6">
        <w:rPr>
          <w:lang w:val="en-AU"/>
        </w:rPr>
        <w:t>up program were a group where it might be difficult to achieve good coverage. Females in the older age groups in the catch-up program had similarly been harder to reach.</w:t>
      </w:r>
    </w:p>
    <w:p w:rsidR="008454B0" w:rsidRPr="003408A6" w:rsidRDefault="008454B0" w:rsidP="005B66D7">
      <w:pPr>
        <w:pStyle w:val="Blockquote"/>
      </w:pPr>
      <w:r w:rsidRPr="003408A6">
        <w:t>“This was a vaccine into a totally new cohort. Now 14 to 15 year olds are really difficult in school. It’s a difficult age, as a parent might attest, and so we weren’t quite sure how it would go</w:t>
      </w:r>
      <w:r w:rsidR="00075771" w:rsidRPr="003408A6">
        <w:t>.</w:t>
      </w:r>
      <w:r w:rsidRPr="003408A6">
        <w:t xml:space="preserve">” </w:t>
      </w:r>
    </w:p>
    <w:p w:rsidR="008454B0" w:rsidRPr="003408A6" w:rsidRDefault="008454B0" w:rsidP="005B66D7">
      <w:pPr>
        <w:pStyle w:val="BodyText"/>
        <w:rPr>
          <w:lang w:val="en-AU"/>
        </w:rPr>
      </w:pPr>
      <w:r w:rsidRPr="003408A6">
        <w:rPr>
          <w:lang w:val="en-AU"/>
        </w:rPr>
        <w:t>Several immunisation program managers also mentioned that the catch</w:t>
      </w:r>
      <w:r w:rsidR="0043033C" w:rsidRPr="003408A6">
        <w:rPr>
          <w:lang w:val="en-AU"/>
        </w:rPr>
        <w:t>-</w:t>
      </w:r>
      <w:r w:rsidRPr="003408A6">
        <w:rPr>
          <w:lang w:val="en-AU"/>
        </w:rPr>
        <w:t xml:space="preserve">up programs posed a challenge in terms of the </w:t>
      </w:r>
      <w:r w:rsidR="00864197" w:rsidRPr="003408A6">
        <w:rPr>
          <w:lang w:val="en-AU"/>
        </w:rPr>
        <w:t>extra number of adolescents to vaccinate and the poorer uptake among older age groups</w:t>
      </w:r>
      <w:r w:rsidRPr="003408A6">
        <w:rPr>
          <w:lang w:val="en-AU"/>
        </w:rPr>
        <w:t>.</w:t>
      </w:r>
    </w:p>
    <w:p w:rsidR="008454B0" w:rsidRPr="003408A6" w:rsidRDefault="000D3F2A" w:rsidP="005B66D7">
      <w:pPr>
        <w:pStyle w:val="Heading5"/>
      </w:pPr>
      <w:r w:rsidRPr="003408A6">
        <w:t>Jurisdiction know-how and capacity</w:t>
      </w:r>
    </w:p>
    <w:p w:rsidR="008454B0" w:rsidRPr="003408A6" w:rsidRDefault="008454B0" w:rsidP="005B66D7">
      <w:pPr>
        <w:pStyle w:val="BodyText"/>
        <w:rPr>
          <w:lang w:val="en-AU"/>
        </w:rPr>
      </w:pPr>
      <w:r w:rsidRPr="003408A6">
        <w:rPr>
          <w:lang w:val="en-AU"/>
        </w:rPr>
        <w:t xml:space="preserve">Several immunisation program managers and school-based coordinators emphasised the key role of expertise and commitment of their jurisdictions in delivering a successful program, especially given the constraints of time, funding and capacity faced in implementing the program for adolescent males. </w:t>
      </w:r>
    </w:p>
    <w:p w:rsidR="008454B0" w:rsidRPr="003408A6" w:rsidRDefault="008454B0" w:rsidP="005B66D7">
      <w:pPr>
        <w:pStyle w:val="Heading5"/>
      </w:pPr>
      <w:r w:rsidRPr="003408A6">
        <w:t>Strengths of jurisdiction know</w:t>
      </w:r>
      <w:r w:rsidR="00075771" w:rsidRPr="003408A6">
        <w:t>-</w:t>
      </w:r>
      <w:r w:rsidRPr="003408A6">
        <w:t>how and capacity</w:t>
      </w:r>
    </w:p>
    <w:p w:rsidR="008454B0" w:rsidRPr="003408A6" w:rsidRDefault="008454B0" w:rsidP="005B66D7">
      <w:pPr>
        <w:pStyle w:val="BodyText"/>
        <w:rPr>
          <w:lang w:val="en-AU"/>
        </w:rPr>
      </w:pPr>
      <w:r w:rsidRPr="003408A6">
        <w:rPr>
          <w:lang w:val="en-AU"/>
        </w:rPr>
        <w:t xml:space="preserve">Running the school-based program was the main key jurisdictional strength discussed by immunisation program managers. Integral to a successful school-based program was having a committed workforce with a wealth of experience and expertise to run the program. </w:t>
      </w:r>
    </w:p>
    <w:p w:rsidR="008454B0" w:rsidRPr="003408A6" w:rsidRDefault="001320B0" w:rsidP="005B66D7">
      <w:pPr>
        <w:pStyle w:val="BodyText"/>
        <w:rPr>
          <w:lang w:val="en-AU"/>
        </w:rPr>
      </w:pPr>
      <w:r w:rsidRPr="003408A6">
        <w:rPr>
          <w:lang w:val="en-AU"/>
        </w:rPr>
        <w:t>Jurisdiction</w:t>
      </w:r>
      <w:r w:rsidR="008454B0" w:rsidRPr="003408A6">
        <w:rPr>
          <w:lang w:val="en-AU"/>
        </w:rPr>
        <w:t xml:space="preserve"> staff are knowledgeable and show initiative in implementing the program. Examples include developing strategies to obtain optimal levels of consent and putting in the effort to reach people from CALD backgrounds.</w:t>
      </w:r>
    </w:p>
    <w:p w:rsidR="008454B0" w:rsidRPr="003408A6" w:rsidRDefault="008454B0" w:rsidP="005B66D7">
      <w:pPr>
        <w:pStyle w:val="BodyText"/>
        <w:rPr>
          <w:lang w:val="en-AU"/>
        </w:rPr>
      </w:pPr>
      <w:r w:rsidRPr="003408A6">
        <w:rPr>
          <w:lang w:val="en-AU"/>
        </w:rPr>
        <w:t>Immunisation program managers described how the</w:t>
      </w:r>
      <w:r w:rsidR="001320B0" w:rsidRPr="003408A6">
        <w:rPr>
          <w:lang w:val="en-AU"/>
        </w:rPr>
        <w:t>ir</w:t>
      </w:r>
      <w:r w:rsidRPr="003408A6">
        <w:rPr>
          <w:lang w:val="en-AU"/>
        </w:rPr>
        <w:t xml:space="preserve"> </w:t>
      </w:r>
      <w:r w:rsidR="001320B0" w:rsidRPr="003408A6">
        <w:rPr>
          <w:lang w:val="en-AU"/>
        </w:rPr>
        <w:t>jurisdiction</w:t>
      </w:r>
      <w:r w:rsidRPr="003408A6">
        <w:rPr>
          <w:lang w:val="en-AU"/>
        </w:rPr>
        <w:t xml:space="preserve"> invests time in developing and maintaining staff capacity. Where local councils delivered the program</w:t>
      </w:r>
      <w:r w:rsidR="00FB3368" w:rsidRPr="003408A6">
        <w:rPr>
          <w:lang w:val="en-AU"/>
        </w:rPr>
        <w:t>,</w:t>
      </w:r>
      <w:r w:rsidRPr="003408A6">
        <w:rPr>
          <w:lang w:val="en-AU"/>
        </w:rPr>
        <w:t xml:space="preserve"> good collaborations between jurisdiction health departments and local government councils was seen as key to providing a quality program.</w:t>
      </w:r>
    </w:p>
    <w:p w:rsidR="008454B0" w:rsidRPr="003408A6" w:rsidRDefault="008454B0" w:rsidP="005B66D7">
      <w:pPr>
        <w:pStyle w:val="BodyText"/>
        <w:rPr>
          <w:lang w:val="en-AU"/>
        </w:rPr>
      </w:pPr>
      <w:r w:rsidRPr="003408A6">
        <w:rPr>
          <w:lang w:val="en-AU"/>
        </w:rPr>
        <w:t xml:space="preserve">School-based providers expressed confidence and satisfaction in delivering the program in a timely and responsive way. </w:t>
      </w:r>
      <w:r w:rsidRPr="003408A6">
        <w:rPr>
          <w:i/>
          <w:color w:val="000000"/>
          <w:lang w:val="en-AU"/>
        </w:rPr>
        <w:t xml:space="preserve"> </w:t>
      </w:r>
    </w:p>
    <w:p w:rsidR="008454B0" w:rsidRPr="003408A6" w:rsidRDefault="008454B0" w:rsidP="005B66D7">
      <w:pPr>
        <w:pStyle w:val="BodyText"/>
        <w:rPr>
          <w:lang w:val="en-AU"/>
        </w:rPr>
      </w:pPr>
      <w:r w:rsidRPr="003408A6">
        <w:rPr>
          <w:lang w:val="en-AU"/>
        </w:rPr>
        <w:t>The jurisdictions had access to knowledgeable spokespersons who were able to address community concerns about adverse events early in the female program.</w:t>
      </w:r>
    </w:p>
    <w:p w:rsidR="008454B0" w:rsidRPr="003408A6" w:rsidRDefault="008454B0" w:rsidP="005B66D7">
      <w:pPr>
        <w:pStyle w:val="Heading5"/>
      </w:pPr>
      <w:r w:rsidRPr="003408A6">
        <w:t xml:space="preserve">Challenges to </w:t>
      </w:r>
      <w:r w:rsidR="00FB3368" w:rsidRPr="003408A6">
        <w:t>j</w:t>
      </w:r>
      <w:r w:rsidRPr="003408A6">
        <w:t xml:space="preserve">urisdiction </w:t>
      </w:r>
      <w:r w:rsidR="00FB3368" w:rsidRPr="003408A6">
        <w:t>k</w:t>
      </w:r>
      <w:r w:rsidRPr="003408A6">
        <w:t>now-</w:t>
      </w:r>
      <w:r w:rsidR="00FB3368" w:rsidRPr="003408A6">
        <w:t>h</w:t>
      </w:r>
      <w:r w:rsidRPr="003408A6">
        <w:t xml:space="preserve">ow and </w:t>
      </w:r>
      <w:r w:rsidR="00FB3368" w:rsidRPr="003408A6">
        <w:t>c</w:t>
      </w:r>
      <w:r w:rsidRPr="003408A6">
        <w:t>apacity</w:t>
      </w:r>
    </w:p>
    <w:p w:rsidR="008454B0" w:rsidRPr="003408A6" w:rsidRDefault="008454B0" w:rsidP="005B66D7">
      <w:pPr>
        <w:pStyle w:val="BodyText"/>
        <w:rPr>
          <w:lang w:val="en-AU"/>
        </w:rPr>
      </w:pPr>
      <w:r w:rsidRPr="003408A6">
        <w:rPr>
          <w:lang w:val="en-AU"/>
        </w:rPr>
        <w:t>Immunisation program managers felt that while expertise, staff initiative and commitment was integral to the success of the school-based program, there was a limit to how far jurisdictions could go in delivering the program without further resources.</w:t>
      </w:r>
    </w:p>
    <w:p w:rsidR="008454B0" w:rsidRPr="003408A6" w:rsidRDefault="00FB3368" w:rsidP="005B66D7">
      <w:pPr>
        <w:pStyle w:val="BodyText"/>
        <w:rPr>
          <w:lang w:val="en-AU"/>
        </w:rPr>
      </w:pPr>
      <w:r w:rsidRPr="003408A6">
        <w:rPr>
          <w:lang w:val="en-AU"/>
        </w:rPr>
        <w:t>Immunisation program m</w:t>
      </w:r>
      <w:r w:rsidR="008454B0" w:rsidRPr="003408A6">
        <w:rPr>
          <w:lang w:val="en-AU"/>
        </w:rPr>
        <w:t>anagers expressed the opinion that the program happened because of the dedication of the jurisdiction to overcome obstacles and that there had been a risk that the program may not have been successfully implemented. A lot of work by the jurisdiction went into resources, contracts and</w:t>
      </w:r>
      <w:r w:rsidR="00E170E3">
        <w:rPr>
          <w:lang w:val="en-AU"/>
        </w:rPr>
        <w:t>,</w:t>
      </w:r>
      <w:r w:rsidR="008454B0" w:rsidRPr="003408A6">
        <w:rPr>
          <w:lang w:val="en-AU"/>
        </w:rPr>
        <w:t xml:space="preserve"> </w:t>
      </w:r>
      <w:r w:rsidR="001738B4" w:rsidRPr="003408A6">
        <w:rPr>
          <w:lang w:val="en-AU"/>
        </w:rPr>
        <w:t xml:space="preserve">for the female program, </w:t>
      </w:r>
      <w:r w:rsidR="008454B0" w:rsidRPr="003408A6">
        <w:rPr>
          <w:lang w:val="en-AU"/>
        </w:rPr>
        <w:t xml:space="preserve">procurement of vaccines. </w:t>
      </w:r>
    </w:p>
    <w:p w:rsidR="008454B0" w:rsidRPr="003408A6" w:rsidRDefault="008454B0" w:rsidP="005B66D7">
      <w:pPr>
        <w:pStyle w:val="Blockquote"/>
      </w:pPr>
      <w:r w:rsidRPr="003408A6">
        <w:t>“</w:t>
      </w:r>
      <w:r w:rsidR="00FB3368" w:rsidRPr="003408A6">
        <w:t>W</w:t>
      </w:r>
      <w:r w:rsidRPr="003408A6">
        <w:t>e weren’t resourced additionally to roll this particular program out, and so I guess you could see that as a challenge and making sure that it all went according to plan and luckily it did</w:t>
      </w:r>
      <w:r w:rsidR="00FB3368" w:rsidRPr="003408A6">
        <w:t>.</w:t>
      </w:r>
      <w:r w:rsidRPr="003408A6">
        <w:t xml:space="preserve">” </w:t>
      </w:r>
    </w:p>
    <w:p w:rsidR="008454B0" w:rsidRPr="003408A6" w:rsidRDefault="008B39E1" w:rsidP="005B66D7">
      <w:pPr>
        <w:pStyle w:val="BodyText"/>
        <w:rPr>
          <w:lang w:val="en-AU"/>
        </w:rPr>
      </w:pPr>
      <w:r w:rsidRPr="003408A6">
        <w:rPr>
          <w:lang w:val="en-AU"/>
        </w:rPr>
        <w:t>Western Australia</w:t>
      </w:r>
      <w:r w:rsidR="008454B0" w:rsidRPr="003408A6">
        <w:rPr>
          <w:lang w:val="en-AU"/>
        </w:rPr>
        <w:t xml:space="preserve"> and </w:t>
      </w:r>
      <w:r w:rsidRPr="003408A6">
        <w:rPr>
          <w:lang w:val="en-AU"/>
        </w:rPr>
        <w:t>South Australia</w:t>
      </w:r>
      <w:r w:rsidR="008454B0" w:rsidRPr="003408A6">
        <w:rPr>
          <w:lang w:val="en-AU"/>
        </w:rPr>
        <w:t xml:space="preserve"> successfully adopted strategies to roll out the HPV </w:t>
      </w:r>
      <w:r w:rsidR="00E170E3">
        <w:rPr>
          <w:lang w:val="en-AU"/>
        </w:rPr>
        <w:t>v</w:t>
      </w:r>
      <w:r w:rsidR="008454B0" w:rsidRPr="003408A6">
        <w:rPr>
          <w:lang w:val="en-AU"/>
        </w:rPr>
        <w:t xml:space="preserve">accination </w:t>
      </w:r>
      <w:r w:rsidR="00E170E3">
        <w:rPr>
          <w:lang w:val="en-AU"/>
        </w:rPr>
        <w:t>p</w:t>
      </w:r>
      <w:r w:rsidR="008454B0" w:rsidRPr="003408A6">
        <w:rPr>
          <w:lang w:val="en-AU"/>
        </w:rPr>
        <w:t xml:space="preserve">rogram for adolescent males within their funding and capacity constraints while still providing full coverage to all eligible adolescents over the course of 2013 and 2014. </w:t>
      </w:r>
    </w:p>
    <w:p w:rsidR="008454B0" w:rsidRPr="003408A6" w:rsidRDefault="008454B0" w:rsidP="005B66D7">
      <w:pPr>
        <w:pStyle w:val="BodyText"/>
        <w:rPr>
          <w:lang w:val="en-AU"/>
        </w:rPr>
      </w:pPr>
      <w:r w:rsidRPr="003408A6">
        <w:rPr>
          <w:lang w:val="en-AU"/>
        </w:rPr>
        <w:t>The female and male catch-up programs were big programs that stretched jurisdiction staff and funding and meant finding extra vaccination days at schools.</w:t>
      </w:r>
    </w:p>
    <w:p w:rsidR="008454B0" w:rsidRPr="003408A6" w:rsidRDefault="008454B0" w:rsidP="005B66D7">
      <w:pPr>
        <w:pStyle w:val="BodyText"/>
        <w:rPr>
          <w:lang w:val="en-AU"/>
        </w:rPr>
      </w:pPr>
      <w:r w:rsidRPr="003408A6">
        <w:rPr>
          <w:lang w:val="en-AU"/>
        </w:rPr>
        <w:t>Some jurisdictions reported difficulty in finding staff for delivering the extended school-based program. Staff turnover in remote areas was also a challenge to the ongoing delivery of the program.</w:t>
      </w:r>
    </w:p>
    <w:p w:rsidR="008454B0" w:rsidRPr="003408A6" w:rsidRDefault="008454B0" w:rsidP="005B66D7">
      <w:pPr>
        <w:pStyle w:val="BodyText"/>
        <w:rPr>
          <w:lang w:val="en-AU"/>
        </w:rPr>
      </w:pPr>
      <w:r w:rsidRPr="003408A6">
        <w:rPr>
          <w:lang w:val="en-AU"/>
        </w:rPr>
        <w:t>One school-based coordinator mentioned that the extra data collection and recording of dosage data and enhanced adverse events</w:t>
      </w:r>
      <w:r w:rsidR="00FB3368" w:rsidRPr="003408A6">
        <w:rPr>
          <w:lang w:val="en-AU"/>
        </w:rPr>
        <w:t xml:space="preserve"> surveillance</w:t>
      </w:r>
      <w:r w:rsidRPr="003408A6">
        <w:rPr>
          <w:lang w:val="en-AU"/>
        </w:rPr>
        <w:t xml:space="preserve"> for the HPV program places a further burden on staff.</w:t>
      </w:r>
    </w:p>
    <w:p w:rsidR="008454B0" w:rsidRPr="003408A6" w:rsidRDefault="008454B0" w:rsidP="005B66D7">
      <w:pPr>
        <w:pStyle w:val="Heading5"/>
      </w:pPr>
      <w:r w:rsidRPr="003408A6">
        <w:t>Commonwealth/</w:t>
      </w:r>
      <w:r w:rsidR="001320B0" w:rsidRPr="003408A6">
        <w:t>s</w:t>
      </w:r>
      <w:r w:rsidRPr="003408A6">
        <w:t xml:space="preserve">tate and </w:t>
      </w:r>
      <w:r w:rsidR="001320B0" w:rsidRPr="003408A6">
        <w:t>t</w:t>
      </w:r>
      <w:r w:rsidRPr="003408A6">
        <w:t>erritory partnership</w:t>
      </w:r>
    </w:p>
    <w:p w:rsidR="003D5F51" w:rsidRPr="003408A6" w:rsidRDefault="003D5F51" w:rsidP="005B66D7">
      <w:pPr>
        <w:pStyle w:val="BodyText"/>
        <w:rPr>
          <w:lang w:val="en-AU"/>
        </w:rPr>
      </w:pPr>
      <w:r w:rsidRPr="003408A6">
        <w:rPr>
          <w:lang w:val="en-AU"/>
        </w:rPr>
        <w:t xml:space="preserve">Acknowledging some significant project limitations for the implementation of both the female and male programs </w:t>
      </w:r>
      <w:r w:rsidR="00E170E3">
        <w:rPr>
          <w:lang w:val="en-AU"/>
        </w:rPr>
        <w:t xml:space="preserve">(i.e. </w:t>
      </w:r>
      <w:r w:rsidRPr="003408A6">
        <w:rPr>
          <w:lang w:val="en-AU"/>
        </w:rPr>
        <w:t>the timeframe required to implement both programs</w:t>
      </w:r>
      <w:r w:rsidR="00E170E3">
        <w:rPr>
          <w:lang w:val="en-AU"/>
        </w:rPr>
        <w:t>)</w:t>
      </w:r>
      <w:r w:rsidRPr="003408A6">
        <w:rPr>
          <w:lang w:val="en-AU"/>
        </w:rPr>
        <w:t xml:space="preserve">, the </w:t>
      </w:r>
      <w:r w:rsidR="008E6E49">
        <w:rPr>
          <w:lang w:val="en-AU"/>
        </w:rPr>
        <w:t>Australian Government Department of Health</w:t>
      </w:r>
      <w:r w:rsidR="00F452B0" w:rsidRPr="003408A6">
        <w:rPr>
          <w:lang w:val="en-AU"/>
        </w:rPr>
        <w:t xml:space="preserve"> </w:t>
      </w:r>
      <w:r w:rsidRPr="003408A6">
        <w:rPr>
          <w:lang w:val="en-AU"/>
        </w:rPr>
        <w:t xml:space="preserve">considered the partnership between the </w:t>
      </w:r>
      <w:r w:rsidR="00EF6B3E" w:rsidRPr="003408A6">
        <w:rPr>
          <w:lang w:val="en-AU"/>
        </w:rPr>
        <w:t xml:space="preserve">Australian </w:t>
      </w:r>
      <w:r w:rsidR="00E170E3">
        <w:rPr>
          <w:lang w:val="en-AU"/>
        </w:rPr>
        <w:t>g</w:t>
      </w:r>
      <w:r w:rsidR="00EF6B3E" w:rsidRPr="003408A6">
        <w:rPr>
          <w:lang w:val="en-AU"/>
        </w:rPr>
        <w:t xml:space="preserve">overnment and </w:t>
      </w:r>
      <w:r w:rsidR="00E170E3">
        <w:rPr>
          <w:lang w:val="en-AU"/>
        </w:rPr>
        <w:t>s</w:t>
      </w:r>
      <w:r w:rsidR="00EF6B3E" w:rsidRPr="003408A6">
        <w:rPr>
          <w:lang w:val="en-AU"/>
        </w:rPr>
        <w:t xml:space="preserve">tate and </w:t>
      </w:r>
      <w:r w:rsidR="00E170E3">
        <w:rPr>
          <w:lang w:val="en-AU"/>
        </w:rPr>
        <w:t>t</w:t>
      </w:r>
      <w:r w:rsidR="00EF6B3E" w:rsidRPr="003408A6">
        <w:rPr>
          <w:lang w:val="en-AU"/>
        </w:rPr>
        <w:t xml:space="preserve">erritory </w:t>
      </w:r>
      <w:r w:rsidR="00E170E3">
        <w:rPr>
          <w:lang w:val="en-AU"/>
        </w:rPr>
        <w:t>g</w:t>
      </w:r>
      <w:r w:rsidR="00EF6B3E" w:rsidRPr="003408A6">
        <w:rPr>
          <w:lang w:val="en-AU"/>
        </w:rPr>
        <w:t xml:space="preserve">overnments </w:t>
      </w:r>
      <w:r w:rsidRPr="003408A6">
        <w:rPr>
          <w:lang w:val="en-AU"/>
        </w:rPr>
        <w:t xml:space="preserve">to be collaborative and productive. The Jurisdictional Immunisation Committee was an effective mechanism for consultation with states and territories and </w:t>
      </w:r>
      <w:r w:rsidR="00CC6DFD" w:rsidRPr="003408A6">
        <w:rPr>
          <w:lang w:val="en-AU"/>
        </w:rPr>
        <w:t xml:space="preserve">the Commonwealth </w:t>
      </w:r>
      <w:r w:rsidRPr="003408A6">
        <w:rPr>
          <w:lang w:val="en-AU"/>
        </w:rPr>
        <w:t>was encouraged by the willingness states and territories demonstrated to ensure both the female and male programs could be implemented within the pre-determined timeframe.</w:t>
      </w:r>
    </w:p>
    <w:p w:rsidR="008454B0" w:rsidRPr="003408A6" w:rsidRDefault="008454B0" w:rsidP="005B66D7">
      <w:pPr>
        <w:pStyle w:val="BodyText"/>
        <w:rPr>
          <w:lang w:val="en-AU"/>
        </w:rPr>
      </w:pPr>
      <w:r w:rsidRPr="003408A6">
        <w:rPr>
          <w:lang w:val="en-AU"/>
        </w:rPr>
        <w:t>In reflecting on both the female and male phases of the program,</w:t>
      </w:r>
      <w:r w:rsidR="00ED571A" w:rsidRPr="003408A6">
        <w:rPr>
          <w:lang w:val="en-AU"/>
        </w:rPr>
        <w:t xml:space="preserve"> however</w:t>
      </w:r>
      <w:r w:rsidR="00E170E3">
        <w:rPr>
          <w:lang w:val="en-AU"/>
        </w:rPr>
        <w:t>,</w:t>
      </w:r>
      <w:r w:rsidRPr="003408A6">
        <w:rPr>
          <w:lang w:val="en-AU"/>
        </w:rPr>
        <w:t xml:space="preserve"> many respondents thought </w:t>
      </w:r>
      <w:r w:rsidR="00ED571A" w:rsidRPr="003408A6">
        <w:rPr>
          <w:lang w:val="en-AU"/>
        </w:rPr>
        <w:t>there was room for improvement in the</w:t>
      </w:r>
      <w:r w:rsidRPr="003408A6">
        <w:rPr>
          <w:lang w:val="en-AU"/>
        </w:rPr>
        <w:t xml:space="preserve"> collaboration and communication between the </w:t>
      </w:r>
      <w:r w:rsidR="001320B0" w:rsidRPr="003408A6">
        <w:rPr>
          <w:lang w:val="en-AU"/>
        </w:rPr>
        <w:t>s</w:t>
      </w:r>
      <w:r w:rsidRPr="003408A6">
        <w:rPr>
          <w:lang w:val="en-AU"/>
        </w:rPr>
        <w:t>tates,</w:t>
      </w:r>
      <w:r w:rsidR="00C7078B" w:rsidRPr="003408A6">
        <w:rPr>
          <w:lang w:val="en-AU"/>
        </w:rPr>
        <w:t xml:space="preserve"> </w:t>
      </w:r>
      <w:r w:rsidR="001320B0" w:rsidRPr="003408A6">
        <w:rPr>
          <w:lang w:val="en-AU"/>
        </w:rPr>
        <w:t>t</w:t>
      </w:r>
      <w:r w:rsidRPr="003408A6">
        <w:rPr>
          <w:lang w:val="en-AU"/>
        </w:rPr>
        <w:t xml:space="preserve">erritories and the Australian </w:t>
      </w:r>
      <w:r w:rsidR="001320B0" w:rsidRPr="003408A6">
        <w:rPr>
          <w:lang w:val="en-AU"/>
        </w:rPr>
        <w:t>g</w:t>
      </w:r>
      <w:r w:rsidRPr="003408A6">
        <w:rPr>
          <w:lang w:val="en-AU"/>
        </w:rPr>
        <w:t xml:space="preserve">overnment. </w:t>
      </w:r>
      <w:r w:rsidR="00ED571A" w:rsidRPr="003408A6">
        <w:rPr>
          <w:lang w:val="en-AU"/>
        </w:rPr>
        <w:t>In particular</w:t>
      </w:r>
      <w:r w:rsidR="00E170E3">
        <w:rPr>
          <w:lang w:val="en-AU"/>
        </w:rPr>
        <w:t>,</w:t>
      </w:r>
      <w:r w:rsidR="00ED571A" w:rsidRPr="003408A6">
        <w:rPr>
          <w:lang w:val="en-AU"/>
        </w:rPr>
        <w:t xml:space="preserve"> s</w:t>
      </w:r>
      <w:r w:rsidRPr="003408A6">
        <w:rPr>
          <w:lang w:val="en-AU"/>
        </w:rPr>
        <w:t xml:space="preserve">tate and </w:t>
      </w:r>
      <w:r w:rsidR="001320B0" w:rsidRPr="003408A6">
        <w:rPr>
          <w:lang w:val="en-AU"/>
        </w:rPr>
        <w:t>t</w:t>
      </w:r>
      <w:r w:rsidRPr="003408A6">
        <w:rPr>
          <w:lang w:val="en-AU"/>
        </w:rPr>
        <w:t>erritories</w:t>
      </w:r>
      <w:r w:rsidR="00ED571A" w:rsidRPr="003408A6">
        <w:rPr>
          <w:lang w:val="en-AU"/>
        </w:rPr>
        <w:t xml:space="preserve"> expressed a</w:t>
      </w:r>
      <w:r w:rsidRPr="003408A6">
        <w:rPr>
          <w:lang w:val="en-AU"/>
        </w:rPr>
        <w:t xml:space="preserve"> need to be given more flexibility to deliver the program within their resource constraints.</w:t>
      </w:r>
    </w:p>
    <w:p w:rsidR="008454B0" w:rsidRPr="003408A6" w:rsidRDefault="008454B0" w:rsidP="005B66D7">
      <w:pPr>
        <w:pStyle w:val="Heading5"/>
      </w:pPr>
      <w:r w:rsidRPr="003408A6">
        <w:t>Program for Indigenous adolescents</w:t>
      </w:r>
    </w:p>
    <w:p w:rsidR="008454B0" w:rsidRPr="003408A6" w:rsidRDefault="008454B0" w:rsidP="005B66D7">
      <w:pPr>
        <w:pStyle w:val="BodyText"/>
        <w:rPr>
          <w:lang w:val="en-AU"/>
        </w:rPr>
      </w:pPr>
      <w:r w:rsidRPr="003408A6">
        <w:rPr>
          <w:lang w:val="en-AU"/>
        </w:rPr>
        <w:t xml:space="preserve">Several key </w:t>
      </w:r>
      <w:r w:rsidR="003C41DF" w:rsidRPr="003408A6">
        <w:rPr>
          <w:rFonts w:eastAsiaTheme="minorEastAsia"/>
          <w:bCs/>
          <w:snapToGrid w:val="0"/>
          <w:lang w:val="en-AU"/>
        </w:rPr>
        <w:t>stakeholders</w:t>
      </w:r>
      <w:r w:rsidRPr="003408A6">
        <w:rPr>
          <w:lang w:val="en-AU"/>
        </w:rPr>
        <w:t xml:space="preserve"> from Queensland, </w:t>
      </w:r>
      <w:r w:rsidR="008B39E1" w:rsidRPr="003408A6">
        <w:rPr>
          <w:lang w:val="en-AU"/>
        </w:rPr>
        <w:t>Western Australia</w:t>
      </w:r>
      <w:r w:rsidRPr="003408A6">
        <w:rPr>
          <w:lang w:val="en-AU"/>
        </w:rPr>
        <w:t xml:space="preserve"> and </w:t>
      </w:r>
      <w:r w:rsidR="008B39E1" w:rsidRPr="003408A6">
        <w:rPr>
          <w:lang w:val="en-AU"/>
        </w:rPr>
        <w:t xml:space="preserve">the </w:t>
      </w:r>
      <w:r w:rsidR="008B39E1" w:rsidRPr="003408A6">
        <w:rPr>
          <w:rFonts w:eastAsia="Calibri"/>
          <w:color w:val="000000"/>
          <w:lang w:val="en-AU"/>
        </w:rPr>
        <w:t>Northern Territory</w:t>
      </w:r>
      <w:r w:rsidRPr="003408A6">
        <w:rPr>
          <w:lang w:val="en-AU"/>
        </w:rPr>
        <w:t xml:space="preserve"> discussed their experiences with programs to vaccinate Indigenous young men and women. </w:t>
      </w:r>
    </w:p>
    <w:p w:rsidR="008454B0" w:rsidRPr="003408A6" w:rsidRDefault="008454B0" w:rsidP="005B66D7">
      <w:pPr>
        <w:pStyle w:val="BodyText"/>
        <w:rPr>
          <w:lang w:val="en-AU"/>
        </w:rPr>
      </w:pPr>
      <w:r w:rsidRPr="003408A6">
        <w:rPr>
          <w:lang w:val="en-AU"/>
        </w:rPr>
        <w:t xml:space="preserve">These </w:t>
      </w:r>
      <w:r w:rsidR="003C41DF" w:rsidRPr="003408A6">
        <w:rPr>
          <w:rFonts w:eastAsiaTheme="minorEastAsia"/>
          <w:bCs/>
          <w:snapToGrid w:val="0"/>
          <w:lang w:val="en-AU"/>
        </w:rPr>
        <w:t>stakeholders</w:t>
      </w:r>
      <w:r w:rsidRPr="003408A6">
        <w:rPr>
          <w:lang w:val="en-AU"/>
        </w:rPr>
        <w:t>’ accounts have been supplemented by notes from meetings by the National Aboriginal and Torres Strait Islander Immunisation Network (NATSIIN) that discussed the implementation of the National HPV Vaccination Program for Indigenous adolescents.</w:t>
      </w:r>
    </w:p>
    <w:p w:rsidR="008454B0" w:rsidRPr="003408A6" w:rsidRDefault="008454B0" w:rsidP="005B66D7">
      <w:pPr>
        <w:pStyle w:val="Heading5"/>
      </w:pPr>
      <w:r w:rsidRPr="003408A6">
        <w:t>Recording Indigenous status</w:t>
      </w:r>
    </w:p>
    <w:p w:rsidR="008454B0" w:rsidRPr="003408A6" w:rsidRDefault="008454B0" w:rsidP="005B66D7">
      <w:pPr>
        <w:pStyle w:val="BodyText"/>
        <w:rPr>
          <w:lang w:val="en-AU"/>
        </w:rPr>
      </w:pPr>
      <w:r w:rsidRPr="003408A6">
        <w:rPr>
          <w:lang w:val="en-AU"/>
        </w:rPr>
        <w:t>All jurisdictions now record Indigenous status on HPV vaccination consent forms. However, reporting of Indigenous status to the NHVPR is not always complete.</w:t>
      </w:r>
    </w:p>
    <w:p w:rsidR="008454B0" w:rsidRPr="003408A6" w:rsidRDefault="008454B0" w:rsidP="005B66D7">
      <w:pPr>
        <w:pStyle w:val="Heading5"/>
      </w:pPr>
      <w:r w:rsidRPr="003408A6">
        <w:t xml:space="preserve">Vaccine uptake and coverage </w:t>
      </w:r>
      <w:r w:rsidR="00B8021E">
        <w:t>in</w:t>
      </w:r>
      <w:r w:rsidRPr="003408A6">
        <w:t xml:space="preserve"> young Indigenous men and women</w:t>
      </w:r>
    </w:p>
    <w:p w:rsidR="008454B0" w:rsidRPr="003408A6" w:rsidRDefault="008454B0" w:rsidP="005B66D7">
      <w:pPr>
        <w:pStyle w:val="BodyText"/>
        <w:rPr>
          <w:lang w:val="en-AU"/>
        </w:rPr>
      </w:pPr>
      <w:r w:rsidRPr="003408A6">
        <w:rPr>
          <w:lang w:val="en-AU"/>
        </w:rPr>
        <w:t xml:space="preserve">Access to remote communities and mobile populations potentially affects coverage. However, stakeholders working with remote Indigenous communities reported that they were successfully reaching eligible young males and achieving good uptake of the vaccine. </w:t>
      </w:r>
    </w:p>
    <w:p w:rsidR="008454B0" w:rsidRPr="003408A6" w:rsidRDefault="008454B0" w:rsidP="005B66D7">
      <w:pPr>
        <w:pStyle w:val="Blockquote"/>
      </w:pPr>
      <w:r w:rsidRPr="003408A6">
        <w:t xml:space="preserve">“Aboriginal Medical Services </w:t>
      </w:r>
      <w:r w:rsidR="00FB3368" w:rsidRPr="003408A6">
        <w:t>[</w:t>
      </w:r>
      <w:r w:rsidRPr="003408A6">
        <w:t>AMS’s</w:t>
      </w:r>
      <w:r w:rsidR="00FB3368" w:rsidRPr="003408A6">
        <w:t>]</w:t>
      </w:r>
      <w:r w:rsidRPr="003408A6">
        <w:t xml:space="preserve"> have a school program that is doing very well… they are not missing many children</w:t>
      </w:r>
      <w:r w:rsidR="00FB3368" w:rsidRPr="003408A6">
        <w:t>.</w:t>
      </w:r>
      <w:r w:rsidRPr="003408A6">
        <w:t xml:space="preserve">” </w:t>
      </w:r>
    </w:p>
    <w:p w:rsidR="008454B0" w:rsidRPr="003408A6" w:rsidRDefault="008454B0" w:rsidP="005B66D7">
      <w:pPr>
        <w:pStyle w:val="Blockquote"/>
      </w:pPr>
      <w:r w:rsidRPr="003408A6">
        <w:t>“Low school retention rates are not affecting coverage, children not at school are captured at home, Aboriginal Health Workers run the program.”</w:t>
      </w:r>
    </w:p>
    <w:p w:rsidR="008454B0" w:rsidRPr="003408A6" w:rsidRDefault="008454B0" w:rsidP="005B66D7">
      <w:pPr>
        <w:pStyle w:val="BodyText"/>
        <w:rPr>
          <w:lang w:val="en-AU"/>
        </w:rPr>
      </w:pPr>
      <w:r w:rsidRPr="003408A6">
        <w:rPr>
          <w:lang w:val="en-AU"/>
        </w:rPr>
        <w:t xml:space="preserve">One school-based provider observed there was good acceptance of the HPV </w:t>
      </w:r>
      <w:r w:rsidR="00E170E3">
        <w:rPr>
          <w:lang w:val="en-AU"/>
        </w:rPr>
        <w:t>v</w:t>
      </w:r>
      <w:r w:rsidRPr="003408A6">
        <w:rPr>
          <w:lang w:val="en-AU"/>
        </w:rPr>
        <w:t xml:space="preserve">accination </w:t>
      </w:r>
      <w:r w:rsidR="00E170E3">
        <w:rPr>
          <w:lang w:val="en-AU"/>
        </w:rPr>
        <w:t>p</w:t>
      </w:r>
      <w:r w:rsidRPr="003408A6">
        <w:rPr>
          <w:lang w:val="en-AU"/>
        </w:rPr>
        <w:t>rogram by Indigenous parents and communities.</w:t>
      </w:r>
    </w:p>
    <w:p w:rsidR="008454B0" w:rsidRPr="003408A6" w:rsidRDefault="008454B0" w:rsidP="005B66D7">
      <w:pPr>
        <w:pStyle w:val="Blockquote"/>
      </w:pPr>
      <w:r w:rsidRPr="003408A6">
        <w:t>“</w:t>
      </w:r>
      <w:r w:rsidR="00FB3368" w:rsidRPr="003408A6">
        <w:t>M</w:t>
      </w:r>
      <w:r w:rsidRPr="003408A6">
        <w:t>ost Aboriginal boys and families are very keen to get their boys vaccinated</w:t>
      </w:r>
      <w:r w:rsidR="00FB3368" w:rsidRPr="003408A6">
        <w:t>.</w:t>
      </w:r>
      <w:r w:rsidRPr="003408A6">
        <w:t xml:space="preserve">” </w:t>
      </w:r>
    </w:p>
    <w:p w:rsidR="008454B0" w:rsidRPr="003408A6" w:rsidRDefault="008454B0" w:rsidP="005B66D7">
      <w:pPr>
        <w:pStyle w:val="BodyText"/>
        <w:rPr>
          <w:lang w:val="en-AU"/>
        </w:rPr>
      </w:pPr>
      <w:r w:rsidRPr="003408A6">
        <w:rPr>
          <w:lang w:val="en-AU"/>
        </w:rPr>
        <w:t xml:space="preserve">Jurisdictions with </w:t>
      </w:r>
      <w:r w:rsidR="00FB3368" w:rsidRPr="003408A6">
        <w:rPr>
          <w:lang w:val="en-AU"/>
        </w:rPr>
        <w:t>r</w:t>
      </w:r>
      <w:r w:rsidRPr="003408A6">
        <w:rPr>
          <w:lang w:val="en-AU"/>
        </w:rPr>
        <w:t xml:space="preserve">emote Indigenous </w:t>
      </w:r>
      <w:r w:rsidR="00FB3368" w:rsidRPr="003408A6">
        <w:rPr>
          <w:lang w:val="en-AU"/>
        </w:rPr>
        <w:t>c</w:t>
      </w:r>
      <w:r w:rsidRPr="003408A6">
        <w:rPr>
          <w:lang w:val="en-AU"/>
        </w:rPr>
        <w:t xml:space="preserve">ommunities had strategies to reach young people in those communities. This included a dedicated nurse educator in the </w:t>
      </w:r>
      <w:r w:rsidR="008B39E1" w:rsidRPr="003408A6">
        <w:rPr>
          <w:rFonts w:eastAsia="Calibri"/>
          <w:color w:val="000000"/>
          <w:lang w:val="en-AU"/>
        </w:rPr>
        <w:t>Northern Territory</w:t>
      </w:r>
      <w:r w:rsidRPr="003408A6">
        <w:rPr>
          <w:lang w:val="en-AU"/>
        </w:rPr>
        <w:t xml:space="preserve">. The HPV </w:t>
      </w:r>
      <w:r w:rsidR="00E170E3">
        <w:rPr>
          <w:lang w:val="en-AU"/>
        </w:rPr>
        <w:t>v</w:t>
      </w:r>
      <w:r w:rsidRPr="003408A6">
        <w:rPr>
          <w:lang w:val="en-AU"/>
        </w:rPr>
        <w:t xml:space="preserve">accination </w:t>
      </w:r>
      <w:r w:rsidR="00E170E3">
        <w:rPr>
          <w:lang w:val="en-AU"/>
        </w:rPr>
        <w:t>p</w:t>
      </w:r>
      <w:r w:rsidRPr="003408A6">
        <w:rPr>
          <w:lang w:val="en-AU"/>
        </w:rPr>
        <w:t>rogram is often run outside school through community clinics. Adolescents in remote communities are actively followed up by community clinic staff.</w:t>
      </w:r>
    </w:p>
    <w:p w:rsidR="008454B0" w:rsidRPr="003408A6" w:rsidRDefault="008454B0" w:rsidP="005B66D7">
      <w:pPr>
        <w:pStyle w:val="Blockquote"/>
      </w:pPr>
      <w:r w:rsidRPr="003408A6">
        <w:t>“</w:t>
      </w:r>
      <w:r w:rsidR="00FB3368" w:rsidRPr="003408A6">
        <w:t>W</w:t>
      </w:r>
      <w:r w:rsidRPr="003408A6">
        <w:t xml:space="preserve">e have to work with the nurse or an Aboriginal health worker to find the young men because they often don’t come into the clinic very often.”  </w:t>
      </w:r>
    </w:p>
    <w:p w:rsidR="008454B0" w:rsidRPr="003408A6" w:rsidRDefault="008454B0" w:rsidP="005B66D7">
      <w:pPr>
        <w:pStyle w:val="BodyText"/>
        <w:rPr>
          <w:lang w:val="en-AU"/>
        </w:rPr>
      </w:pPr>
      <w:r w:rsidRPr="003408A6">
        <w:rPr>
          <w:lang w:val="en-AU"/>
        </w:rPr>
        <w:t>Other remote area health staff</w:t>
      </w:r>
      <w:r w:rsidR="00E170E3">
        <w:rPr>
          <w:lang w:val="en-AU"/>
        </w:rPr>
        <w:t>,</w:t>
      </w:r>
      <w:r w:rsidRPr="003408A6">
        <w:rPr>
          <w:lang w:val="en-AU"/>
        </w:rPr>
        <w:t xml:space="preserve"> such as sexual health teams and women’s health clinicians</w:t>
      </w:r>
      <w:r w:rsidR="00E170E3">
        <w:rPr>
          <w:lang w:val="en-AU"/>
        </w:rPr>
        <w:t>,</w:t>
      </w:r>
      <w:r w:rsidRPr="003408A6">
        <w:rPr>
          <w:lang w:val="en-AU"/>
        </w:rPr>
        <w:t xml:space="preserve"> were often enlisted to promote the program in remote communities.</w:t>
      </w:r>
    </w:p>
    <w:p w:rsidR="008454B0" w:rsidRPr="003408A6" w:rsidRDefault="008454B0" w:rsidP="005B66D7">
      <w:pPr>
        <w:pStyle w:val="BodyText"/>
        <w:rPr>
          <w:lang w:val="en-AU"/>
        </w:rPr>
      </w:pPr>
      <w:r w:rsidRPr="003408A6">
        <w:rPr>
          <w:lang w:val="en-AU"/>
        </w:rPr>
        <w:t xml:space="preserve">Barriers to vaccinating Indigenous young men in remote communities included long distances between communities, mobility of young Indigenous men, following up for </w:t>
      </w:r>
      <w:r w:rsidR="00006FDF" w:rsidRPr="003408A6">
        <w:rPr>
          <w:lang w:val="en-AU"/>
        </w:rPr>
        <w:t xml:space="preserve">3 </w:t>
      </w:r>
      <w:r w:rsidRPr="003408A6">
        <w:rPr>
          <w:lang w:val="en-AU"/>
        </w:rPr>
        <w:t>doses, fridge breakdowns and staff turnover.</w:t>
      </w:r>
    </w:p>
    <w:p w:rsidR="008454B0" w:rsidRPr="003408A6" w:rsidRDefault="008454B0" w:rsidP="005B66D7">
      <w:pPr>
        <w:pStyle w:val="BodyText"/>
        <w:rPr>
          <w:lang w:val="en-AU"/>
        </w:rPr>
      </w:pPr>
      <w:r w:rsidRPr="003408A6">
        <w:rPr>
          <w:lang w:val="en-AU"/>
        </w:rPr>
        <w:t xml:space="preserve">Medicare Local staff in </w:t>
      </w:r>
      <w:r w:rsidR="008B39E1" w:rsidRPr="003408A6">
        <w:rPr>
          <w:lang w:val="en-AU"/>
        </w:rPr>
        <w:t xml:space="preserve">the </w:t>
      </w:r>
      <w:r w:rsidR="008B39E1" w:rsidRPr="003408A6">
        <w:rPr>
          <w:rFonts w:eastAsia="Calibri"/>
          <w:color w:val="000000"/>
          <w:lang w:val="en-AU"/>
        </w:rPr>
        <w:t>Northern Territory</w:t>
      </w:r>
      <w:r w:rsidRPr="003408A6">
        <w:rPr>
          <w:lang w:val="en-AU"/>
        </w:rPr>
        <w:t xml:space="preserve"> and </w:t>
      </w:r>
      <w:r w:rsidR="008B39E1" w:rsidRPr="003408A6">
        <w:rPr>
          <w:lang w:val="en-AU"/>
        </w:rPr>
        <w:t>Queensland</w:t>
      </w:r>
      <w:r w:rsidRPr="003408A6">
        <w:rPr>
          <w:lang w:val="en-AU"/>
        </w:rPr>
        <w:t xml:space="preserve"> noted that it is Indigenous adolescents in urban locations rather than in remote communities who are the ones missing out on the vaccine, especially transient populations.</w:t>
      </w:r>
    </w:p>
    <w:p w:rsidR="008454B0" w:rsidRPr="003408A6" w:rsidRDefault="008454B0" w:rsidP="005B66D7">
      <w:pPr>
        <w:pStyle w:val="Blockquote"/>
      </w:pPr>
      <w:r w:rsidRPr="003408A6">
        <w:t xml:space="preserve">“With the remote area usually the healthcare worker would go and grab them from the community and a lot of the girls that were coming down to [Town] to do their education a lot of them missed out on a few.” </w:t>
      </w:r>
    </w:p>
    <w:p w:rsidR="008454B0" w:rsidRPr="003408A6" w:rsidRDefault="008454B0" w:rsidP="008454B0">
      <w:pPr>
        <w:spacing w:after="120" w:line="360" w:lineRule="auto"/>
      </w:pPr>
      <w:r w:rsidRPr="003408A6">
        <w:t xml:space="preserve">Providers from </w:t>
      </w:r>
      <w:r w:rsidR="008B39E1" w:rsidRPr="003408A6">
        <w:t xml:space="preserve">the </w:t>
      </w:r>
      <w:r w:rsidR="008B39E1" w:rsidRPr="003408A6">
        <w:rPr>
          <w:rFonts w:eastAsia="Calibri" w:cs="Arial"/>
          <w:color w:val="000000"/>
          <w:szCs w:val="22"/>
          <w:lang w:eastAsia="en-US"/>
        </w:rPr>
        <w:t>Northern Territory</w:t>
      </w:r>
      <w:r w:rsidRPr="003408A6">
        <w:t xml:space="preserve">, </w:t>
      </w:r>
      <w:r w:rsidR="008B39E1" w:rsidRPr="003408A6">
        <w:rPr>
          <w:rFonts w:cs="Arial"/>
        </w:rPr>
        <w:t>Queensland</w:t>
      </w:r>
      <w:r w:rsidRPr="003408A6">
        <w:t xml:space="preserve"> and </w:t>
      </w:r>
      <w:r w:rsidR="008B39E1" w:rsidRPr="003408A6">
        <w:rPr>
          <w:rFonts w:cs="Arial"/>
        </w:rPr>
        <w:t>Western Australia</w:t>
      </w:r>
      <w:r w:rsidRPr="003408A6">
        <w:t xml:space="preserve"> described strategies to reach Indigenous adolescents in urban areas outside the school setting</w:t>
      </w:r>
      <w:r w:rsidR="002B520C" w:rsidRPr="003408A6">
        <w:t xml:space="preserve"> or the community health centre</w:t>
      </w:r>
      <w:r w:rsidRPr="003408A6">
        <w:t>, for example</w:t>
      </w:r>
      <w:r w:rsidR="00FB3368" w:rsidRPr="003408A6">
        <w:t>,</w:t>
      </w:r>
      <w:r w:rsidRPr="003408A6">
        <w:t xml:space="preserve"> visiting shopping centres to catch-up females aged 15</w:t>
      </w:r>
      <w:r w:rsidR="00FB3368" w:rsidRPr="003408A6">
        <w:t>–</w:t>
      </w:r>
      <w:r w:rsidRPr="003408A6">
        <w:t>17 years.</w:t>
      </w:r>
    </w:p>
    <w:p w:rsidR="008454B0" w:rsidRPr="003408A6" w:rsidRDefault="008454B0" w:rsidP="008454B0">
      <w:pPr>
        <w:spacing w:after="120" w:line="360" w:lineRule="auto"/>
      </w:pPr>
      <w:r w:rsidRPr="003408A6">
        <w:t xml:space="preserve">GPs and practice nurses </w:t>
      </w:r>
      <w:r w:rsidR="002B520C" w:rsidRPr="003408A6">
        <w:t xml:space="preserve">who were interviewed </w:t>
      </w:r>
      <w:r w:rsidRPr="003408A6">
        <w:t>all reported that Indigenous status was well recorded on practice records. However, they did not have any particular strategies to reach Indigenous adolescents</w:t>
      </w:r>
      <w:r w:rsidR="00E170E3">
        <w:t>;</w:t>
      </w:r>
      <w:r w:rsidRPr="003408A6">
        <w:t xml:space="preserve"> </w:t>
      </w:r>
      <w:r w:rsidR="002B520C" w:rsidRPr="003408A6">
        <w:t xml:space="preserve">instead they identified </w:t>
      </w:r>
      <w:r w:rsidRPr="003408A6">
        <w:t>all eligible patients by age</w:t>
      </w:r>
      <w:r w:rsidR="002B520C" w:rsidRPr="003408A6">
        <w:t>, not Indigenous status</w:t>
      </w:r>
      <w:r w:rsidRPr="003408A6">
        <w:t xml:space="preserve">. Several stakeholders mentioned that their Medicare Locals were active in promoting HPV vaccination to Indigenous young people through outreach services and Aboriginal Medical Services. </w:t>
      </w:r>
    </w:p>
    <w:p w:rsidR="008454B0" w:rsidRPr="003408A6" w:rsidRDefault="008454B0" w:rsidP="005B66D7">
      <w:pPr>
        <w:pStyle w:val="Heading5"/>
      </w:pPr>
      <w:r w:rsidRPr="003408A6">
        <w:t xml:space="preserve">Indigenous </w:t>
      </w:r>
      <w:r w:rsidR="00FB3368" w:rsidRPr="003408A6">
        <w:t>c</w:t>
      </w:r>
      <w:r w:rsidRPr="003408A6">
        <w:t>ommunication resources</w:t>
      </w:r>
    </w:p>
    <w:p w:rsidR="008454B0" w:rsidRPr="003408A6" w:rsidRDefault="008454B0" w:rsidP="005B66D7">
      <w:pPr>
        <w:pStyle w:val="BodyText"/>
        <w:rPr>
          <w:lang w:val="en-AU"/>
        </w:rPr>
      </w:pPr>
      <w:r w:rsidRPr="003408A6">
        <w:rPr>
          <w:lang w:val="en-AU"/>
        </w:rPr>
        <w:t>There was a lack of resources specifically for Indigenous parents and young women at the start of the female program so some jurisdictions developed their own.</w:t>
      </w:r>
    </w:p>
    <w:p w:rsidR="008454B0" w:rsidRPr="003408A6" w:rsidRDefault="008454B0" w:rsidP="005B66D7">
      <w:pPr>
        <w:pStyle w:val="Blockquote"/>
      </w:pPr>
      <w:r w:rsidRPr="003408A6">
        <w:t>“I am pretty sure [jurisdiction] developed some Indigenous specific like a flyer to go [on outreach days] just to explain what was going on and just really simple language</w:t>
      </w:r>
      <w:r w:rsidR="00FB3368" w:rsidRPr="003408A6">
        <w:t>.</w:t>
      </w:r>
      <w:r w:rsidRPr="003408A6">
        <w:t>”</w:t>
      </w:r>
    </w:p>
    <w:p w:rsidR="008454B0" w:rsidRPr="003408A6" w:rsidRDefault="008454B0" w:rsidP="005B66D7">
      <w:pPr>
        <w:pStyle w:val="BodyText"/>
        <w:rPr>
          <w:lang w:val="en-AU"/>
        </w:rPr>
      </w:pPr>
      <w:r w:rsidRPr="003408A6">
        <w:rPr>
          <w:lang w:val="en-AU"/>
        </w:rPr>
        <w:t xml:space="preserve">Stakeholders have been using the resources for Indigenous parents and students developed by the </w:t>
      </w:r>
      <w:r w:rsidR="008E6E49">
        <w:rPr>
          <w:lang w:val="en-AU"/>
        </w:rPr>
        <w:t>Australian Government Department of Health</w:t>
      </w:r>
      <w:r w:rsidRPr="003408A6">
        <w:rPr>
          <w:lang w:val="en-AU"/>
        </w:rPr>
        <w:t xml:space="preserve"> for the extended HPV program that includes males. The </w:t>
      </w:r>
      <w:r w:rsidR="008E6E49">
        <w:rPr>
          <w:lang w:val="en-AU"/>
        </w:rPr>
        <w:t>Australian Government Department of Health</w:t>
      </w:r>
      <w:r w:rsidRPr="003408A6">
        <w:rPr>
          <w:lang w:val="en-AU"/>
        </w:rPr>
        <w:t xml:space="preserve"> collaborated with jurisdictions in the development of these resources.</w:t>
      </w:r>
    </w:p>
    <w:p w:rsidR="008454B0" w:rsidRPr="003408A6" w:rsidRDefault="008454B0" w:rsidP="005B66D7">
      <w:pPr>
        <w:pStyle w:val="BodyText"/>
        <w:rPr>
          <w:lang w:val="en-AU"/>
        </w:rPr>
      </w:pPr>
      <w:r w:rsidRPr="003408A6">
        <w:rPr>
          <w:lang w:val="en-AU"/>
        </w:rPr>
        <w:t xml:space="preserve">The </w:t>
      </w:r>
      <w:r w:rsidR="003A6479" w:rsidRPr="003408A6">
        <w:rPr>
          <w:lang w:val="en-AU"/>
        </w:rPr>
        <w:t xml:space="preserve">Indigenous </w:t>
      </w:r>
      <w:r w:rsidRPr="003408A6">
        <w:rPr>
          <w:lang w:val="en-AU"/>
        </w:rPr>
        <w:t xml:space="preserve">resources were seen as sometimes too wordy for remote Indigenous people. Several stakeholders mentioned the need for resources in simple language for some Indigenous communities. </w:t>
      </w:r>
      <w:r w:rsidR="003A6479" w:rsidRPr="003408A6">
        <w:rPr>
          <w:lang w:val="en-AU"/>
        </w:rPr>
        <w:t xml:space="preserve">The </w:t>
      </w:r>
      <w:r w:rsidR="008E6E49">
        <w:rPr>
          <w:lang w:val="en-AU"/>
        </w:rPr>
        <w:t>Australian Government Department of Health</w:t>
      </w:r>
      <w:r w:rsidR="003A6479" w:rsidRPr="003408A6">
        <w:rPr>
          <w:lang w:val="en-AU"/>
        </w:rPr>
        <w:t xml:space="preserve"> developed </w:t>
      </w:r>
      <w:r w:rsidR="00E170E3">
        <w:rPr>
          <w:lang w:val="en-AU"/>
        </w:rPr>
        <w:t>o</w:t>
      </w:r>
      <w:r w:rsidRPr="003408A6">
        <w:rPr>
          <w:lang w:val="en-AU"/>
        </w:rPr>
        <w:t xml:space="preserve">ral </w:t>
      </w:r>
      <w:r w:rsidR="003A6479" w:rsidRPr="003408A6">
        <w:rPr>
          <w:lang w:val="en-AU"/>
        </w:rPr>
        <w:t xml:space="preserve">recordings on HPV </w:t>
      </w:r>
      <w:r w:rsidR="000F3047" w:rsidRPr="003408A6">
        <w:rPr>
          <w:lang w:val="en-AU"/>
        </w:rPr>
        <w:t>vaccination in</w:t>
      </w:r>
      <w:r w:rsidRPr="003408A6">
        <w:rPr>
          <w:lang w:val="en-AU"/>
        </w:rPr>
        <w:t xml:space="preserve"> </w:t>
      </w:r>
      <w:r w:rsidR="003A6479" w:rsidRPr="003408A6">
        <w:rPr>
          <w:lang w:val="en-AU"/>
        </w:rPr>
        <w:t xml:space="preserve">20 </w:t>
      </w:r>
      <w:r w:rsidRPr="003408A6">
        <w:rPr>
          <w:lang w:val="en-AU"/>
        </w:rPr>
        <w:t>Indigenous languages</w:t>
      </w:r>
      <w:r w:rsidR="003A6479" w:rsidRPr="003408A6">
        <w:rPr>
          <w:lang w:val="en-AU"/>
        </w:rPr>
        <w:t xml:space="preserve">. The use of oral resources </w:t>
      </w:r>
      <w:r w:rsidRPr="003408A6">
        <w:rPr>
          <w:lang w:val="en-AU"/>
        </w:rPr>
        <w:t xml:space="preserve">were seen </w:t>
      </w:r>
      <w:r w:rsidR="003A6479" w:rsidRPr="003408A6">
        <w:rPr>
          <w:lang w:val="en-AU"/>
        </w:rPr>
        <w:t xml:space="preserve">by stakeholders </w:t>
      </w:r>
      <w:r w:rsidRPr="003408A6">
        <w:rPr>
          <w:lang w:val="en-AU"/>
        </w:rPr>
        <w:t xml:space="preserve">as a useful way to reach some groups of Indigenous parents and students. </w:t>
      </w:r>
    </w:p>
    <w:p w:rsidR="008454B0" w:rsidRPr="003408A6" w:rsidRDefault="008454B0" w:rsidP="005B66D7">
      <w:pPr>
        <w:pStyle w:val="BodyText"/>
        <w:rPr>
          <w:lang w:val="en-AU"/>
        </w:rPr>
      </w:pPr>
      <w:r w:rsidRPr="003408A6">
        <w:rPr>
          <w:lang w:val="en-AU"/>
        </w:rPr>
        <w:t>Stakeholders working with Indigenous communities thought that including a sexual health message in messages to Indigenous parents and young people was important. Several stakeholders mentioned that the sexual health message was missing from the available information resources.</w:t>
      </w:r>
    </w:p>
    <w:p w:rsidR="008454B0" w:rsidRPr="003408A6" w:rsidRDefault="007A6C8E" w:rsidP="005B66D7">
      <w:pPr>
        <w:pStyle w:val="BodyText"/>
        <w:rPr>
          <w:lang w:val="en-AU"/>
        </w:rPr>
      </w:pPr>
      <w:r>
        <w:rPr>
          <w:lang w:val="en-AU"/>
        </w:rPr>
        <w:t xml:space="preserve">The needs of </w:t>
      </w:r>
      <w:r w:rsidR="008454B0" w:rsidRPr="003408A6">
        <w:rPr>
          <w:lang w:val="en-AU"/>
        </w:rPr>
        <w:t>Indigenous people are diverse so some benefit from special information resources and some prefer to use ‘mainstream’ resources.</w:t>
      </w:r>
    </w:p>
    <w:p w:rsidR="008454B0" w:rsidRPr="003408A6" w:rsidRDefault="008454B0" w:rsidP="005B66D7">
      <w:pPr>
        <w:pStyle w:val="Blockquote"/>
      </w:pPr>
      <w:r w:rsidRPr="003408A6">
        <w:t>“</w:t>
      </w:r>
      <w:r w:rsidR="00FB3368" w:rsidRPr="003408A6">
        <w:t>O</w:t>
      </w:r>
      <w:r w:rsidRPr="003408A6">
        <w:t xml:space="preserve">ur Aboriginal team took a whole pile of information out to the celebrations at places and all that sort of jazz and most parents said, </w:t>
      </w:r>
      <w:r w:rsidR="00FB3368" w:rsidRPr="003408A6">
        <w:t>‘</w:t>
      </w:r>
      <w:r w:rsidRPr="003408A6">
        <w:t>Oh no, no, we’ve already got all the normal information from school. It’s all good</w:t>
      </w:r>
      <w:r w:rsidR="00FB3368" w:rsidRPr="003408A6">
        <w:t>’</w:t>
      </w:r>
      <w:r w:rsidRPr="003408A6">
        <w:t xml:space="preserve"> sort of thing.”  </w:t>
      </w:r>
    </w:p>
    <w:p w:rsidR="008454B0" w:rsidRPr="003408A6" w:rsidRDefault="008454B0" w:rsidP="005B66D7">
      <w:pPr>
        <w:pStyle w:val="Heading5"/>
      </w:pPr>
      <w:r w:rsidRPr="003408A6">
        <w:t xml:space="preserve">Strengths and </w:t>
      </w:r>
      <w:r w:rsidR="00B8021E">
        <w:t>c</w:t>
      </w:r>
      <w:r w:rsidRPr="003408A6">
        <w:t>hallenges</w:t>
      </w:r>
      <w:r w:rsidR="00B8021E">
        <w:t xml:space="preserve"> of</w:t>
      </w:r>
      <w:r w:rsidRPr="003408A6">
        <w:t xml:space="preserve"> Indigenous resources</w:t>
      </w:r>
    </w:p>
    <w:p w:rsidR="008454B0" w:rsidRPr="003408A6" w:rsidRDefault="008454B0" w:rsidP="005B66D7">
      <w:pPr>
        <w:pStyle w:val="BodyText"/>
        <w:rPr>
          <w:lang w:val="en-AU"/>
        </w:rPr>
      </w:pPr>
      <w:r w:rsidRPr="003408A6">
        <w:rPr>
          <w:lang w:val="en-AU"/>
        </w:rPr>
        <w:t xml:space="preserve">Stakeholders commended the </w:t>
      </w:r>
      <w:r w:rsidR="008E6E49">
        <w:rPr>
          <w:lang w:val="en-AU"/>
        </w:rPr>
        <w:t>Australian Government Department of Health</w:t>
      </w:r>
      <w:r w:rsidRPr="003408A6">
        <w:rPr>
          <w:lang w:val="en-AU"/>
        </w:rPr>
        <w:t xml:space="preserve"> for the development of resources specific to Indigenous people with the extended HPV </w:t>
      </w:r>
      <w:r w:rsidR="00E170E3">
        <w:rPr>
          <w:lang w:val="en-AU"/>
        </w:rPr>
        <w:t>v</w:t>
      </w:r>
      <w:r w:rsidRPr="003408A6">
        <w:rPr>
          <w:lang w:val="en-AU"/>
        </w:rPr>
        <w:t xml:space="preserve">accination </w:t>
      </w:r>
      <w:r w:rsidR="00E170E3">
        <w:rPr>
          <w:lang w:val="en-AU"/>
        </w:rPr>
        <w:t>p</w:t>
      </w:r>
      <w:r w:rsidRPr="003408A6">
        <w:rPr>
          <w:lang w:val="en-AU"/>
        </w:rPr>
        <w:t>rogram.</w:t>
      </w:r>
    </w:p>
    <w:p w:rsidR="008454B0" w:rsidRPr="003408A6" w:rsidRDefault="008454B0" w:rsidP="005B66D7">
      <w:pPr>
        <w:pStyle w:val="Blockquote"/>
      </w:pPr>
      <w:r w:rsidRPr="003408A6">
        <w:t>“</w:t>
      </w:r>
      <w:r w:rsidR="00FB3368" w:rsidRPr="003408A6">
        <w:t>I</w:t>
      </w:r>
      <w:r w:rsidRPr="003408A6">
        <w:t>t’s a real positive initiative by the Commonwealth that they have put so much time and effort into creating resources which are available for use by Indigenous groups</w:t>
      </w:r>
      <w:r w:rsidR="00FB3368" w:rsidRPr="003408A6">
        <w:t>.</w:t>
      </w:r>
      <w:r w:rsidRPr="003408A6">
        <w:t xml:space="preserve">” </w:t>
      </w:r>
    </w:p>
    <w:p w:rsidR="008B24B9" w:rsidRPr="003408A6" w:rsidRDefault="008454B0" w:rsidP="005B66D7">
      <w:pPr>
        <w:pStyle w:val="BodyText"/>
        <w:rPr>
          <w:lang w:val="en-AU"/>
        </w:rPr>
      </w:pPr>
      <w:r w:rsidRPr="003408A6">
        <w:rPr>
          <w:lang w:val="en-AU"/>
        </w:rPr>
        <w:t>The written resources for Indigenous parents/young people were</w:t>
      </w:r>
      <w:r w:rsidR="00FB3368" w:rsidRPr="003408A6">
        <w:rPr>
          <w:lang w:val="en-AU"/>
        </w:rPr>
        <w:t>,</w:t>
      </w:r>
      <w:r w:rsidRPr="003408A6">
        <w:rPr>
          <w:lang w:val="en-AU"/>
        </w:rPr>
        <w:t xml:space="preserve"> however, considered too wordy for some people from remote communities. </w:t>
      </w:r>
    </w:p>
    <w:p w:rsidR="008454B0" w:rsidRPr="003408A6" w:rsidRDefault="008454B0" w:rsidP="005B66D7">
      <w:pPr>
        <w:pStyle w:val="BodyText"/>
        <w:rPr>
          <w:lang w:val="en-AU"/>
        </w:rPr>
      </w:pPr>
      <w:r w:rsidRPr="003408A6">
        <w:rPr>
          <w:lang w:val="en-AU"/>
        </w:rPr>
        <w:t>The verbal resources in Indigenous languages</w:t>
      </w:r>
      <w:r w:rsidR="008B24B9" w:rsidRPr="003408A6">
        <w:rPr>
          <w:lang w:val="en-AU"/>
        </w:rPr>
        <w:t xml:space="preserve"> </w:t>
      </w:r>
      <w:r w:rsidRPr="003408A6">
        <w:rPr>
          <w:lang w:val="en-AU"/>
        </w:rPr>
        <w:t>are very well received.</w:t>
      </w:r>
      <w:r w:rsidR="00CC135C" w:rsidRPr="003408A6">
        <w:rPr>
          <w:lang w:val="en-AU"/>
        </w:rPr>
        <w:t xml:space="preserve"> As one remote GP noted</w:t>
      </w:r>
      <w:r w:rsidR="00E170E3">
        <w:rPr>
          <w:lang w:val="en-AU"/>
        </w:rPr>
        <w:t>,</w:t>
      </w:r>
    </w:p>
    <w:p w:rsidR="008454B0" w:rsidRPr="003408A6" w:rsidRDefault="008454B0" w:rsidP="005B66D7">
      <w:pPr>
        <w:pStyle w:val="Blockquote"/>
      </w:pPr>
      <w:r w:rsidRPr="003408A6">
        <w:t xml:space="preserve">“This is a great initiative. It’s great to finally have some health information in [Language].” </w:t>
      </w:r>
    </w:p>
    <w:p w:rsidR="008454B0" w:rsidRPr="003408A6" w:rsidRDefault="008454B0" w:rsidP="005B66D7">
      <w:pPr>
        <w:pStyle w:val="BodyText"/>
        <w:rPr>
          <w:lang w:val="en-AU"/>
        </w:rPr>
      </w:pPr>
      <w:r w:rsidRPr="003408A6">
        <w:rPr>
          <w:lang w:val="en-AU"/>
        </w:rPr>
        <w:t xml:space="preserve">One respondent </w:t>
      </w:r>
      <w:r w:rsidR="008B24B9" w:rsidRPr="003408A6">
        <w:rPr>
          <w:lang w:val="en-AU"/>
        </w:rPr>
        <w:t xml:space="preserve">commented that </w:t>
      </w:r>
      <w:r w:rsidRPr="003408A6">
        <w:rPr>
          <w:lang w:val="en-AU"/>
        </w:rPr>
        <w:t>the comics produced for young Indigenous men and women should have included a message that HPV was a sexually transmitted infection. Stakeholders acknowledged sexual health messages for young adolescents can be controversial and sensitive, especially in Indigenous communities, and delivering messages in a culturally sensitive way was an ongoing challenge. Stakeholders involved in Indigenous programs</w:t>
      </w:r>
      <w:r w:rsidR="00FB3368" w:rsidRPr="003408A6">
        <w:rPr>
          <w:lang w:val="en-AU"/>
        </w:rPr>
        <w:t>,</w:t>
      </w:r>
      <w:r w:rsidRPr="003408A6">
        <w:rPr>
          <w:lang w:val="en-AU"/>
        </w:rPr>
        <w:t xml:space="preserve"> however</w:t>
      </w:r>
      <w:r w:rsidR="00FB3368" w:rsidRPr="003408A6">
        <w:rPr>
          <w:lang w:val="en-AU"/>
        </w:rPr>
        <w:t>,</w:t>
      </w:r>
      <w:r w:rsidRPr="003408A6">
        <w:rPr>
          <w:lang w:val="en-AU"/>
        </w:rPr>
        <w:t xml:space="preserve"> felt it was important to give a clear and succinct message to Indigenous people and there is an ongoing need for consultation around Indigenous information and materials. </w:t>
      </w:r>
    </w:p>
    <w:p w:rsidR="008454B0" w:rsidRPr="003408A6" w:rsidRDefault="008454B0" w:rsidP="005B66D7">
      <w:pPr>
        <w:pStyle w:val="Heading5"/>
      </w:pPr>
      <w:r w:rsidRPr="003408A6">
        <w:t xml:space="preserve">Culturally </w:t>
      </w:r>
      <w:r w:rsidR="00852439" w:rsidRPr="003408A6">
        <w:t>a</w:t>
      </w:r>
      <w:r w:rsidRPr="003408A6">
        <w:t xml:space="preserve">nd </w:t>
      </w:r>
      <w:r w:rsidR="00852439" w:rsidRPr="003408A6">
        <w:t>l</w:t>
      </w:r>
      <w:r w:rsidRPr="003408A6">
        <w:t xml:space="preserve">inguistically </w:t>
      </w:r>
      <w:r w:rsidR="00852439" w:rsidRPr="003408A6">
        <w:t>d</w:t>
      </w:r>
      <w:r w:rsidRPr="003408A6">
        <w:t xml:space="preserve">iverse </w:t>
      </w:r>
      <w:r w:rsidR="00852439" w:rsidRPr="003408A6">
        <w:t>p</w:t>
      </w:r>
      <w:r w:rsidRPr="003408A6">
        <w:t>opulations</w:t>
      </w:r>
    </w:p>
    <w:p w:rsidR="008454B0" w:rsidRPr="003408A6" w:rsidRDefault="008454B0" w:rsidP="005B66D7">
      <w:pPr>
        <w:pStyle w:val="BodyText"/>
        <w:rPr>
          <w:lang w:val="en-AU"/>
        </w:rPr>
      </w:pPr>
      <w:r w:rsidRPr="003408A6">
        <w:rPr>
          <w:lang w:val="en-AU"/>
        </w:rPr>
        <w:t>The majority of stakeholders (n=12) were not aware of or involved in specific programs to target adolescents and parents from CALD backgrounds. Most of the work done with CALD adolescents and parents involved one</w:t>
      </w:r>
      <w:r w:rsidR="00983562" w:rsidRPr="003408A6">
        <w:rPr>
          <w:lang w:val="en-AU"/>
        </w:rPr>
        <w:t>-</w:t>
      </w:r>
      <w:r w:rsidRPr="003408A6">
        <w:rPr>
          <w:lang w:val="en-AU"/>
        </w:rPr>
        <w:t>on</w:t>
      </w:r>
      <w:r w:rsidR="00983562" w:rsidRPr="003408A6">
        <w:rPr>
          <w:lang w:val="en-AU"/>
        </w:rPr>
        <w:t>-</w:t>
      </w:r>
      <w:r w:rsidRPr="003408A6">
        <w:rPr>
          <w:lang w:val="en-AU"/>
        </w:rPr>
        <w:t>one follow</w:t>
      </w:r>
      <w:r w:rsidR="00983562" w:rsidRPr="003408A6">
        <w:rPr>
          <w:lang w:val="en-AU"/>
        </w:rPr>
        <w:t>-</w:t>
      </w:r>
      <w:r w:rsidRPr="003408A6">
        <w:rPr>
          <w:lang w:val="en-AU"/>
        </w:rPr>
        <w:t xml:space="preserve">up of consent by school nurses, which could be very resource intensive. This involved providing access to materials in other languages and in some cases providing interpreter services. </w:t>
      </w:r>
    </w:p>
    <w:p w:rsidR="008454B0" w:rsidRPr="003408A6" w:rsidRDefault="008454B0" w:rsidP="005B66D7">
      <w:pPr>
        <w:pStyle w:val="Blockquote"/>
      </w:pPr>
      <w:r w:rsidRPr="003408A6">
        <w:t>“It was very demanding on staff resources to get messages to culturally diverse groups because it was more on a one-to-one bas</w:t>
      </w:r>
      <w:r w:rsidR="00FB3368" w:rsidRPr="003408A6">
        <w:t>i</w:t>
      </w:r>
      <w:r w:rsidRPr="003408A6">
        <w:t>s and included ringing parents up, using interpreters, going to meet parents in schools, so it was very resource intensive, but we did it</w:t>
      </w:r>
      <w:r w:rsidR="00FB3368" w:rsidRPr="003408A6">
        <w:t>.</w:t>
      </w:r>
      <w:r w:rsidRPr="003408A6">
        <w:t xml:space="preserve">” </w:t>
      </w:r>
    </w:p>
    <w:p w:rsidR="008454B0" w:rsidRPr="003408A6" w:rsidRDefault="008454B0" w:rsidP="005B66D7">
      <w:pPr>
        <w:pStyle w:val="BodyText"/>
        <w:rPr>
          <w:lang w:val="en-AU"/>
        </w:rPr>
      </w:pPr>
      <w:r w:rsidRPr="003408A6">
        <w:rPr>
          <w:lang w:val="en-AU"/>
        </w:rPr>
        <w:t xml:space="preserve">Seven stakeholders mentioned using language resources developed by his/her own jurisdiction, including translated consent forms and information sheets, oral language resources and interpreter services. Three stakeholders stated they relied on the language resources provided on the national HPV website. </w:t>
      </w:r>
    </w:p>
    <w:p w:rsidR="008454B0" w:rsidRPr="003408A6" w:rsidRDefault="008454B0" w:rsidP="005B66D7">
      <w:pPr>
        <w:pStyle w:val="BodyText"/>
        <w:rPr>
          <w:lang w:val="en-AU"/>
        </w:rPr>
      </w:pPr>
      <w:r w:rsidRPr="003408A6">
        <w:rPr>
          <w:lang w:val="en-AU"/>
        </w:rPr>
        <w:t xml:space="preserve">Many stakeholders did not consider further outreach to CALD parents and students as necessary because the return of consent forms was high across most cultural groups. Informed consent was mentioned as an issue for some CALD parents as children may be translating HPV information and some CALD parents have poor literacy even in their native language. </w:t>
      </w:r>
    </w:p>
    <w:p w:rsidR="008454B0" w:rsidRPr="003408A6" w:rsidRDefault="008454B0" w:rsidP="005B66D7">
      <w:pPr>
        <w:pStyle w:val="BodyText"/>
        <w:rPr>
          <w:lang w:val="en-AU"/>
        </w:rPr>
      </w:pPr>
      <w:r w:rsidRPr="003408A6">
        <w:rPr>
          <w:lang w:val="en-AU"/>
        </w:rPr>
        <w:t>One immunisation program manager and one private provider mentioned that the school</w:t>
      </w:r>
      <w:r w:rsidR="003077BD" w:rsidRPr="003408A6">
        <w:rPr>
          <w:lang w:val="en-AU"/>
        </w:rPr>
        <w:t>-based</w:t>
      </w:r>
      <w:r w:rsidRPr="003408A6">
        <w:rPr>
          <w:lang w:val="en-AU"/>
        </w:rPr>
        <w:t xml:space="preserve"> program did not suit the needs of some new arrivals. In regions with high numbers of refugees or other new arrivals there were some initiatives run by general practice or through council clinics to arrange catch-up vaccinations for new arrivals to supplement the school</w:t>
      </w:r>
      <w:r w:rsidR="003077BD" w:rsidRPr="003408A6">
        <w:rPr>
          <w:lang w:val="en-AU"/>
        </w:rPr>
        <w:t>-based</w:t>
      </w:r>
      <w:r w:rsidRPr="003408A6">
        <w:rPr>
          <w:lang w:val="en-AU"/>
        </w:rPr>
        <w:t xml:space="preserve"> program. </w:t>
      </w:r>
    </w:p>
    <w:p w:rsidR="008454B0" w:rsidRPr="003408A6" w:rsidRDefault="008454B0" w:rsidP="008454B0">
      <w:pPr>
        <w:pStyle w:val="Heading3"/>
      </w:pPr>
      <w:bookmarkStart w:id="60" w:name="_Toc373497095"/>
      <w:r w:rsidRPr="003408A6">
        <w:t>Data</w:t>
      </w:r>
      <w:bookmarkEnd w:id="60"/>
    </w:p>
    <w:p w:rsidR="008454B0" w:rsidRPr="003408A6" w:rsidRDefault="008454B0" w:rsidP="005B66D7">
      <w:pPr>
        <w:pStyle w:val="Heading5"/>
      </w:pPr>
      <w:r w:rsidRPr="003408A6">
        <w:t>National HPV Vaccination Program Register</w:t>
      </w:r>
    </w:p>
    <w:p w:rsidR="008454B0" w:rsidRPr="003408A6" w:rsidRDefault="008454B0" w:rsidP="005B66D7">
      <w:pPr>
        <w:pStyle w:val="BodyText"/>
        <w:rPr>
          <w:lang w:val="en-AU"/>
        </w:rPr>
      </w:pPr>
      <w:r w:rsidRPr="003408A6">
        <w:rPr>
          <w:lang w:val="en-AU"/>
        </w:rPr>
        <w:t xml:space="preserve">The </w:t>
      </w:r>
      <w:r w:rsidR="003806B6" w:rsidRPr="003408A6">
        <w:rPr>
          <w:lang w:val="en-AU"/>
        </w:rPr>
        <w:t xml:space="preserve">NHVPR </w:t>
      </w:r>
      <w:r w:rsidRPr="003408A6">
        <w:rPr>
          <w:lang w:val="en-AU"/>
        </w:rPr>
        <w:t>was established as part of the National HPV Vaccination Program and commenced operations in June 2008</w:t>
      </w:r>
      <w:r w:rsidR="00FB3368" w:rsidRPr="003408A6">
        <w:rPr>
          <w:lang w:val="en-AU"/>
        </w:rPr>
        <w:t>.</w:t>
      </w:r>
      <w:hyperlink w:anchor="_ENREF_38" w:tooltip="Brotherton, 2011 #1269" w:history="1">
        <w:r w:rsidR="00F27F90" w:rsidRPr="003408A6">
          <w:rPr>
            <w:lang w:val="en-AU"/>
          </w:rPr>
          <w:fldChar w:fldCharType="begin"/>
        </w:r>
        <w:r w:rsidR="00F27F90" w:rsidRPr="003408A6">
          <w:rPr>
            <w:lang w:val="en-AU"/>
          </w:rPr>
          <w:instrText xml:space="preserve"> ADDIN EN.CITE &lt;EndNote&gt;&lt;Cite&gt;&lt;Author&gt;Brotherton&lt;/Author&gt;&lt;Year&gt;2011&lt;/Year&gt;&lt;RecNum&gt;1269&lt;/RecNum&gt;&lt;DisplayText&gt;&lt;style face="superscript"&gt;38&lt;/style&gt;&lt;/DisplayText&gt;&lt;record&gt;&lt;rec-number&gt;1269&lt;/rec-number&gt;&lt;foreign-keys&gt;&lt;key app="EN" db-id="dda0wweazfww9besetpx2r5pt0asp9ztvs95"&gt;1269&lt;/key&gt;&lt;/foreign-keys&gt;&lt;ref-type name="Journal Article"&gt;17&lt;/ref-type&gt;&lt;contributors&gt;&lt;authors&gt;&lt;author&gt;Brotherton, J.&lt;/author&gt;&lt;author&gt;Gertig, D.&lt;/author&gt;&lt;author&gt;Chappell, G.&lt;/author&gt;&lt;author&gt;Rowlands, L.&lt;/author&gt;&lt;author&gt;Saville, M.&lt;/author&gt;&lt;/authors&gt;&lt;/contributors&gt;&lt;titles&gt;&lt;title&gt;Catching up with the catch-up: HPV vaccination coverage data for Australian women aged 18-26 years from the National HPV Vaccination Program Register&lt;/title&gt;&lt;secondary-title&gt;Communicable Diseases Intelligence&lt;/secondary-title&gt;&lt;/titles&gt;&lt;periodical&gt;&lt;full-title&gt;Communicable Diseases Intelligence&lt;/full-title&gt;&lt;abbr-1&gt;Commun. Dis. Intell.&lt;/abbr-1&gt;&lt;abbr-2&gt;Commun Dis Intell&lt;/abbr-2&gt;&lt;/periodical&gt;&lt;pages&gt;197-201&lt;/pages&gt;&lt;volume&gt;35&lt;/volume&gt;&lt;number&gt;2&lt;/number&gt;&lt;dates&gt;&lt;year&gt;2011&lt;/year&gt;&lt;/dates&gt;&lt;urls&gt;&lt;/urls&gt;&lt;/record&gt;&lt;/Cite&gt;&lt;/EndNote&gt;</w:instrText>
        </w:r>
        <w:r w:rsidR="00F27F90" w:rsidRPr="003408A6">
          <w:rPr>
            <w:lang w:val="en-AU"/>
          </w:rPr>
          <w:fldChar w:fldCharType="separate"/>
        </w:r>
        <w:r w:rsidR="00F27F90" w:rsidRPr="003408A6">
          <w:rPr>
            <w:noProof/>
            <w:vertAlign w:val="superscript"/>
            <w:lang w:val="en-AU"/>
          </w:rPr>
          <w:t>38</w:t>
        </w:r>
        <w:r w:rsidR="00F27F90" w:rsidRPr="003408A6">
          <w:rPr>
            <w:lang w:val="en-AU"/>
          </w:rPr>
          <w:fldChar w:fldCharType="end"/>
        </w:r>
      </w:hyperlink>
      <w:r w:rsidRPr="003408A6">
        <w:rPr>
          <w:lang w:val="en-AU"/>
        </w:rPr>
        <w:t xml:space="preserve"> The NHVPR collects </w:t>
      </w:r>
      <w:r w:rsidR="00FB3368" w:rsidRPr="003408A6">
        <w:rPr>
          <w:lang w:val="en-AU"/>
        </w:rPr>
        <w:t xml:space="preserve">reports of </w:t>
      </w:r>
      <w:r w:rsidRPr="003408A6">
        <w:rPr>
          <w:lang w:val="en-AU"/>
        </w:rPr>
        <w:t xml:space="preserve">HPV doses for the purpose of notifying individual vaccination status to patients, parents and providers and for reporting population coverage. </w:t>
      </w:r>
    </w:p>
    <w:p w:rsidR="008454B0" w:rsidRPr="003408A6" w:rsidRDefault="008454B0" w:rsidP="005B66D7">
      <w:pPr>
        <w:pStyle w:val="BodyText"/>
        <w:rPr>
          <w:lang w:val="en-AU"/>
        </w:rPr>
      </w:pPr>
      <w:r w:rsidRPr="003408A6">
        <w:rPr>
          <w:lang w:val="en-AU"/>
        </w:rPr>
        <w:t xml:space="preserve">Jurisdictions are responsible for notifying doses to the NHVPR for school-based programs. The method of reporting school-based dosage data to the </w:t>
      </w:r>
      <w:r w:rsidR="00F07D6A" w:rsidRPr="003408A6">
        <w:rPr>
          <w:lang w:val="en-AU"/>
        </w:rPr>
        <w:t>NHVPR</w:t>
      </w:r>
      <w:r w:rsidRPr="003408A6">
        <w:rPr>
          <w:lang w:val="en-AU"/>
        </w:rPr>
        <w:t xml:space="preserve"> differs across jurisdictions. In some jurisdictions</w:t>
      </w:r>
      <w:r w:rsidR="00E170E3">
        <w:rPr>
          <w:lang w:val="en-AU"/>
        </w:rPr>
        <w:t>,</w:t>
      </w:r>
      <w:r w:rsidRPr="003408A6">
        <w:rPr>
          <w:lang w:val="en-AU"/>
        </w:rPr>
        <w:t xml:space="preserve"> school-based HPV vaccine doses are reported directly to the </w:t>
      </w:r>
      <w:r w:rsidR="00F07D6A" w:rsidRPr="003408A6">
        <w:rPr>
          <w:lang w:val="en-AU"/>
        </w:rPr>
        <w:t>NHVPR</w:t>
      </w:r>
      <w:r w:rsidRPr="003408A6">
        <w:rPr>
          <w:lang w:val="en-AU"/>
        </w:rPr>
        <w:t xml:space="preserve"> at the local level</w:t>
      </w:r>
      <w:r w:rsidR="000F32A5" w:rsidRPr="003408A6">
        <w:rPr>
          <w:lang w:val="en-AU"/>
        </w:rPr>
        <w:t>,</w:t>
      </w:r>
      <w:r w:rsidRPr="003408A6">
        <w:rPr>
          <w:lang w:val="en-AU"/>
        </w:rPr>
        <w:t xml:space="preserve"> for example</w:t>
      </w:r>
      <w:r w:rsidR="000F32A5" w:rsidRPr="003408A6">
        <w:rPr>
          <w:lang w:val="en-AU"/>
        </w:rPr>
        <w:t>,</w:t>
      </w:r>
      <w:r w:rsidRPr="003408A6">
        <w:rPr>
          <w:lang w:val="en-AU"/>
        </w:rPr>
        <w:t xml:space="preserve"> by the school-based coordinators or local government. In other jurisdictions, school-based coordinators report doses to a jurisdictional immunisation database and the jurisdiction sends the data on to the </w:t>
      </w:r>
      <w:r w:rsidR="00F07D6A" w:rsidRPr="003408A6">
        <w:rPr>
          <w:lang w:val="en-AU"/>
        </w:rPr>
        <w:t>NHVPR</w:t>
      </w:r>
      <w:r w:rsidRPr="003408A6">
        <w:rPr>
          <w:lang w:val="en-AU"/>
        </w:rPr>
        <w:t>.</w:t>
      </w:r>
    </w:p>
    <w:p w:rsidR="008454B0" w:rsidRPr="003408A6" w:rsidRDefault="008454B0" w:rsidP="005B66D7">
      <w:pPr>
        <w:pStyle w:val="BodyText"/>
        <w:rPr>
          <w:lang w:val="en-AU"/>
        </w:rPr>
      </w:pPr>
      <w:r w:rsidRPr="003408A6">
        <w:rPr>
          <w:lang w:val="en-AU"/>
        </w:rPr>
        <w:t xml:space="preserve">Doses given in general practice are faxed directly to the </w:t>
      </w:r>
      <w:r w:rsidR="00F07D6A" w:rsidRPr="003408A6">
        <w:rPr>
          <w:lang w:val="en-AU"/>
        </w:rPr>
        <w:t>NHVPR</w:t>
      </w:r>
      <w:r w:rsidRPr="003408A6">
        <w:rPr>
          <w:lang w:val="en-AU"/>
        </w:rPr>
        <w:t xml:space="preserve"> using a reporting form available on the NHVPR website or are recorded directly online via a secure portal. In some jurisdictions, GPs send reports to the jurisdiction database for forwarding to the </w:t>
      </w:r>
      <w:r w:rsidR="00F07D6A" w:rsidRPr="003408A6">
        <w:rPr>
          <w:lang w:val="en-AU"/>
        </w:rPr>
        <w:t>NHVPR</w:t>
      </w:r>
      <w:r w:rsidRPr="003408A6">
        <w:rPr>
          <w:lang w:val="en-AU"/>
        </w:rPr>
        <w:t xml:space="preserve">. </w:t>
      </w:r>
    </w:p>
    <w:p w:rsidR="008454B0" w:rsidRPr="003408A6" w:rsidRDefault="008454B0" w:rsidP="005B66D7">
      <w:pPr>
        <w:pStyle w:val="BodyText"/>
        <w:rPr>
          <w:lang w:val="en-AU"/>
        </w:rPr>
      </w:pPr>
      <w:r w:rsidRPr="003408A6">
        <w:rPr>
          <w:lang w:val="en-AU"/>
        </w:rPr>
        <w:t xml:space="preserve">Most jurisdictions reported that they calculate coverage using their own vaccination databases. A minority relied on coverage reports from the </w:t>
      </w:r>
      <w:r w:rsidR="00F07D6A" w:rsidRPr="003408A6">
        <w:rPr>
          <w:lang w:val="en-AU"/>
        </w:rPr>
        <w:t>NHVPR</w:t>
      </w:r>
      <w:r w:rsidRPr="003408A6">
        <w:rPr>
          <w:lang w:val="en-AU"/>
        </w:rPr>
        <w:t xml:space="preserve">. </w:t>
      </w:r>
      <w:r w:rsidR="00294BAC" w:rsidRPr="003408A6">
        <w:rPr>
          <w:lang w:val="en-AU"/>
        </w:rPr>
        <w:t xml:space="preserve">Immunisation program managers </w:t>
      </w:r>
      <w:r w:rsidRPr="003408A6">
        <w:rPr>
          <w:lang w:val="en-AU"/>
        </w:rPr>
        <w:t>raised a number of issues around calculating coverage.</w:t>
      </w:r>
    </w:p>
    <w:p w:rsidR="008454B0" w:rsidRPr="003408A6" w:rsidRDefault="008454B0" w:rsidP="005B66D7">
      <w:pPr>
        <w:pStyle w:val="BodyText"/>
        <w:rPr>
          <w:lang w:val="en-AU"/>
        </w:rPr>
      </w:pPr>
      <w:r w:rsidRPr="003408A6">
        <w:rPr>
          <w:lang w:val="en-AU"/>
        </w:rPr>
        <w:t xml:space="preserve">Determining the denominator was reported as difficult because of variations in eligibility for the vaccine, which may depend either on age or school year. In addition, </w:t>
      </w:r>
      <w:r w:rsidR="00006FDF" w:rsidRPr="003408A6">
        <w:rPr>
          <w:lang w:val="en-AU"/>
        </w:rPr>
        <w:t xml:space="preserve">3 </w:t>
      </w:r>
      <w:r w:rsidRPr="003408A6">
        <w:rPr>
          <w:lang w:val="en-AU"/>
        </w:rPr>
        <w:t>doses are administered over time and adolescents can complete doses outside the eligible age range or school year. Using school enrolments as a denominator can be imprecise. Cross</w:t>
      </w:r>
      <w:r w:rsidR="000F32A5" w:rsidRPr="003408A6">
        <w:rPr>
          <w:lang w:val="en-AU"/>
        </w:rPr>
        <w:t>-</w:t>
      </w:r>
      <w:r w:rsidRPr="003408A6">
        <w:rPr>
          <w:lang w:val="en-AU"/>
        </w:rPr>
        <w:t>jurisdiction school enrolments can skew the denominator. Jurisdiction databases do not always include doses given in general practice so jurisdiction coverage data are not complete.</w:t>
      </w:r>
    </w:p>
    <w:p w:rsidR="002E49A3" w:rsidRPr="003408A6" w:rsidRDefault="002E49A3" w:rsidP="005B66D7">
      <w:pPr>
        <w:pStyle w:val="BodyText"/>
        <w:rPr>
          <w:lang w:val="en-AU"/>
        </w:rPr>
      </w:pPr>
      <w:r w:rsidRPr="003408A6">
        <w:rPr>
          <w:lang w:val="en-AU"/>
        </w:rPr>
        <w:t xml:space="preserve">The </w:t>
      </w:r>
      <w:r w:rsidR="008E6E49">
        <w:rPr>
          <w:lang w:val="en-AU"/>
        </w:rPr>
        <w:t>Australian Government Department of Health</w:t>
      </w:r>
      <w:r w:rsidRPr="003408A6">
        <w:rPr>
          <w:lang w:val="en-AU"/>
        </w:rPr>
        <w:t xml:space="preserve"> reported no issues for the extension of the NHPVR to include doses for adolescent males. </w:t>
      </w:r>
    </w:p>
    <w:p w:rsidR="008454B0" w:rsidRPr="003408A6" w:rsidRDefault="008454B0" w:rsidP="005B66D7">
      <w:pPr>
        <w:pStyle w:val="Heading5"/>
      </w:pPr>
      <w:r w:rsidRPr="003408A6">
        <w:t xml:space="preserve">General practice and the </w:t>
      </w:r>
      <w:r w:rsidR="0083757A" w:rsidRPr="003408A6">
        <w:t>NHVPR</w:t>
      </w:r>
    </w:p>
    <w:p w:rsidR="00E30043" w:rsidRPr="003408A6" w:rsidRDefault="008454B0" w:rsidP="005B66D7">
      <w:pPr>
        <w:pStyle w:val="BodyText"/>
        <w:rPr>
          <w:lang w:val="en-AU"/>
        </w:rPr>
      </w:pPr>
      <w:r w:rsidRPr="003408A6">
        <w:rPr>
          <w:lang w:val="en-AU"/>
        </w:rPr>
        <w:t xml:space="preserve">Many stakeholders discussed the </w:t>
      </w:r>
      <w:r w:rsidR="00002451" w:rsidRPr="003408A6">
        <w:rPr>
          <w:lang w:val="en-AU"/>
        </w:rPr>
        <w:t>barriers</w:t>
      </w:r>
      <w:r w:rsidR="00757A96" w:rsidRPr="003408A6">
        <w:rPr>
          <w:lang w:val="en-AU"/>
        </w:rPr>
        <w:t xml:space="preserve"> </w:t>
      </w:r>
      <w:r w:rsidR="00E170E3">
        <w:rPr>
          <w:lang w:val="en-AU"/>
        </w:rPr>
        <w:t xml:space="preserve">for </w:t>
      </w:r>
      <w:r w:rsidR="00E170E3" w:rsidRPr="003408A6">
        <w:rPr>
          <w:lang w:val="en-AU"/>
        </w:rPr>
        <w:t xml:space="preserve">private practice </w:t>
      </w:r>
      <w:r w:rsidR="00757A96" w:rsidRPr="003408A6">
        <w:rPr>
          <w:lang w:val="en-AU"/>
        </w:rPr>
        <w:t xml:space="preserve">around reporting </w:t>
      </w:r>
      <w:r w:rsidR="00E30043" w:rsidRPr="003408A6">
        <w:rPr>
          <w:lang w:val="en-AU"/>
        </w:rPr>
        <w:t>to and using</w:t>
      </w:r>
      <w:r w:rsidR="00757A96" w:rsidRPr="003408A6">
        <w:rPr>
          <w:lang w:val="en-AU"/>
        </w:rPr>
        <w:t xml:space="preserve"> the NHVPR</w:t>
      </w:r>
      <w:r w:rsidRPr="003408A6">
        <w:rPr>
          <w:lang w:val="en-AU"/>
        </w:rPr>
        <w:t xml:space="preserve">. Medicare Locals </w:t>
      </w:r>
      <w:r w:rsidR="00757A96" w:rsidRPr="003408A6">
        <w:rPr>
          <w:lang w:val="en-AU"/>
        </w:rPr>
        <w:t xml:space="preserve">reported that </w:t>
      </w:r>
      <w:r w:rsidRPr="003408A6">
        <w:rPr>
          <w:lang w:val="en-AU"/>
        </w:rPr>
        <w:t xml:space="preserve">they needed to </w:t>
      </w:r>
      <w:r w:rsidR="00757A96" w:rsidRPr="003408A6">
        <w:rPr>
          <w:lang w:val="en-AU"/>
        </w:rPr>
        <w:t xml:space="preserve">constantly </w:t>
      </w:r>
      <w:r w:rsidRPr="003408A6">
        <w:rPr>
          <w:lang w:val="en-AU"/>
        </w:rPr>
        <w:t xml:space="preserve">encourage </w:t>
      </w:r>
      <w:r w:rsidR="00757A96" w:rsidRPr="003408A6">
        <w:rPr>
          <w:lang w:val="en-AU"/>
        </w:rPr>
        <w:t xml:space="preserve">providers in </w:t>
      </w:r>
      <w:r w:rsidRPr="003408A6">
        <w:rPr>
          <w:lang w:val="en-AU"/>
        </w:rPr>
        <w:t xml:space="preserve">general practice to report </w:t>
      </w:r>
      <w:r w:rsidR="00757A96" w:rsidRPr="003408A6">
        <w:rPr>
          <w:lang w:val="en-AU"/>
        </w:rPr>
        <w:t xml:space="preserve">doses </w:t>
      </w:r>
      <w:r w:rsidRPr="003408A6">
        <w:rPr>
          <w:lang w:val="en-AU"/>
        </w:rPr>
        <w:t xml:space="preserve">to the NHVPR. Jurisdictions expressed some frustration around the lack of reporting </w:t>
      </w:r>
      <w:r w:rsidR="00757A96" w:rsidRPr="003408A6">
        <w:rPr>
          <w:lang w:val="en-AU"/>
        </w:rPr>
        <w:t xml:space="preserve">of dosage information to the NHVPR </w:t>
      </w:r>
      <w:r w:rsidRPr="003408A6">
        <w:rPr>
          <w:lang w:val="en-AU"/>
        </w:rPr>
        <w:t>by general practice.</w:t>
      </w:r>
      <w:r w:rsidR="006E15C4" w:rsidRPr="003408A6">
        <w:rPr>
          <w:lang w:val="en-AU"/>
        </w:rPr>
        <w:t xml:space="preserve"> </w:t>
      </w:r>
      <w:r w:rsidR="00002451" w:rsidRPr="003408A6">
        <w:rPr>
          <w:lang w:val="en-AU"/>
        </w:rPr>
        <w:t>Stakeholders</w:t>
      </w:r>
      <w:r w:rsidR="00E30043" w:rsidRPr="003408A6">
        <w:rPr>
          <w:lang w:val="en-AU"/>
        </w:rPr>
        <w:t xml:space="preserve"> </w:t>
      </w:r>
      <w:r w:rsidR="00002451" w:rsidRPr="003408A6">
        <w:rPr>
          <w:lang w:val="en-AU"/>
        </w:rPr>
        <w:t>generally perceived</w:t>
      </w:r>
      <w:r w:rsidR="00E30043" w:rsidRPr="003408A6">
        <w:rPr>
          <w:lang w:val="en-AU"/>
        </w:rPr>
        <w:t xml:space="preserve"> there was a lack of </w:t>
      </w:r>
      <w:r w:rsidR="00AC3720" w:rsidRPr="003408A6">
        <w:rPr>
          <w:lang w:val="en-AU"/>
        </w:rPr>
        <w:t>transparency</w:t>
      </w:r>
      <w:r w:rsidR="00002451" w:rsidRPr="003408A6">
        <w:rPr>
          <w:lang w:val="en-AU"/>
        </w:rPr>
        <w:t xml:space="preserve"> </w:t>
      </w:r>
      <w:r w:rsidR="00AC3720" w:rsidRPr="003408A6">
        <w:rPr>
          <w:lang w:val="en-AU"/>
        </w:rPr>
        <w:t>in the</w:t>
      </w:r>
      <w:r w:rsidR="00002451" w:rsidRPr="003408A6">
        <w:rPr>
          <w:lang w:val="en-AU"/>
        </w:rPr>
        <w:t xml:space="preserve"> </w:t>
      </w:r>
      <w:r w:rsidR="00AC3720" w:rsidRPr="003408A6">
        <w:rPr>
          <w:lang w:val="en-AU"/>
        </w:rPr>
        <w:t xml:space="preserve">two-way </w:t>
      </w:r>
      <w:r w:rsidR="00002451" w:rsidRPr="003408A6">
        <w:rPr>
          <w:lang w:val="en-AU"/>
        </w:rPr>
        <w:t>sharing of information</w:t>
      </w:r>
      <w:r w:rsidR="00E30043" w:rsidRPr="003408A6">
        <w:rPr>
          <w:lang w:val="en-AU"/>
        </w:rPr>
        <w:t xml:space="preserve"> between the school-based program and private practice </w:t>
      </w:r>
      <w:r w:rsidR="00002451" w:rsidRPr="003408A6">
        <w:rPr>
          <w:lang w:val="en-AU"/>
        </w:rPr>
        <w:t>to help</w:t>
      </w:r>
      <w:r w:rsidR="00E30043" w:rsidRPr="003408A6">
        <w:rPr>
          <w:lang w:val="en-AU"/>
        </w:rPr>
        <w:t xml:space="preserve"> coordinat</w:t>
      </w:r>
      <w:r w:rsidR="00002451" w:rsidRPr="003408A6">
        <w:rPr>
          <w:lang w:val="en-AU"/>
        </w:rPr>
        <w:t>e</w:t>
      </w:r>
      <w:r w:rsidR="00E30043" w:rsidRPr="003408A6">
        <w:rPr>
          <w:lang w:val="en-AU"/>
        </w:rPr>
        <w:t xml:space="preserve"> </w:t>
      </w:r>
      <w:r w:rsidR="00AC3720" w:rsidRPr="003408A6">
        <w:rPr>
          <w:lang w:val="en-AU"/>
        </w:rPr>
        <w:t xml:space="preserve">and track </w:t>
      </w:r>
      <w:r w:rsidR="00E30043" w:rsidRPr="003408A6">
        <w:rPr>
          <w:lang w:val="en-AU"/>
        </w:rPr>
        <w:t xml:space="preserve">catch-up doses. </w:t>
      </w:r>
    </w:p>
    <w:p w:rsidR="008454B0" w:rsidRPr="003408A6" w:rsidRDefault="00757A96" w:rsidP="005B66D7">
      <w:pPr>
        <w:pStyle w:val="BodyText"/>
        <w:rPr>
          <w:lang w:val="en-AU"/>
        </w:rPr>
      </w:pPr>
      <w:r w:rsidRPr="003408A6">
        <w:rPr>
          <w:lang w:val="en-AU"/>
        </w:rPr>
        <w:t>Stakeholders in the school-based programs</w:t>
      </w:r>
      <w:r w:rsidR="007B40D7" w:rsidRPr="003408A6">
        <w:rPr>
          <w:lang w:val="en-AU"/>
        </w:rPr>
        <w:t xml:space="preserve"> thought that</w:t>
      </w:r>
      <w:r w:rsidRPr="003408A6">
        <w:rPr>
          <w:lang w:val="en-AU"/>
        </w:rPr>
        <w:t xml:space="preserve"> </w:t>
      </w:r>
      <w:r w:rsidR="008454B0" w:rsidRPr="003408A6">
        <w:rPr>
          <w:lang w:val="en-AU"/>
        </w:rPr>
        <w:t xml:space="preserve">in the current program general practice immunisation providers did not administer enough HPV vaccinations to remember to report to the NHVPR. </w:t>
      </w:r>
      <w:r w:rsidR="007B40D7" w:rsidRPr="003408A6">
        <w:rPr>
          <w:lang w:val="en-AU"/>
        </w:rPr>
        <w:t xml:space="preserve">This perception was corroborated by GPs and practice nurses who </w:t>
      </w:r>
      <w:r w:rsidR="008454B0" w:rsidRPr="003408A6">
        <w:rPr>
          <w:lang w:val="en-AU"/>
        </w:rPr>
        <w:t xml:space="preserve">reported that they did not use the NHVPR frequently enough to stay up to date with the log-on and reporting procedures. </w:t>
      </w:r>
      <w:r w:rsidR="00E30043" w:rsidRPr="003408A6">
        <w:rPr>
          <w:lang w:val="en-AU"/>
        </w:rPr>
        <w:t xml:space="preserve">It was thought that reporting to the NHVPR by general practice had been better during the female community catch-up program when general practice was administering more doses. </w:t>
      </w:r>
      <w:r w:rsidR="008B24B9" w:rsidRPr="003408A6">
        <w:rPr>
          <w:lang w:val="en-AU"/>
        </w:rPr>
        <w:t xml:space="preserve">Turnover of practice nurses </w:t>
      </w:r>
      <w:r w:rsidR="00E30043" w:rsidRPr="003408A6">
        <w:rPr>
          <w:lang w:val="en-AU"/>
        </w:rPr>
        <w:t>had</w:t>
      </w:r>
      <w:r w:rsidR="008B24B9" w:rsidRPr="003408A6">
        <w:rPr>
          <w:lang w:val="en-AU"/>
        </w:rPr>
        <w:t xml:space="preserve"> </w:t>
      </w:r>
      <w:r w:rsidR="00E30043" w:rsidRPr="003408A6">
        <w:rPr>
          <w:lang w:val="en-AU"/>
        </w:rPr>
        <w:t>contributed</w:t>
      </w:r>
      <w:r w:rsidR="008B24B9" w:rsidRPr="003408A6">
        <w:rPr>
          <w:lang w:val="en-AU"/>
        </w:rPr>
        <w:t xml:space="preserve"> to less familiarity with reporting to the NHVPR</w:t>
      </w:r>
      <w:r w:rsidR="00E30043" w:rsidRPr="003408A6">
        <w:rPr>
          <w:lang w:val="en-AU"/>
        </w:rPr>
        <w:t xml:space="preserve"> in the current program</w:t>
      </w:r>
      <w:r w:rsidR="00541F91" w:rsidRPr="003408A6">
        <w:rPr>
          <w:lang w:val="en-AU"/>
        </w:rPr>
        <w:t xml:space="preserve"> for males and females</w:t>
      </w:r>
      <w:r w:rsidR="008B24B9" w:rsidRPr="003408A6">
        <w:rPr>
          <w:lang w:val="en-AU"/>
        </w:rPr>
        <w:t xml:space="preserve">. </w:t>
      </w:r>
    </w:p>
    <w:p w:rsidR="008454B0" w:rsidRPr="003408A6" w:rsidRDefault="00757A96" w:rsidP="005B66D7">
      <w:pPr>
        <w:pStyle w:val="BodyText"/>
        <w:rPr>
          <w:lang w:val="en-AU"/>
        </w:rPr>
      </w:pPr>
      <w:r w:rsidRPr="003408A6">
        <w:rPr>
          <w:lang w:val="en-AU"/>
        </w:rPr>
        <w:t xml:space="preserve">Stakeholders in the school-based programs </w:t>
      </w:r>
      <w:r w:rsidR="00E30043" w:rsidRPr="003408A6">
        <w:rPr>
          <w:lang w:val="en-AU"/>
        </w:rPr>
        <w:t>noted</w:t>
      </w:r>
      <w:r w:rsidR="003128F7" w:rsidRPr="003408A6">
        <w:rPr>
          <w:lang w:val="en-AU"/>
        </w:rPr>
        <w:t xml:space="preserve"> </w:t>
      </w:r>
      <w:r w:rsidR="008454B0" w:rsidRPr="003408A6">
        <w:rPr>
          <w:lang w:val="en-AU"/>
        </w:rPr>
        <w:t xml:space="preserve">that some GPs, practice nurses and </w:t>
      </w:r>
      <w:r w:rsidR="008B24B9" w:rsidRPr="003408A6">
        <w:rPr>
          <w:lang w:val="en-AU"/>
        </w:rPr>
        <w:t xml:space="preserve">providers in </w:t>
      </w:r>
      <w:r w:rsidR="008454B0" w:rsidRPr="003408A6">
        <w:rPr>
          <w:lang w:val="en-AU"/>
        </w:rPr>
        <w:t>community catch-up clinics misunderstood the reporting procedures to the NHVPR and expected that HPV doses would be automatically uploaded to the NHVPR from their practice software</w:t>
      </w:r>
      <w:r w:rsidR="008B24B9" w:rsidRPr="003408A6">
        <w:rPr>
          <w:lang w:val="en-AU"/>
        </w:rPr>
        <w:t xml:space="preserve"> as </w:t>
      </w:r>
      <w:r w:rsidR="00387834" w:rsidRPr="003408A6">
        <w:rPr>
          <w:lang w:val="en-AU"/>
        </w:rPr>
        <w:t xml:space="preserve">is the case with the </w:t>
      </w:r>
      <w:r w:rsidR="00085D8C" w:rsidRPr="003408A6">
        <w:rPr>
          <w:lang w:val="en-AU"/>
        </w:rPr>
        <w:t xml:space="preserve">Australian Childhood Immunisation Register </w:t>
      </w:r>
      <w:r w:rsidR="00085D8C">
        <w:rPr>
          <w:lang w:val="en-AU"/>
        </w:rPr>
        <w:t>(</w:t>
      </w:r>
      <w:r w:rsidR="00387834" w:rsidRPr="003408A6">
        <w:rPr>
          <w:lang w:val="en-AU"/>
        </w:rPr>
        <w:t>ACIR</w:t>
      </w:r>
      <w:r w:rsidR="00085D8C">
        <w:rPr>
          <w:lang w:val="en-AU"/>
        </w:rPr>
        <w:t>)</w:t>
      </w:r>
      <w:r w:rsidR="008454B0" w:rsidRPr="003408A6">
        <w:rPr>
          <w:lang w:val="en-AU"/>
        </w:rPr>
        <w:t>.</w:t>
      </w:r>
    </w:p>
    <w:p w:rsidR="008454B0" w:rsidRPr="003408A6" w:rsidRDefault="000F32A5" w:rsidP="005B66D7">
      <w:pPr>
        <w:pStyle w:val="Blockquote"/>
      </w:pPr>
      <w:r w:rsidRPr="003408A6">
        <w:t>“</w:t>
      </w:r>
      <w:r w:rsidR="008454B0" w:rsidRPr="003408A6">
        <w:t>So they don't know that they're not … they think they're transmitting their data and they're not. It's a bit of a system breakdown in that sense.</w:t>
      </w:r>
      <w:r w:rsidRPr="003408A6">
        <w:t>”</w:t>
      </w:r>
      <w:r w:rsidR="008454B0" w:rsidRPr="003408A6">
        <w:t xml:space="preserve"> </w:t>
      </w:r>
    </w:p>
    <w:p w:rsidR="006E15C4" w:rsidRPr="003408A6" w:rsidRDefault="008454B0" w:rsidP="005B66D7">
      <w:pPr>
        <w:pStyle w:val="BodyText"/>
        <w:rPr>
          <w:lang w:val="en-AU"/>
        </w:rPr>
      </w:pPr>
      <w:r w:rsidRPr="003408A6">
        <w:rPr>
          <w:lang w:val="en-AU"/>
        </w:rPr>
        <w:t xml:space="preserve">One respondent </w:t>
      </w:r>
      <w:r w:rsidR="006E15C4" w:rsidRPr="003408A6">
        <w:rPr>
          <w:lang w:val="en-AU"/>
        </w:rPr>
        <w:t xml:space="preserve">from private practice </w:t>
      </w:r>
      <w:r w:rsidRPr="003408A6">
        <w:rPr>
          <w:lang w:val="en-AU"/>
        </w:rPr>
        <w:t xml:space="preserve">reported that the NHVPR was of limited use for checking HPV doses as providers often cannot find patient records of school-based vaccinations on the </w:t>
      </w:r>
      <w:r w:rsidR="00F07D6A" w:rsidRPr="003408A6">
        <w:rPr>
          <w:lang w:val="en-AU"/>
        </w:rPr>
        <w:t>NHVPR</w:t>
      </w:r>
      <w:r w:rsidR="00E170E3">
        <w:rPr>
          <w:lang w:val="en-AU"/>
        </w:rPr>
        <w:t>,</w:t>
      </w:r>
      <w:r w:rsidR="006E15C4" w:rsidRPr="003408A6">
        <w:rPr>
          <w:lang w:val="en-AU"/>
        </w:rPr>
        <w:t xml:space="preserve"> </w:t>
      </w:r>
      <w:r w:rsidR="00E170E3">
        <w:rPr>
          <w:lang w:val="en-AU"/>
        </w:rPr>
        <w:t>a</w:t>
      </w:r>
      <w:r w:rsidR="006E15C4" w:rsidRPr="003408A6">
        <w:rPr>
          <w:lang w:val="en-AU"/>
        </w:rPr>
        <w:t>nd patients could not recall the number and timing of previous doses when presenting in general practice for catch-up doses.</w:t>
      </w:r>
    </w:p>
    <w:p w:rsidR="006E15C4" w:rsidRPr="003408A6" w:rsidRDefault="006E15C4" w:rsidP="001058BD">
      <w:pPr>
        <w:pStyle w:val="Blockquote"/>
      </w:pPr>
      <w:r w:rsidRPr="003408A6">
        <w:t xml:space="preserve">“So right now and even back then, it's a black hole so far as whether kids have had them or not.” </w:t>
      </w:r>
    </w:p>
    <w:p w:rsidR="008454B0" w:rsidRPr="003408A6" w:rsidRDefault="003C41DF" w:rsidP="005B66D7">
      <w:pPr>
        <w:pStyle w:val="BodyText"/>
        <w:rPr>
          <w:lang w:val="en-AU"/>
        </w:rPr>
      </w:pPr>
      <w:r w:rsidRPr="003408A6">
        <w:rPr>
          <w:lang w:val="en-AU"/>
        </w:rPr>
        <w:t xml:space="preserve">Immunisation program </w:t>
      </w:r>
      <w:r w:rsidR="008454B0" w:rsidRPr="003408A6">
        <w:rPr>
          <w:lang w:val="en-AU"/>
        </w:rPr>
        <w:t xml:space="preserve">managers also reported being unable to reliably track doses given in general practice on the </w:t>
      </w:r>
      <w:r w:rsidR="00F07D6A" w:rsidRPr="003408A6">
        <w:rPr>
          <w:lang w:val="en-AU"/>
        </w:rPr>
        <w:t>NHVPR</w:t>
      </w:r>
      <w:r w:rsidR="008454B0" w:rsidRPr="003408A6">
        <w:rPr>
          <w:lang w:val="en-AU"/>
        </w:rPr>
        <w:t>.</w:t>
      </w:r>
    </w:p>
    <w:p w:rsidR="008454B0" w:rsidRPr="003408A6" w:rsidRDefault="008454B0" w:rsidP="005B66D7">
      <w:pPr>
        <w:pStyle w:val="BodyText"/>
        <w:rPr>
          <w:lang w:val="en-AU"/>
        </w:rPr>
      </w:pPr>
      <w:r w:rsidRPr="003408A6">
        <w:rPr>
          <w:lang w:val="en-AU"/>
        </w:rPr>
        <w:t>Therefore</w:t>
      </w:r>
      <w:r w:rsidR="000F32A5" w:rsidRPr="003408A6">
        <w:rPr>
          <w:lang w:val="en-AU"/>
        </w:rPr>
        <w:t>,</w:t>
      </w:r>
      <w:r w:rsidRPr="003408A6">
        <w:rPr>
          <w:lang w:val="en-AU"/>
        </w:rPr>
        <w:t xml:space="preserve"> </w:t>
      </w:r>
      <w:r w:rsidR="00541F91" w:rsidRPr="003408A6">
        <w:rPr>
          <w:lang w:val="en-AU"/>
        </w:rPr>
        <w:t>the</w:t>
      </w:r>
      <w:r w:rsidR="002B520C" w:rsidRPr="003408A6">
        <w:rPr>
          <w:lang w:val="en-AU"/>
        </w:rPr>
        <w:t xml:space="preserve"> </w:t>
      </w:r>
      <w:r w:rsidRPr="003408A6">
        <w:rPr>
          <w:lang w:val="en-AU"/>
        </w:rPr>
        <w:t>reporting and access</w:t>
      </w:r>
      <w:r w:rsidR="002B520C" w:rsidRPr="003408A6">
        <w:rPr>
          <w:lang w:val="en-AU"/>
        </w:rPr>
        <w:t xml:space="preserve"> to</w:t>
      </w:r>
      <w:r w:rsidRPr="003408A6">
        <w:rPr>
          <w:lang w:val="en-AU"/>
        </w:rPr>
        <w:t xml:space="preserve"> up</w:t>
      </w:r>
      <w:r w:rsidR="000F32A5" w:rsidRPr="003408A6">
        <w:rPr>
          <w:lang w:val="en-AU"/>
        </w:rPr>
        <w:t>-</w:t>
      </w:r>
      <w:r w:rsidRPr="003408A6">
        <w:rPr>
          <w:lang w:val="en-AU"/>
        </w:rPr>
        <w:t>to</w:t>
      </w:r>
      <w:r w:rsidR="000F32A5" w:rsidRPr="003408A6">
        <w:rPr>
          <w:lang w:val="en-AU"/>
        </w:rPr>
        <w:t>-</w:t>
      </w:r>
      <w:r w:rsidRPr="003408A6">
        <w:rPr>
          <w:lang w:val="en-AU"/>
        </w:rPr>
        <w:t xml:space="preserve">date dosage information in general practice </w:t>
      </w:r>
      <w:r w:rsidR="00541F91" w:rsidRPr="003408A6">
        <w:rPr>
          <w:lang w:val="en-AU"/>
        </w:rPr>
        <w:t xml:space="preserve">for the current male and female program </w:t>
      </w:r>
      <w:r w:rsidR="002B520C" w:rsidRPr="003408A6">
        <w:rPr>
          <w:lang w:val="en-AU"/>
        </w:rPr>
        <w:t xml:space="preserve">was perceived as an impediment to the </w:t>
      </w:r>
      <w:r w:rsidRPr="003408A6">
        <w:rPr>
          <w:lang w:val="en-AU"/>
        </w:rPr>
        <w:t>catch</w:t>
      </w:r>
      <w:r w:rsidR="0043033C" w:rsidRPr="003408A6">
        <w:rPr>
          <w:lang w:val="en-AU"/>
        </w:rPr>
        <w:t>-</w:t>
      </w:r>
      <w:r w:rsidRPr="003408A6">
        <w:rPr>
          <w:lang w:val="en-AU"/>
        </w:rPr>
        <w:t>up of missed doses both for GPs and school-based providers.</w:t>
      </w:r>
    </w:p>
    <w:p w:rsidR="008454B0" w:rsidRPr="003408A6" w:rsidRDefault="008454B0" w:rsidP="005B66D7">
      <w:pPr>
        <w:pStyle w:val="BodyText"/>
        <w:rPr>
          <w:lang w:val="en-AU"/>
        </w:rPr>
      </w:pPr>
      <w:r w:rsidRPr="003408A6">
        <w:rPr>
          <w:lang w:val="en-AU"/>
        </w:rPr>
        <w:t>Many respondents discussed the complications around reporting via multiple databases potentially leading to lost dosage information. Privacy considerations and cross</w:t>
      </w:r>
      <w:r w:rsidR="000F32A5" w:rsidRPr="003408A6">
        <w:rPr>
          <w:lang w:val="en-AU"/>
        </w:rPr>
        <w:t>-</w:t>
      </w:r>
      <w:r w:rsidRPr="003408A6">
        <w:rPr>
          <w:lang w:val="en-AU"/>
        </w:rPr>
        <w:t xml:space="preserve">state movement of adolescents and families prevented easy exchange of information </w:t>
      </w:r>
      <w:r w:rsidR="000F32A5" w:rsidRPr="003408A6">
        <w:rPr>
          <w:lang w:val="en-AU"/>
        </w:rPr>
        <w:t xml:space="preserve">between </w:t>
      </w:r>
      <w:r w:rsidRPr="003408A6">
        <w:rPr>
          <w:lang w:val="en-AU"/>
        </w:rPr>
        <w:t xml:space="preserve">jurisdictions and between jurisdiction health departments and general practice. </w:t>
      </w:r>
    </w:p>
    <w:p w:rsidR="008454B0" w:rsidRPr="003408A6" w:rsidRDefault="008454B0" w:rsidP="005B66D7">
      <w:pPr>
        <w:pStyle w:val="BodyText"/>
        <w:rPr>
          <w:lang w:val="en-AU"/>
        </w:rPr>
      </w:pPr>
      <w:r w:rsidRPr="003408A6">
        <w:rPr>
          <w:lang w:val="en-AU"/>
        </w:rPr>
        <w:t>The late set</w:t>
      </w:r>
      <w:r w:rsidR="000F32A5" w:rsidRPr="003408A6">
        <w:rPr>
          <w:lang w:val="en-AU"/>
        </w:rPr>
        <w:t>-</w:t>
      </w:r>
      <w:r w:rsidRPr="003408A6">
        <w:rPr>
          <w:lang w:val="en-AU"/>
        </w:rPr>
        <w:t>up of the NHVPR in 2008 was seen as a barrier to recording doses at the start of the female program.</w:t>
      </w:r>
      <w:r w:rsidR="006E15C4" w:rsidRPr="003408A6">
        <w:rPr>
          <w:lang w:val="en-AU"/>
        </w:rPr>
        <w:t xml:space="preserve"> </w:t>
      </w:r>
      <w:r w:rsidR="00E170E3">
        <w:rPr>
          <w:lang w:val="en-AU"/>
        </w:rPr>
        <w:t>F</w:t>
      </w:r>
      <w:r w:rsidRPr="003408A6">
        <w:rPr>
          <w:lang w:val="en-AU"/>
        </w:rPr>
        <w:t xml:space="preserve">or private practice, the NHVPR did not compare favourably with the ACIR which </w:t>
      </w:r>
      <w:r w:rsidR="000F32A5" w:rsidRPr="003408A6">
        <w:rPr>
          <w:lang w:val="en-AU"/>
        </w:rPr>
        <w:t xml:space="preserve">is </w:t>
      </w:r>
      <w:r w:rsidRPr="003408A6">
        <w:rPr>
          <w:lang w:val="en-AU"/>
        </w:rPr>
        <w:t xml:space="preserve">a comprehensive database that </w:t>
      </w:r>
      <w:r w:rsidR="000F32A5" w:rsidRPr="003408A6">
        <w:rPr>
          <w:lang w:val="en-AU"/>
        </w:rPr>
        <w:t xml:space="preserve">is </w:t>
      </w:r>
      <w:r w:rsidRPr="003408A6">
        <w:rPr>
          <w:lang w:val="en-AU"/>
        </w:rPr>
        <w:t>used frequently by general practice for multiple vaccines and allow</w:t>
      </w:r>
      <w:r w:rsidR="000F32A5" w:rsidRPr="003408A6">
        <w:rPr>
          <w:lang w:val="en-AU"/>
        </w:rPr>
        <w:t>s</w:t>
      </w:r>
      <w:r w:rsidRPr="003408A6">
        <w:rPr>
          <w:lang w:val="en-AU"/>
        </w:rPr>
        <w:t xml:space="preserve"> direct uploading of data from the practice computer. Many respondents thought that an expanded ACIR database to include adolescent doses would overcome some of the pitfalls associated with the current dosage reporting process.</w:t>
      </w:r>
    </w:p>
    <w:p w:rsidR="008454B0" w:rsidRPr="003408A6" w:rsidRDefault="008454B0" w:rsidP="008454B0">
      <w:pPr>
        <w:pStyle w:val="Heading3"/>
      </w:pPr>
      <w:bookmarkStart w:id="61" w:name="_Toc373497096"/>
      <w:r w:rsidRPr="003408A6">
        <w:t>Program acceptance</w:t>
      </w:r>
      <w:bookmarkEnd w:id="61"/>
    </w:p>
    <w:p w:rsidR="008454B0" w:rsidRPr="003408A6" w:rsidRDefault="008454B0" w:rsidP="00FE32A9">
      <w:pPr>
        <w:pStyle w:val="Heading4"/>
      </w:pPr>
      <w:r w:rsidRPr="003408A6">
        <w:t>Survey results</w:t>
      </w:r>
    </w:p>
    <w:p w:rsidR="000D3F2A" w:rsidRPr="003408A6" w:rsidRDefault="000D3F2A" w:rsidP="005B66D7">
      <w:pPr>
        <w:pStyle w:val="BodyText"/>
        <w:rPr>
          <w:lang w:val="en-AU"/>
        </w:rPr>
      </w:pPr>
      <w:r w:rsidRPr="003408A6">
        <w:rPr>
          <w:b/>
          <w:lang w:val="en-AU"/>
        </w:rPr>
        <w:t>Table 2.</w:t>
      </w:r>
      <w:r w:rsidR="000271C1" w:rsidRPr="003408A6">
        <w:rPr>
          <w:b/>
          <w:lang w:val="en-AU"/>
        </w:rPr>
        <w:t>1</w:t>
      </w:r>
      <w:r w:rsidR="00CD45D0" w:rsidRPr="003408A6">
        <w:rPr>
          <w:b/>
          <w:lang w:val="en-AU"/>
        </w:rPr>
        <w:t>3</w:t>
      </w:r>
      <w:r w:rsidR="000271C1" w:rsidRPr="003408A6">
        <w:rPr>
          <w:lang w:val="en-AU"/>
        </w:rPr>
        <w:t xml:space="preserve"> </w:t>
      </w:r>
      <w:r w:rsidRPr="003408A6">
        <w:rPr>
          <w:lang w:val="en-AU"/>
        </w:rPr>
        <w:t>summarises respondents’ perceptions of the acceptance of the National HPV Vaccination Program. Almost all respondents agreed that the school-based program</w:t>
      </w:r>
      <w:r w:rsidR="000F32A5" w:rsidRPr="003408A6">
        <w:rPr>
          <w:lang w:val="en-AU"/>
        </w:rPr>
        <w:t>,</w:t>
      </w:r>
      <w:r w:rsidRPr="003408A6">
        <w:rPr>
          <w:lang w:val="en-AU"/>
        </w:rPr>
        <w:t xml:space="preserve"> both for adolescent males and females aged 12</w:t>
      </w:r>
      <w:r w:rsidR="000F32A5" w:rsidRPr="003408A6">
        <w:rPr>
          <w:lang w:val="en-AU"/>
        </w:rPr>
        <w:t>–</w:t>
      </w:r>
      <w:r w:rsidRPr="003408A6">
        <w:rPr>
          <w:lang w:val="en-AU"/>
        </w:rPr>
        <w:t>13 years</w:t>
      </w:r>
      <w:r w:rsidR="000F32A5" w:rsidRPr="003408A6">
        <w:rPr>
          <w:lang w:val="en-AU"/>
        </w:rPr>
        <w:t>,</w:t>
      </w:r>
      <w:r w:rsidRPr="003408A6">
        <w:rPr>
          <w:lang w:val="en-AU"/>
        </w:rPr>
        <w:t xml:space="preserve"> was well accepted by schools, parents, students and providers. Although most respondents agreed that the catch</w:t>
      </w:r>
      <w:r w:rsidR="0043033C" w:rsidRPr="003408A6">
        <w:rPr>
          <w:lang w:val="en-AU"/>
        </w:rPr>
        <w:t>-</w:t>
      </w:r>
      <w:r w:rsidRPr="003408A6">
        <w:rPr>
          <w:lang w:val="en-AU"/>
        </w:rPr>
        <w:t>up program for adolescent males aged 14</w:t>
      </w:r>
      <w:r w:rsidR="000F32A5" w:rsidRPr="003408A6">
        <w:rPr>
          <w:lang w:val="en-AU"/>
        </w:rPr>
        <w:t>–</w:t>
      </w:r>
      <w:r w:rsidRPr="003408A6">
        <w:rPr>
          <w:lang w:val="en-AU"/>
        </w:rPr>
        <w:t xml:space="preserve">15 years was well accepted, there was a small proportion of respondents who thought the male catch-up </w:t>
      </w:r>
      <w:r w:rsidR="00E170E3">
        <w:rPr>
          <w:lang w:val="en-AU"/>
        </w:rPr>
        <w:t xml:space="preserve">program </w:t>
      </w:r>
      <w:r w:rsidRPr="003408A6">
        <w:rPr>
          <w:lang w:val="en-AU"/>
        </w:rPr>
        <w:t xml:space="preserve">was not well accepted, especially by students. There was less perceived acceptance of the community catch-up by young </w:t>
      </w:r>
      <w:r w:rsidR="004E397F" w:rsidRPr="003408A6">
        <w:rPr>
          <w:lang w:val="en-AU"/>
        </w:rPr>
        <w:t xml:space="preserve">females </w:t>
      </w:r>
      <w:r w:rsidRPr="003408A6">
        <w:rPr>
          <w:lang w:val="en-AU"/>
        </w:rPr>
        <w:t>aged 18</w:t>
      </w:r>
      <w:r w:rsidR="000F32A5" w:rsidRPr="003408A6">
        <w:rPr>
          <w:lang w:val="en-AU"/>
        </w:rPr>
        <w:t>–</w:t>
      </w:r>
      <w:r w:rsidRPr="003408A6">
        <w:rPr>
          <w:lang w:val="en-AU"/>
        </w:rPr>
        <w:t xml:space="preserve">26 years. Only half the respondents agreed that the community catch-up was well accepted by the target group of young </w:t>
      </w:r>
      <w:r w:rsidR="004E397F" w:rsidRPr="003408A6">
        <w:rPr>
          <w:lang w:val="en-AU"/>
        </w:rPr>
        <w:t>adult females</w:t>
      </w:r>
      <w:r w:rsidRPr="003408A6">
        <w:rPr>
          <w:lang w:val="en-AU"/>
        </w:rPr>
        <w:t>.</w:t>
      </w:r>
      <w:r w:rsidR="00F7227B" w:rsidRPr="00F7227B">
        <w:t xml:space="preserve"> </w:t>
      </w:r>
      <w:r w:rsidR="00F7227B" w:rsidRPr="00F7227B">
        <w:rPr>
          <w:lang w:val="en-AU"/>
        </w:rPr>
        <w:t xml:space="preserve">Please </w:t>
      </w:r>
      <w:r w:rsidR="00F7227B">
        <w:rPr>
          <w:lang w:val="en-AU"/>
        </w:rPr>
        <w:t xml:space="preserve">also </w:t>
      </w:r>
      <w:r w:rsidR="00F7227B" w:rsidRPr="00F7227B">
        <w:rPr>
          <w:lang w:val="en-AU"/>
        </w:rPr>
        <w:t xml:space="preserve">see </w:t>
      </w:r>
      <w:r w:rsidR="00F7227B" w:rsidRPr="00F7227B">
        <w:rPr>
          <w:b/>
          <w:lang w:val="en-AU"/>
        </w:rPr>
        <w:t>Appendix 2.4</w:t>
      </w:r>
      <w:r w:rsidR="00F7227B" w:rsidRPr="00F7227B">
        <w:rPr>
          <w:lang w:val="en-AU"/>
        </w:rPr>
        <w:t xml:space="preserve"> for summary of strengths and challenges.</w:t>
      </w:r>
    </w:p>
    <w:p w:rsidR="008C1C40" w:rsidRPr="003408A6" w:rsidRDefault="009C0541" w:rsidP="009C0541">
      <w:r w:rsidRPr="003408A6">
        <w:br w:type="page"/>
      </w:r>
    </w:p>
    <w:p w:rsidR="008454B0" w:rsidRPr="003408A6" w:rsidRDefault="008454B0" w:rsidP="000A2125">
      <w:pPr>
        <w:pStyle w:val="Tableheading"/>
        <w:rPr>
          <w:lang w:val="en-AU"/>
        </w:rPr>
      </w:pPr>
      <w:bookmarkStart w:id="62" w:name="_Toc396475534"/>
      <w:bookmarkStart w:id="63" w:name="_Toc397000762"/>
      <w:r w:rsidRPr="003408A6">
        <w:rPr>
          <w:lang w:val="en-AU"/>
        </w:rPr>
        <w:t>Table 2.1</w:t>
      </w:r>
      <w:r w:rsidR="00CD45D0" w:rsidRPr="003408A6">
        <w:rPr>
          <w:lang w:val="en-AU"/>
        </w:rPr>
        <w:t>3</w:t>
      </w:r>
      <w:r w:rsidRPr="003408A6">
        <w:rPr>
          <w:lang w:val="en-AU"/>
        </w:rPr>
        <w:t>.</w:t>
      </w:r>
      <w:r w:rsidR="00901C17" w:rsidRPr="003408A6">
        <w:rPr>
          <w:lang w:val="en-AU"/>
        </w:rPr>
        <w:tab/>
      </w:r>
      <w:r w:rsidRPr="003408A6">
        <w:rPr>
          <w:lang w:val="en-AU"/>
        </w:rPr>
        <w:t>Acceptance of the National HPV Vaccination Program (n=20)</w:t>
      </w:r>
      <w:bookmarkEnd w:id="62"/>
      <w:bookmarkEnd w:id="63"/>
    </w:p>
    <w:tbl>
      <w:tblPr>
        <w:tblW w:w="8834" w:type="dxa"/>
        <w:tblInd w:w="78" w:type="dxa"/>
        <w:tblBorders>
          <w:top w:val="single" w:sz="4" w:space="0" w:color="auto"/>
          <w:bottom w:val="single" w:sz="4" w:space="0" w:color="auto"/>
        </w:tblBorders>
        <w:tblLayout w:type="fixed"/>
        <w:tblLook w:val="0000" w:firstRow="0" w:lastRow="0" w:firstColumn="0" w:lastColumn="0" w:noHBand="0" w:noVBand="0"/>
      </w:tblPr>
      <w:tblGrid>
        <w:gridCol w:w="2190"/>
        <w:gridCol w:w="1661"/>
        <w:gridCol w:w="1566"/>
        <w:gridCol w:w="95"/>
        <w:gridCol w:w="1661"/>
        <w:gridCol w:w="1661"/>
      </w:tblGrid>
      <w:tr w:rsidR="0061751C" w:rsidRPr="003408A6" w:rsidTr="0046370D">
        <w:trPr>
          <w:trHeight w:val="284"/>
        </w:trPr>
        <w:tc>
          <w:tcPr>
            <w:tcW w:w="2190" w:type="dxa"/>
          </w:tcPr>
          <w:p w:rsidR="0061751C" w:rsidRPr="003408A6" w:rsidRDefault="0061751C" w:rsidP="005B66D7">
            <w:pPr>
              <w:pStyle w:val="Tablecolumnheadings"/>
              <w:rPr>
                <w:lang w:val="en-AU"/>
              </w:rPr>
            </w:pPr>
          </w:p>
        </w:tc>
        <w:tc>
          <w:tcPr>
            <w:tcW w:w="1661" w:type="dxa"/>
          </w:tcPr>
          <w:p w:rsidR="0061751C" w:rsidRPr="003408A6" w:rsidRDefault="0061751C" w:rsidP="0061751C">
            <w:pPr>
              <w:pStyle w:val="Tablecolumnheadings"/>
              <w:rPr>
                <w:lang w:val="en-AU"/>
              </w:rPr>
            </w:pPr>
            <w:r w:rsidRPr="003408A6">
              <w:rPr>
                <w:lang w:val="en-AU"/>
              </w:rPr>
              <w:t>By schools</w:t>
            </w:r>
            <w:r w:rsidRPr="003408A6">
              <w:rPr>
                <w:lang w:val="en-AU"/>
              </w:rPr>
              <w:br/>
              <w:t>%</w:t>
            </w:r>
          </w:p>
        </w:tc>
        <w:tc>
          <w:tcPr>
            <w:tcW w:w="1661" w:type="dxa"/>
            <w:gridSpan w:val="2"/>
          </w:tcPr>
          <w:p w:rsidR="0061751C" w:rsidRPr="003408A6" w:rsidRDefault="0061751C" w:rsidP="0061751C">
            <w:pPr>
              <w:pStyle w:val="Tablecolumnheadings"/>
              <w:rPr>
                <w:lang w:val="en-AU"/>
              </w:rPr>
            </w:pPr>
            <w:r w:rsidRPr="003408A6">
              <w:rPr>
                <w:lang w:val="en-AU"/>
              </w:rPr>
              <w:t>By parents</w:t>
            </w:r>
            <w:r w:rsidRPr="003408A6">
              <w:rPr>
                <w:lang w:val="en-AU"/>
              </w:rPr>
              <w:br/>
              <w:t>%</w:t>
            </w:r>
          </w:p>
        </w:tc>
        <w:tc>
          <w:tcPr>
            <w:tcW w:w="1661" w:type="dxa"/>
          </w:tcPr>
          <w:p w:rsidR="0061751C" w:rsidRPr="003408A6" w:rsidRDefault="0061751C" w:rsidP="0061751C">
            <w:pPr>
              <w:pStyle w:val="Tablecolumnheadings"/>
              <w:rPr>
                <w:lang w:val="en-AU"/>
              </w:rPr>
            </w:pPr>
            <w:r w:rsidRPr="003408A6">
              <w:rPr>
                <w:lang w:val="en-AU"/>
              </w:rPr>
              <w:t>By students</w:t>
            </w:r>
            <w:r w:rsidRPr="003408A6">
              <w:rPr>
                <w:lang w:val="en-AU"/>
              </w:rPr>
              <w:br/>
              <w:t>%</w:t>
            </w:r>
          </w:p>
        </w:tc>
        <w:tc>
          <w:tcPr>
            <w:tcW w:w="1661" w:type="dxa"/>
          </w:tcPr>
          <w:p w:rsidR="0061751C" w:rsidRPr="003408A6" w:rsidRDefault="0061751C" w:rsidP="0061751C">
            <w:pPr>
              <w:pStyle w:val="Tablecolumnheadings"/>
              <w:rPr>
                <w:lang w:val="en-AU"/>
              </w:rPr>
            </w:pPr>
            <w:r w:rsidRPr="003408A6">
              <w:rPr>
                <w:lang w:val="en-AU"/>
              </w:rPr>
              <w:t>By providers</w:t>
            </w:r>
            <w:r w:rsidRPr="003408A6">
              <w:rPr>
                <w:lang w:val="en-AU"/>
              </w:rPr>
              <w:br/>
              <w:t>%</w:t>
            </w:r>
          </w:p>
        </w:tc>
      </w:tr>
      <w:tr w:rsidR="008454B0" w:rsidRPr="003408A6" w:rsidTr="0061751C">
        <w:trPr>
          <w:trHeight w:val="290"/>
        </w:trPr>
        <w:tc>
          <w:tcPr>
            <w:tcW w:w="7173" w:type="dxa"/>
            <w:gridSpan w:val="5"/>
            <w:tcBorders>
              <w:top w:val="single" w:sz="4" w:space="0" w:color="auto"/>
              <w:bottom w:val="nil"/>
            </w:tcBorders>
          </w:tcPr>
          <w:p w:rsidR="008454B0" w:rsidRPr="003408A6" w:rsidRDefault="008454B0" w:rsidP="0061751C">
            <w:pPr>
              <w:pStyle w:val="Tabletextbold"/>
              <w:rPr>
                <w:lang w:val="en-AU"/>
              </w:rPr>
            </w:pPr>
            <w:r w:rsidRPr="003408A6">
              <w:rPr>
                <w:lang w:val="en-AU"/>
              </w:rPr>
              <w:t>The school-based program for boys aged 12</w:t>
            </w:r>
            <w:r w:rsidR="000F32A5" w:rsidRPr="003408A6">
              <w:rPr>
                <w:lang w:val="en-AU"/>
              </w:rPr>
              <w:t>–</w:t>
            </w:r>
            <w:r w:rsidRPr="003408A6">
              <w:rPr>
                <w:lang w:val="en-AU"/>
              </w:rPr>
              <w:t>13 years is well accepted:</w:t>
            </w:r>
          </w:p>
        </w:tc>
        <w:tc>
          <w:tcPr>
            <w:tcW w:w="1661" w:type="dxa"/>
            <w:tcBorders>
              <w:top w:val="single" w:sz="4" w:space="0" w:color="auto"/>
              <w:bottom w:val="nil"/>
            </w:tcBorders>
          </w:tcPr>
          <w:p w:rsidR="008454B0" w:rsidRPr="003408A6" w:rsidRDefault="008454B0" w:rsidP="0061751C">
            <w:pPr>
              <w:pStyle w:val="Tabletextbold"/>
              <w:rPr>
                <w:lang w:val="en-AU"/>
              </w:rPr>
            </w:pPr>
          </w:p>
        </w:tc>
      </w:tr>
      <w:tr w:rsidR="008454B0" w:rsidRPr="003408A6" w:rsidTr="0046370D">
        <w:trPr>
          <w:trHeight w:val="290"/>
        </w:trPr>
        <w:tc>
          <w:tcPr>
            <w:tcW w:w="2190" w:type="dxa"/>
            <w:tcBorders>
              <w:top w:val="nil"/>
            </w:tcBorders>
          </w:tcPr>
          <w:p w:rsidR="008454B0" w:rsidRPr="003408A6" w:rsidRDefault="000F32A5" w:rsidP="0061751C">
            <w:pPr>
              <w:pStyle w:val="Tabletext0beforeafter"/>
              <w:rPr>
                <w:lang w:val="en-AU"/>
              </w:rPr>
            </w:pPr>
            <w:r w:rsidRPr="003408A6">
              <w:rPr>
                <w:lang w:val="en-AU"/>
              </w:rPr>
              <w:t>Don’t know</w:t>
            </w:r>
          </w:p>
        </w:tc>
        <w:tc>
          <w:tcPr>
            <w:tcW w:w="1661" w:type="dxa"/>
            <w:tcBorders>
              <w:top w:val="nil"/>
            </w:tcBorders>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tcBorders>
              <w:top w:val="nil"/>
            </w:tcBorders>
            <w:vAlign w:val="center"/>
          </w:tcPr>
          <w:p w:rsidR="008454B0" w:rsidRPr="003408A6" w:rsidRDefault="00E170E3" w:rsidP="0061751C">
            <w:pPr>
              <w:pStyle w:val="Tabletext0beforeafter-centred"/>
              <w:rPr>
                <w:lang w:val="en-AU"/>
              </w:rPr>
            </w:pPr>
            <w:r>
              <w:rPr>
                <w:lang w:val="en-AU"/>
              </w:rPr>
              <w:t>–</w:t>
            </w:r>
          </w:p>
        </w:tc>
        <w:tc>
          <w:tcPr>
            <w:tcW w:w="1661" w:type="dxa"/>
            <w:tcBorders>
              <w:top w:val="nil"/>
            </w:tcBorders>
            <w:vAlign w:val="center"/>
          </w:tcPr>
          <w:p w:rsidR="008454B0" w:rsidRPr="003408A6" w:rsidRDefault="00E170E3" w:rsidP="0061751C">
            <w:pPr>
              <w:pStyle w:val="Tabletext0beforeafter-centred"/>
              <w:rPr>
                <w:lang w:val="en-AU"/>
              </w:rPr>
            </w:pPr>
            <w:r>
              <w:rPr>
                <w:lang w:val="en-AU"/>
              </w:rPr>
              <w:t>–</w:t>
            </w:r>
          </w:p>
        </w:tc>
        <w:tc>
          <w:tcPr>
            <w:tcW w:w="1661" w:type="dxa"/>
            <w:tcBorders>
              <w:top w:val="nil"/>
            </w:tcBorders>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disagree</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Disagree</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Neutral</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10</w:t>
            </w:r>
          </w:p>
        </w:tc>
        <w:tc>
          <w:tcPr>
            <w:tcW w:w="1661" w:type="dxa"/>
            <w:vAlign w:val="center"/>
          </w:tcPr>
          <w:p w:rsidR="008454B0" w:rsidRPr="003408A6" w:rsidRDefault="008454B0" w:rsidP="0061751C">
            <w:pPr>
              <w:pStyle w:val="Tabletext0beforeafter-centred"/>
              <w:rPr>
                <w:lang w:val="en-AU"/>
              </w:rPr>
            </w:pPr>
            <w:r w:rsidRPr="003408A6">
              <w:rPr>
                <w:lang w:val="en-AU"/>
              </w:rPr>
              <w:t>20</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Agree</w:t>
            </w:r>
          </w:p>
        </w:tc>
        <w:tc>
          <w:tcPr>
            <w:tcW w:w="1661" w:type="dxa"/>
            <w:vAlign w:val="center"/>
          </w:tcPr>
          <w:p w:rsidR="008454B0" w:rsidRPr="003408A6" w:rsidRDefault="008454B0" w:rsidP="0061751C">
            <w:pPr>
              <w:pStyle w:val="Tabletext0beforeafter-centred"/>
              <w:rPr>
                <w:lang w:val="en-AU"/>
              </w:rPr>
            </w:pPr>
            <w:r w:rsidRPr="003408A6">
              <w:rPr>
                <w:lang w:val="en-AU"/>
              </w:rPr>
              <w:t>60</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45</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c>
          <w:tcPr>
            <w:tcW w:w="1661" w:type="dxa"/>
            <w:vAlign w:val="center"/>
          </w:tcPr>
          <w:p w:rsidR="008454B0" w:rsidRPr="003408A6" w:rsidRDefault="008454B0" w:rsidP="0061751C">
            <w:pPr>
              <w:pStyle w:val="Tabletext0beforeafter-centred"/>
              <w:rPr>
                <w:lang w:val="en-AU"/>
              </w:rPr>
            </w:pPr>
            <w:r w:rsidRPr="003408A6">
              <w:rPr>
                <w:lang w:val="en-AU"/>
              </w:rPr>
              <w:t>30</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agree</w:t>
            </w:r>
          </w:p>
        </w:tc>
        <w:tc>
          <w:tcPr>
            <w:tcW w:w="1661" w:type="dxa"/>
            <w:vAlign w:val="center"/>
          </w:tcPr>
          <w:p w:rsidR="008454B0" w:rsidRPr="003408A6" w:rsidRDefault="008454B0" w:rsidP="0061751C">
            <w:pPr>
              <w:pStyle w:val="Tabletext0beforeafter-centred"/>
              <w:rPr>
                <w:lang w:val="en-AU"/>
              </w:rPr>
            </w:pPr>
            <w:r w:rsidRPr="003408A6">
              <w:rPr>
                <w:lang w:val="en-AU"/>
              </w:rPr>
              <w:t>35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45</w:t>
            </w:r>
          </w:p>
        </w:tc>
        <w:tc>
          <w:tcPr>
            <w:tcW w:w="1661" w:type="dxa"/>
            <w:vAlign w:val="center"/>
          </w:tcPr>
          <w:p w:rsidR="008454B0" w:rsidRPr="003408A6" w:rsidRDefault="008454B0" w:rsidP="0061751C">
            <w:pPr>
              <w:pStyle w:val="Tabletext0beforeafter-centred"/>
              <w:rPr>
                <w:lang w:val="en-AU"/>
              </w:rPr>
            </w:pPr>
            <w:r w:rsidRPr="003408A6">
              <w:rPr>
                <w:lang w:val="en-AU"/>
              </w:rPr>
              <w:t>30</w:t>
            </w:r>
          </w:p>
        </w:tc>
        <w:tc>
          <w:tcPr>
            <w:tcW w:w="1661" w:type="dxa"/>
            <w:vAlign w:val="center"/>
          </w:tcPr>
          <w:p w:rsidR="008454B0" w:rsidRPr="003408A6" w:rsidRDefault="008454B0" w:rsidP="0061751C">
            <w:pPr>
              <w:pStyle w:val="Tabletext0beforeafter-centred"/>
              <w:rPr>
                <w:lang w:val="en-AU"/>
              </w:rPr>
            </w:pPr>
            <w:r w:rsidRPr="003408A6">
              <w:rPr>
                <w:lang w:val="en-AU"/>
              </w:rPr>
              <w:t>65</w:t>
            </w:r>
          </w:p>
        </w:tc>
      </w:tr>
      <w:tr w:rsidR="0061751C" w:rsidRPr="003408A6" w:rsidTr="00605DD8">
        <w:trPr>
          <w:trHeight w:val="290"/>
        </w:trPr>
        <w:tc>
          <w:tcPr>
            <w:tcW w:w="8834" w:type="dxa"/>
            <w:gridSpan w:val="6"/>
          </w:tcPr>
          <w:p w:rsidR="0061751C" w:rsidRPr="003408A6" w:rsidRDefault="0061751C" w:rsidP="00E170E3">
            <w:pPr>
              <w:pStyle w:val="Tabletextbold"/>
              <w:rPr>
                <w:rFonts w:ascii="Calibri" w:hAnsi="Calibri" w:cs="Calibri"/>
                <w:color w:val="000000"/>
                <w:szCs w:val="22"/>
              </w:rPr>
            </w:pPr>
            <w:r w:rsidRPr="003408A6">
              <w:t xml:space="preserve">The school-based catch-up program for boys aged 14–15 years is well accepted: </w:t>
            </w:r>
          </w:p>
        </w:tc>
      </w:tr>
      <w:tr w:rsidR="008454B0" w:rsidRPr="003408A6" w:rsidTr="0046370D">
        <w:trPr>
          <w:trHeight w:val="290"/>
        </w:trPr>
        <w:tc>
          <w:tcPr>
            <w:tcW w:w="2190" w:type="dxa"/>
          </w:tcPr>
          <w:p w:rsidR="008454B0" w:rsidRPr="003408A6" w:rsidRDefault="000F32A5" w:rsidP="0061751C">
            <w:pPr>
              <w:pStyle w:val="Tabletext0beforeafter"/>
              <w:rPr>
                <w:lang w:val="en-AU"/>
              </w:rPr>
            </w:pPr>
            <w:r w:rsidRPr="003408A6">
              <w:rPr>
                <w:lang w:val="en-AU"/>
              </w:rPr>
              <w:t>Don’t know</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disagree</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Disagree</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10</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Neutral</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15</w:t>
            </w:r>
          </w:p>
        </w:tc>
        <w:tc>
          <w:tcPr>
            <w:tcW w:w="1661" w:type="dxa"/>
            <w:vAlign w:val="center"/>
          </w:tcPr>
          <w:p w:rsidR="008454B0" w:rsidRPr="003408A6" w:rsidRDefault="008454B0" w:rsidP="0061751C">
            <w:pPr>
              <w:pStyle w:val="Tabletext0beforeafter-centred"/>
              <w:rPr>
                <w:lang w:val="en-AU"/>
              </w:rPr>
            </w:pPr>
            <w:r w:rsidRPr="003408A6">
              <w:rPr>
                <w:lang w:val="en-AU"/>
              </w:rPr>
              <w:t>15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Agree</w:t>
            </w:r>
          </w:p>
        </w:tc>
        <w:tc>
          <w:tcPr>
            <w:tcW w:w="1661" w:type="dxa"/>
            <w:vAlign w:val="center"/>
          </w:tcPr>
          <w:p w:rsidR="008454B0" w:rsidRPr="003408A6" w:rsidRDefault="008454B0" w:rsidP="0061751C">
            <w:pPr>
              <w:pStyle w:val="Tabletext0beforeafter-centred"/>
              <w:rPr>
                <w:lang w:val="en-AU"/>
              </w:rPr>
            </w:pPr>
            <w:r w:rsidRPr="003408A6">
              <w:rPr>
                <w:lang w:val="en-AU"/>
              </w:rPr>
              <w:t>65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50</w:t>
            </w:r>
          </w:p>
        </w:tc>
        <w:tc>
          <w:tcPr>
            <w:tcW w:w="1661" w:type="dxa"/>
            <w:vAlign w:val="center"/>
          </w:tcPr>
          <w:p w:rsidR="008454B0" w:rsidRPr="003408A6" w:rsidRDefault="008454B0" w:rsidP="0061751C">
            <w:pPr>
              <w:pStyle w:val="Tabletext0beforeafter-centred"/>
              <w:rPr>
                <w:lang w:val="en-AU"/>
              </w:rPr>
            </w:pPr>
            <w:r w:rsidRPr="003408A6">
              <w:rPr>
                <w:lang w:val="en-AU"/>
              </w:rPr>
              <w:t>55</w:t>
            </w:r>
          </w:p>
        </w:tc>
        <w:tc>
          <w:tcPr>
            <w:tcW w:w="1661" w:type="dxa"/>
            <w:vAlign w:val="center"/>
          </w:tcPr>
          <w:p w:rsidR="008454B0" w:rsidRPr="003408A6" w:rsidRDefault="008454B0" w:rsidP="0061751C">
            <w:pPr>
              <w:pStyle w:val="Tabletext0beforeafter-centred"/>
              <w:rPr>
                <w:lang w:val="en-AU"/>
              </w:rPr>
            </w:pPr>
            <w:r w:rsidRPr="003408A6">
              <w:rPr>
                <w:lang w:val="en-AU"/>
              </w:rPr>
              <w:t>40</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agree</w:t>
            </w:r>
          </w:p>
        </w:tc>
        <w:tc>
          <w:tcPr>
            <w:tcW w:w="1661" w:type="dxa"/>
            <w:vAlign w:val="center"/>
          </w:tcPr>
          <w:p w:rsidR="008454B0" w:rsidRPr="003408A6" w:rsidRDefault="008454B0" w:rsidP="0061751C">
            <w:pPr>
              <w:pStyle w:val="Tabletext0beforeafter-centred"/>
              <w:rPr>
                <w:lang w:val="en-AU"/>
              </w:rPr>
            </w:pPr>
            <w:r w:rsidRPr="003408A6">
              <w:rPr>
                <w:lang w:val="en-AU"/>
              </w:rPr>
              <w:t>25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30</w:t>
            </w:r>
          </w:p>
        </w:tc>
        <w:tc>
          <w:tcPr>
            <w:tcW w:w="1661" w:type="dxa"/>
            <w:vAlign w:val="center"/>
          </w:tcPr>
          <w:p w:rsidR="008454B0" w:rsidRPr="003408A6" w:rsidRDefault="008454B0" w:rsidP="0061751C">
            <w:pPr>
              <w:pStyle w:val="Tabletext0beforeafter-centred"/>
              <w:rPr>
                <w:lang w:val="en-AU"/>
              </w:rPr>
            </w:pPr>
            <w:r w:rsidRPr="003408A6">
              <w:rPr>
                <w:lang w:val="en-AU"/>
              </w:rPr>
              <w:t>20</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r>
      <w:tr w:rsidR="0061751C" w:rsidRPr="003408A6" w:rsidTr="00605DD8">
        <w:trPr>
          <w:trHeight w:val="290"/>
        </w:trPr>
        <w:tc>
          <w:tcPr>
            <w:tcW w:w="8834" w:type="dxa"/>
            <w:gridSpan w:val="6"/>
          </w:tcPr>
          <w:p w:rsidR="0061751C" w:rsidRPr="003408A6" w:rsidRDefault="0061751C" w:rsidP="0061751C">
            <w:pPr>
              <w:pStyle w:val="Tabletextbold"/>
              <w:rPr>
                <w:lang w:val="en-AU"/>
              </w:rPr>
            </w:pPr>
            <w:r w:rsidRPr="003408A6">
              <w:rPr>
                <w:lang w:val="en-AU"/>
              </w:rPr>
              <w:t xml:space="preserve">The school-based program for girls aged 12–13 years is well accepted: </w:t>
            </w:r>
          </w:p>
        </w:tc>
      </w:tr>
      <w:tr w:rsidR="008454B0" w:rsidRPr="003408A6" w:rsidTr="0046370D">
        <w:trPr>
          <w:trHeight w:val="290"/>
        </w:trPr>
        <w:tc>
          <w:tcPr>
            <w:tcW w:w="2190" w:type="dxa"/>
          </w:tcPr>
          <w:p w:rsidR="008454B0" w:rsidRPr="003408A6" w:rsidRDefault="000F32A5" w:rsidP="0061751C">
            <w:pPr>
              <w:pStyle w:val="Tabletext0beforeafter"/>
              <w:rPr>
                <w:lang w:val="en-AU"/>
              </w:rPr>
            </w:pPr>
            <w:r w:rsidRPr="003408A6">
              <w:rPr>
                <w:lang w:val="en-AU"/>
              </w:rPr>
              <w:t>Don’t know</w:t>
            </w:r>
          </w:p>
        </w:tc>
        <w:tc>
          <w:tcPr>
            <w:tcW w:w="1661" w:type="dxa"/>
            <w:vAlign w:val="center"/>
          </w:tcPr>
          <w:p w:rsidR="008454B0" w:rsidRPr="003408A6" w:rsidRDefault="008454B0" w:rsidP="0061751C">
            <w:pPr>
              <w:pStyle w:val="Tabletext0beforeafter-centred"/>
              <w:rPr>
                <w:lang w:val="en-AU"/>
              </w:rPr>
            </w:pPr>
            <w:r w:rsidRPr="003408A6">
              <w:rPr>
                <w:lang w:val="en-AU"/>
              </w:rPr>
              <w:t>10</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disagree</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Disagree</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Neutral</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Agree</w:t>
            </w:r>
          </w:p>
        </w:tc>
        <w:tc>
          <w:tcPr>
            <w:tcW w:w="1661" w:type="dxa"/>
            <w:vAlign w:val="center"/>
          </w:tcPr>
          <w:p w:rsidR="008454B0" w:rsidRPr="003408A6" w:rsidRDefault="008454B0" w:rsidP="0061751C">
            <w:pPr>
              <w:pStyle w:val="Tabletext0beforeafter-centred"/>
              <w:rPr>
                <w:lang w:val="en-AU"/>
              </w:rPr>
            </w:pPr>
            <w:r w:rsidRPr="003408A6">
              <w:rPr>
                <w:lang w:val="en-AU"/>
              </w:rPr>
              <w:t>40</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40</w:t>
            </w:r>
          </w:p>
        </w:tc>
        <w:tc>
          <w:tcPr>
            <w:tcW w:w="1661" w:type="dxa"/>
            <w:vAlign w:val="center"/>
          </w:tcPr>
          <w:p w:rsidR="008454B0" w:rsidRPr="003408A6" w:rsidRDefault="008454B0" w:rsidP="0061751C">
            <w:pPr>
              <w:pStyle w:val="Tabletext0beforeafter-centred"/>
              <w:rPr>
                <w:lang w:val="en-AU"/>
              </w:rPr>
            </w:pPr>
            <w:r w:rsidRPr="003408A6">
              <w:rPr>
                <w:lang w:val="en-AU"/>
              </w:rPr>
              <w:t>35</w:t>
            </w:r>
          </w:p>
        </w:tc>
        <w:tc>
          <w:tcPr>
            <w:tcW w:w="1661" w:type="dxa"/>
            <w:vAlign w:val="center"/>
          </w:tcPr>
          <w:p w:rsidR="008454B0" w:rsidRPr="003408A6" w:rsidRDefault="008454B0" w:rsidP="0061751C">
            <w:pPr>
              <w:pStyle w:val="Tabletext0beforeafter-centred"/>
              <w:rPr>
                <w:lang w:val="en-AU"/>
              </w:rPr>
            </w:pPr>
            <w:r w:rsidRPr="003408A6">
              <w:rPr>
                <w:lang w:val="en-AU"/>
              </w:rPr>
              <w:t>20</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agree</w:t>
            </w:r>
          </w:p>
        </w:tc>
        <w:tc>
          <w:tcPr>
            <w:tcW w:w="1661" w:type="dxa"/>
            <w:vAlign w:val="center"/>
          </w:tcPr>
          <w:p w:rsidR="008454B0" w:rsidRPr="003408A6" w:rsidRDefault="008454B0" w:rsidP="0061751C">
            <w:pPr>
              <w:pStyle w:val="Tabletext0beforeafter-centred"/>
              <w:rPr>
                <w:lang w:val="en-AU"/>
              </w:rPr>
            </w:pPr>
            <w:r w:rsidRPr="003408A6">
              <w:rPr>
                <w:lang w:val="en-AU"/>
              </w:rPr>
              <w:t>45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50</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c>
          <w:tcPr>
            <w:tcW w:w="1661" w:type="dxa"/>
            <w:vAlign w:val="center"/>
          </w:tcPr>
          <w:p w:rsidR="008454B0" w:rsidRPr="003408A6" w:rsidRDefault="008454B0" w:rsidP="0061751C">
            <w:pPr>
              <w:pStyle w:val="Tabletext0beforeafter-centred"/>
              <w:rPr>
                <w:lang w:val="en-AU"/>
              </w:rPr>
            </w:pPr>
            <w:r w:rsidRPr="003408A6">
              <w:rPr>
                <w:lang w:val="en-AU"/>
              </w:rPr>
              <w:t>70</w:t>
            </w:r>
          </w:p>
        </w:tc>
      </w:tr>
      <w:tr w:rsidR="0061751C" w:rsidRPr="003408A6" w:rsidTr="006B6D0F">
        <w:trPr>
          <w:trHeight w:val="290"/>
        </w:trPr>
        <w:tc>
          <w:tcPr>
            <w:tcW w:w="8834" w:type="dxa"/>
            <w:gridSpan w:val="6"/>
          </w:tcPr>
          <w:p w:rsidR="0061751C" w:rsidRPr="003408A6" w:rsidRDefault="0061751C" w:rsidP="0061751C">
            <w:pPr>
              <w:pStyle w:val="Tabletextbold"/>
              <w:rPr>
                <w:lang w:val="en-AU"/>
              </w:rPr>
            </w:pPr>
            <w:r w:rsidRPr="003408A6">
              <w:rPr>
                <w:lang w:val="en-AU"/>
              </w:rPr>
              <w:t>The school-based catch-up program for adolescent girls aged 13–17 years was well accepted:</w:t>
            </w:r>
          </w:p>
        </w:tc>
      </w:tr>
      <w:tr w:rsidR="008454B0" w:rsidRPr="003408A6" w:rsidTr="0046370D">
        <w:trPr>
          <w:trHeight w:val="290"/>
        </w:trPr>
        <w:tc>
          <w:tcPr>
            <w:tcW w:w="2190" w:type="dxa"/>
          </w:tcPr>
          <w:p w:rsidR="008454B0" w:rsidRPr="003408A6" w:rsidRDefault="000F32A5" w:rsidP="0061751C">
            <w:pPr>
              <w:pStyle w:val="Tabletext0beforeafter"/>
              <w:rPr>
                <w:lang w:val="en-AU"/>
              </w:rPr>
            </w:pPr>
            <w:r w:rsidRPr="003408A6">
              <w:rPr>
                <w:lang w:val="en-AU"/>
              </w:rPr>
              <w:t>Don’t know</w:t>
            </w:r>
          </w:p>
        </w:tc>
        <w:tc>
          <w:tcPr>
            <w:tcW w:w="1661" w:type="dxa"/>
            <w:vAlign w:val="center"/>
          </w:tcPr>
          <w:p w:rsidR="008454B0" w:rsidRPr="003408A6" w:rsidRDefault="008454B0" w:rsidP="0061751C">
            <w:pPr>
              <w:pStyle w:val="Tabletext0beforeafter-centred"/>
              <w:rPr>
                <w:lang w:val="en-AU"/>
              </w:rPr>
            </w:pPr>
            <w:r w:rsidRPr="003408A6">
              <w:rPr>
                <w:lang w:val="en-AU"/>
              </w:rPr>
              <w:t>10</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disagree</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Disagree</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vAlign w:val="center"/>
          </w:tcPr>
          <w:p w:rsidR="008454B0" w:rsidRPr="003408A6" w:rsidRDefault="008454B0" w:rsidP="0061751C">
            <w:pPr>
              <w:pStyle w:val="Tabletext0beforeafter-centred"/>
              <w:rPr>
                <w:lang w:val="en-AU"/>
              </w:rPr>
            </w:pPr>
            <w:r w:rsidRPr="003408A6">
              <w:rPr>
                <w:lang w:val="en-AU"/>
              </w:rPr>
              <w:t>10</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Neutral</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c>
          <w:tcPr>
            <w:tcW w:w="1661"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8454B0" w:rsidP="0061751C">
            <w:pPr>
              <w:pStyle w:val="Tabletext0beforeafter-centred"/>
              <w:rPr>
                <w:lang w:val="en-AU"/>
              </w:rPr>
            </w:pPr>
            <w:r w:rsidRPr="003408A6">
              <w:rPr>
                <w:lang w:val="en-AU"/>
              </w:rPr>
              <w:t>15</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Agree</w:t>
            </w:r>
          </w:p>
        </w:tc>
        <w:tc>
          <w:tcPr>
            <w:tcW w:w="1661" w:type="dxa"/>
            <w:vAlign w:val="center"/>
          </w:tcPr>
          <w:p w:rsidR="008454B0" w:rsidRPr="003408A6" w:rsidRDefault="008454B0" w:rsidP="0061751C">
            <w:pPr>
              <w:pStyle w:val="Tabletext0beforeafter-centred"/>
              <w:rPr>
                <w:lang w:val="en-AU"/>
              </w:rPr>
            </w:pPr>
            <w:r w:rsidRPr="003408A6">
              <w:rPr>
                <w:lang w:val="en-AU"/>
              </w:rPr>
              <w:t>65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65</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c>
          <w:tcPr>
            <w:tcW w:w="1661" w:type="dxa"/>
            <w:vAlign w:val="center"/>
          </w:tcPr>
          <w:p w:rsidR="008454B0" w:rsidRPr="003408A6" w:rsidRDefault="008454B0" w:rsidP="0061751C">
            <w:pPr>
              <w:pStyle w:val="Tabletext0beforeafter-centred"/>
              <w:rPr>
                <w:lang w:val="en-AU"/>
              </w:rPr>
            </w:pPr>
            <w:r w:rsidRPr="003408A6">
              <w:rPr>
                <w:lang w:val="en-AU"/>
              </w:rPr>
              <w:t>35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agree</w:t>
            </w:r>
          </w:p>
        </w:tc>
        <w:tc>
          <w:tcPr>
            <w:tcW w:w="1661" w:type="dxa"/>
            <w:vAlign w:val="center"/>
          </w:tcPr>
          <w:p w:rsidR="008454B0" w:rsidRPr="003408A6" w:rsidRDefault="008454B0" w:rsidP="0061751C">
            <w:pPr>
              <w:pStyle w:val="Tabletext0beforeafter-centred"/>
              <w:rPr>
                <w:lang w:val="en-AU"/>
              </w:rPr>
            </w:pPr>
            <w:r w:rsidRPr="003408A6">
              <w:rPr>
                <w:lang w:val="en-AU"/>
              </w:rPr>
              <w:t>15</w:t>
            </w:r>
          </w:p>
        </w:tc>
        <w:tc>
          <w:tcPr>
            <w:tcW w:w="1661" w:type="dxa"/>
            <w:gridSpan w:val="2"/>
            <w:vAlign w:val="center"/>
          </w:tcPr>
          <w:p w:rsidR="008454B0" w:rsidRPr="003408A6" w:rsidRDefault="008454B0" w:rsidP="0061751C">
            <w:pPr>
              <w:pStyle w:val="Tabletext0beforeafter-centred"/>
              <w:rPr>
                <w:lang w:val="en-AU"/>
              </w:rPr>
            </w:pPr>
            <w:r w:rsidRPr="003408A6">
              <w:rPr>
                <w:lang w:val="en-AU"/>
              </w:rPr>
              <w:t>25</w:t>
            </w:r>
          </w:p>
        </w:tc>
        <w:tc>
          <w:tcPr>
            <w:tcW w:w="1661" w:type="dxa"/>
            <w:vAlign w:val="center"/>
          </w:tcPr>
          <w:p w:rsidR="008454B0" w:rsidRPr="003408A6" w:rsidRDefault="008454B0" w:rsidP="0061751C">
            <w:pPr>
              <w:pStyle w:val="Tabletext0beforeafter-centred"/>
              <w:rPr>
                <w:lang w:val="en-AU"/>
              </w:rPr>
            </w:pPr>
            <w:r w:rsidRPr="003408A6">
              <w:rPr>
                <w:lang w:val="en-AU"/>
              </w:rPr>
              <w:t>25</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r>
      <w:tr w:rsidR="008454B0" w:rsidRPr="003408A6" w:rsidTr="006B6D0F">
        <w:trPr>
          <w:trHeight w:val="290"/>
        </w:trPr>
        <w:tc>
          <w:tcPr>
            <w:tcW w:w="8834" w:type="dxa"/>
            <w:gridSpan w:val="6"/>
          </w:tcPr>
          <w:p w:rsidR="008454B0" w:rsidRPr="003408A6" w:rsidRDefault="008454B0" w:rsidP="0061751C">
            <w:pPr>
              <w:pStyle w:val="Tabletextbold"/>
              <w:rPr>
                <w:lang w:val="en-AU"/>
              </w:rPr>
            </w:pPr>
            <w:r w:rsidRPr="003408A6">
              <w:rPr>
                <w:lang w:val="en-AU"/>
              </w:rPr>
              <w:t xml:space="preserve">The community catch-up </w:t>
            </w:r>
            <w:r w:rsidR="000F32A5" w:rsidRPr="003408A6">
              <w:rPr>
                <w:lang w:val="en-AU"/>
              </w:rPr>
              <w:t xml:space="preserve">program </w:t>
            </w:r>
            <w:r w:rsidRPr="003408A6">
              <w:rPr>
                <w:lang w:val="en-AU"/>
              </w:rPr>
              <w:t>for young women aged 18</w:t>
            </w:r>
            <w:r w:rsidR="000F32A5" w:rsidRPr="003408A6">
              <w:rPr>
                <w:lang w:val="en-AU"/>
              </w:rPr>
              <w:t>–</w:t>
            </w:r>
            <w:r w:rsidRPr="003408A6">
              <w:rPr>
                <w:lang w:val="en-AU"/>
              </w:rPr>
              <w:t xml:space="preserve">26 years was well accepted: </w:t>
            </w:r>
          </w:p>
        </w:tc>
      </w:tr>
      <w:tr w:rsidR="0061751C" w:rsidRPr="003408A6" w:rsidTr="0046370D">
        <w:trPr>
          <w:trHeight w:val="290"/>
        </w:trPr>
        <w:tc>
          <w:tcPr>
            <w:tcW w:w="2190" w:type="dxa"/>
          </w:tcPr>
          <w:p w:rsidR="0061751C" w:rsidRPr="003408A6" w:rsidRDefault="0061751C" w:rsidP="0061751C">
            <w:pPr>
              <w:pStyle w:val="Tabletext0beforeafter-centred"/>
              <w:rPr>
                <w:lang w:val="en-AU"/>
              </w:rPr>
            </w:pPr>
          </w:p>
        </w:tc>
        <w:tc>
          <w:tcPr>
            <w:tcW w:w="1661" w:type="dxa"/>
          </w:tcPr>
          <w:p w:rsidR="0061751C" w:rsidRPr="003408A6" w:rsidRDefault="0061751C" w:rsidP="0061751C">
            <w:pPr>
              <w:pStyle w:val="Tabletext0beforeafter-centred"/>
              <w:rPr>
                <w:lang w:val="en-AU"/>
              </w:rPr>
            </w:pPr>
          </w:p>
        </w:tc>
        <w:tc>
          <w:tcPr>
            <w:tcW w:w="1566" w:type="dxa"/>
          </w:tcPr>
          <w:p w:rsidR="0061751C" w:rsidRPr="003408A6" w:rsidRDefault="0061751C" w:rsidP="0061751C">
            <w:pPr>
              <w:pStyle w:val="Tabletext0beforeafter-centred"/>
              <w:rPr>
                <w:lang w:val="en-AU"/>
              </w:rPr>
            </w:pPr>
          </w:p>
        </w:tc>
        <w:tc>
          <w:tcPr>
            <w:tcW w:w="1756" w:type="dxa"/>
            <w:gridSpan w:val="2"/>
          </w:tcPr>
          <w:p w:rsidR="0061751C" w:rsidRPr="003408A6" w:rsidRDefault="0061751C" w:rsidP="0061751C">
            <w:pPr>
              <w:pStyle w:val="Tabletext0beforeafter-centred"/>
              <w:rPr>
                <w:lang w:val="en-AU"/>
              </w:rPr>
            </w:pPr>
            <w:r w:rsidRPr="003408A6">
              <w:rPr>
                <w:lang w:val="en-AU"/>
              </w:rPr>
              <w:t>By young women</w:t>
            </w:r>
            <w:r w:rsidRPr="003408A6">
              <w:rPr>
                <w:lang w:val="en-AU"/>
              </w:rPr>
              <w:br/>
              <w:t>%</w:t>
            </w:r>
          </w:p>
        </w:tc>
        <w:tc>
          <w:tcPr>
            <w:tcW w:w="1661" w:type="dxa"/>
          </w:tcPr>
          <w:p w:rsidR="0061751C" w:rsidRPr="003408A6" w:rsidRDefault="0061751C" w:rsidP="0061751C">
            <w:pPr>
              <w:pStyle w:val="Tabletext0beforeafter-centred"/>
              <w:rPr>
                <w:lang w:val="en-AU"/>
              </w:rPr>
            </w:pPr>
            <w:r w:rsidRPr="003408A6">
              <w:rPr>
                <w:lang w:val="en-AU"/>
              </w:rPr>
              <w:t>By providers</w:t>
            </w:r>
            <w:r w:rsidRPr="003408A6">
              <w:rPr>
                <w:lang w:val="en-AU"/>
              </w:rPr>
              <w:br/>
              <w:t>%</w:t>
            </w:r>
          </w:p>
        </w:tc>
      </w:tr>
      <w:tr w:rsidR="008454B0" w:rsidRPr="003408A6" w:rsidTr="0046370D">
        <w:trPr>
          <w:trHeight w:val="290"/>
        </w:trPr>
        <w:tc>
          <w:tcPr>
            <w:tcW w:w="2190" w:type="dxa"/>
          </w:tcPr>
          <w:p w:rsidR="008454B0" w:rsidRPr="003408A6" w:rsidRDefault="000F32A5" w:rsidP="0061751C">
            <w:pPr>
              <w:pStyle w:val="Tabletext0beforeafter"/>
              <w:rPr>
                <w:lang w:val="en-AU"/>
              </w:rPr>
            </w:pPr>
            <w:r w:rsidRPr="003408A6">
              <w:rPr>
                <w:lang w:val="en-AU"/>
              </w:rPr>
              <w:t>Don’t know</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8454B0" w:rsidP="0061751C">
            <w:pPr>
              <w:pStyle w:val="Tabletext0beforeafter-centred"/>
              <w:rPr>
                <w:lang w:val="en-AU"/>
              </w:rPr>
            </w:pPr>
            <w:r w:rsidRPr="003408A6">
              <w:rPr>
                <w:lang w:val="en-AU"/>
              </w:rPr>
              <w:t>15</w:t>
            </w:r>
          </w:p>
        </w:tc>
        <w:tc>
          <w:tcPr>
            <w:tcW w:w="1661" w:type="dxa"/>
            <w:vAlign w:val="center"/>
          </w:tcPr>
          <w:p w:rsidR="008454B0" w:rsidRPr="003408A6" w:rsidRDefault="008454B0" w:rsidP="0061751C">
            <w:pPr>
              <w:pStyle w:val="Tabletext0beforeafter-centred"/>
              <w:rPr>
                <w:lang w:val="en-AU"/>
              </w:rPr>
            </w:pPr>
            <w:r w:rsidRPr="003408A6">
              <w:rPr>
                <w:lang w:val="en-AU"/>
              </w:rPr>
              <w:t>15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disagree</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E170E3" w:rsidP="0061751C">
            <w:pPr>
              <w:pStyle w:val="Tabletext0beforeafter-centred"/>
              <w:rPr>
                <w:lang w:val="en-AU"/>
              </w:rPr>
            </w:pPr>
            <w:r>
              <w:rPr>
                <w:lang w:val="en-AU"/>
              </w:rPr>
              <w:t>–</w:t>
            </w:r>
          </w:p>
        </w:tc>
        <w:tc>
          <w:tcPr>
            <w:tcW w:w="1661" w:type="dxa"/>
            <w:vAlign w:val="center"/>
          </w:tcPr>
          <w:p w:rsidR="008454B0" w:rsidRPr="003408A6" w:rsidRDefault="00E170E3" w:rsidP="0061751C">
            <w:pPr>
              <w:pStyle w:val="Tabletext0beforeafter-centred"/>
              <w:rPr>
                <w:lang w:val="en-AU"/>
              </w:rPr>
            </w:pPr>
            <w:r>
              <w:rPr>
                <w:lang w:val="en-AU"/>
              </w:rPr>
              <w:t>–</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Disagree</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8454B0" w:rsidP="0061751C">
            <w:pPr>
              <w:pStyle w:val="Tabletext0beforeafter-centred"/>
              <w:rPr>
                <w:lang w:val="en-AU"/>
              </w:rPr>
            </w:pPr>
            <w:r w:rsidRPr="003408A6">
              <w:rPr>
                <w:lang w:val="en-AU"/>
              </w:rPr>
              <w:t>15</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Neutral</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8454B0" w:rsidP="0061751C">
            <w:pPr>
              <w:pStyle w:val="Tabletext0beforeafter-centred"/>
              <w:rPr>
                <w:lang w:val="en-AU"/>
              </w:rPr>
            </w:pPr>
            <w:r w:rsidRPr="003408A6">
              <w:rPr>
                <w:lang w:val="en-AU"/>
              </w:rPr>
              <w:t>20</w:t>
            </w:r>
          </w:p>
        </w:tc>
        <w:tc>
          <w:tcPr>
            <w:tcW w:w="1661" w:type="dxa"/>
            <w:vAlign w:val="center"/>
          </w:tcPr>
          <w:p w:rsidR="008454B0" w:rsidRPr="003408A6" w:rsidRDefault="008454B0" w:rsidP="0061751C">
            <w:pPr>
              <w:pStyle w:val="Tabletext0beforeafter-centred"/>
              <w:rPr>
                <w:lang w:val="en-AU"/>
              </w:rPr>
            </w:pPr>
            <w:r w:rsidRPr="003408A6">
              <w:rPr>
                <w:lang w:val="en-AU"/>
              </w:rPr>
              <w:t>5</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Agree</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8454B0" w:rsidP="0061751C">
            <w:pPr>
              <w:pStyle w:val="Tabletext0beforeafter-centred"/>
              <w:rPr>
                <w:lang w:val="en-AU"/>
              </w:rPr>
            </w:pPr>
            <w:r w:rsidRPr="003408A6">
              <w:rPr>
                <w:lang w:val="en-AU"/>
              </w:rPr>
              <w:t>40</w:t>
            </w:r>
          </w:p>
        </w:tc>
        <w:tc>
          <w:tcPr>
            <w:tcW w:w="1661" w:type="dxa"/>
            <w:vAlign w:val="center"/>
          </w:tcPr>
          <w:p w:rsidR="008454B0" w:rsidRPr="003408A6" w:rsidRDefault="008454B0" w:rsidP="0061751C">
            <w:pPr>
              <w:pStyle w:val="Tabletext0beforeafter-centred"/>
              <w:rPr>
                <w:lang w:val="en-AU"/>
              </w:rPr>
            </w:pPr>
            <w:r w:rsidRPr="003408A6">
              <w:rPr>
                <w:lang w:val="en-AU"/>
              </w:rPr>
              <w:t>50</w:t>
            </w:r>
          </w:p>
        </w:tc>
      </w:tr>
      <w:tr w:rsidR="008454B0" w:rsidRPr="003408A6" w:rsidTr="0046370D">
        <w:trPr>
          <w:trHeight w:val="290"/>
        </w:trPr>
        <w:tc>
          <w:tcPr>
            <w:tcW w:w="2190" w:type="dxa"/>
          </w:tcPr>
          <w:p w:rsidR="008454B0" w:rsidRPr="003408A6" w:rsidRDefault="008454B0" w:rsidP="0061751C">
            <w:pPr>
              <w:pStyle w:val="Tabletext0beforeafter"/>
              <w:rPr>
                <w:lang w:val="en-AU"/>
              </w:rPr>
            </w:pPr>
            <w:r w:rsidRPr="003408A6">
              <w:rPr>
                <w:lang w:val="en-AU"/>
              </w:rPr>
              <w:t>Strongly agree</w:t>
            </w:r>
          </w:p>
        </w:tc>
        <w:tc>
          <w:tcPr>
            <w:tcW w:w="1661" w:type="dxa"/>
          </w:tcPr>
          <w:p w:rsidR="008454B0" w:rsidRPr="003408A6" w:rsidRDefault="008454B0" w:rsidP="0061751C">
            <w:pPr>
              <w:pStyle w:val="Tabletext0beforeafter-centred"/>
              <w:rPr>
                <w:lang w:val="en-AU"/>
              </w:rPr>
            </w:pPr>
          </w:p>
        </w:tc>
        <w:tc>
          <w:tcPr>
            <w:tcW w:w="1566" w:type="dxa"/>
          </w:tcPr>
          <w:p w:rsidR="008454B0" w:rsidRPr="003408A6" w:rsidRDefault="008454B0" w:rsidP="0061751C">
            <w:pPr>
              <w:pStyle w:val="Tabletext0beforeafter-centred"/>
              <w:rPr>
                <w:lang w:val="en-AU"/>
              </w:rPr>
            </w:pPr>
          </w:p>
        </w:tc>
        <w:tc>
          <w:tcPr>
            <w:tcW w:w="1756" w:type="dxa"/>
            <w:gridSpan w:val="2"/>
            <w:vAlign w:val="center"/>
          </w:tcPr>
          <w:p w:rsidR="008454B0" w:rsidRPr="003408A6" w:rsidRDefault="008454B0" w:rsidP="0061751C">
            <w:pPr>
              <w:pStyle w:val="Tabletext0beforeafter-centred"/>
              <w:rPr>
                <w:lang w:val="en-AU"/>
              </w:rPr>
            </w:pPr>
            <w:r w:rsidRPr="003408A6">
              <w:rPr>
                <w:lang w:val="en-AU"/>
              </w:rPr>
              <w:t>10</w:t>
            </w:r>
          </w:p>
        </w:tc>
        <w:tc>
          <w:tcPr>
            <w:tcW w:w="1661" w:type="dxa"/>
            <w:vAlign w:val="center"/>
          </w:tcPr>
          <w:p w:rsidR="008454B0" w:rsidRPr="003408A6" w:rsidRDefault="008454B0" w:rsidP="0061751C">
            <w:pPr>
              <w:pStyle w:val="Tabletext0beforeafter-centred"/>
              <w:rPr>
                <w:lang w:val="en-AU"/>
              </w:rPr>
            </w:pPr>
            <w:r w:rsidRPr="003408A6">
              <w:rPr>
                <w:lang w:val="en-AU"/>
              </w:rPr>
              <w:t>25</w:t>
            </w:r>
          </w:p>
        </w:tc>
      </w:tr>
    </w:tbl>
    <w:p w:rsidR="00605DD8" w:rsidRPr="003408A6" w:rsidRDefault="00605DD8" w:rsidP="009C0541">
      <w:pPr>
        <w:keepNext/>
        <w:keepLines/>
      </w:pPr>
    </w:p>
    <w:p w:rsidR="00605DD8" w:rsidRPr="003408A6" w:rsidRDefault="00605DD8">
      <w:r w:rsidRPr="003408A6">
        <w:br w:type="page"/>
      </w:r>
    </w:p>
    <w:p w:rsidR="008454B0" w:rsidRPr="003408A6" w:rsidRDefault="008454B0" w:rsidP="002A7954">
      <w:pPr>
        <w:pStyle w:val="Heading4"/>
      </w:pPr>
      <w:r w:rsidRPr="003408A6">
        <w:t>Respondent interviews</w:t>
      </w:r>
    </w:p>
    <w:p w:rsidR="008454B0" w:rsidRPr="003408A6" w:rsidRDefault="008454B0" w:rsidP="002A7954">
      <w:pPr>
        <w:pStyle w:val="Heading5"/>
      </w:pPr>
      <w:r w:rsidRPr="003408A6">
        <w:t>Strengths and challenges of program acceptance</w:t>
      </w:r>
      <w:r w:rsidR="00F7227B">
        <w:t xml:space="preserve"> </w:t>
      </w:r>
    </w:p>
    <w:p w:rsidR="008454B0" w:rsidRPr="003408A6" w:rsidRDefault="008454B0" w:rsidP="001058BD">
      <w:pPr>
        <w:pStyle w:val="BodyText"/>
        <w:rPr>
          <w:lang w:val="en-AU"/>
        </w:rPr>
      </w:pPr>
      <w:r w:rsidRPr="003408A6">
        <w:rPr>
          <w:lang w:val="en-AU"/>
        </w:rPr>
        <w:t xml:space="preserve">Stakeholders recalled that a major challenge of the National HPV Vaccination Program for adolescent females and young women was the initial acceptance of the program by the community and parents. </w:t>
      </w:r>
    </w:p>
    <w:p w:rsidR="008454B0" w:rsidRPr="003408A6" w:rsidRDefault="008454B0" w:rsidP="001058BD">
      <w:pPr>
        <w:pStyle w:val="BodyText"/>
        <w:rPr>
          <w:lang w:val="en-AU"/>
        </w:rPr>
      </w:pPr>
      <w:r w:rsidRPr="003408A6">
        <w:rPr>
          <w:lang w:val="en-AU"/>
        </w:rPr>
        <w:t>At the start of the female program, parents were apprehensive about a new vaccine. There was a lack of knowledge by women about HPV and the link to cancer. It was also the first vaccine that was overtly to do with sexual health (although some respondents mentioned that</w:t>
      </w:r>
      <w:r w:rsidR="000F32A5" w:rsidRPr="003408A6">
        <w:rPr>
          <w:lang w:val="en-AU"/>
        </w:rPr>
        <w:t>,</w:t>
      </w:r>
      <w:r w:rsidRPr="003408A6">
        <w:rPr>
          <w:lang w:val="en-AU"/>
        </w:rPr>
        <w:t xml:space="preserve"> in fact</w:t>
      </w:r>
      <w:r w:rsidR="000F32A5" w:rsidRPr="003408A6">
        <w:rPr>
          <w:lang w:val="en-AU"/>
        </w:rPr>
        <w:t>,</w:t>
      </w:r>
      <w:r w:rsidRPr="003408A6">
        <w:rPr>
          <w:lang w:val="en-AU"/>
        </w:rPr>
        <w:t xml:space="preserve"> </w:t>
      </w:r>
      <w:r w:rsidR="000F32A5" w:rsidRPr="003408A6">
        <w:rPr>
          <w:lang w:val="en-AU"/>
        </w:rPr>
        <w:t>h</w:t>
      </w:r>
      <w:r w:rsidRPr="003408A6">
        <w:rPr>
          <w:lang w:val="en-AU"/>
        </w:rPr>
        <w:t xml:space="preserve">epatitis B vaccine was the first vaccine for a sexually transmissible infection </w:t>
      </w:r>
      <w:r w:rsidR="00E91561" w:rsidRPr="003408A6">
        <w:rPr>
          <w:lang w:val="en-AU"/>
        </w:rPr>
        <w:t>[</w:t>
      </w:r>
      <w:r w:rsidRPr="003408A6">
        <w:rPr>
          <w:lang w:val="en-AU"/>
        </w:rPr>
        <w:t>STI</w:t>
      </w:r>
      <w:r w:rsidR="00E91561" w:rsidRPr="003408A6">
        <w:rPr>
          <w:lang w:val="en-AU"/>
        </w:rPr>
        <w:t>]</w:t>
      </w:r>
      <w:r w:rsidRPr="003408A6">
        <w:rPr>
          <w:lang w:val="en-AU"/>
        </w:rPr>
        <w:t xml:space="preserve">). Targeting young females during the period of sexual development in adolescence seemed to be controversial. Parents were concerned that vaccinating their daughter against a sexually transmissible disease may encourage early sexual activity in their daughters. </w:t>
      </w:r>
    </w:p>
    <w:p w:rsidR="008454B0" w:rsidRPr="003408A6" w:rsidRDefault="008454B0" w:rsidP="001058BD">
      <w:pPr>
        <w:pStyle w:val="BodyText"/>
        <w:rPr>
          <w:lang w:val="en-AU"/>
        </w:rPr>
      </w:pPr>
      <w:r w:rsidRPr="003408A6">
        <w:rPr>
          <w:lang w:val="en-AU"/>
        </w:rPr>
        <w:t>Acceptance of the program was adversely affected by negative messages from anti-vaccine groups who were quite active at the start of the female program. A number of respondents also mentioned the negative media attention around vaccine safety and perceived adverse events, in particular the media focus on episodes of mass psychogenic side effects.</w:t>
      </w:r>
    </w:p>
    <w:p w:rsidR="008454B0" w:rsidRPr="003408A6" w:rsidRDefault="008454B0" w:rsidP="001058BD">
      <w:pPr>
        <w:pStyle w:val="Blockquote"/>
      </w:pPr>
      <w:r w:rsidRPr="003408A6">
        <w:t>“The female program experienced a lot of negative media coverage by the anti-vaccine groups, which really didn’t do the program any good</w:t>
      </w:r>
      <w:r w:rsidR="000F32A5" w:rsidRPr="003408A6">
        <w:t>.</w:t>
      </w:r>
      <w:r w:rsidRPr="003408A6">
        <w:t xml:space="preserve">” </w:t>
      </w:r>
    </w:p>
    <w:p w:rsidR="008454B0" w:rsidRPr="003408A6" w:rsidRDefault="008454B0" w:rsidP="001058BD">
      <w:pPr>
        <w:pStyle w:val="BodyText"/>
        <w:rPr>
          <w:lang w:val="en-AU"/>
        </w:rPr>
      </w:pPr>
      <w:r w:rsidRPr="003408A6">
        <w:rPr>
          <w:lang w:val="en-AU"/>
        </w:rPr>
        <w:t xml:space="preserve">However, stakeholders perceived that the acceptance of HPV vaccination for adolescent females has increased over time and that HPV vaccination was now normalised as just another of many good vaccines accepted as part of the school-based vaccination schedule. Reasons for this included greater community awareness of the relationship between HPV and genital warts and cancer. Millions of doses of vaccine have been delivered through the female program so there </w:t>
      </w:r>
      <w:r w:rsidR="000F32A5" w:rsidRPr="003408A6">
        <w:rPr>
          <w:lang w:val="en-AU"/>
        </w:rPr>
        <w:t xml:space="preserve">is </w:t>
      </w:r>
      <w:r w:rsidRPr="003408A6">
        <w:rPr>
          <w:lang w:val="en-AU"/>
        </w:rPr>
        <w:t>more familiarity with the vaccine and the female program had been going long enough for its success to be evident in terms of safety and clinical outcomes.</w:t>
      </w:r>
    </w:p>
    <w:p w:rsidR="008454B0" w:rsidRPr="003408A6" w:rsidRDefault="008454B0" w:rsidP="001058BD">
      <w:pPr>
        <w:pStyle w:val="BodyText"/>
        <w:rPr>
          <w:lang w:val="en-AU"/>
        </w:rPr>
      </w:pPr>
      <w:r w:rsidRPr="003408A6">
        <w:rPr>
          <w:lang w:val="en-AU"/>
        </w:rPr>
        <w:t xml:space="preserve">Respondents generally agreed that the success of the </w:t>
      </w:r>
      <w:r w:rsidR="000F32A5" w:rsidRPr="003408A6">
        <w:rPr>
          <w:lang w:val="en-AU"/>
        </w:rPr>
        <w:t xml:space="preserve">adolescent </w:t>
      </w:r>
      <w:r w:rsidR="00553029" w:rsidRPr="003408A6">
        <w:rPr>
          <w:lang w:val="en-AU"/>
        </w:rPr>
        <w:t>female</w:t>
      </w:r>
      <w:r w:rsidRPr="003408A6">
        <w:rPr>
          <w:lang w:val="en-AU"/>
        </w:rPr>
        <w:t xml:space="preserve"> program created a positive message for implementing the male program. </w:t>
      </w:r>
    </w:p>
    <w:p w:rsidR="008454B0" w:rsidRPr="003408A6" w:rsidRDefault="008454B0" w:rsidP="001058BD">
      <w:pPr>
        <w:pStyle w:val="Heading5"/>
      </w:pPr>
      <w:r w:rsidRPr="003408A6">
        <w:t xml:space="preserve">Acceptance of </w:t>
      </w:r>
      <w:r w:rsidR="00124503">
        <w:t xml:space="preserve">the </w:t>
      </w:r>
      <w:r w:rsidR="00553029" w:rsidRPr="003408A6">
        <w:t>m</w:t>
      </w:r>
      <w:r w:rsidRPr="003408A6">
        <w:t>ale program</w:t>
      </w:r>
    </w:p>
    <w:p w:rsidR="008454B0" w:rsidRPr="003408A6" w:rsidRDefault="008454B0" w:rsidP="001058BD">
      <w:pPr>
        <w:pStyle w:val="BodyText"/>
        <w:rPr>
          <w:lang w:val="en-AU"/>
        </w:rPr>
      </w:pPr>
      <w:r w:rsidRPr="003408A6">
        <w:rPr>
          <w:lang w:val="en-AU"/>
        </w:rPr>
        <w:t xml:space="preserve">Most immunisation program managers agreed that there was acceptance and support for the extension of the National HPV Vaccination Program to include adolescent males, both by the immunisation program managers themselves and in their assessment of community attitudes. </w:t>
      </w:r>
    </w:p>
    <w:p w:rsidR="008454B0" w:rsidRPr="003408A6" w:rsidRDefault="008454B0" w:rsidP="001058BD">
      <w:pPr>
        <w:pStyle w:val="BodyText"/>
        <w:rPr>
          <w:lang w:val="en-AU"/>
        </w:rPr>
      </w:pPr>
      <w:r w:rsidRPr="003408A6">
        <w:rPr>
          <w:lang w:val="en-AU"/>
        </w:rPr>
        <w:t>Immunisation program managers thought that extending the program was a sensible and natural progression from the female</w:t>
      </w:r>
      <w:r w:rsidR="000F32A5" w:rsidRPr="003408A6">
        <w:rPr>
          <w:lang w:val="en-AU"/>
        </w:rPr>
        <w:t>-</w:t>
      </w:r>
      <w:r w:rsidRPr="003408A6">
        <w:rPr>
          <w:lang w:val="en-AU"/>
        </w:rPr>
        <w:t xml:space="preserve">only program and they commended the Australian </w:t>
      </w:r>
      <w:r w:rsidR="001B3B24" w:rsidRPr="003408A6">
        <w:rPr>
          <w:lang w:val="en-AU"/>
        </w:rPr>
        <w:t>g</w:t>
      </w:r>
      <w:r w:rsidRPr="003408A6">
        <w:rPr>
          <w:lang w:val="en-AU"/>
        </w:rPr>
        <w:t xml:space="preserve">overnment for acknowledging the value of the vaccine for adolescent males. </w:t>
      </w:r>
    </w:p>
    <w:p w:rsidR="008454B0" w:rsidRPr="003408A6" w:rsidRDefault="008454B0" w:rsidP="001058BD">
      <w:pPr>
        <w:pStyle w:val="BodyText"/>
        <w:rPr>
          <w:lang w:val="en-AU"/>
        </w:rPr>
      </w:pPr>
      <w:r w:rsidRPr="003408A6">
        <w:rPr>
          <w:lang w:val="en-AU"/>
        </w:rPr>
        <w:t>Stakeholders noted that there was no community backlash for the adolescent male program and the good uptake of the vaccine by adolescent males was an indication of community acceptance of the program.</w:t>
      </w:r>
    </w:p>
    <w:p w:rsidR="008454B0" w:rsidRPr="003408A6" w:rsidRDefault="008454B0" w:rsidP="001058BD">
      <w:pPr>
        <w:pStyle w:val="BodyText"/>
        <w:rPr>
          <w:lang w:val="en-AU"/>
        </w:rPr>
      </w:pPr>
      <w:r w:rsidRPr="003408A6">
        <w:rPr>
          <w:lang w:val="en-AU"/>
        </w:rPr>
        <w:t xml:space="preserve">Early apprehension in the female program around a new vaccine, adverse events and early sexual activity were not seen with the extension of the program to adolescent males. </w:t>
      </w:r>
    </w:p>
    <w:p w:rsidR="008454B0" w:rsidRPr="003408A6" w:rsidRDefault="008454B0" w:rsidP="001058BD">
      <w:pPr>
        <w:pStyle w:val="BodyText"/>
        <w:rPr>
          <w:lang w:val="en-AU"/>
        </w:rPr>
      </w:pPr>
      <w:r w:rsidRPr="003408A6">
        <w:rPr>
          <w:lang w:val="en-AU"/>
        </w:rPr>
        <w:t>Respondents remarked that community attitudes to the announcement of the male program contrasted with the initial reaction to the female program.</w:t>
      </w:r>
    </w:p>
    <w:p w:rsidR="008454B0" w:rsidRPr="003408A6" w:rsidRDefault="008454B0" w:rsidP="001058BD">
      <w:pPr>
        <w:pStyle w:val="BodyText"/>
        <w:rPr>
          <w:lang w:val="en-AU"/>
        </w:rPr>
      </w:pPr>
      <w:r w:rsidRPr="003408A6">
        <w:rPr>
          <w:lang w:val="en-AU"/>
        </w:rPr>
        <w:t>This was explained by three inter-related factors:</w:t>
      </w:r>
    </w:p>
    <w:p w:rsidR="008454B0" w:rsidRPr="003408A6" w:rsidRDefault="008454B0" w:rsidP="00EC6CAF">
      <w:pPr>
        <w:pStyle w:val="Bodytextbullets"/>
        <w:rPr>
          <w:lang w:val="en-AU"/>
        </w:rPr>
      </w:pPr>
      <w:r w:rsidRPr="003408A6">
        <w:rPr>
          <w:lang w:val="en-AU"/>
        </w:rPr>
        <w:t xml:space="preserve">There was greater awareness and acceptance of the female program over time. The girls paved the way for boys, acting like a pilot for the rollout of the program for adolescent males. </w:t>
      </w:r>
    </w:p>
    <w:p w:rsidR="008454B0" w:rsidRPr="003408A6" w:rsidRDefault="008454B0" w:rsidP="00EC6CAF">
      <w:pPr>
        <w:pStyle w:val="Bodytextbullets"/>
        <w:rPr>
          <w:lang w:val="en-AU"/>
        </w:rPr>
      </w:pPr>
      <w:r w:rsidRPr="003408A6">
        <w:rPr>
          <w:lang w:val="en-AU"/>
        </w:rPr>
        <w:t>It was more acceptable to promote an STI vaccine for adolescent males.</w:t>
      </w:r>
    </w:p>
    <w:p w:rsidR="008454B0" w:rsidRPr="003408A6" w:rsidRDefault="008454B0" w:rsidP="00EC6CAF">
      <w:pPr>
        <w:pStyle w:val="Bodytextbullets"/>
        <w:rPr>
          <w:lang w:val="en-AU"/>
        </w:rPr>
      </w:pPr>
      <w:r w:rsidRPr="003408A6">
        <w:rPr>
          <w:lang w:val="en-AU"/>
        </w:rPr>
        <w:t>A gender neutral program increases the program’s acceptability.</w:t>
      </w:r>
    </w:p>
    <w:p w:rsidR="008454B0" w:rsidRPr="003408A6" w:rsidRDefault="008454B0" w:rsidP="001058BD">
      <w:pPr>
        <w:pStyle w:val="Heading5"/>
      </w:pPr>
      <w:r w:rsidRPr="003408A6">
        <w:t xml:space="preserve">Girls </w:t>
      </w:r>
      <w:r w:rsidR="00553029" w:rsidRPr="003408A6">
        <w:t>p</w:t>
      </w:r>
      <w:r w:rsidRPr="003408A6">
        <w:t xml:space="preserve">aved </w:t>
      </w:r>
      <w:r w:rsidR="00553029" w:rsidRPr="003408A6">
        <w:t>t</w:t>
      </w:r>
      <w:r w:rsidRPr="003408A6">
        <w:t xml:space="preserve">he </w:t>
      </w:r>
      <w:r w:rsidR="00553029" w:rsidRPr="003408A6">
        <w:t>w</w:t>
      </w:r>
      <w:r w:rsidRPr="003408A6">
        <w:t xml:space="preserve">ay </w:t>
      </w:r>
      <w:r w:rsidR="00553029" w:rsidRPr="003408A6">
        <w:t>f</w:t>
      </w:r>
      <w:r w:rsidRPr="003408A6">
        <w:t xml:space="preserve">or </w:t>
      </w:r>
      <w:r w:rsidR="00553029" w:rsidRPr="003408A6">
        <w:t>b</w:t>
      </w:r>
      <w:r w:rsidRPr="003408A6">
        <w:t>oys</w:t>
      </w:r>
    </w:p>
    <w:p w:rsidR="008454B0" w:rsidRPr="003408A6" w:rsidRDefault="008454B0" w:rsidP="001058BD">
      <w:pPr>
        <w:pStyle w:val="BodyText"/>
        <w:rPr>
          <w:lang w:val="en-AU"/>
        </w:rPr>
      </w:pPr>
      <w:r w:rsidRPr="003408A6">
        <w:rPr>
          <w:lang w:val="en-AU"/>
        </w:rPr>
        <w:t xml:space="preserve">Respondents thought that the Australian </w:t>
      </w:r>
      <w:r w:rsidR="001B3B24" w:rsidRPr="003408A6">
        <w:rPr>
          <w:lang w:val="en-AU"/>
        </w:rPr>
        <w:t>g</w:t>
      </w:r>
      <w:r w:rsidRPr="003408A6">
        <w:rPr>
          <w:lang w:val="en-AU"/>
        </w:rPr>
        <w:t xml:space="preserve">overnment and jurisdictions were able to build on lessons learnt from </w:t>
      </w:r>
      <w:r w:rsidR="000F32A5" w:rsidRPr="003408A6">
        <w:rPr>
          <w:lang w:val="en-AU"/>
        </w:rPr>
        <w:t xml:space="preserve">the </w:t>
      </w:r>
      <w:r w:rsidRPr="003408A6">
        <w:rPr>
          <w:lang w:val="en-AU"/>
        </w:rPr>
        <w:t>female program. The male program was easily added to the ongoing female program.</w:t>
      </w:r>
    </w:p>
    <w:p w:rsidR="008454B0" w:rsidRPr="003408A6" w:rsidRDefault="008454B0" w:rsidP="001058BD">
      <w:pPr>
        <w:pStyle w:val="Blockquote"/>
      </w:pPr>
      <w:r w:rsidRPr="003408A6">
        <w:t>“We were already doing the girls so adding the boys in wasn’t that much of a problem, once we get past the catch</w:t>
      </w:r>
      <w:r w:rsidR="0043033C" w:rsidRPr="003408A6">
        <w:t>-</w:t>
      </w:r>
      <w:r w:rsidRPr="003408A6">
        <w:t xml:space="preserve">up phase.” </w:t>
      </w:r>
    </w:p>
    <w:p w:rsidR="008454B0" w:rsidRPr="003408A6" w:rsidRDefault="008454B0" w:rsidP="001058BD">
      <w:pPr>
        <w:pStyle w:val="BodyText"/>
        <w:rPr>
          <w:lang w:val="en-AU"/>
        </w:rPr>
      </w:pPr>
      <w:r w:rsidRPr="003408A6">
        <w:rPr>
          <w:lang w:val="en-AU"/>
        </w:rPr>
        <w:t xml:space="preserve">Systems were put in place for any anticipated </w:t>
      </w:r>
      <w:r w:rsidR="003806B6" w:rsidRPr="003408A6">
        <w:rPr>
          <w:lang w:val="en-AU"/>
        </w:rPr>
        <w:t xml:space="preserve">adverse events </w:t>
      </w:r>
      <w:r w:rsidRPr="003408A6">
        <w:rPr>
          <w:lang w:val="en-AU"/>
        </w:rPr>
        <w:t xml:space="preserve">with the male program. </w:t>
      </w:r>
    </w:p>
    <w:p w:rsidR="008454B0" w:rsidRPr="003408A6" w:rsidRDefault="008454B0" w:rsidP="001058BD">
      <w:pPr>
        <w:pStyle w:val="BodyText"/>
        <w:rPr>
          <w:lang w:val="en-AU"/>
        </w:rPr>
      </w:pPr>
      <w:r w:rsidRPr="003408A6">
        <w:rPr>
          <w:lang w:val="en-AU"/>
        </w:rPr>
        <w:t>Lessons learnt from the female program also helped in delivering the male program to remote communities.</w:t>
      </w:r>
    </w:p>
    <w:p w:rsidR="008454B0" w:rsidRPr="003408A6" w:rsidRDefault="008454B0" w:rsidP="001058BD">
      <w:pPr>
        <w:pStyle w:val="BodyText"/>
        <w:rPr>
          <w:lang w:val="en-AU"/>
        </w:rPr>
      </w:pPr>
      <w:r w:rsidRPr="003408A6">
        <w:rPr>
          <w:lang w:val="en-AU"/>
        </w:rPr>
        <w:t>It was thought that the wider community was now familiar with the female program and there was more community knowledge of HPV infection and its consequences.</w:t>
      </w:r>
    </w:p>
    <w:p w:rsidR="008454B0" w:rsidRPr="003408A6" w:rsidRDefault="008454B0" w:rsidP="001058BD">
      <w:pPr>
        <w:pStyle w:val="Blockquote"/>
      </w:pPr>
      <w:r w:rsidRPr="003408A6">
        <w:t>“</w:t>
      </w:r>
      <w:r w:rsidR="000F32A5" w:rsidRPr="003408A6">
        <w:t xml:space="preserve">… </w:t>
      </w:r>
      <w:r w:rsidRPr="003408A6">
        <w:t xml:space="preserve">so the girls sort of had to break through the barrier and then the boys have just been a </w:t>
      </w:r>
      <w:r w:rsidR="000F32A5" w:rsidRPr="003408A6">
        <w:t>‘</w:t>
      </w:r>
      <w:r w:rsidRPr="003408A6">
        <w:t>walk in the park</w:t>
      </w:r>
      <w:r w:rsidR="000F32A5" w:rsidRPr="003408A6">
        <w:t>’.</w:t>
      </w:r>
      <w:r w:rsidRPr="003408A6">
        <w:t>”</w:t>
      </w:r>
    </w:p>
    <w:p w:rsidR="008454B0" w:rsidRPr="003408A6" w:rsidRDefault="008454B0" w:rsidP="001058BD">
      <w:pPr>
        <w:pStyle w:val="BodyText"/>
        <w:rPr>
          <w:lang w:val="en-AU"/>
        </w:rPr>
      </w:pPr>
      <w:r w:rsidRPr="003408A6">
        <w:rPr>
          <w:lang w:val="en-AU"/>
        </w:rPr>
        <w:t xml:space="preserve">The evidence for the clinical effectiveness of the HPV vaccine from the female program was mentioned as one of the best reasons for extending the </w:t>
      </w:r>
      <w:r w:rsidR="000F32A5" w:rsidRPr="003408A6">
        <w:rPr>
          <w:lang w:val="en-AU"/>
        </w:rPr>
        <w:t xml:space="preserve">program </w:t>
      </w:r>
      <w:r w:rsidRPr="003408A6">
        <w:rPr>
          <w:lang w:val="en-AU"/>
        </w:rPr>
        <w:t xml:space="preserve">to males. </w:t>
      </w:r>
    </w:p>
    <w:p w:rsidR="008454B0" w:rsidRPr="003408A6" w:rsidRDefault="008454B0" w:rsidP="001058BD">
      <w:pPr>
        <w:pStyle w:val="Blockquote"/>
      </w:pPr>
      <w:r w:rsidRPr="003408A6">
        <w:t xml:space="preserve">“The abnormal smears </w:t>
      </w:r>
      <w:r w:rsidR="000F32A5" w:rsidRPr="003408A6">
        <w:t>…</w:t>
      </w:r>
      <w:r w:rsidRPr="003408A6">
        <w:t xml:space="preserve"> have gone down. I’m not surprised. That’s what it’s supposed to do, so I’m impressed that it’s doing what’s supposed to happen. I suppose that’s the main comment and I think it’s great that boys are being done and I always thought boys should be done.” </w:t>
      </w:r>
    </w:p>
    <w:p w:rsidR="008454B0" w:rsidRPr="003408A6" w:rsidRDefault="008454B0" w:rsidP="001058BD">
      <w:pPr>
        <w:pStyle w:val="BodyText"/>
        <w:rPr>
          <w:lang w:val="en-AU"/>
        </w:rPr>
      </w:pPr>
      <w:r w:rsidRPr="003408A6">
        <w:rPr>
          <w:lang w:val="en-AU"/>
        </w:rPr>
        <w:t xml:space="preserve">Immunisation program managers thought the success of the female program had created community expectations that the program would be extended to adolescent males. Parents were asking about when the program for adolescent males would start and once commenced parents were asking for vaccination for their sons in Years 11 and 12. </w:t>
      </w:r>
    </w:p>
    <w:p w:rsidR="008454B0" w:rsidRPr="003408A6" w:rsidRDefault="008454B0" w:rsidP="001058BD">
      <w:pPr>
        <w:pStyle w:val="BodyText"/>
        <w:rPr>
          <w:lang w:val="en-AU"/>
        </w:rPr>
      </w:pPr>
      <w:r w:rsidRPr="003408A6">
        <w:rPr>
          <w:lang w:val="en-AU"/>
        </w:rPr>
        <w:t>Stakeholders recalled that the expectation of the extension of the program to adolescent males was reflected in the media.</w:t>
      </w:r>
    </w:p>
    <w:p w:rsidR="008454B0" w:rsidRPr="003408A6" w:rsidRDefault="008454B0" w:rsidP="001058BD">
      <w:pPr>
        <w:pStyle w:val="Blockquote"/>
      </w:pPr>
      <w:r w:rsidRPr="003408A6">
        <w:t>“</w:t>
      </w:r>
      <w:r w:rsidR="000F32A5" w:rsidRPr="003408A6">
        <w:t xml:space="preserve">… </w:t>
      </w:r>
      <w:r w:rsidRPr="003408A6">
        <w:t xml:space="preserve">like the media attention around the boys was a wonderful thing, </w:t>
      </w:r>
      <w:r w:rsidR="000F32A5" w:rsidRPr="003408A6">
        <w:t>‘</w:t>
      </w:r>
      <w:r w:rsidRPr="003408A6">
        <w:t>we are now getting it for boys</w:t>
      </w:r>
      <w:r w:rsidR="000F32A5" w:rsidRPr="003408A6">
        <w:t>’</w:t>
      </w:r>
      <w:r w:rsidRPr="003408A6">
        <w:t xml:space="preserve">.” </w:t>
      </w:r>
    </w:p>
    <w:p w:rsidR="008454B0" w:rsidRPr="003408A6" w:rsidRDefault="008454B0" w:rsidP="001058BD">
      <w:pPr>
        <w:pStyle w:val="Heading5"/>
      </w:pPr>
      <w:r w:rsidRPr="003408A6">
        <w:t>Greater acceptability of HPV vaccine as an STI vaccine for adolescent males</w:t>
      </w:r>
    </w:p>
    <w:p w:rsidR="008454B0" w:rsidRPr="003408A6" w:rsidRDefault="008454B0" w:rsidP="001058BD">
      <w:pPr>
        <w:pStyle w:val="BodyText"/>
        <w:rPr>
          <w:lang w:val="en-AU"/>
        </w:rPr>
      </w:pPr>
      <w:r w:rsidRPr="003408A6">
        <w:rPr>
          <w:lang w:val="en-AU"/>
        </w:rPr>
        <w:t xml:space="preserve">A second theme around acceptability of the male program was that HPV as a vaccine for </w:t>
      </w:r>
      <w:r w:rsidR="00124503">
        <w:rPr>
          <w:lang w:val="en-AU"/>
        </w:rPr>
        <w:t xml:space="preserve">a </w:t>
      </w:r>
      <w:r w:rsidRPr="003408A6">
        <w:rPr>
          <w:lang w:val="en-AU"/>
        </w:rPr>
        <w:t>sexual</w:t>
      </w:r>
      <w:r w:rsidR="000F32A5" w:rsidRPr="003408A6">
        <w:rPr>
          <w:lang w:val="en-AU"/>
        </w:rPr>
        <w:t>ly</w:t>
      </w:r>
      <w:r w:rsidRPr="003408A6">
        <w:rPr>
          <w:lang w:val="en-AU"/>
        </w:rPr>
        <w:t xml:space="preserve"> transmissible infection was not such an issue for boys as for girls. Respondents observed that around the issue of the vaccine and perceived sexual activity, parents seemed more protective of their adolescent girls than their adolescent boys.</w:t>
      </w:r>
    </w:p>
    <w:p w:rsidR="008454B0" w:rsidRPr="003408A6" w:rsidRDefault="008454B0" w:rsidP="001058BD">
      <w:pPr>
        <w:pStyle w:val="Blockquote"/>
      </w:pPr>
      <w:r w:rsidRPr="003408A6">
        <w:t>“</w:t>
      </w:r>
      <w:r w:rsidR="000F32A5" w:rsidRPr="003408A6">
        <w:t xml:space="preserve">… </w:t>
      </w:r>
      <w:r w:rsidRPr="003408A6">
        <w:t xml:space="preserve">but for the boys, I mean, you know, clearly people are more than happy to know that their boys are having sex and can be protected.” </w:t>
      </w:r>
    </w:p>
    <w:p w:rsidR="008454B0" w:rsidRPr="003408A6" w:rsidRDefault="008454B0" w:rsidP="001058BD">
      <w:pPr>
        <w:pStyle w:val="BodyText"/>
        <w:rPr>
          <w:lang w:val="en-AU"/>
        </w:rPr>
      </w:pPr>
      <w:r w:rsidRPr="003408A6">
        <w:rPr>
          <w:lang w:val="en-AU"/>
        </w:rPr>
        <w:t>Several respondents</w:t>
      </w:r>
      <w:r w:rsidR="000F32A5" w:rsidRPr="003408A6">
        <w:rPr>
          <w:lang w:val="en-AU"/>
        </w:rPr>
        <w:t>,</w:t>
      </w:r>
      <w:r w:rsidRPr="003408A6">
        <w:rPr>
          <w:lang w:val="en-AU"/>
        </w:rPr>
        <w:t xml:space="preserve"> however</w:t>
      </w:r>
      <w:r w:rsidR="000F32A5" w:rsidRPr="003408A6">
        <w:rPr>
          <w:lang w:val="en-AU"/>
        </w:rPr>
        <w:t>,</w:t>
      </w:r>
      <w:r w:rsidRPr="003408A6">
        <w:rPr>
          <w:lang w:val="en-AU"/>
        </w:rPr>
        <w:t xml:space="preserve"> noted that with the greater acceptance of the female program there had already been a decrease in community concerns around the vaccine and sexual activity among young adolescent females.</w:t>
      </w:r>
    </w:p>
    <w:p w:rsidR="008454B0" w:rsidRPr="003408A6" w:rsidRDefault="008454B0" w:rsidP="001058BD">
      <w:pPr>
        <w:pStyle w:val="Blockquote"/>
      </w:pPr>
      <w:r w:rsidRPr="003408A6">
        <w:t>“I think it is much more accepted now and I think [with the girls] as well with the boys, there is not the sex thing as much</w:t>
      </w:r>
      <w:r w:rsidR="000F32A5" w:rsidRPr="003408A6">
        <w:t>.</w:t>
      </w:r>
      <w:r w:rsidRPr="003408A6">
        <w:t xml:space="preserve">” </w:t>
      </w:r>
    </w:p>
    <w:p w:rsidR="008454B0" w:rsidRPr="003408A6" w:rsidRDefault="008454B0" w:rsidP="001058BD">
      <w:pPr>
        <w:pStyle w:val="Heading5"/>
      </w:pPr>
      <w:r w:rsidRPr="003408A6">
        <w:t>Gender neutral program increases its acceptability</w:t>
      </w:r>
    </w:p>
    <w:p w:rsidR="008454B0" w:rsidRPr="003408A6" w:rsidRDefault="008454B0" w:rsidP="001058BD">
      <w:pPr>
        <w:pStyle w:val="BodyText"/>
        <w:rPr>
          <w:lang w:val="en-AU"/>
        </w:rPr>
      </w:pPr>
      <w:r w:rsidRPr="003408A6">
        <w:rPr>
          <w:lang w:val="en-AU"/>
        </w:rPr>
        <w:t>Most immunisation program managers thought that including both genders in the program was logical. It was a more consistent approach that provided equity for males and females and increased the acceptability of the program.</w:t>
      </w:r>
    </w:p>
    <w:p w:rsidR="008454B0" w:rsidRPr="003408A6" w:rsidRDefault="008454B0" w:rsidP="001058BD">
      <w:pPr>
        <w:pStyle w:val="Blockquote"/>
      </w:pPr>
      <w:r w:rsidRPr="003408A6">
        <w:t>“I think probably the major strength in that is that there’s now a consistent approach including males and females. So it didn’t just target the girls. So I think it makes it a more acceptable program now that it includes both males and females</w:t>
      </w:r>
      <w:r w:rsidR="000F32A5" w:rsidRPr="003408A6">
        <w:t>.</w:t>
      </w:r>
      <w:r w:rsidRPr="003408A6">
        <w:t xml:space="preserve">” </w:t>
      </w:r>
    </w:p>
    <w:p w:rsidR="008454B0" w:rsidRPr="003408A6" w:rsidRDefault="008454B0" w:rsidP="001058BD">
      <w:pPr>
        <w:pStyle w:val="BodyText"/>
        <w:rPr>
          <w:lang w:val="en-AU"/>
        </w:rPr>
      </w:pPr>
      <w:r w:rsidRPr="003408A6">
        <w:rPr>
          <w:lang w:val="en-AU"/>
        </w:rPr>
        <w:t xml:space="preserve">Several immunisation program managers noted that a gender neutral program was less value laden and removed the focus from vaccinating </w:t>
      </w:r>
      <w:r w:rsidR="00553029" w:rsidRPr="003408A6">
        <w:rPr>
          <w:lang w:val="en-AU"/>
        </w:rPr>
        <w:t>females</w:t>
      </w:r>
      <w:r w:rsidRPr="003408A6">
        <w:rPr>
          <w:lang w:val="en-AU"/>
        </w:rPr>
        <w:t xml:space="preserve"> only. This both reduced the burden place</w:t>
      </w:r>
      <w:r w:rsidR="000F32A5" w:rsidRPr="003408A6">
        <w:rPr>
          <w:lang w:val="en-AU"/>
        </w:rPr>
        <w:t>d</w:t>
      </w:r>
      <w:r w:rsidRPr="003408A6">
        <w:rPr>
          <w:lang w:val="en-AU"/>
        </w:rPr>
        <w:t xml:space="preserve"> on women to prevent HPV in the population and it reduced the community focus on HPV vaccination as </w:t>
      </w:r>
      <w:r w:rsidR="00124503">
        <w:rPr>
          <w:lang w:val="en-AU"/>
        </w:rPr>
        <w:t>‘</w:t>
      </w:r>
      <w:r w:rsidRPr="003408A6">
        <w:rPr>
          <w:lang w:val="en-AU"/>
        </w:rPr>
        <w:t>encouraging promiscuity</w:t>
      </w:r>
      <w:r w:rsidR="00124503">
        <w:rPr>
          <w:lang w:val="en-AU"/>
        </w:rPr>
        <w:t>’</w:t>
      </w:r>
      <w:r w:rsidRPr="003408A6">
        <w:rPr>
          <w:lang w:val="en-AU"/>
        </w:rPr>
        <w:t xml:space="preserve"> among young girls, which was a prominent discourse with the female program, especially at the beginning. </w:t>
      </w:r>
    </w:p>
    <w:p w:rsidR="008454B0" w:rsidRPr="003408A6" w:rsidRDefault="008454B0" w:rsidP="001058BD">
      <w:pPr>
        <w:pStyle w:val="BodyText"/>
        <w:rPr>
          <w:lang w:val="en-AU"/>
        </w:rPr>
      </w:pPr>
      <w:r w:rsidRPr="003408A6">
        <w:rPr>
          <w:lang w:val="en-AU"/>
        </w:rPr>
        <w:t xml:space="preserve">As a sexually transmitted disease, it made sense to vaccinate both genders and some respondents thought that this should have been the approach from the start. </w:t>
      </w:r>
    </w:p>
    <w:p w:rsidR="008454B0" w:rsidRPr="003408A6" w:rsidRDefault="008454B0" w:rsidP="001058BD">
      <w:pPr>
        <w:pStyle w:val="BodyText"/>
        <w:rPr>
          <w:lang w:val="en-AU"/>
        </w:rPr>
      </w:pPr>
      <w:r w:rsidRPr="003408A6">
        <w:rPr>
          <w:lang w:val="en-AU"/>
        </w:rPr>
        <w:t xml:space="preserve">Some respondents also thought that including </w:t>
      </w:r>
      <w:r w:rsidR="000F32A5" w:rsidRPr="003408A6">
        <w:rPr>
          <w:lang w:val="en-AU"/>
        </w:rPr>
        <w:t xml:space="preserve">both </w:t>
      </w:r>
      <w:r w:rsidRPr="003408A6">
        <w:rPr>
          <w:lang w:val="en-AU"/>
        </w:rPr>
        <w:t xml:space="preserve">adolescent males and females allowed a sexual health message to be emphasised in the promotion of the vaccine. </w:t>
      </w:r>
    </w:p>
    <w:p w:rsidR="008454B0" w:rsidRPr="003408A6" w:rsidRDefault="008454B0" w:rsidP="001058BD">
      <w:pPr>
        <w:pStyle w:val="BodyText"/>
        <w:rPr>
          <w:lang w:val="en-AU"/>
        </w:rPr>
      </w:pPr>
      <w:r w:rsidRPr="003408A6">
        <w:rPr>
          <w:lang w:val="en-AU"/>
        </w:rPr>
        <w:t xml:space="preserve">One respondent noted that a universal program would protect potentially vulnerable individuals without targeting and stigmatising them. </w:t>
      </w:r>
    </w:p>
    <w:p w:rsidR="008454B0" w:rsidRPr="003408A6" w:rsidRDefault="008454B0" w:rsidP="001058BD">
      <w:pPr>
        <w:pStyle w:val="Blockquote"/>
      </w:pPr>
      <w:r w:rsidRPr="003408A6">
        <w:t>“</w:t>
      </w:r>
      <w:r w:rsidR="000F32A5" w:rsidRPr="003408A6">
        <w:t>I</w:t>
      </w:r>
      <w:r w:rsidRPr="003408A6">
        <w:t>t will certainly have a great benefit for young gay men and probably older gay men as well as they get older but without having to sort of deal with the fact that this vulnerable group are being targeted in any way</w:t>
      </w:r>
      <w:r w:rsidR="000F32A5" w:rsidRPr="003408A6">
        <w:t>.</w:t>
      </w:r>
      <w:r w:rsidRPr="003408A6">
        <w:t xml:space="preserve">” </w:t>
      </w:r>
    </w:p>
    <w:p w:rsidR="008454B0" w:rsidRPr="003408A6" w:rsidRDefault="008454B0" w:rsidP="001058BD">
      <w:pPr>
        <w:pStyle w:val="BodyText"/>
        <w:rPr>
          <w:lang w:val="en-AU"/>
        </w:rPr>
      </w:pPr>
      <w:r w:rsidRPr="003408A6">
        <w:rPr>
          <w:lang w:val="en-AU"/>
        </w:rPr>
        <w:t>It is simpler to communicate with the community and schools that the vaccination is for all adolescents. A school-based program is also simpler to deliver if everyone is included rather than dividing classes.</w:t>
      </w:r>
    </w:p>
    <w:p w:rsidR="008454B0" w:rsidRPr="003408A6" w:rsidRDefault="008454B0" w:rsidP="001058BD">
      <w:pPr>
        <w:pStyle w:val="BodyText"/>
        <w:rPr>
          <w:lang w:val="en-AU"/>
        </w:rPr>
      </w:pPr>
      <w:r w:rsidRPr="003408A6">
        <w:rPr>
          <w:lang w:val="en-AU"/>
        </w:rPr>
        <w:t xml:space="preserve">One school-based coordinator also noted that including adolescent males in the National HPV Vaccination Program would likely improve male uptake of other school-based vaccines and improve males’ general health education. </w:t>
      </w:r>
    </w:p>
    <w:p w:rsidR="008454B0" w:rsidRPr="003408A6" w:rsidRDefault="008454B0" w:rsidP="001058BD">
      <w:pPr>
        <w:pStyle w:val="BodyText"/>
        <w:rPr>
          <w:lang w:val="en-AU"/>
        </w:rPr>
      </w:pPr>
      <w:r w:rsidRPr="003408A6">
        <w:rPr>
          <w:lang w:val="en-AU"/>
        </w:rPr>
        <w:t xml:space="preserve">From the providers’ perspective, there are economies of scale </w:t>
      </w:r>
      <w:r w:rsidR="000F32A5" w:rsidRPr="003408A6">
        <w:rPr>
          <w:lang w:val="en-AU"/>
        </w:rPr>
        <w:t xml:space="preserve">in </w:t>
      </w:r>
      <w:r w:rsidRPr="003408A6">
        <w:rPr>
          <w:lang w:val="en-AU"/>
        </w:rPr>
        <w:t>vaccinating larger cohorts of male and female students in each school.</w:t>
      </w:r>
    </w:p>
    <w:p w:rsidR="008454B0" w:rsidRPr="003408A6" w:rsidRDefault="008454B0" w:rsidP="000D3F2A">
      <w:pPr>
        <w:pStyle w:val="Heading3"/>
      </w:pPr>
      <w:r w:rsidRPr="003408A6">
        <w:t>Success</w:t>
      </w:r>
      <w:r w:rsidR="00B8021E">
        <w:t xml:space="preserve"> of the</w:t>
      </w:r>
      <w:r w:rsidRPr="003408A6">
        <w:t xml:space="preserve"> program</w:t>
      </w:r>
    </w:p>
    <w:p w:rsidR="008454B0" w:rsidRPr="003408A6" w:rsidRDefault="002E49A3" w:rsidP="001058BD">
      <w:pPr>
        <w:pStyle w:val="BodyText"/>
        <w:rPr>
          <w:lang w:val="en-AU"/>
        </w:rPr>
      </w:pPr>
      <w:r w:rsidRPr="003408A6">
        <w:rPr>
          <w:lang w:val="en-AU"/>
        </w:rPr>
        <w:t xml:space="preserve">The </w:t>
      </w:r>
      <w:r w:rsidR="008E6E49">
        <w:rPr>
          <w:lang w:val="en-AU"/>
        </w:rPr>
        <w:t>Australian Government Department of Health</w:t>
      </w:r>
      <w:r w:rsidRPr="003408A6">
        <w:rPr>
          <w:lang w:val="en-AU"/>
        </w:rPr>
        <w:t xml:space="preserve"> and the jurisdictions generally considered the National HPV Vaccination Program to be a successful program. </w:t>
      </w:r>
      <w:r w:rsidR="008454B0" w:rsidRPr="003408A6">
        <w:rPr>
          <w:lang w:val="en-AU"/>
        </w:rPr>
        <w:t xml:space="preserve">Throughout their interviews, respondents expressed positive opinions and sentiments about the value and success of implementing the National HPV Vaccination Program, both the original female and the extended male program. </w:t>
      </w:r>
    </w:p>
    <w:p w:rsidR="008454B0" w:rsidRPr="003408A6" w:rsidRDefault="00C95382" w:rsidP="001058BD">
      <w:pPr>
        <w:pStyle w:val="Blockquote"/>
      </w:pPr>
      <w:r w:rsidRPr="003408A6">
        <w:t>“</w:t>
      </w:r>
      <w:r w:rsidR="008454B0" w:rsidRPr="003408A6">
        <w:t xml:space="preserve">What changes would </w:t>
      </w:r>
      <w:r w:rsidR="000F32A5" w:rsidRPr="003408A6">
        <w:t xml:space="preserve">you </w:t>
      </w:r>
      <w:r w:rsidR="008454B0" w:rsidRPr="003408A6">
        <w:t>make to a program that really has been very successful?</w:t>
      </w:r>
      <w:r w:rsidRPr="003408A6">
        <w:t>”</w:t>
      </w:r>
      <w:r w:rsidR="008454B0" w:rsidRPr="003408A6">
        <w:t xml:space="preserve"> </w:t>
      </w:r>
    </w:p>
    <w:p w:rsidR="008454B0" w:rsidRPr="003408A6" w:rsidRDefault="008454B0" w:rsidP="001058BD">
      <w:pPr>
        <w:pStyle w:val="BodyText"/>
        <w:rPr>
          <w:lang w:val="en-AU"/>
        </w:rPr>
      </w:pPr>
      <w:r w:rsidRPr="003408A6">
        <w:rPr>
          <w:lang w:val="en-AU"/>
        </w:rPr>
        <w:t xml:space="preserve">Indicators of success included Australia’s reputation for delivering school-based </w:t>
      </w:r>
      <w:r w:rsidR="00124503">
        <w:rPr>
          <w:lang w:val="en-AU"/>
        </w:rPr>
        <w:t>vaccination</w:t>
      </w:r>
      <w:r w:rsidR="00124503" w:rsidRPr="003408A6">
        <w:rPr>
          <w:lang w:val="en-AU"/>
        </w:rPr>
        <w:t xml:space="preserve"> </w:t>
      </w:r>
      <w:r w:rsidRPr="003408A6">
        <w:rPr>
          <w:lang w:val="en-AU"/>
        </w:rPr>
        <w:t>programs, a safe effective vaccine and a generally smooth rollout of the extended program.</w:t>
      </w:r>
    </w:p>
    <w:p w:rsidR="008454B0" w:rsidRPr="003408A6" w:rsidRDefault="008454B0" w:rsidP="001058BD">
      <w:pPr>
        <w:pStyle w:val="Blockquote"/>
      </w:pPr>
      <w:r w:rsidRPr="003408A6">
        <w:t>“I think the program has progressed really well.</w:t>
      </w:r>
      <w:r w:rsidR="00C95382" w:rsidRPr="003408A6">
        <w:t>”</w:t>
      </w:r>
    </w:p>
    <w:p w:rsidR="008454B0" w:rsidRPr="003408A6" w:rsidRDefault="008454B0" w:rsidP="008454B0">
      <w:pPr>
        <w:pStyle w:val="Heading3"/>
      </w:pPr>
      <w:bookmarkStart w:id="64" w:name="_Toc373497097"/>
      <w:r w:rsidRPr="003408A6">
        <w:t xml:space="preserve">Key </w:t>
      </w:r>
      <w:r w:rsidR="00C95382" w:rsidRPr="003408A6">
        <w:t>stakeholder r</w:t>
      </w:r>
      <w:r w:rsidRPr="003408A6">
        <w:t>ecommendations</w:t>
      </w:r>
      <w:bookmarkEnd w:id="64"/>
    </w:p>
    <w:p w:rsidR="002B520C" w:rsidRPr="003408A6" w:rsidRDefault="0045122C" w:rsidP="00605DD8">
      <w:pPr>
        <w:pStyle w:val="BodyText"/>
        <w:rPr>
          <w:lang w:val="en-AU"/>
        </w:rPr>
      </w:pPr>
      <w:r w:rsidRPr="003408A6">
        <w:rPr>
          <w:lang w:val="en-AU"/>
        </w:rPr>
        <w:t>Stakeholders were asked if they had any recommendations for planning/implementing future national immunisation programs</w:t>
      </w:r>
      <w:r w:rsidR="00905789">
        <w:rPr>
          <w:lang w:val="en-AU"/>
        </w:rPr>
        <w:t>.</w:t>
      </w:r>
      <w:r w:rsidRPr="003408A6">
        <w:rPr>
          <w:lang w:val="en-AU"/>
        </w:rPr>
        <w:t xml:space="preserve"> </w:t>
      </w:r>
      <w:r w:rsidR="002B520C" w:rsidRPr="003408A6">
        <w:rPr>
          <w:lang w:val="en-AU"/>
        </w:rPr>
        <w:t xml:space="preserve">Below is a summary of the </w:t>
      </w:r>
      <w:r w:rsidRPr="003408A6">
        <w:rPr>
          <w:lang w:val="en-AU"/>
        </w:rPr>
        <w:t xml:space="preserve">recommendations </w:t>
      </w:r>
      <w:r w:rsidR="002B520C" w:rsidRPr="003408A6">
        <w:rPr>
          <w:lang w:val="en-AU"/>
        </w:rPr>
        <w:t>raised by interviewed stakeholders</w:t>
      </w:r>
      <w:r w:rsidRPr="003408A6">
        <w:rPr>
          <w:lang w:val="en-AU"/>
        </w:rPr>
        <w:t xml:space="preserve">. Some of these recommendations suggest changes or improvements to program delivery. Some of the recommendations can be taken as comments </w:t>
      </w:r>
      <w:r w:rsidR="005F45DA" w:rsidRPr="003408A6">
        <w:rPr>
          <w:lang w:val="en-AU"/>
        </w:rPr>
        <w:t xml:space="preserve">and observations </w:t>
      </w:r>
      <w:r w:rsidRPr="003408A6">
        <w:rPr>
          <w:lang w:val="en-AU"/>
        </w:rPr>
        <w:t xml:space="preserve">that endorse and express support for current implementation practices. </w:t>
      </w:r>
      <w:r w:rsidR="007423D7" w:rsidRPr="003408A6">
        <w:rPr>
          <w:lang w:val="en-AU"/>
        </w:rPr>
        <w:t>(</w:t>
      </w:r>
      <w:r w:rsidR="007423D7">
        <w:rPr>
          <w:lang w:val="en-AU"/>
        </w:rPr>
        <w:t>S</w:t>
      </w:r>
      <w:r w:rsidR="007423D7" w:rsidRPr="003408A6">
        <w:rPr>
          <w:lang w:val="en-AU"/>
        </w:rPr>
        <w:t xml:space="preserve">ee </w:t>
      </w:r>
      <w:r w:rsidR="007423D7">
        <w:rPr>
          <w:lang w:val="en-AU"/>
        </w:rPr>
        <w:t>also</w:t>
      </w:r>
      <w:r w:rsidR="007423D7" w:rsidRPr="003408A6">
        <w:rPr>
          <w:lang w:val="en-AU"/>
        </w:rPr>
        <w:t xml:space="preserve"> </w:t>
      </w:r>
      <w:r w:rsidR="007423D7" w:rsidRPr="00494F8E">
        <w:rPr>
          <w:b/>
          <w:lang w:val="en-AU"/>
        </w:rPr>
        <w:t>Appendix 2.</w:t>
      </w:r>
      <w:r w:rsidR="00653668">
        <w:rPr>
          <w:b/>
          <w:lang w:val="en-AU"/>
        </w:rPr>
        <w:t>4</w:t>
      </w:r>
      <w:r w:rsidR="007423D7">
        <w:rPr>
          <w:lang w:val="en-AU"/>
        </w:rPr>
        <w:t>.</w:t>
      </w:r>
      <w:r w:rsidR="007423D7" w:rsidRPr="003408A6">
        <w:rPr>
          <w:lang w:val="en-AU"/>
        </w:rPr>
        <w:t>)</w:t>
      </w:r>
    </w:p>
    <w:p w:rsidR="008454B0" w:rsidRPr="003408A6" w:rsidRDefault="000D3F2A" w:rsidP="00FE32A9">
      <w:pPr>
        <w:pStyle w:val="Heading4"/>
      </w:pPr>
      <w:r w:rsidRPr="003408A6">
        <w:t>Lead</w:t>
      </w:r>
      <w:r w:rsidR="0043033C" w:rsidRPr="003408A6">
        <w:t>-</w:t>
      </w:r>
      <w:r w:rsidRPr="003408A6">
        <w:t>time</w:t>
      </w:r>
    </w:p>
    <w:p w:rsidR="008454B0" w:rsidRPr="003408A6" w:rsidRDefault="00E97044" w:rsidP="00605DD8">
      <w:pPr>
        <w:pStyle w:val="Bodytextbullets"/>
        <w:rPr>
          <w:lang w:val="en-AU"/>
        </w:rPr>
      </w:pPr>
      <w:r w:rsidRPr="003408A6">
        <w:rPr>
          <w:lang w:val="en-AU"/>
        </w:rPr>
        <w:t>Although 6 months was an agreed lead</w:t>
      </w:r>
      <w:r w:rsidR="00124503">
        <w:rPr>
          <w:lang w:val="en-AU"/>
        </w:rPr>
        <w:t>-</w:t>
      </w:r>
      <w:r w:rsidRPr="003408A6">
        <w:rPr>
          <w:lang w:val="en-AU"/>
        </w:rPr>
        <w:t>time from announcement to rollout, for school programs a</w:t>
      </w:r>
      <w:r w:rsidR="008454B0" w:rsidRPr="003408A6">
        <w:rPr>
          <w:lang w:val="en-AU"/>
        </w:rPr>
        <w:t xml:space="preserve"> lead</w:t>
      </w:r>
      <w:r w:rsidR="0043033C" w:rsidRPr="003408A6">
        <w:rPr>
          <w:lang w:val="en-AU"/>
        </w:rPr>
        <w:t>-</w:t>
      </w:r>
      <w:r w:rsidR="008454B0" w:rsidRPr="003408A6">
        <w:rPr>
          <w:lang w:val="en-AU"/>
        </w:rPr>
        <w:t>time of 8</w:t>
      </w:r>
      <w:r w:rsidR="00C95382" w:rsidRPr="003408A6">
        <w:rPr>
          <w:lang w:val="en-AU"/>
        </w:rPr>
        <w:t>–</w:t>
      </w:r>
      <w:r w:rsidR="008454B0" w:rsidRPr="003408A6">
        <w:rPr>
          <w:lang w:val="en-AU"/>
        </w:rPr>
        <w:t xml:space="preserve">9 months is </w:t>
      </w:r>
      <w:r w:rsidRPr="003408A6">
        <w:rPr>
          <w:lang w:val="en-AU"/>
        </w:rPr>
        <w:t xml:space="preserve">in fact </w:t>
      </w:r>
      <w:r w:rsidR="008454B0" w:rsidRPr="003408A6">
        <w:rPr>
          <w:lang w:val="en-AU"/>
        </w:rPr>
        <w:t xml:space="preserve">needed </w:t>
      </w:r>
      <w:r w:rsidRPr="003408A6">
        <w:rPr>
          <w:lang w:val="en-AU"/>
        </w:rPr>
        <w:t>to allow for the summer school holidays</w:t>
      </w:r>
      <w:r w:rsidR="008454B0" w:rsidRPr="003408A6">
        <w:rPr>
          <w:lang w:val="en-AU"/>
        </w:rPr>
        <w:t>.</w:t>
      </w:r>
    </w:p>
    <w:p w:rsidR="008454B0" w:rsidRPr="003408A6" w:rsidRDefault="00E97044" w:rsidP="00605DD8">
      <w:pPr>
        <w:pStyle w:val="Bodytextbullets"/>
        <w:rPr>
          <w:lang w:val="en-AU"/>
        </w:rPr>
      </w:pPr>
      <w:r w:rsidRPr="003408A6">
        <w:rPr>
          <w:lang w:val="en-AU"/>
        </w:rPr>
        <w:t xml:space="preserve">The </w:t>
      </w:r>
      <w:r w:rsidR="008E6E49">
        <w:rPr>
          <w:lang w:val="en-AU"/>
        </w:rPr>
        <w:t>Australian Government Department of Health</w:t>
      </w:r>
      <w:r w:rsidRPr="003408A6">
        <w:rPr>
          <w:lang w:val="en-AU"/>
        </w:rPr>
        <w:t xml:space="preserve"> </w:t>
      </w:r>
      <w:r w:rsidR="008454B0" w:rsidRPr="003408A6">
        <w:rPr>
          <w:lang w:val="en-AU"/>
        </w:rPr>
        <w:t xml:space="preserve">should be preparing </w:t>
      </w:r>
      <w:r w:rsidR="00082505" w:rsidRPr="003408A6">
        <w:rPr>
          <w:lang w:val="en-AU"/>
        </w:rPr>
        <w:t xml:space="preserve">information </w:t>
      </w:r>
      <w:r w:rsidR="008454B0" w:rsidRPr="003408A6">
        <w:rPr>
          <w:lang w:val="en-AU"/>
        </w:rPr>
        <w:t xml:space="preserve">resources </w:t>
      </w:r>
      <w:r w:rsidR="00082505" w:rsidRPr="003408A6">
        <w:rPr>
          <w:lang w:val="en-AU"/>
        </w:rPr>
        <w:t xml:space="preserve">such as factsheets and websites </w:t>
      </w:r>
      <w:r w:rsidR="008454B0" w:rsidRPr="003408A6">
        <w:rPr>
          <w:lang w:val="en-AU"/>
        </w:rPr>
        <w:t xml:space="preserve">before the announcement of the program so that they are </w:t>
      </w:r>
      <w:r w:rsidR="00082505" w:rsidRPr="003408A6">
        <w:rPr>
          <w:lang w:val="en-AU"/>
        </w:rPr>
        <w:t xml:space="preserve">immediately </w:t>
      </w:r>
      <w:r w:rsidR="008454B0" w:rsidRPr="003408A6">
        <w:rPr>
          <w:lang w:val="en-AU"/>
        </w:rPr>
        <w:t>available at the start of program</w:t>
      </w:r>
      <w:r w:rsidR="00C95382" w:rsidRPr="003408A6">
        <w:rPr>
          <w:lang w:val="en-AU"/>
        </w:rPr>
        <w:t>.</w:t>
      </w:r>
      <w:r w:rsidR="008454B0" w:rsidRPr="003408A6">
        <w:rPr>
          <w:lang w:val="en-AU"/>
        </w:rPr>
        <w:t xml:space="preserve"> </w:t>
      </w:r>
    </w:p>
    <w:p w:rsidR="008454B0" w:rsidRPr="003408A6" w:rsidRDefault="008454B0" w:rsidP="00605DD8">
      <w:pPr>
        <w:pStyle w:val="Bodytextbullets"/>
        <w:rPr>
          <w:lang w:val="en-AU"/>
        </w:rPr>
      </w:pPr>
      <w:r w:rsidRPr="003408A6">
        <w:rPr>
          <w:lang w:val="en-AU"/>
        </w:rPr>
        <w:t>Advance notice allows governments to be more strategic and be able to make rapid decisions</w:t>
      </w:r>
      <w:r w:rsidR="00C95382" w:rsidRPr="003408A6">
        <w:rPr>
          <w:lang w:val="en-AU"/>
        </w:rPr>
        <w:t>.</w:t>
      </w:r>
    </w:p>
    <w:p w:rsidR="008454B0" w:rsidRPr="003408A6" w:rsidRDefault="008454B0" w:rsidP="00605DD8">
      <w:pPr>
        <w:pStyle w:val="Bodytextbullets"/>
        <w:rPr>
          <w:lang w:val="en-AU"/>
        </w:rPr>
      </w:pPr>
      <w:r w:rsidRPr="003408A6">
        <w:rPr>
          <w:lang w:val="en-AU"/>
        </w:rPr>
        <w:t xml:space="preserve"> Avoid political announcements for better timing of rollout.</w:t>
      </w:r>
    </w:p>
    <w:p w:rsidR="008454B0" w:rsidRPr="003408A6" w:rsidRDefault="000D3F2A" w:rsidP="00FE32A9">
      <w:pPr>
        <w:pStyle w:val="Heading4"/>
      </w:pPr>
      <w:r w:rsidRPr="003408A6">
        <w:t>Funding and capacity</w:t>
      </w:r>
    </w:p>
    <w:p w:rsidR="008454B0" w:rsidRPr="003408A6" w:rsidRDefault="008454B0" w:rsidP="003A17D0">
      <w:pPr>
        <w:pStyle w:val="Bodytextbullets"/>
        <w:rPr>
          <w:lang w:val="en-AU"/>
        </w:rPr>
      </w:pPr>
      <w:r w:rsidRPr="003408A6">
        <w:rPr>
          <w:lang w:val="en-AU"/>
        </w:rPr>
        <w:t xml:space="preserve">More funding assistance was required from the Australian </w:t>
      </w:r>
      <w:r w:rsidR="001B3B24" w:rsidRPr="003408A6">
        <w:rPr>
          <w:lang w:val="en-AU"/>
        </w:rPr>
        <w:t>g</w:t>
      </w:r>
      <w:r w:rsidRPr="003408A6">
        <w:rPr>
          <w:lang w:val="en-AU"/>
        </w:rPr>
        <w:t>overnment for the delivery of the school-based program.</w:t>
      </w:r>
    </w:p>
    <w:p w:rsidR="008454B0" w:rsidRPr="003408A6" w:rsidRDefault="008454B0" w:rsidP="003A17D0">
      <w:pPr>
        <w:pStyle w:val="Bodytextbullets"/>
        <w:rPr>
          <w:lang w:val="en-AU"/>
        </w:rPr>
      </w:pPr>
      <w:r w:rsidRPr="003408A6">
        <w:rPr>
          <w:lang w:val="en-AU"/>
        </w:rPr>
        <w:t xml:space="preserve">School-based programs are run by the states/territories and therefore need some Australian government </w:t>
      </w:r>
      <w:r w:rsidR="001320B0" w:rsidRPr="003408A6">
        <w:rPr>
          <w:lang w:val="en-AU"/>
        </w:rPr>
        <w:t>a</w:t>
      </w:r>
      <w:r w:rsidRPr="003408A6">
        <w:rPr>
          <w:lang w:val="en-AU"/>
        </w:rPr>
        <w:t>ssistance with funding</w:t>
      </w:r>
      <w:r w:rsidR="00C95382" w:rsidRPr="003408A6">
        <w:rPr>
          <w:lang w:val="en-AU"/>
        </w:rPr>
        <w:t>.</w:t>
      </w:r>
    </w:p>
    <w:p w:rsidR="008454B0" w:rsidRPr="003408A6" w:rsidRDefault="008454B0" w:rsidP="003A17D0">
      <w:pPr>
        <w:pStyle w:val="Bodytextbullets"/>
        <w:rPr>
          <w:lang w:val="en-AU"/>
        </w:rPr>
      </w:pPr>
      <w:r w:rsidRPr="003408A6">
        <w:rPr>
          <w:lang w:val="en-AU"/>
        </w:rPr>
        <w:t xml:space="preserve">Local councils need more resources to deliver the program and educate </w:t>
      </w:r>
      <w:r w:rsidR="00C95382" w:rsidRPr="003408A6">
        <w:rPr>
          <w:lang w:val="en-AU"/>
        </w:rPr>
        <w:t xml:space="preserve">the </w:t>
      </w:r>
      <w:r w:rsidRPr="003408A6">
        <w:rPr>
          <w:lang w:val="en-AU"/>
        </w:rPr>
        <w:t>community.</w:t>
      </w:r>
    </w:p>
    <w:p w:rsidR="008454B0" w:rsidRPr="003408A6" w:rsidRDefault="000D3F2A" w:rsidP="00FE32A9">
      <w:pPr>
        <w:pStyle w:val="Heading4"/>
      </w:pPr>
      <w:r w:rsidRPr="003408A6">
        <w:t>School-based program</w:t>
      </w:r>
    </w:p>
    <w:p w:rsidR="008454B0" w:rsidRPr="003408A6" w:rsidRDefault="00010F98" w:rsidP="003A17D0">
      <w:pPr>
        <w:pStyle w:val="Bodytextbullets"/>
        <w:rPr>
          <w:lang w:val="en-AU"/>
        </w:rPr>
      </w:pPr>
      <w:r w:rsidRPr="003408A6">
        <w:rPr>
          <w:lang w:val="en-AU"/>
        </w:rPr>
        <w:t>Need to come up with ways of improving the uptake in the older age groups, for example</w:t>
      </w:r>
      <w:r w:rsidR="00124503">
        <w:rPr>
          <w:lang w:val="en-AU"/>
        </w:rPr>
        <w:t>,</w:t>
      </w:r>
      <w:r w:rsidRPr="003408A6">
        <w:rPr>
          <w:lang w:val="en-AU"/>
        </w:rPr>
        <w:t xml:space="preserve"> finding ways to ensure that older students are there on vaccination day.</w:t>
      </w:r>
    </w:p>
    <w:p w:rsidR="008454B0" w:rsidRPr="003408A6" w:rsidRDefault="00E97044" w:rsidP="003A17D0">
      <w:pPr>
        <w:pStyle w:val="Bodytextbullets"/>
        <w:rPr>
          <w:lang w:val="en-AU"/>
        </w:rPr>
      </w:pPr>
      <w:r w:rsidRPr="003408A6">
        <w:rPr>
          <w:lang w:val="en-AU"/>
        </w:rPr>
        <w:t>It is effective to v</w:t>
      </w:r>
      <w:r w:rsidR="008454B0" w:rsidRPr="003408A6">
        <w:rPr>
          <w:lang w:val="en-AU"/>
        </w:rPr>
        <w:t xml:space="preserve">accinate the younger age cohorts in </w:t>
      </w:r>
      <w:r w:rsidR="00C95382" w:rsidRPr="003408A6">
        <w:rPr>
          <w:lang w:val="en-AU"/>
        </w:rPr>
        <w:t xml:space="preserve">the </w:t>
      </w:r>
      <w:r w:rsidR="008454B0" w:rsidRPr="003408A6">
        <w:rPr>
          <w:lang w:val="en-AU"/>
        </w:rPr>
        <w:t>first year of high school when uptake is better.</w:t>
      </w:r>
    </w:p>
    <w:p w:rsidR="008454B0" w:rsidRPr="003408A6" w:rsidRDefault="008454B0" w:rsidP="003A17D0">
      <w:pPr>
        <w:pStyle w:val="Bodytextbullets"/>
        <w:rPr>
          <w:lang w:val="en-AU"/>
        </w:rPr>
      </w:pPr>
      <w:r w:rsidRPr="003408A6">
        <w:rPr>
          <w:lang w:val="en-AU"/>
        </w:rPr>
        <w:t>A whole</w:t>
      </w:r>
      <w:r w:rsidR="00124503">
        <w:rPr>
          <w:lang w:val="en-AU"/>
        </w:rPr>
        <w:t>-</w:t>
      </w:r>
      <w:r w:rsidRPr="003408A6">
        <w:rPr>
          <w:lang w:val="en-AU"/>
        </w:rPr>
        <w:t>of</w:t>
      </w:r>
      <w:r w:rsidR="00124503">
        <w:rPr>
          <w:lang w:val="en-AU"/>
        </w:rPr>
        <w:t>-</w:t>
      </w:r>
      <w:r w:rsidRPr="003408A6">
        <w:rPr>
          <w:lang w:val="en-AU"/>
        </w:rPr>
        <w:t>high</w:t>
      </w:r>
      <w:r w:rsidR="00124503">
        <w:rPr>
          <w:lang w:val="en-AU"/>
        </w:rPr>
        <w:t>-</w:t>
      </w:r>
      <w:r w:rsidRPr="003408A6">
        <w:rPr>
          <w:lang w:val="en-AU"/>
        </w:rPr>
        <w:t>school catch</w:t>
      </w:r>
      <w:r w:rsidR="0043033C" w:rsidRPr="003408A6">
        <w:rPr>
          <w:lang w:val="en-AU"/>
        </w:rPr>
        <w:t>-</w:t>
      </w:r>
      <w:r w:rsidRPr="003408A6">
        <w:rPr>
          <w:lang w:val="en-AU"/>
        </w:rPr>
        <w:t xml:space="preserve">up for the male program </w:t>
      </w:r>
      <w:r w:rsidR="00C95382" w:rsidRPr="003408A6">
        <w:rPr>
          <w:lang w:val="en-AU"/>
        </w:rPr>
        <w:t>would</w:t>
      </w:r>
      <w:r w:rsidRPr="003408A6">
        <w:rPr>
          <w:lang w:val="en-AU"/>
        </w:rPr>
        <w:t xml:space="preserve"> improve coverage and equity of access to the vaccine. </w:t>
      </w:r>
    </w:p>
    <w:p w:rsidR="008454B0" w:rsidRPr="003408A6" w:rsidRDefault="008454B0" w:rsidP="003A17D0">
      <w:pPr>
        <w:pStyle w:val="Bodytextbullets"/>
        <w:rPr>
          <w:lang w:val="en-AU"/>
        </w:rPr>
      </w:pPr>
      <w:r w:rsidRPr="003408A6">
        <w:rPr>
          <w:lang w:val="en-AU"/>
        </w:rPr>
        <w:t xml:space="preserve">Additional staff are needed to </w:t>
      </w:r>
      <w:r w:rsidR="000303E1" w:rsidRPr="003408A6">
        <w:rPr>
          <w:lang w:val="en-AU"/>
        </w:rPr>
        <w:t>plan</w:t>
      </w:r>
      <w:r w:rsidR="00124503">
        <w:rPr>
          <w:lang w:val="en-AU"/>
        </w:rPr>
        <w:t>,</w:t>
      </w:r>
      <w:r w:rsidR="000303E1" w:rsidRPr="003408A6">
        <w:rPr>
          <w:lang w:val="en-AU"/>
        </w:rPr>
        <w:t xml:space="preserve"> run and evaluate </w:t>
      </w:r>
      <w:r w:rsidRPr="003408A6">
        <w:rPr>
          <w:lang w:val="en-AU"/>
        </w:rPr>
        <w:t xml:space="preserve">the growing </w:t>
      </w:r>
      <w:r w:rsidR="000303E1" w:rsidRPr="003408A6">
        <w:rPr>
          <w:lang w:val="en-AU"/>
        </w:rPr>
        <w:t xml:space="preserve">school-based </w:t>
      </w:r>
      <w:r w:rsidRPr="003408A6">
        <w:rPr>
          <w:lang w:val="en-AU"/>
        </w:rPr>
        <w:t>program.</w:t>
      </w:r>
    </w:p>
    <w:p w:rsidR="008454B0" w:rsidRPr="003408A6" w:rsidRDefault="008454B0" w:rsidP="003A17D0">
      <w:pPr>
        <w:pStyle w:val="Bodytextbullets"/>
        <w:rPr>
          <w:lang w:val="en-AU"/>
        </w:rPr>
      </w:pPr>
      <w:r w:rsidRPr="003408A6">
        <w:rPr>
          <w:lang w:val="en-AU"/>
        </w:rPr>
        <w:t>Research is needed on building successful models of collaboration between the health and education sectors.</w:t>
      </w:r>
    </w:p>
    <w:p w:rsidR="008454B0" w:rsidRPr="003408A6" w:rsidRDefault="008454B0" w:rsidP="003A17D0">
      <w:pPr>
        <w:pStyle w:val="Bodytextbullets"/>
        <w:rPr>
          <w:lang w:val="en-AU"/>
        </w:rPr>
      </w:pPr>
      <w:r w:rsidRPr="003408A6">
        <w:rPr>
          <w:lang w:val="en-AU"/>
        </w:rPr>
        <w:t xml:space="preserve">Pressures on staff on vaccination day need to be carefully managed to avoid putting staff at </w:t>
      </w:r>
      <w:r w:rsidR="0041413C" w:rsidRPr="003408A6">
        <w:rPr>
          <w:lang w:val="en-AU"/>
        </w:rPr>
        <w:t xml:space="preserve">increased </w:t>
      </w:r>
      <w:r w:rsidRPr="003408A6">
        <w:rPr>
          <w:lang w:val="en-AU"/>
        </w:rPr>
        <w:t>risk</w:t>
      </w:r>
      <w:r w:rsidR="00930F1F" w:rsidRPr="003408A6">
        <w:rPr>
          <w:lang w:val="en-AU"/>
        </w:rPr>
        <w:t xml:space="preserve"> of making errors</w:t>
      </w:r>
      <w:r w:rsidR="0041413C" w:rsidRPr="003408A6">
        <w:rPr>
          <w:lang w:val="en-AU"/>
        </w:rPr>
        <w:t xml:space="preserve"> due to an excessive workload</w:t>
      </w:r>
      <w:r w:rsidRPr="003408A6">
        <w:rPr>
          <w:lang w:val="en-AU"/>
        </w:rPr>
        <w:t>.</w:t>
      </w:r>
    </w:p>
    <w:p w:rsidR="008454B0" w:rsidRPr="003408A6" w:rsidRDefault="008454B0" w:rsidP="003A17D0">
      <w:pPr>
        <w:pStyle w:val="Bodytextbullets"/>
        <w:rPr>
          <w:lang w:val="en-AU"/>
        </w:rPr>
      </w:pPr>
      <w:r w:rsidRPr="003408A6">
        <w:rPr>
          <w:lang w:val="en-AU"/>
        </w:rPr>
        <w:t xml:space="preserve"> GPs need more access to more timely</w:t>
      </w:r>
      <w:r w:rsidR="00124503">
        <w:rPr>
          <w:lang w:val="en-AU"/>
        </w:rPr>
        <w:t>,</w:t>
      </w:r>
      <w:r w:rsidRPr="003408A6">
        <w:rPr>
          <w:lang w:val="en-AU"/>
        </w:rPr>
        <w:t xml:space="preserve"> reliable data about doses received by patients through the school</w:t>
      </w:r>
      <w:r w:rsidR="003077BD" w:rsidRPr="003408A6">
        <w:rPr>
          <w:lang w:val="en-AU"/>
        </w:rPr>
        <w:t>-based</w:t>
      </w:r>
      <w:r w:rsidRPr="003408A6">
        <w:rPr>
          <w:lang w:val="en-AU"/>
        </w:rPr>
        <w:t xml:space="preserve"> program, to allow better catch</w:t>
      </w:r>
      <w:r w:rsidR="0043033C" w:rsidRPr="003408A6">
        <w:rPr>
          <w:lang w:val="en-AU"/>
        </w:rPr>
        <w:t>-</w:t>
      </w:r>
      <w:r w:rsidRPr="003408A6">
        <w:rPr>
          <w:lang w:val="en-AU"/>
        </w:rPr>
        <w:t>up of missed doses in general practice.</w:t>
      </w:r>
    </w:p>
    <w:p w:rsidR="008454B0" w:rsidRPr="003408A6" w:rsidRDefault="000D3F2A" w:rsidP="00FE32A9">
      <w:pPr>
        <w:pStyle w:val="Heading4"/>
      </w:pPr>
      <w:r w:rsidRPr="003408A6">
        <w:t xml:space="preserve">Communication </w:t>
      </w:r>
      <w:r w:rsidR="00B8021E">
        <w:t xml:space="preserve">and </w:t>
      </w:r>
      <w:r w:rsidRPr="003408A6">
        <w:t>resources</w:t>
      </w:r>
    </w:p>
    <w:p w:rsidR="008454B0" w:rsidRPr="003408A6" w:rsidRDefault="008454B0" w:rsidP="003A17D0">
      <w:pPr>
        <w:pStyle w:val="Bodytextbullets"/>
        <w:rPr>
          <w:lang w:val="en-AU"/>
        </w:rPr>
      </w:pPr>
      <w:r w:rsidRPr="003408A6">
        <w:rPr>
          <w:lang w:val="en-AU"/>
        </w:rPr>
        <w:t xml:space="preserve">Resources need to be available early to take to schools and to convey a consistent message. </w:t>
      </w:r>
    </w:p>
    <w:p w:rsidR="008454B0" w:rsidRPr="003408A6" w:rsidRDefault="008454B0" w:rsidP="003A17D0">
      <w:pPr>
        <w:pStyle w:val="Bodytextbullets"/>
        <w:rPr>
          <w:lang w:val="en-AU"/>
        </w:rPr>
      </w:pPr>
      <w:r w:rsidRPr="003408A6">
        <w:rPr>
          <w:lang w:val="en-AU"/>
        </w:rPr>
        <w:t xml:space="preserve">More collaboration is needed between </w:t>
      </w:r>
      <w:r w:rsidR="00DE3F2F" w:rsidRPr="003408A6">
        <w:rPr>
          <w:lang w:val="en-AU"/>
        </w:rPr>
        <w:t xml:space="preserve">the </w:t>
      </w:r>
      <w:r w:rsidR="008E6E49">
        <w:rPr>
          <w:lang w:val="en-AU"/>
        </w:rPr>
        <w:t>Australian Government Department of Health</w:t>
      </w:r>
      <w:r w:rsidR="00DE3F2F" w:rsidRPr="003408A6">
        <w:rPr>
          <w:lang w:val="en-AU"/>
        </w:rPr>
        <w:t xml:space="preserve"> </w:t>
      </w:r>
      <w:r w:rsidRPr="003408A6">
        <w:rPr>
          <w:lang w:val="en-AU"/>
        </w:rPr>
        <w:t xml:space="preserve">and </w:t>
      </w:r>
      <w:r w:rsidR="00DE3F2F" w:rsidRPr="003408A6">
        <w:rPr>
          <w:lang w:val="en-AU"/>
        </w:rPr>
        <w:t xml:space="preserve">the states and territories </w:t>
      </w:r>
      <w:r w:rsidRPr="003408A6">
        <w:rPr>
          <w:lang w:val="en-AU"/>
        </w:rPr>
        <w:t xml:space="preserve">in developing the messages and resources prior to the rollout of the program. </w:t>
      </w:r>
    </w:p>
    <w:p w:rsidR="008454B0" w:rsidRPr="003408A6" w:rsidRDefault="00DE3F2F" w:rsidP="003A17D0">
      <w:pPr>
        <w:pStyle w:val="Bodytextbullets"/>
        <w:rPr>
          <w:lang w:val="en-AU"/>
        </w:rPr>
      </w:pPr>
      <w:r w:rsidRPr="003408A6">
        <w:rPr>
          <w:lang w:val="en-AU"/>
        </w:rPr>
        <w:t xml:space="preserve">More collaboration is needed between the </w:t>
      </w:r>
      <w:r w:rsidR="008E6E49">
        <w:rPr>
          <w:lang w:val="en-AU"/>
        </w:rPr>
        <w:t>Australian Government Department of Health</w:t>
      </w:r>
      <w:r w:rsidRPr="003408A6">
        <w:rPr>
          <w:lang w:val="en-AU"/>
        </w:rPr>
        <w:t xml:space="preserve"> and</w:t>
      </w:r>
      <w:r w:rsidR="008454B0" w:rsidRPr="003408A6">
        <w:rPr>
          <w:lang w:val="en-AU"/>
        </w:rPr>
        <w:t xml:space="preserve"> general practice and Medicare Locals in the development of communication resources. </w:t>
      </w:r>
    </w:p>
    <w:p w:rsidR="008454B0" w:rsidRPr="003408A6" w:rsidRDefault="00DE3F2F" w:rsidP="003A17D0">
      <w:pPr>
        <w:pStyle w:val="Bodytextbullets"/>
        <w:rPr>
          <w:lang w:val="en-AU"/>
        </w:rPr>
      </w:pPr>
      <w:r w:rsidRPr="003408A6">
        <w:rPr>
          <w:lang w:val="en-AU"/>
        </w:rPr>
        <w:t>National i</w:t>
      </w:r>
      <w:r w:rsidR="008454B0" w:rsidRPr="003408A6">
        <w:rPr>
          <w:lang w:val="en-AU"/>
        </w:rPr>
        <w:t>nformation resources should highlight and explain the role of local councils in delivering the program and catch-up doses, rather than just referring to GPs.</w:t>
      </w:r>
    </w:p>
    <w:p w:rsidR="008454B0" w:rsidRPr="003408A6" w:rsidRDefault="008454B0" w:rsidP="003A17D0">
      <w:pPr>
        <w:pStyle w:val="Bodytextbullets"/>
        <w:rPr>
          <w:lang w:val="en-AU"/>
        </w:rPr>
      </w:pPr>
      <w:r w:rsidRPr="003408A6">
        <w:rPr>
          <w:lang w:val="en-AU"/>
        </w:rPr>
        <w:t>There need to be more consistent messages to providers.</w:t>
      </w:r>
    </w:p>
    <w:p w:rsidR="008454B0" w:rsidRPr="003408A6" w:rsidRDefault="008454B0" w:rsidP="003A17D0">
      <w:pPr>
        <w:pStyle w:val="Bodytextbullets"/>
        <w:rPr>
          <w:lang w:val="en-AU"/>
        </w:rPr>
      </w:pPr>
      <w:r w:rsidRPr="003408A6">
        <w:rPr>
          <w:lang w:val="en-AU"/>
        </w:rPr>
        <w:t xml:space="preserve">Information and communication strategies should </w:t>
      </w:r>
      <w:r w:rsidR="00FB3F80" w:rsidRPr="003408A6">
        <w:rPr>
          <w:lang w:val="en-AU"/>
        </w:rPr>
        <w:t xml:space="preserve">continue to </w:t>
      </w:r>
      <w:r w:rsidRPr="003408A6">
        <w:rPr>
          <w:lang w:val="en-AU"/>
        </w:rPr>
        <w:t>target parents as they</w:t>
      </w:r>
      <w:r w:rsidR="00FB3F80" w:rsidRPr="003408A6">
        <w:rPr>
          <w:lang w:val="en-AU"/>
        </w:rPr>
        <w:t xml:space="preserve"> are the ones who</w:t>
      </w:r>
      <w:r w:rsidRPr="003408A6">
        <w:rPr>
          <w:lang w:val="en-AU"/>
        </w:rPr>
        <w:t xml:space="preserve"> give consent.</w:t>
      </w:r>
    </w:p>
    <w:p w:rsidR="008454B0" w:rsidRPr="003408A6" w:rsidRDefault="00DE3F2F" w:rsidP="003A17D0">
      <w:pPr>
        <w:pStyle w:val="Bodytextbullets"/>
        <w:rPr>
          <w:lang w:val="en-AU"/>
        </w:rPr>
      </w:pPr>
      <w:r w:rsidRPr="003408A6">
        <w:rPr>
          <w:lang w:val="en-AU"/>
        </w:rPr>
        <w:t>M</w:t>
      </w:r>
      <w:r w:rsidR="008454B0" w:rsidRPr="003408A6">
        <w:rPr>
          <w:lang w:val="en-AU"/>
        </w:rPr>
        <w:t xml:space="preserve">ass media </w:t>
      </w:r>
      <w:r w:rsidRPr="003408A6">
        <w:rPr>
          <w:lang w:val="en-AU"/>
        </w:rPr>
        <w:t xml:space="preserve">may be a more effective way </w:t>
      </w:r>
      <w:r w:rsidR="008454B0" w:rsidRPr="003408A6">
        <w:rPr>
          <w:lang w:val="en-AU"/>
        </w:rPr>
        <w:t xml:space="preserve">to promote the program, rather than sending paper-based material to schools. </w:t>
      </w:r>
    </w:p>
    <w:p w:rsidR="008454B0" w:rsidRPr="003408A6" w:rsidRDefault="008454B0" w:rsidP="003A17D0">
      <w:pPr>
        <w:pStyle w:val="Bodytextbullets"/>
        <w:rPr>
          <w:lang w:val="en-AU"/>
        </w:rPr>
      </w:pPr>
      <w:r w:rsidRPr="003408A6">
        <w:rPr>
          <w:lang w:val="en-AU"/>
        </w:rPr>
        <w:t xml:space="preserve">Keep using the </w:t>
      </w:r>
      <w:r w:rsidR="00DE3F2F" w:rsidRPr="003408A6">
        <w:rPr>
          <w:lang w:val="en-AU"/>
        </w:rPr>
        <w:t xml:space="preserve">National </w:t>
      </w:r>
      <w:r w:rsidRPr="003408A6">
        <w:rPr>
          <w:lang w:val="en-AU"/>
        </w:rPr>
        <w:t>HPV website as a good resource.</w:t>
      </w:r>
    </w:p>
    <w:p w:rsidR="008454B0" w:rsidRPr="003408A6" w:rsidRDefault="008454B0" w:rsidP="003A17D0">
      <w:pPr>
        <w:pStyle w:val="Bodytextbullets"/>
        <w:rPr>
          <w:lang w:val="en-AU"/>
        </w:rPr>
      </w:pPr>
      <w:r w:rsidRPr="003408A6">
        <w:rPr>
          <w:lang w:val="en-AU"/>
        </w:rPr>
        <w:t>Social media and SMS reminders are a good way to communicate and should be used more in future communication strategies</w:t>
      </w:r>
      <w:r w:rsidR="00C95382" w:rsidRPr="003408A6">
        <w:rPr>
          <w:lang w:val="en-AU"/>
        </w:rPr>
        <w:t>.</w:t>
      </w:r>
    </w:p>
    <w:p w:rsidR="008454B0" w:rsidRPr="003408A6" w:rsidRDefault="008454B0" w:rsidP="003A17D0">
      <w:pPr>
        <w:pStyle w:val="Bodytextbullets"/>
        <w:rPr>
          <w:lang w:val="en-AU"/>
        </w:rPr>
      </w:pPr>
      <w:r w:rsidRPr="003408A6">
        <w:rPr>
          <w:lang w:val="en-AU"/>
        </w:rPr>
        <w:t xml:space="preserve">Bright and engaging presentation of information is important. </w:t>
      </w:r>
    </w:p>
    <w:p w:rsidR="008454B0" w:rsidRPr="003408A6" w:rsidRDefault="008454B0" w:rsidP="003A17D0">
      <w:pPr>
        <w:pStyle w:val="Bodytextbullets"/>
        <w:rPr>
          <w:lang w:val="en-AU"/>
        </w:rPr>
      </w:pPr>
      <w:r w:rsidRPr="003408A6">
        <w:rPr>
          <w:lang w:val="en-AU"/>
        </w:rPr>
        <w:t xml:space="preserve">The HPV website should have more content on the need for cervical screening and </w:t>
      </w:r>
      <w:r w:rsidR="002E49A3" w:rsidRPr="003408A6">
        <w:rPr>
          <w:lang w:val="en-AU"/>
        </w:rPr>
        <w:t xml:space="preserve">the </w:t>
      </w:r>
      <w:r w:rsidRPr="003408A6">
        <w:rPr>
          <w:lang w:val="en-AU"/>
        </w:rPr>
        <w:t>sexual transmission of the virus.</w:t>
      </w:r>
    </w:p>
    <w:p w:rsidR="008454B0" w:rsidRPr="003408A6" w:rsidRDefault="008454B0" w:rsidP="003A17D0">
      <w:pPr>
        <w:pStyle w:val="Bodytextbullets"/>
        <w:rPr>
          <w:lang w:val="en-AU"/>
        </w:rPr>
      </w:pPr>
      <w:r w:rsidRPr="003408A6">
        <w:rPr>
          <w:lang w:val="en-AU"/>
        </w:rPr>
        <w:t xml:space="preserve">There remains a need to reach people from CALD backgrounds. </w:t>
      </w:r>
      <w:r w:rsidR="00DE3F2F" w:rsidRPr="003408A6">
        <w:rPr>
          <w:lang w:val="en-AU"/>
        </w:rPr>
        <w:t xml:space="preserve">Although </w:t>
      </w:r>
      <w:r w:rsidR="00BB0289" w:rsidRPr="003408A6">
        <w:rPr>
          <w:lang w:val="en-AU"/>
        </w:rPr>
        <w:t xml:space="preserve">the </w:t>
      </w:r>
      <w:r w:rsidRPr="003408A6">
        <w:rPr>
          <w:lang w:val="en-AU"/>
        </w:rPr>
        <w:t xml:space="preserve">HPV </w:t>
      </w:r>
      <w:r w:rsidR="00BB0289" w:rsidRPr="003408A6">
        <w:rPr>
          <w:lang w:val="en-AU"/>
        </w:rPr>
        <w:t xml:space="preserve">website has </w:t>
      </w:r>
      <w:r w:rsidRPr="003408A6">
        <w:rPr>
          <w:lang w:val="en-AU"/>
        </w:rPr>
        <w:t xml:space="preserve">information </w:t>
      </w:r>
      <w:r w:rsidR="00DE3F2F" w:rsidRPr="003408A6">
        <w:rPr>
          <w:lang w:val="en-AU"/>
        </w:rPr>
        <w:t>in 21 languages, there is still a need to develop a</w:t>
      </w:r>
      <w:r w:rsidRPr="003408A6">
        <w:rPr>
          <w:lang w:val="en-AU"/>
        </w:rPr>
        <w:t xml:space="preserve"> greater variety of resources in languages</w:t>
      </w:r>
      <w:r w:rsidR="00BB0289" w:rsidRPr="003408A6">
        <w:rPr>
          <w:lang w:val="en-AU"/>
        </w:rPr>
        <w:t xml:space="preserve"> other than English</w:t>
      </w:r>
      <w:r w:rsidRPr="003408A6">
        <w:rPr>
          <w:lang w:val="en-AU"/>
        </w:rPr>
        <w:t>.</w:t>
      </w:r>
    </w:p>
    <w:p w:rsidR="008454B0" w:rsidRPr="003408A6" w:rsidRDefault="008454B0" w:rsidP="003A17D0">
      <w:pPr>
        <w:pStyle w:val="Bodytextbullets"/>
        <w:rPr>
          <w:lang w:val="en-AU"/>
        </w:rPr>
      </w:pPr>
      <w:r w:rsidRPr="003408A6">
        <w:rPr>
          <w:lang w:val="en-AU"/>
        </w:rPr>
        <w:t xml:space="preserve">Immunisation is not a substitute for sexual health services. </w:t>
      </w:r>
      <w:r w:rsidR="00D25DF1" w:rsidRPr="003408A6">
        <w:rPr>
          <w:lang w:val="en-AU"/>
        </w:rPr>
        <w:t xml:space="preserve">The promotion of </w:t>
      </w:r>
      <w:r w:rsidRPr="003408A6">
        <w:rPr>
          <w:lang w:val="en-AU"/>
        </w:rPr>
        <w:t xml:space="preserve">HPV immunisation </w:t>
      </w:r>
      <w:r w:rsidR="00BB0289" w:rsidRPr="003408A6">
        <w:rPr>
          <w:lang w:val="en-AU"/>
        </w:rPr>
        <w:t xml:space="preserve">and its benefits </w:t>
      </w:r>
      <w:r w:rsidRPr="003408A6">
        <w:rPr>
          <w:lang w:val="en-AU"/>
        </w:rPr>
        <w:t xml:space="preserve">should be part of </w:t>
      </w:r>
      <w:r w:rsidR="00BB0289" w:rsidRPr="003408A6">
        <w:rPr>
          <w:lang w:val="en-AU"/>
        </w:rPr>
        <w:t xml:space="preserve">an </w:t>
      </w:r>
      <w:r w:rsidRPr="003408A6">
        <w:rPr>
          <w:lang w:val="en-AU"/>
        </w:rPr>
        <w:t>integrated sexual healthcare</w:t>
      </w:r>
      <w:r w:rsidR="00BB0289" w:rsidRPr="003408A6">
        <w:rPr>
          <w:lang w:val="en-AU"/>
        </w:rPr>
        <w:t xml:space="preserve"> message</w:t>
      </w:r>
      <w:r w:rsidRPr="003408A6">
        <w:rPr>
          <w:lang w:val="en-AU"/>
        </w:rPr>
        <w:t>.</w:t>
      </w:r>
    </w:p>
    <w:p w:rsidR="008454B0" w:rsidRPr="003408A6" w:rsidRDefault="008454B0" w:rsidP="003A17D0">
      <w:pPr>
        <w:pStyle w:val="Bodytextbullets"/>
        <w:rPr>
          <w:lang w:val="en-AU"/>
        </w:rPr>
      </w:pPr>
      <w:r w:rsidRPr="003408A6">
        <w:rPr>
          <w:lang w:val="en-AU"/>
        </w:rPr>
        <w:t xml:space="preserve">Indigenous people from urban and remote locations </w:t>
      </w:r>
      <w:r w:rsidR="00DE3F2F" w:rsidRPr="003408A6">
        <w:rPr>
          <w:lang w:val="en-AU"/>
        </w:rPr>
        <w:t>can be very different from each other</w:t>
      </w:r>
      <w:r w:rsidRPr="003408A6">
        <w:rPr>
          <w:lang w:val="en-AU"/>
        </w:rPr>
        <w:t xml:space="preserve"> and need </w:t>
      </w:r>
      <w:r w:rsidR="00BB0289" w:rsidRPr="003408A6">
        <w:rPr>
          <w:lang w:val="en-AU"/>
        </w:rPr>
        <w:t xml:space="preserve">different </w:t>
      </w:r>
      <w:r w:rsidRPr="003408A6">
        <w:rPr>
          <w:lang w:val="en-AU"/>
        </w:rPr>
        <w:t>resources</w:t>
      </w:r>
      <w:r w:rsidR="00DE3F2F" w:rsidRPr="003408A6">
        <w:rPr>
          <w:lang w:val="en-AU"/>
        </w:rPr>
        <w:t xml:space="preserve"> and messages tailored to their particular circumstances</w:t>
      </w:r>
      <w:r w:rsidRPr="003408A6">
        <w:rPr>
          <w:lang w:val="en-AU"/>
        </w:rPr>
        <w:t xml:space="preserve">. </w:t>
      </w:r>
    </w:p>
    <w:p w:rsidR="008454B0" w:rsidRPr="003408A6" w:rsidRDefault="00C95382" w:rsidP="003A17D0">
      <w:pPr>
        <w:pStyle w:val="Bodytextbullets"/>
        <w:rPr>
          <w:lang w:val="en-AU"/>
        </w:rPr>
      </w:pPr>
      <w:r w:rsidRPr="003408A6">
        <w:rPr>
          <w:lang w:val="en-AU"/>
        </w:rPr>
        <w:t>M</w:t>
      </w:r>
      <w:r w:rsidR="008454B0" w:rsidRPr="003408A6">
        <w:rPr>
          <w:lang w:val="en-AU"/>
        </w:rPr>
        <w:t>ore resources in simple language</w:t>
      </w:r>
      <w:r w:rsidRPr="003408A6">
        <w:rPr>
          <w:lang w:val="en-AU"/>
        </w:rPr>
        <w:t xml:space="preserve"> are needed</w:t>
      </w:r>
      <w:r w:rsidR="008454B0" w:rsidRPr="003408A6">
        <w:rPr>
          <w:lang w:val="en-AU"/>
        </w:rPr>
        <w:t xml:space="preserve"> for Indigenous people from remote communities.</w:t>
      </w:r>
    </w:p>
    <w:p w:rsidR="008454B0" w:rsidRPr="003408A6" w:rsidRDefault="00BB0289" w:rsidP="003A17D0">
      <w:pPr>
        <w:pStyle w:val="Bodytextbullets"/>
        <w:rPr>
          <w:lang w:val="en-AU"/>
        </w:rPr>
      </w:pPr>
      <w:r w:rsidRPr="003408A6">
        <w:rPr>
          <w:lang w:val="en-AU"/>
        </w:rPr>
        <w:t>Indigenous recorded language messages</w:t>
      </w:r>
      <w:r w:rsidR="00124503">
        <w:rPr>
          <w:lang w:val="en-AU"/>
        </w:rPr>
        <w:t>,</w:t>
      </w:r>
      <w:r w:rsidRPr="003408A6">
        <w:rPr>
          <w:lang w:val="en-AU"/>
        </w:rPr>
        <w:t xml:space="preserve"> however, take up time in general practice consultations </w:t>
      </w:r>
      <w:r w:rsidR="00124503">
        <w:rPr>
          <w:lang w:val="en-AU"/>
        </w:rPr>
        <w:t>s</w:t>
      </w:r>
      <w:r w:rsidRPr="003408A6">
        <w:rPr>
          <w:lang w:val="en-AU"/>
        </w:rPr>
        <w:t>o t</w:t>
      </w:r>
      <w:r w:rsidR="008454B0" w:rsidRPr="003408A6">
        <w:rPr>
          <w:lang w:val="en-AU"/>
        </w:rPr>
        <w:t xml:space="preserve">here is a need to evaluate </w:t>
      </w:r>
      <w:r w:rsidRPr="003408A6">
        <w:rPr>
          <w:lang w:val="en-AU"/>
        </w:rPr>
        <w:t xml:space="preserve">the effectiveness of </w:t>
      </w:r>
      <w:r w:rsidR="008454B0" w:rsidRPr="003408A6">
        <w:rPr>
          <w:lang w:val="en-AU"/>
        </w:rPr>
        <w:t>Indigenous audio</w:t>
      </w:r>
      <w:r w:rsidR="00610DE6" w:rsidRPr="003408A6">
        <w:rPr>
          <w:lang w:val="en-AU"/>
        </w:rPr>
        <w:t xml:space="preserve"> language resources.</w:t>
      </w:r>
      <w:r w:rsidR="008454B0" w:rsidRPr="003408A6">
        <w:rPr>
          <w:lang w:val="en-AU"/>
        </w:rPr>
        <w:t xml:space="preserve"> </w:t>
      </w:r>
    </w:p>
    <w:p w:rsidR="008454B0" w:rsidRPr="003408A6" w:rsidRDefault="008454B0" w:rsidP="008454B0">
      <w:pPr>
        <w:pStyle w:val="Heading3"/>
      </w:pPr>
      <w:bookmarkStart w:id="65" w:name="_Toc373497098"/>
      <w:r w:rsidRPr="003408A6">
        <w:t xml:space="preserve">Cervical Screening Program </w:t>
      </w:r>
      <w:r w:rsidR="00844392" w:rsidRPr="003408A6">
        <w:t>m</w:t>
      </w:r>
      <w:r w:rsidRPr="003408A6">
        <w:t xml:space="preserve">anager </w:t>
      </w:r>
      <w:r w:rsidR="00844392" w:rsidRPr="003408A6">
        <w:t>s</w:t>
      </w:r>
      <w:r w:rsidRPr="003408A6">
        <w:t xml:space="preserve">urvey </w:t>
      </w:r>
      <w:r w:rsidR="00844392" w:rsidRPr="003408A6">
        <w:t>r</w:t>
      </w:r>
      <w:r w:rsidRPr="003408A6">
        <w:t>esults</w:t>
      </w:r>
      <w:bookmarkEnd w:id="65"/>
    </w:p>
    <w:p w:rsidR="008454B0" w:rsidRPr="003408A6" w:rsidRDefault="008454B0" w:rsidP="003A17D0">
      <w:pPr>
        <w:pStyle w:val="BodyText"/>
        <w:rPr>
          <w:lang w:val="en-AU"/>
        </w:rPr>
      </w:pPr>
      <w:r w:rsidRPr="003408A6">
        <w:rPr>
          <w:b/>
          <w:lang w:val="en-AU"/>
        </w:rPr>
        <w:t>Table 2.</w:t>
      </w:r>
      <w:r w:rsidR="000271C1" w:rsidRPr="003408A6">
        <w:rPr>
          <w:b/>
          <w:lang w:val="en-AU"/>
        </w:rPr>
        <w:t>1</w:t>
      </w:r>
      <w:r w:rsidR="00CD45D0" w:rsidRPr="003408A6">
        <w:rPr>
          <w:b/>
          <w:lang w:val="en-AU"/>
        </w:rPr>
        <w:t>4</w:t>
      </w:r>
      <w:r w:rsidR="000271C1" w:rsidRPr="003408A6">
        <w:rPr>
          <w:lang w:val="en-AU"/>
        </w:rPr>
        <w:t xml:space="preserve"> </w:t>
      </w:r>
      <w:r w:rsidRPr="003408A6">
        <w:rPr>
          <w:lang w:val="en-AU"/>
        </w:rPr>
        <w:t xml:space="preserve">shows the percentage of </w:t>
      </w:r>
      <w:r w:rsidR="002C781A" w:rsidRPr="003408A6">
        <w:rPr>
          <w:lang w:val="en-AU"/>
        </w:rPr>
        <w:t xml:space="preserve">National </w:t>
      </w:r>
      <w:r w:rsidR="00C95382" w:rsidRPr="003408A6">
        <w:rPr>
          <w:lang w:val="en-AU"/>
        </w:rPr>
        <w:t>C</w:t>
      </w:r>
      <w:r w:rsidRPr="003408A6">
        <w:rPr>
          <w:lang w:val="en-AU"/>
        </w:rPr>
        <w:t xml:space="preserve">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 xml:space="preserve">managers/coordinators who had used selected National HPV Vaccination Program resources. All respondents were aware of the National HPV Vaccination Program website. All but one respondent had used the resources on the website for HPV </w:t>
      </w:r>
      <w:r w:rsidR="002B5E4C" w:rsidRPr="003408A6">
        <w:rPr>
          <w:lang w:val="en-AU"/>
        </w:rPr>
        <w:t>v</w:t>
      </w:r>
      <w:r w:rsidRPr="003408A6">
        <w:rPr>
          <w:lang w:val="en-AU"/>
        </w:rPr>
        <w:t xml:space="preserve">accination information. Only one respondent had used the HPV website for cervical screening information. The other HPV vaccination information resources most frequently used by </w:t>
      </w:r>
      <w:r w:rsidR="002C781A" w:rsidRPr="003408A6">
        <w:rPr>
          <w:lang w:val="en-AU"/>
        </w:rPr>
        <w:t xml:space="preserve">National </w:t>
      </w:r>
      <w:r w:rsidR="00C95382" w:rsidRPr="003408A6">
        <w:rPr>
          <w:lang w:val="en-AU"/>
        </w:rPr>
        <w:t>C</w:t>
      </w:r>
      <w:r w:rsidRPr="003408A6">
        <w:rPr>
          <w:lang w:val="en-AU"/>
        </w:rPr>
        <w:t xml:space="preserve">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 xml:space="preserve">managers were the jurisdiction health </w:t>
      </w:r>
      <w:r w:rsidR="00C95382" w:rsidRPr="003408A6">
        <w:rPr>
          <w:lang w:val="en-AU"/>
        </w:rPr>
        <w:t xml:space="preserve">department </w:t>
      </w:r>
      <w:r w:rsidRPr="003408A6">
        <w:rPr>
          <w:lang w:val="en-AU"/>
        </w:rPr>
        <w:t>websites. Jurisdiction websites and peer-reviewed publications were used by the majority of respondents for cervical screening information, followed by Cancer Council information and media.</w:t>
      </w:r>
    </w:p>
    <w:p w:rsidR="003A17D0" w:rsidRPr="003408A6" w:rsidRDefault="003A17D0">
      <w:pPr>
        <w:rPr>
          <w:rFonts w:cs="Arial"/>
          <w:szCs w:val="22"/>
          <w:lang w:eastAsia="en-US"/>
        </w:rPr>
      </w:pPr>
      <w:r w:rsidRPr="003408A6">
        <w:br w:type="page"/>
      </w:r>
    </w:p>
    <w:p w:rsidR="008454B0" w:rsidRPr="003408A6" w:rsidRDefault="008454B0" w:rsidP="000A2125">
      <w:pPr>
        <w:pStyle w:val="Tableheading"/>
        <w:rPr>
          <w:lang w:val="en-AU"/>
        </w:rPr>
      </w:pPr>
      <w:bookmarkStart w:id="66" w:name="_Toc396475535"/>
      <w:bookmarkStart w:id="67" w:name="_Toc397000763"/>
      <w:r w:rsidRPr="003408A6">
        <w:rPr>
          <w:lang w:val="en-AU"/>
        </w:rPr>
        <w:t>Table 2.1</w:t>
      </w:r>
      <w:r w:rsidR="00CD45D0" w:rsidRPr="003408A6">
        <w:rPr>
          <w:lang w:val="en-AU"/>
        </w:rPr>
        <w:t>4</w:t>
      </w:r>
      <w:r w:rsidR="00901C17" w:rsidRPr="003408A6">
        <w:rPr>
          <w:lang w:val="en-AU"/>
        </w:rPr>
        <w:t>.</w:t>
      </w:r>
      <w:r w:rsidR="00901C17" w:rsidRPr="003408A6">
        <w:rPr>
          <w:lang w:val="en-AU"/>
        </w:rPr>
        <w:tab/>
      </w:r>
      <w:r w:rsidR="002C781A" w:rsidRPr="003408A6">
        <w:rPr>
          <w:lang w:val="en-AU"/>
        </w:rPr>
        <w:t xml:space="preserve">National </w:t>
      </w:r>
      <w:r w:rsidRPr="003408A6">
        <w:rPr>
          <w:lang w:val="en-AU"/>
        </w:rPr>
        <w:t xml:space="preserve">Cervical Screening </w:t>
      </w:r>
      <w:r w:rsidR="00C95382" w:rsidRPr="003408A6">
        <w:rPr>
          <w:lang w:val="en-AU"/>
        </w:rPr>
        <w:t xml:space="preserve">Program </w:t>
      </w:r>
      <w:r w:rsidR="002B5E4C" w:rsidRPr="003408A6">
        <w:rPr>
          <w:lang w:val="en-AU"/>
        </w:rPr>
        <w:t>managers’</w:t>
      </w:r>
      <w:r w:rsidRPr="003408A6">
        <w:rPr>
          <w:lang w:val="en-AU"/>
        </w:rPr>
        <w:t xml:space="preserve"> use of information resources</w:t>
      </w:r>
      <w:bookmarkEnd w:id="66"/>
      <w:bookmarkEnd w:id="67"/>
    </w:p>
    <w:tbl>
      <w:tblPr>
        <w:tblW w:w="5273" w:type="pct"/>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644"/>
        <w:gridCol w:w="855"/>
        <w:gridCol w:w="1417"/>
        <w:gridCol w:w="1417"/>
        <w:gridCol w:w="1414"/>
      </w:tblGrid>
      <w:tr w:rsidR="008454B0" w:rsidRPr="003408A6" w:rsidTr="000229BA">
        <w:trPr>
          <w:trHeight w:val="250"/>
        </w:trPr>
        <w:tc>
          <w:tcPr>
            <w:tcW w:w="4644" w:type="dxa"/>
            <w:tcBorders>
              <w:bottom w:val="nil"/>
            </w:tcBorders>
            <w:vAlign w:val="bottom"/>
          </w:tcPr>
          <w:p w:rsidR="008454B0" w:rsidRPr="003408A6" w:rsidRDefault="003A17D0" w:rsidP="00006563">
            <w:pPr>
              <w:pStyle w:val="Tablecolumnheading"/>
              <w:rPr>
                <w:b w:val="0"/>
                <w:lang w:val="en-AU"/>
              </w:rPr>
            </w:pPr>
            <w:r w:rsidRPr="003408A6">
              <w:rPr>
                <w:lang w:val="en-AU"/>
              </w:rPr>
              <w:t>Resource</w:t>
            </w:r>
          </w:p>
        </w:tc>
        <w:tc>
          <w:tcPr>
            <w:tcW w:w="855" w:type="dxa"/>
            <w:tcBorders>
              <w:bottom w:val="nil"/>
            </w:tcBorders>
            <w:vAlign w:val="bottom"/>
          </w:tcPr>
          <w:p w:rsidR="008454B0" w:rsidRPr="003408A6" w:rsidRDefault="008454B0" w:rsidP="000229BA">
            <w:pPr>
              <w:pStyle w:val="Tablecolumnheadings"/>
              <w:rPr>
                <w:lang w:val="en-AU"/>
              </w:rPr>
            </w:pPr>
            <w:r w:rsidRPr="003408A6">
              <w:rPr>
                <w:lang w:val="en-AU"/>
              </w:rPr>
              <w:t>Did not use</w:t>
            </w:r>
          </w:p>
        </w:tc>
        <w:tc>
          <w:tcPr>
            <w:tcW w:w="1417" w:type="dxa"/>
            <w:tcBorders>
              <w:bottom w:val="nil"/>
            </w:tcBorders>
            <w:vAlign w:val="bottom"/>
          </w:tcPr>
          <w:p w:rsidR="008454B0" w:rsidRPr="003408A6" w:rsidRDefault="008454B0" w:rsidP="00006563">
            <w:pPr>
              <w:pStyle w:val="Tablecolumnheadings"/>
              <w:rPr>
                <w:lang w:val="en-AU"/>
              </w:rPr>
            </w:pPr>
            <w:r w:rsidRPr="003408A6">
              <w:rPr>
                <w:lang w:val="en-AU"/>
              </w:rPr>
              <w:t>Used for cervical screening information</w:t>
            </w:r>
          </w:p>
        </w:tc>
        <w:tc>
          <w:tcPr>
            <w:tcW w:w="1417" w:type="dxa"/>
            <w:tcBorders>
              <w:bottom w:val="nil"/>
            </w:tcBorders>
            <w:vAlign w:val="bottom"/>
          </w:tcPr>
          <w:p w:rsidR="008454B0" w:rsidRPr="003408A6" w:rsidRDefault="008454B0" w:rsidP="00006563">
            <w:pPr>
              <w:pStyle w:val="Tablecolumnheadings"/>
              <w:rPr>
                <w:lang w:val="en-AU"/>
              </w:rPr>
            </w:pPr>
            <w:r w:rsidRPr="003408A6">
              <w:rPr>
                <w:lang w:val="en-AU"/>
              </w:rPr>
              <w:t>Used for HPV vaccination information</w:t>
            </w:r>
          </w:p>
        </w:tc>
        <w:tc>
          <w:tcPr>
            <w:tcW w:w="1414" w:type="dxa"/>
            <w:tcBorders>
              <w:bottom w:val="nil"/>
            </w:tcBorders>
            <w:vAlign w:val="bottom"/>
          </w:tcPr>
          <w:p w:rsidR="008454B0" w:rsidRPr="003408A6" w:rsidRDefault="008454B0" w:rsidP="00006563">
            <w:pPr>
              <w:pStyle w:val="Tablecolumnheadings"/>
              <w:rPr>
                <w:lang w:val="en-AU"/>
              </w:rPr>
            </w:pPr>
            <w:r w:rsidRPr="003408A6">
              <w:rPr>
                <w:lang w:val="en-AU"/>
              </w:rPr>
              <w:t>Don't know/Not aware</w:t>
            </w:r>
          </w:p>
        </w:tc>
      </w:tr>
      <w:tr w:rsidR="008454B0" w:rsidRPr="003408A6" w:rsidTr="000229BA">
        <w:trPr>
          <w:trHeight w:val="250"/>
        </w:trPr>
        <w:tc>
          <w:tcPr>
            <w:tcW w:w="4644" w:type="dxa"/>
            <w:tcBorders>
              <w:top w:val="nil"/>
              <w:bottom w:val="single" w:sz="4" w:space="0" w:color="auto"/>
            </w:tcBorders>
            <w:vAlign w:val="bottom"/>
          </w:tcPr>
          <w:p w:rsidR="008454B0" w:rsidRPr="003408A6" w:rsidRDefault="008454B0" w:rsidP="003A17D0">
            <w:pPr>
              <w:pStyle w:val="Tabletext0beforeafter"/>
              <w:rPr>
                <w:lang w:val="en-AU"/>
              </w:rPr>
            </w:pPr>
          </w:p>
        </w:tc>
        <w:tc>
          <w:tcPr>
            <w:tcW w:w="855" w:type="dxa"/>
            <w:tcBorders>
              <w:top w:val="nil"/>
              <w:bottom w:val="single" w:sz="4" w:space="0" w:color="auto"/>
            </w:tcBorders>
          </w:tcPr>
          <w:p w:rsidR="008454B0" w:rsidRPr="003408A6" w:rsidRDefault="008454B0" w:rsidP="003A17D0">
            <w:pPr>
              <w:pStyle w:val="Tabletextcentred"/>
              <w:rPr>
                <w:lang w:val="en-AU"/>
              </w:rPr>
            </w:pPr>
            <w:r w:rsidRPr="003408A6">
              <w:rPr>
                <w:lang w:val="en-AU"/>
              </w:rPr>
              <w:t>%</w:t>
            </w:r>
          </w:p>
        </w:tc>
        <w:tc>
          <w:tcPr>
            <w:tcW w:w="1417" w:type="dxa"/>
            <w:tcBorders>
              <w:top w:val="nil"/>
              <w:bottom w:val="single" w:sz="4" w:space="0" w:color="auto"/>
            </w:tcBorders>
          </w:tcPr>
          <w:p w:rsidR="008454B0" w:rsidRPr="003408A6" w:rsidRDefault="008454B0" w:rsidP="003A17D0">
            <w:pPr>
              <w:pStyle w:val="Tabletextcentred"/>
              <w:rPr>
                <w:lang w:val="en-AU"/>
              </w:rPr>
            </w:pPr>
            <w:r w:rsidRPr="003408A6">
              <w:rPr>
                <w:lang w:val="en-AU"/>
              </w:rPr>
              <w:t>%</w:t>
            </w:r>
          </w:p>
        </w:tc>
        <w:tc>
          <w:tcPr>
            <w:tcW w:w="1417" w:type="dxa"/>
            <w:tcBorders>
              <w:top w:val="nil"/>
              <w:bottom w:val="single" w:sz="4" w:space="0" w:color="auto"/>
            </w:tcBorders>
          </w:tcPr>
          <w:p w:rsidR="008454B0" w:rsidRPr="003408A6" w:rsidRDefault="008454B0" w:rsidP="003A17D0">
            <w:pPr>
              <w:pStyle w:val="Tabletextcentred"/>
              <w:rPr>
                <w:lang w:val="en-AU"/>
              </w:rPr>
            </w:pPr>
            <w:r w:rsidRPr="003408A6">
              <w:rPr>
                <w:lang w:val="en-AU"/>
              </w:rPr>
              <w:t>%</w:t>
            </w:r>
          </w:p>
        </w:tc>
        <w:tc>
          <w:tcPr>
            <w:tcW w:w="1414" w:type="dxa"/>
            <w:tcBorders>
              <w:top w:val="nil"/>
              <w:bottom w:val="single" w:sz="4" w:space="0" w:color="auto"/>
            </w:tcBorders>
          </w:tcPr>
          <w:p w:rsidR="008454B0" w:rsidRPr="003408A6" w:rsidRDefault="008454B0" w:rsidP="003A17D0">
            <w:pPr>
              <w:pStyle w:val="Tabletextcentred"/>
              <w:rPr>
                <w:lang w:val="en-AU"/>
              </w:rPr>
            </w:pPr>
            <w:r w:rsidRPr="003408A6">
              <w:rPr>
                <w:lang w:val="en-AU"/>
              </w:rPr>
              <w:t>%</w:t>
            </w:r>
          </w:p>
        </w:tc>
      </w:tr>
      <w:tr w:rsidR="008454B0" w:rsidRPr="003408A6" w:rsidTr="000229BA">
        <w:trPr>
          <w:trHeight w:val="250"/>
        </w:trPr>
        <w:tc>
          <w:tcPr>
            <w:tcW w:w="4644" w:type="dxa"/>
            <w:tcBorders>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National HPV Vaccination Program website</w:t>
            </w:r>
          </w:p>
        </w:tc>
        <w:tc>
          <w:tcPr>
            <w:tcW w:w="855" w:type="dxa"/>
            <w:tcBorders>
              <w:bottom w:val="nil"/>
            </w:tcBorders>
            <w:vAlign w:val="bottom"/>
          </w:tcPr>
          <w:p w:rsidR="008454B0" w:rsidRPr="003408A6" w:rsidRDefault="008454B0" w:rsidP="003A17D0">
            <w:pPr>
              <w:pStyle w:val="Tabletextcentred"/>
              <w:rPr>
                <w:lang w:val="en-AU"/>
              </w:rPr>
            </w:pPr>
            <w:r w:rsidRPr="003408A6">
              <w:rPr>
                <w:lang w:val="en-AU"/>
              </w:rPr>
              <w:t>14</w:t>
            </w:r>
          </w:p>
        </w:tc>
        <w:tc>
          <w:tcPr>
            <w:tcW w:w="1417" w:type="dxa"/>
            <w:tcBorders>
              <w:bottom w:val="nil"/>
            </w:tcBorders>
            <w:vAlign w:val="bottom"/>
          </w:tcPr>
          <w:p w:rsidR="008454B0" w:rsidRPr="003408A6" w:rsidRDefault="008454B0" w:rsidP="003A17D0">
            <w:pPr>
              <w:pStyle w:val="Tabletextcentred"/>
              <w:rPr>
                <w:lang w:val="en-AU"/>
              </w:rPr>
            </w:pPr>
            <w:r w:rsidRPr="003408A6">
              <w:rPr>
                <w:lang w:val="en-AU"/>
              </w:rPr>
              <w:t>14</w:t>
            </w:r>
          </w:p>
        </w:tc>
        <w:tc>
          <w:tcPr>
            <w:tcW w:w="1417" w:type="dxa"/>
            <w:tcBorders>
              <w:bottom w:val="nil"/>
            </w:tcBorders>
            <w:vAlign w:val="bottom"/>
          </w:tcPr>
          <w:p w:rsidR="008454B0" w:rsidRPr="003408A6" w:rsidRDefault="008454B0" w:rsidP="003A17D0">
            <w:pPr>
              <w:pStyle w:val="Tabletextcentred"/>
              <w:rPr>
                <w:lang w:val="en-AU"/>
              </w:rPr>
            </w:pPr>
            <w:r w:rsidRPr="003408A6">
              <w:rPr>
                <w:lang w:val="en-AU"/>
              </w:rPr>
              <w:t>71</w:t>
            </w:r>
          </w:p>
        </w:tc>
        <w:tc>
          <w:tcPr>
            <w:tcW w:w="1414" w:type="dxa"/>
            <w:tcBorders>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fact sheet for health professionals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resources for schools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resources for students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resources for parents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resources for Aboriginal and Torres Strait Islander students/parents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407E96" w:rsidP="003A17D0">
            <w:pPr>
              <w:pStyle w:val="Tabletextcentred"/>
              <w:rPr>
                <w:lang w:val="en-AU"/>
              </w:rPr>
            </w:pPr>
            <w:r w:rsidRPr="003408A6">
              <w:rPr>
                <w:lang w:val="en-AU"/>
              </w:rPr>
              <w:t>29</w:t>
            </w:r>
          </w:p>
        </w:tc>
      </w:tr>
      <w:tr w:rsidR="008454B0" w:rsidRPr="003408A6" w:rsidTr="000229BA">
        <w:trPr>
          <w:trHeight w:val="250"/>
        </w:trPr>
        <w:tc>
          <w:tcPr>
            <w:tcW w:w="4644" w:type="dxa"/>
            <w:tcBorders>
              <w:top w:val="nil"/>
              <w:bottom w:val="nil"/>
            </w:tcBorders>
          </w:tcPr>
          <w:p w:rsidR="008454B0" w:rsidRPr="003408A6" w:rsidRDefault="000229BA" w:rsidP="003A17D0">
            <w:pPr>
              <w:pStyle w:val="Tabletext"/>
              <w:rPr>
                <w:lang w:val="en-AU"/>
              </w:rPr>
            </w:pPr>
            <w:r>
              <w:rPr>
                <w:lang w:val="en-AU"/>
              </w:rPr>
              <w:t>Department of Health</w:t>
            </w:r>
            <w:r w:rsidR="008454B0" w:rsidRPr="003408A6">
              <w:rPr>
                <w:lang w:val="en-AU"/>
              </w:rPr>
              <w:t xml:space="preserve"> HPV resources for </w:t>
            </w:r>
            <w:r w:rsidR="00175D18" w:rsidRPr="003408A6">
              <w:rPr>
                <w:lang w:val="en-AU"/>
              </w:rPr>
              <w:t xml:space="preserve">CALD </w:t>
            </w:r>
            <w:r w:rsidR="008454B0" w:rsidRPr="003408A6">
              <w:rPr>
                <w:lang w:val="en-AU"/>
              </w:rPr>
              <w:t>students/parents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r>
      <w:tr w:rsidR="008454B0" w:rsidRPr="003408A6" w:rsidTr="000229BA">
        <w:trPr>
          <w:trHeight w:val="250"/>
        </w:trPr>
        <w:tc>
          <w:tcPr>
            <w:tcW w:w="4644" w:type="dxa"/>
            <w:tcBorders>
              <w:top w:val="nil"/>
              <w:bottom w:val="nil"/>
            </w:tcBorders>
          </w:tcPr>
          <w:p w:rsidR="008454B0" w:rsidRPr="003408A6" w:rsidRDefault="008454B0" w:rsidP="003A17D0">
            <w:pPr>
              <w:pStyle w:val="Tabletext"/>
              <w:rPr>
                <w:lang w:val="en-AU"/>
              </w:rPr>
            </w:pPr>
            <w:r w:rsidRPr="003408A6">
              <w:rPr>
                <w:lang w:val="en-AU"/>
              </w:rPr>
              <w:t>NCIRS HPV fact</w:t>
            </w:r>
            <w:r w:rsidR="00C95382" w:rsidRPr="003408A6">
              <w:rPr>
                <w:lang w:val="en-AU"/>
              </w:rPr>
              <w:t xml:space="preserve"> </w:t>
            </w:r>
            <w:r w:rsidRPr="003408A6">
              <w:rPr>
                <w:lang w:val="en-AU"/>
              </w:rPr>
              <w:t>sheet for providers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r>
      <w:tr w:rsidR="008454B0" w:rsidRPr="003408A6" w:rsidTr="000229BA">
        <w:trPr>
          <w:trHeight w:val="250"/>
        </w:trPr>
        <w:tc>
          <w:tcPr>
            <w:tcW w:w="4644" w:type="dxa"/>
            <w:tcBorders>
              <w:top w:val="nil"/>
              <w:bottom w:val="nil"/>
            </w:tcBorders>
          </w:tcPr>
          <w:p w:rsidR="008C1C40" w:rsidRPr="003408A6" w:rsidRDefault="008454B0" w:rsidP="003A17D0">
            <w:pPr>
              <w:pStyle w:val="Tabletext"/>
              <w:rPr>
                <w:lang w:val="en-AU"/>
              </w:rPr>
            </w:pPr>
            <w:r w:rsidRPr="003408A6">
              <w:rPr>
                <w:lang w:val="en-AU"/>
              </w:rPr>
              <w:t>NCIRS HPV fact</w:t>
            </w:r>
            <w:r w:rsidR="00C95382" w:rsidRPr="003408A6">
              <w:rPr>
                <w:lang w:val="en-AU"/>
              </w:rPr>
              <w:t xml:space="preserve"> </w:t>
            </w:r>
            <w:r w:rsidRPr="003408A6">
              <w:rPr>
                <w:lang w:val="en-AU"/>
              </w:rPr>
              <w:t>sheet for patients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State/</w:t>
            </w:r>
            <w:r w:rsidR="00676438" w:rsidRPr="003408A6">
              <w:rPr>
                <w:lang w:val="en-AU"/>
              </w:rPr>
              <w:t>t</w:t>
            </w:r>
            <w:r w:rsidRPr="003408A6">
              <w:rPr>
                <w:lang w:val="en-AU"/>
              </w:rPr>
              <w:t xml:space="preserve">erritory-based </w:t>
            </w:r>
            <w:r w:rsidR="00676438" w:rsidRPr="003408A6">
              <w:rPr>
                <w:lang w:val="en-AU"/>
              </w:rPr>
              <w:t>h</w:t>
            </w:r>
            <w:r w:rsidRPr="003408A6">
              <w:rPr>
                <w:lang w:val="en-AU"/>
              </w:rPr>
              <w:t xml:space="preserve">ealth </w:t>
            </w:r>
            <w:r w:rsidR="00676438" w:rsidRPr="003408A6">
              <w:rPr>
                <w:lang w:val="en-AU"/>
              </w:rPr>
              <w:t>d</w:t>
            </w:r>
            <w:r w:rsidRPr="003408A6">
              <w:rPr>
                <w:lang w:val="en-AU"/>
              </w:rPr>
              <w:t>epartment information</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71</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Medicare Local/GP Division information</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Medical media (e</w:t>
            </w:r>
            <w:r w:rsidR="00C95382" w:rsidRPr="003408A6">
              <w:rPr>
                <w:lang w:val="en-AU"/>
              </w:rPr>
              <w:t>.</w:t>
            </w:r>
            <w:r w:rsidRPr="003408A6">
              <w:rPr>
                <w:lang w:val="en-AU"/>
              </w:rPr>
              <w:t>g</w:t>
            </w:r>
            <w:r w:rsidR="00C95382" w:rsidRPr="003408A6">
              <w:rPr>
                <w:lang w:val="en-AU"/>
              </w:rPr>
              <w:t>.</w:t>
            </w:r>
            <w:r w:rsidRPr="003408A6">
              <w:rPr>
                <w:lang w:val="en-AU"/>
              </w:rPr>
              <w:t xml:space="preserve"> Medical Observer)</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Pharmaceutical company website</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Pharmaceutical company promotional material</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006563" w:rsidP="003A17D0">
            <w:pPr>
              <w:pStyle w:val="Tabletextcentred"/>
              <w:rPr>
                <w:lang w:val="en-AU"/>
              </w:rPr>
            </w:pPr>
            <w:r>
              <w:rPr>
                <w:lang w:val="en-AU"/>
              </w:rPr>
              <w:t>–</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c>
          <w:tcPr>
            <w:tcW w:w="1414" w:type="dxa"/>
            <w:tcBorders>
              <w:top w:val="nil"/>
              <w:bottom w:val="nil"/>
            </w:tcBorders>
            <w:vAlign w:val="bottom"/>
          </w:tcPr>
          <w:p w:rsidR="008454B0" w:rsidRPr="003408A6" w:rsidRDefault="008454B0" w:rsidP="003A17D0">
            <w:pPr>
              <w:pStyle w:val="Tabletextcentred"/>
              <w:rPr>
                <w:lang w:val="en-AU"/>
              </w:rPr>
            </w:pPr>
            <w:r w:rsidRPr="003408A6">
              <w:rPr>
                <w:lang w:val="en-AU"/>
              </w:rPr>
              <w:t>14</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Vaccine product information</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Cancer Council information</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Peer-reviewed publications</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bottom w:val="nil"/>
            </w:tcBorders>
            <w:vAlign w:val="bottom"/>
          </w:tcPr>
          <w:p w:rsidR="008454B0" w:rsidRPr="003408A6" w:rsidRDefault="008454B0" w:rsidP="003A17D0">
            <w:pPr>
              <w:pStyle w:val="Tabletext"/>
              <w:rPr>
                <w:lang w:val="en-AU"/>
              </w:rPr>
            </w:pPr>
            <w:r w:rsidRPr="003408A6">
              <w:rPr>
                <w:lang w:val="en-AU"/>
              </w:rPr>
              <w:t>Newspapers/radio/television</w:t>
            </w:r>
          </w:p>
        </w:tc>
        <w:tc>
          <w:tcPr>
            <w:tcW w:w="855"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4</w:t>
            </w:r>
            <w:r w:rsidR="00407E96" w:rsidRPr="003408A6">
              <w:rPr>
                <w:lang w:val="en-AU"/>
              </w:rPr>
              <w:t>3</w:t>
            </w:r>
          </w:p>
        </w:tc>
        <w:tc>
          <w:tcPr>
            <w:tcW w:w="1417" w:type="dxa"/>
            <w:tcBorders>
              <w:top w:val="nil"/>
              <w:bottom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4" w:type="dxa"/>
            <w:tcBorders>
              <w:top w:val="nil"/>
              <w:bottom w:val="nil"/>
            </w:tcBorders>
            <w:vAlign w:val="bottom"/>
          </w:tcPr>
          <w:p w:rsidR="008454B0" w:rsidRPr="003408A6" w:rsidRDefault="00006563" w:rsidP="003A17D0">
            <w:pPr>
              <w:pStyle w:val="Tabletextcentred"/>
              <w:rPr>
                <w:lang w:val="en-AU"/>
              </w:rPr>
            </w:pPr>
            <w:r>
              <w:rPr>
                <w:lang w:val="en-AU"/>
              </w:rPr>
              <w:t>–</w:t>
            </w:r>
          </w:p>
        </w:tc>
      </w:tr>
      <w:tr w:rsidR="008454B0" w:rsidRPr="003408A6" w:rsidTr="000229BA">
        <w:trPr>
          <w:trHeight w:val="250"/>
        </w:trPr>
        <w:tc>
          <w:tcPr>
            <w:tcW w:w="4644" w:type="dxa"/>
            <w:tcBorders>
              <w:top w:val="nil"/>
            </w:tcBorders>
            <w:vAlign w:val="bottom"/>
          </w:tcPr>
          <w:p w:rsidR="008454B0" w:rsidRPr="003408A6" w:rsidRDefault="008454B0" w:rsidP="003A17D0">
            <w:pPr>
              <w:pStyle w:val="Tabletext"/>
              <w:rPr>
                <w:lang w:val="en-AU"/>
              </w:rPr>
            </w:pPr>
            <w:r w:rsidRPr="003408A6">
              <w:rPr>
                <w:lang w:val="en-AU"/>
              </w:rPr>
              <w:t>Social media (e</w:t>
            </w:r>
            <w:r w:rsidR="00FC57B4" w:rsidRPr="003408A6">
              <w:rPr>
                <w:lang w:val="en-AU"/>
              </w:rPr>
              <w:t>.</w:t>
            </w:r>
            <w:r w:rsidRPr="003408A6">
              <w:rPr>
                <w:lang w:val="en-AU"/>
              </w:rPr>
              <w:t>g</w:t>
            </w:r>
            <w:r w:rsidR="00FC57B4" w:rsidRPr="003408A6">
              <w:rPr>
                <w:lang w:val="en-AU"/>
              </w:rPr>
              <w:t>.</w:t>
            </w:r>
            <w:r w:rsidRPr="003408A6">
              <w:rPr>
                <w:lang w:val="en-AU"/>
              </w:rPr>
              <w:t xml:space="preserve"> </w:t>
            </w:r>
            <w:r w:rsidR="00FC57B4" w:rsidRPr="003408A6">
              <w:rPr>
                <w:lang w:val="en-AU"/>
              </w:rPr>
              <w:t>F</w:t>
            </w:r>
            <w:r w:rsidRPr="003408A6">
              <w:rPr>
                <w:lang w:val="en-AU"/>
              </w:rPr>
              <w:t xml:space="preserve">acebook, </w:t>
            </w:r>
            <w:r w:rsidR="00FC57B4" w:rsidRPr="003408A6">
              <w:rPr>
                <w:lang w:val="en-AU"/>
              </w:rPr>
              <w:t>T</w:t>
            </w:r>
            <w:r w:rsidRPr="003408A6">
              <w:rPr>
                <w:lang w:val="en-AU"/>
              </w:rPr>
              <w:t>witter)</w:t>
            </w:r>
          </w:p>
        </w:tc>
        <w:tc>
          <w:tcPr>
            <w:tcW w:w="855" w:type="dxa"/>
            <w:tcBorders>
              <w:top w:val="nil"/>
            </w:tcBorders>
            <w:vAlign w:val="bottom"/>
          </w:tcPr>
          <w:p w:rsidR="008454B0" w:rsidRPr="003408A6" w:rsidRDefault="008454B0" w:rsidP="003A17D0">
            <w:pPr>
              <w:pStyle w:val="Tabletextcentred"/>
              <w:rPr>
                <w:lang w:val="en-AU"/>
              </w:rPr>
            </w:pPr>
            <w:r w:rsidRPr="003408A6">
              <w:rPr>
                <w:lang w:val="en-AU"/>
              </w:rPr>
              <w:t>57</w:t>
            </w:r>
          </w:p>
        </w:tc>
        <w:tc>
          <w:tcPr>
            <w:tcW w:w="1417" w:type="dxa"/>
            <w:tcBorders>
              <w:top w:val="nil"/>
            </w:tcBorders>
            <w:vAlign w:val="bottom"/>
          </w:tcPr>
          <w:p w:rsidR="008454B0" w:rsidRPr="003408A6" w:rsidRDefault="008454B0" w:rsidP="003A17D0">
            <w:pPr>
              <w:pStyle w:val="Tabletextcentred"/>
              <w:rPr>
                <w:lang w:val="en-AU"/>
              </w:rPr>
            </w:pPr>
            <w:r w:rsidRPr="003408A6">
              <w:rPr>
                <w:lang w:val="en-AU"/>
              </w:rPr>
              <w:t>2</w:t>
            </w:r>
            <w:r w:rsidR="00407E96" w:rsidRPr="003408A6">
              <w:rPr>
                <w:lang w:val="en-AU"/>
              </w:rPr>
              <w:t>9</w:t>
            </w:r>
          </w:p>
        </w:tc>
        <w:tc>
          <w:tcPr>
            <w:tcW w:w="1417" w:type="dxa"/>
            <w:tcBorders>
              <w:top w:val="nil"/>
            </w:tcBorders>
            <w:vAlign w:val="bottom"/>
          </w:tcPr>
          <w:p w:rsidR="008454B0" w:rsidRPr="003408A6" w:rsidRDefault="00006563" w:rsidP="003A17D0">
            <w:pPr>
              <w:pStyle w:val="Tabletextcentred"/>
              <w:rPr>
                <w:lang w:val="en-AU"/>
              </w:rPr>
            </w:pPr>
            <w:r>
              <w:rPr>
                <w:lang w:val="en-AU"/>
              </w:rPr>
              <w:t>–</w:t>
            </w:r>
          </w:p>
        </w:tc>
        <w:tc>
          <w:tcPr>
            <w:tcW w:w="1414" w:type="dxa"/>
            <w:tcBorders>
              <w:top w:val="nil"/>
            </w:tcBorders>
            <w:vAlign w:val="bottom"/>
          </w:tcPr>
          <w:p w:rsidR="008454B0" w:rsidRPr="003408A6" w:rsidRDefault="00006563" w:rsidP="003A17D0">
            <w:pPr>
              <w:pStyle w:val="Tabletextcentred"/>
              <w:rPr>
                <w:lang w:val="en-AU"/>
              </w:rPr>
            </w:pPr>
            <w:r>
              <w:rPr>
                <w:lang w:val="en-AU"/>
              </w:rPr>
              <w:t>–</w:t>
            </w:r>
          </w:p>
        </w:tc>
      </w:tr>
    </w:tbl>
    <w:p w:rsidR="008454B0" w:rsidRPr="003408A6" w:rsidRDefault="008454B0" w:rsidP="003A17D0">
      <w:pPr>
        <w:pStyle w:val="Tablefootnote"/>
      </w:pPr>
      <w:r w:rsidRPr="003408A6">
        <w:t>Note: Percentages can add to more than 100.</w:t>
      </w:r>
    </w:p>
    <w:p w:rsidR="008454B0" w:rsidRPr="003408A6" w:rsidRDefault="008454B0" w:rsidP="003A17D0">
      <w:pPr>
        <w:pStyle w:val="Bodytextaftertable"/>
        <w:rPr>
          <w:lang w:val="en-AU"/>
        </w:rPr>
      </w:pPr>
      <w:r w:rsidRPr="003408A6">
        <w:rPr>
          <w:lang w:val="en-AU"/>
        </w:rPr>
        <w:t xml:space="preserve">The majority of </w:t>
      </w:r>
      <w:r w:rsidR="002C781A" w:rsidRPr="003408A6">
        <w:rPr>
          <w:lang w:val="en-AU"/>
        </w:rPr>
        <w:t xml:space="preserve">National </w:t>
      </w:r>
      <w:r w:rsidR="00C95382" w:rsidRPr="003408A6">
        <w:rPr>
          <w:lang w:val="en-AU"/>
        </w:rPr>
        <w:t>C</w:t>
      </w:r>
      <w:r w:rsidRPr="003408A6">
        <w:rPr>
          <w:lang w:val="en-AU"/>
        </w:rPr>
        <w:t xml:space="preserve">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managers did not recall receiving any official notification of the National HPV Vaccination Program for females in 2006/2007. Two managers mentioned the media as the main source of notification and one stated that the program manager at the time had received official notification by telephone and email and information brochures.</w:t>
      </w:r>
    </w:p>
    <w:p w:rsidR="008454B0" w:rsidRPr="003408A6" w:rsidRDefault="008454B0" w:rsidP="003A17D0">
      <w:pPr>
        <w:pStyle w:val="BodyText"/>
        <w:rPr>
          <w:rFonts w:ascii="Calibri" w:hAnsi="Calibri" w:cs="Calibri"/>
          <w:color w:val="000000"/>
          <w:lang w:val="en-AU"/>
        </w:rPr>
      </w:pPr>
      <w:r w:rsidRPr="003408A6">
        <w:rPr>
          <w:lang w:val="en-AU"/>
        </w:rPr>
        <w:t xml:space="preserve">Most </w:t>
      </w:r>
      <w:r w:rsidR="002C781A" w:rsidRPr="003408A6">
        <w:rPr>
          <w:lang w:val="en-AU"/>
        </w:rPr>
        <w:t xml:space="preserve">National </w:t>
      </w:r>
      <w:r w:rsidR="00C95382" w:rsidRPr="003408A6">
        <w:rPr>
          <w:lang w:val="en-AU"/>
        </w:rPr>
        <w:t>C</w:t>
      </w:r>
      <w:r w:rsidRPr="003408A6">
        <w:rPr>
          <w:lang w:val="en-AU"/>
        </w:rPr>
        <w:t xml:space="preserve">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 xml:space="preserve">managers did not recall receiving official notification of the extension of the HPV </w:t>
      </w:r>
      <w:r w:rsidR="00006563">
        <w:rPr>
          <w:lang w:val="en-AU"/>
        </w:rPr>
        <w:t>v</w:t>
      </w:r>
      <w:r w:rsidRPr="003408A6">
        <w:rPr>
          <w:lang w:val="en-AU"/>
        </w:rPr>
        <w:t xml:space="preserve">accination </w:t>
      </w:r>
      <w:r w:rsidR="00006563">
        <w:rPr>
          <w:lang w:val="en-AU"/>
        </w:rPr>
        <w:t>p</w:t>
      </w:r>
      <w:r w:rsidRPr="003408A6">
        <w:rPr>
          <w:lang w:val="en-AU"/>
        </w:rPr>
        <w:t xml:space="preserve">rogram to include males in 2012/2013. One mentioned first hearing through the </w:t>
      </w:r>
      <w:r w:rsidR="00C95382" w:rsidRPr="003408A6">
        <w:rPr>
          <w:lang w:val="en-AU"/>
        </w:rPr>
        <w:t>m</w:t>
      </w:r>
      <w:r w:rsidRPr="003408A6">
        <w:rPr>
          <w:lang w:val="en-AU"/>
        </w:rPr>
        <w:t xml:space="preserve">inisterial media release and another recalled being notified at a </w:t>
      </w:r>
      <w:r w:rsidR="008E6E49">
        <w:rPr>
          <w:lang w:val="en-AU"/>
        </w:rPr>
        <w:t>Australian Government Department of Health</w:t>
      </w:r>
      <w:r w:rsidRPr="003408A6">
        <w:rPr>
          <w:lang w:val="en-AU"/>
        </w:rPr>
        <w:t xml:space="preserve"> managers meeting in 2012.</w:t>
      </w:r>
    </w:p>
    <w:p w:rsidR="008454B0" w:rsidRPr="003408A6" w:rsidRDefault="008454B0" w:rsidP="003A17D0">
      <w:pPr>
        <w:pStyle w:val="Tableheading"/>
        <w:rPr>
          <w:lang w:val="en-AU"/>
        </w:rPr>
      </w:pPr>
      <w:bookmarkStart w:id="68" w:name="_Toc396475536"/>
      <w:bookmarkStart w:id="69" w:name="_Toc397000764"/>
      <w:r w:rsidRPr="003408A6">
        <w:rPr>
          <w:lang w:val="en-AU"/>
        </w:rPr>
        <w:t>Table 2.</w:t>
      </w:r>
      <w:r w:rsidR="000271C1" w:rsidRPr="003408A6">
        <w:rPr>
          <w:lang w:val="en-AU"/>
        </w:rPr>
        <w:t>1</w:t>
      </w:r>
      <w:r w:rsidR="00CD45D0" w:rsidRPr="003408A6">
        <w:rPr>
          <w:lang w:val="en-AU"/>
        </w:rPr>
        <w:t>5</w:t>
      </w:r>
      <w:r w:rsidR="00901C17" w:rsidRPr="003408A6">
        <w:rPr>
          <w:lang w:val="en-AU"/>
        </w:rPr>
        <w:t>.</w:t>
      </w:r>
      <w:r w:rsidR="00901C17" w:rsidRPr="003408A6">
        <w:rPr>
          <w:lang w:val="en-AU"/>
        </w:rPr>
        <w:tab/>
      </w:r>
      <w:r w:rsidRPr="003408A6">
        <w:rPr>
          <w:lang w:val="en-AU"/>
        </w:rPr>
        <w:t>Distribution (n, %) of</w:t>
      </w:r>
      <w:r w:rsidR="002C781A" w:rsidRPr="003408A6">
        <w:rPr>
          <w:lang w:val="en-AU"/>
        </w:rPr>
        <w:t xml:space="preserve"> National</w:t>
      </w:r>
      <w:r w:rsidRPr="003408A6">
        <w:rPr>
          <w:lang w:val="en-AU"/>
        </w:rPr>
        <w:t xml:space="preserve"> </w:t>
      </w:r>
      <w:r w:rsidR="00C95382" w:rsidRPr="003408A6">
        <w:rPr>
          <w:lang w:val="en-AU"/>
        </w:rPr>
        <w:t>Cervical S</w:t>
      </w:r>
      <w:r w:rsidRPr="003408A6">
        <w:rPr>
          <w:lang w:val="en-AU"/>
        </w:rPr>
        <w:t xml:space="preserve">creening </w:t>
      </w:r>
      <w:r w:rsidR="00C95382" w:rsidRPr="003408A6">
        <w:rPr>
          <w:lang w:val="en-AU"/>
        </w:rPr>
        <w:t xml:space="preserve">Program </w:t>
      </w:r>
      <w:r w:rsidRPr="003408A6">
        <w:rPr>
          <w:lang w:val="en-AU"/>
        </w:rPr>
        <w:t>managers’ level of agreement on statements relating to the National HPV Vaccination Program and cervical screening outcomes</w:t>
      </w:r>
      <w:bookmarkEnd w:id="68"/>
      <w:bookmarkEnd w:id="69"/>
    </w:p>
    <w:tbl>
      <w:tblPr>
        <w:tblW w:w="0" w:type="auto"/>
        <w:tblInd w:w="78" w:type="dxa"/>
        <w:tblLayout w:type="fixed"/>
        <w:tblLook w:val="0000" w:firstRow="0" w:lastRow="0" w:firstColumn="0" w:lastColumn="0" w:noHBand="0" w:noVBand="0"/>
      </w:tblPr>
      <w:tblGrid>
        <w:gridCol w:w="850"/>
        <w:gridCol w:w="1280"/>
        <w:gridCol w:w="1281"/>
        <w:gridCol w:w="1281"/>
        <w:gridCol w:w="1281"/>
        <w:gridCol w:w="1281"/>
        <w:gridCol w:w="1281"/>
      </w:tblGrid>
      <w:tr w:rsidR="00006563" w:rsidRPr="003408A6" w:rsidTr="005655CD">
        <w:trPr>
          <w:trHeight w:val="288"/>
        </w:trPr>
        <w:tc>
          <w:tcPr>
            <w:tcW w:w="850" w:type="dxa"/>
            <w:tcBorders>
              <w:top w:val="single" w:sz="4" w:space="0" w:color="auto"/>
              <w:bottom w:val="single" w:sz="4" w:space="0" w:color="auto"/>
            </w:tcBorders>
          </w:tcPr>
          <w:p w:rsidR="00006563" w:rsidRPr="003408A6" w:rsidRDefault="00006563" w:rsidP="003A17D0">
            <w:pPr>
              <w:pStyle w:val="Tablecolumnheading"/>
              <w:rPr>
                <w:lang w:val="en-AU"/>
              </w:rPr>
            </w:pPr>
          </w:p>
        </w:tc>
        <w:tc>
          <w:tcPr>
            <w:tcW w:w="1280"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Strongly disagree</w:t>
            </w:r>
          </w:p>
        </w:tc>
        <w:tc>
          <w:tcPr>
            <w:tcW w:w="1281"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Disagree</w:t>
            </w:r>
          </w:p>
        </w:tc>
        <w:tc>
          <w:tcPr>
            <w:tcW w:w="1281"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Neutral</w:t>
            </w:r>
          </w:p>
        </w:tc>
        <w:tc>
          <w:tcPr>
            <w:tcW w:w="1281"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Agree</w:t>
            </w:r>
          </w:p>
        </w:tc>
        <w:tc>
          <w:tcPr>
            <w:tcW w:w="1281"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Strongly agree</w:t>
            </w:r>
          </w:p>
        </w:tc>
        <w:tc>
          <w:tcPr>
            <w:tcW w:w="1281" w:type="dxa"/>
            <w:tcBorders>
              <w:top w:val="single" w:sz="4" w:space="0" w:color="auto"/>
              <w:bottom w:val="single" w:sz="4" w:space="0" w:color="auto"/>
            </w:tcBorders>
          </w:tcPr>
          <w:p w:rsidR="00006563" w:rsidRPr="003408A6" w:rsidRDefault="00006563" w:rsidP="003A17D0">
            <w:pPr>
              <w:pStyle w:val="Tablecolumnheading"/>
              <w:rPr>
                <w:lang w:val="en-AU"/>
              </w:rPr>
            </w:pPr>
            <w:r w:rsidRPr="003408A6">
              <w:rPr>
                <w:lang w:val="en-AU"/>
              </w:rPr>
              <w:t>Don't know/Not sure</w:t>
            </w:r>
          </w:p>
        </w:tc>
      </w:tr>
      <w:tr w:rsidR="008454B0" w:rsidRPr="003408A6" w:rsidTr="005655CD">
        <w:trPr>
          <w:trHeight w:val="288"/>
        </w:trPr>
        <w:tc>
          <w:tcPr>
            <w:tcW w:w="8535" w:type="dxa"/>
            <w:gridSpan w:val="7"/>
            <w:tcBorders>
              <w:top w:val="single" w:sz="4" w:space="0" w:color="auto"/>
              <w:bottom w:val="nil"/>
            </w:tcBorders>
          </w:tcPr>
          <w:p w:rsidR="008454B0" w:rsidRPr="003408A6" w:rsidRDefault="008454B0" w:rsidP="003A17D0">
            <w:pPr>
              <w:pStyle w:val="Tabletextbold"/>
              <w:rPr>
                <w:lang w:val="en-AU"/>
              </w:rPr>
            </w:pPr>
            <w:r w:rsidRPr="003408A6">
              <w:rPr>
                <w:lang w:val="en-AU"/>
              </w:rPr>
              <w:t>Young women who are immunised against HPV may be LESS likely to undertake appropriate cervical screening due to perceptions of greater protection by the vaccine.</w:t>
            </w:r>
          </w:p>
        </w:tc>
      </w:tr>
      <w:tr w:rsidR="009C0541" w:rsidRPr="003408A6" w:rsidTr="005655CD">
        <w:trPr>
          <w:trHeight w:val="288"/>
        </w:trPr>
        <w:tc>
          <w:tcPr>
            <w:tcW w:w="850" w:type="dxa"/>
            <w:tcBorders>
              <w:top w:val="nil"/>
            </w:tcBorders>
          </w:tcPr>
          <w:p w:rsidR="009C0541" w:rsidRPr="003408A6" w:rsidRDefault="009C0541" w:rsidP="003A17D0">
            <w:pPr>
              <w:pStyle w:val="Tabletext"/>
              <w:rPr>
                <w:lang w:val="en-AU"/>
              </w:rPr>
            </w:pPr>
            <w:r w:rsidRPr="003408A6">
              <w:rPr>
                <w:lang w:val="en-AU"/>
              </w:rPr>
              <w:t>n</w:t>
            </w:r>
          </w:p>
        </w:tc>
        <w:tc>
          <w:tcPr>
            <w:tcW w:w="1280" w:type="dxa"/>
            <w:tcBorders>
              <w:top w:val="nil"/>
            </w:tcBorders>
          </w:tcPr>
          <w:p w:rsidR="009C0541" w:rsidRPr="003408A6" w:rsidRDefault="009C0541" w:rsidP="003A17D0">
            <w:pPr>
              <w:pStyle w:val="Tabletext0beforeafter-centred"/>
              <w:rPr>
                <w:lang w:val="en-AU"/>
              </w:rPr>
            </w:pPr>
            <w:r w:rsidRPr="003408A6">
              <w:rPr>
                <w:lang w:val="en-AU"/>
              </w:rPr>
              <w:t>0</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0</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0</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4</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3</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0</w:t>
            </w:r>
          </w:p>
        </w:tc>
      </w:tr>
      <w:tr w:rsidR="009C0541" w:rsidRPr="003408A6" w:rsidTr="005655CD">
        <w:trPr>
          <w:trHeight w:val="288"/>
        </w:trPr>
        <w:tc>
          <w:tcPr>
            <w:tcW w:w="850" w:type="dxa"/>
            <w:tcBorders>
              <w:top w:val="nil"/>
            </w:tcBorders>
          </w:tcPr>
          <w:p w:rsidR="009C0541" w:rsidRPr="003408A6" w:rsidRDefault="009C0541" w:rsidP="003A17D0">
            <w:pPr>
              <w:pStyle w:val="Tabletext"/>
              <w:rPr>
                <w:lang w:val="en-AU"/>
              </w:rPr>
            </w:pPr>
            <w:r w:rsidRPr="003408A6">
              <w:rPr>
                <w:lang w:val="en-AU"/>
              </w:rPr>
              <w:t>%</w:t>
            </w:r>
          </w:p>
        </w:tc>
        <w:tc>
          <w:tcPr>
            <w:tcW w:w="1280" w:type="dxa"/>
            <w:tcBorders>
              <w:top w:val="nil"/>
            </w:tcBorders>
          </w:tcPr>
          <w:p w:rsidR="009C0541" w:rsidRPr="003408A6" w:rsidRDefault="005655CD" w:rsidP="003A17D0">
            <w:pPr>
              <w:pStyle w:val="Tabletext0beforeafter-centred"/>
              <w:rPr>
                <w:lang w:val="en-AU"/>
              </w:rPr>
            </w:pPr>
            <w:r>
              <w:rPr>
                <w:lang w:val="en-AU"/>
              </w:rPr>
              <w:t>–</w:t>
            </w:r>
          </w:p>
        </w:tc>
        <w:tc>
          <w:tcPr>
            <w:tcW w:w="1281" w:type="dxa"/>
            <w:tcBorders>
              <w:top w:val="nil"/>
            </w:tcBorders>
          </w:tcPr>
          <w:p w:rsidR="009C0541" w:rsidRPr="003408A6" w:rsidRDefault="005655CD" w:rsidP="003A17D0">
            <w:pPr>
              <w:pStyle w:val="Tabletext0beforeafter-centred"/>
              <w:rPr>
                <w:lang w:val="en-AU"/>
              </w:rPr>
            </w:pPr>
            <w:r>
              <w:rPr>
                <w:lang w:val="en-AU"/>
              </w:rPr>
              <w:t>–</w:t>
            </w:r>
          </w:p>
        </w:tc>
        <w:tc>
          <w:tcPr>
            <w:tcW w:w="1281" w:type="dxa"/>
            <w:tcBorders>
              <w:top w:val="nil"/>
            </w:tcBorders>
          </w:tcPr>
          <w:p w:rsidR="009C0541" w:rsidRPr="003408A6" w:rsidRDefault="005655CD" w:rsidP="003A17D0">
            <w:pPr>
              <w:pStyle w:val="Tabletext0beforeafter-centred"/>
              <w:rPr>
                <w:lang w:val="en-AU"/>
              </w:rPr>
            </w:pPr>
            <w:r>
              <w:rPr>
                <w:lang w:val="en-AU"/>
              </w:rPr>
              <w:t>–</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57.1</w:t>
            </w:r>
          </w:p>
        </w:tc>
        <w:tc>
          <w:tcPr>
            <w:tcW w:w="1281" w:type="dxa"/>
            <w:tcBorders>
              <w:top w:val="nil"/>
            </w:tcBorders>
          </w:tcPr>
          <w:p w:rsidR="009C0541" w:rsidRPr="003408A6" w:rsidRDefault="009C0541" w:rsidP="003A17D0">
            <w:pPr>
              <w:pStyle w:val="Tabletext0beforeafter-centred"/>
              <w:rPr>
                <w:lang w:val="en-AU"/>
              </w:rPr>
            </w:pPr>
            <w:r w:rsidRPr="003408A6">
              <w:rPr>
                <w:lang w:val="en-AU"/>
              </w:rPr>
              <w:t>42.9</w:t>
            </w:r>
          </w:p>
        </w:tc>
        <w:tc>
          <w:tcPr>
            <w:tcW w:w="1281" w:type="dxa"/>
            <w:tcBorders>
              <w:top w:val="nil"/>
            </w:tcBorders>
          </w:tcPr>
          <w:p w:rsidR="009C0541" w:rsidRPr="003408A6" w:rsidRDefault="005655CD" w:rsidP="003A17D0">
            <w:pPr>
              <w:pStyle w:val="Tabletext0beforeafter-centred"/>
              <w:rPr>
                <w:lang w:val="en-AU"/>
              </w:rPr>
            </w:pPr>
            <w:r>
              <w:rPr>
                <w:lang w:val="en-AU"/>
              </w:rPr>
              <w:t>–</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Young women who are immunised against HPV may be MORE likely to undertake appropriate cervical screening due to greater awareness of cervical cancer and screening.</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Inadequate or poor knowledge/understanding by young women about the need for cervical screening has contributed to a recent national decline in screening rates among young women.</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5655CD" w:rsidP="003A17D0">
            <w:pPr>
              <w:pStyle w:val="Tabletext0beforeafter-centred"/>
              <w:rPr>
                <w:lang w:val="en-AU"/>
              </w:rPr>
            </w:pPr>
            <w:r>
              <w:rPr>
                <w:lang w:val="en-AU"/>
              </w:rPr>
              <w:t>–</w:t>
            </w:r>
          </w:p>
        </w:tc>
      </w:tr>
      <w:tr w:rsidR="008454B0" w:rsidRPr="003408A6" w:rsidTr="005655CD">
        <w:trPr>
          <w:trHeight w:val="288"/>
        </w:trPr>
        <w:tc>
          <w:tcPr>
            <w:tcW w:w="8535" w:type="dxa"/>
            <w:gridSpan w:val="7"/>
            <w:tcBorders>
              <w:bottom w:val="nil"/>
            </w:tcBorders>
          </w:tcPr>
          <w:p w:rsidR="008454B0" w:rsidRPr="003408A6" w:rsidRDefault="008454B0" w:rsidP="00C96AA1">
            <w:pPr>
              <w:pStyle w:val="Tabletextbold"/>
              <w:rPr>
                <w:lang w:val="en-AU"/>
              </w:rPr>
            </w:pPr>
            <w:r w:rsidRPr="003408A6">
              <w:rPr>
                <w:lang w:val="en-AU"/>
              </w:rPr>
              <w:t xml:space="preserve">The recent decrease in national cervical screening rates among young women </w:t>
            </w:r>
            <w:r w:rsidR="00C96AA1">
              <w:rPr>
                <w:lang w:val="en-AU"/>
              </w:rPr>
              <w:t>is</w:t>
            </w:r>
            <w:r w:rsidRPr="003408A6">
              <w:rPr>
                <w:lang w:val="en-AU"/>
              </w:rPr>
              <w:t xml:space="preserve"> part of a declining trend among women generally that existed prior to the implementation of the National HPV Vaccination Program</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Recent research and debate has created uncertainty among women about the optimum intervals for cervical screening tests</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The National HPV Vaccination Program in my jurisdiction provides adequate advice/information to adolescent girls and young women about the need for cervical screening</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My organisation actively promotes the National HPV Vaccination Program</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42.9</w:t>
            </w:r>
          </w:p>
        </w:tc>
        <w:tc>
          <w:tcPr>
            <w:tcW w:w="1281" w:type="dxa"/>
            <w:tcBorders>
              <w:top w:val="nil"/>
            </w:tcBorders>
          </w:tcPr>
          <w:p w:rsidR="00006563" w:rsidRPr="003408A6" w:rsidRDefault="005655CD" w:rsidP="003A17D0">
            <w:pPr>
              <w:pStyle w:val="Tabletext0beforeafter-centred"/>
              <w:rPr>
                <w:lang w:val="en-AU"/>
              </w:rPr>
            </w:pPr>
            <w:r>
              <w:rPr>
                <w:lang w:val="en-AU"/>
              </w:rPr>
              <w:t>–</w:t>
            </w:r>
          </w:p>
        </w:tc>
      </w:tr>
      <w:tr w:rsidR="008454B0" w:rsidRPr="003408A6" w:rsidTr="005655CD">
        <w:trPr>
          <w:cantSplit/>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I am concerned that HPV vaccination will reduce the uptake of cervical screening by young women</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w:t>
            </w:r>
          </w:p>
        </w:tc>
        <w:tc>
          <w:tcPr>
            <w:tcW w:w="1280" w:type="dxa"/>
            <w:tcBorders>
              <w:top w:val="nil"/>
            </w:tcBorders>
          </w:tcPr>
          <w:p w:rsidR="00006563" w:rsidRPr="003408A6" w:rsidRDefault="005655CD" w:rsidP="003A17D0">
            <w:pPr>
              <w:pStyle w:val="Tabletext0beforeafter-centred"/>
              <w:rPr>
                <w:lang w:val="en-AU"/>
              </w:rPr>
            </w:pPr>
            <w:r>
              <w:rPr>
                <w:lang w:val="en-AU"/>
              </w:rPr>
              <w:t>–</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14.3</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tcBorders>
          </w:tcPr>
          <w:p w:rsidR="00006563" w:rsidRPr="003408A6" w:rsidRDefault="005655CD" w:rsidP="003A17D0">
            <w:pPr>
              <w:pStyle w:val="Tabletext0beforeafter-centred"/>
              <w:rPr>
                <w:lang w:val="en-AU"/>
              </w:rPr>
            </w:pPr>
            <w:r>
              <w:rPr>
                <w:lang w:val="en-AU"/>
              </w:rPr>
              <w:t>–</w:t>
            </w:r>
          </w:p>
        </w:tc>
      </w:tr>
      <w:tr w:rsidR="008454B0" w:rsidRPr="003408A6" w:rsidTr="005655CD">
        <w:trPr>
          <w:trHeight w:val="288"/>
        </w:trPr>
        <w:tc>
          <w:tcPr>
            <w:tcW w:w="8535" w:type="dxa"/>
            <w:gridSpan w:val="7"/>
            <w:tcBorders>
              <w:bottom w:val="nil"/>
            </w:tcBorders>
          </w:tcPr>
          <w:p w:rsidR="008454B0" w:rsidRPr="003408A6" w:rsidRDefault="008454B0" w:rsidP="003A17D0">
            <w:pPr>
              <w:pStyle w:val="Tabletextbold"/>
              <w:rPr>
                <w:lang w:val="en-AU"/>
              </w:rPr>
            </w:pPr>
            <w:r w:rsidRPr="003408A6">
              <w:rPr>
                <w:lang w:val="en-AU"/>
              </w:rPr>
              <w:t>Overall, HPV vaccination will have positive health consequences for Australia</w:t>
            </w:r>
            <w:r w:rsidR="00C95382" w:rsidRPr="003408A6">
              <w:rPr>
                <w:lang w:val="en-AU"/>
              </w:rPr>
              <w:t>.</w:t>
            </w:r>
          </w:p>
        </w:tc>
      </w:tr>
      <w:tr w:rsidR="00006563" w:rsidRPr="003408A6" w:rsidTr="005655CD">
        <w:trPr>
          <w:trHeight w:val="288"/>
        </w:trPr>
        <w:tc>
          <w:tcPr>
            <w:tcW w:w="850" w:type="dxa"/>
            <w:tcBorders>
              <w:top w:val="nil"/>
            </w:tcBorders>
          </w:tcPr>
          <w:p w:rsidR="00006563" w:rsidRPr="003408A6" w:rsidRDefault="00006563" w:rsidP="003A17D0">
            <w:pPr>
              <w:pStyle w:val="Tabletext0beforeafter"/>
              <w:rPr>
                <w:lang w:val="en-AU"/>
              </w:rPr>
            </w:pPr>
            <w:r w:rsidRPr="003408A6">
              <w:rPr>
                <w:lang w:val="en-AU"/>
              </w:rPr>
              <w:t>n</w:t>
            </w:r>
          </w:p>
        </w:tc>
        <w:tc>
          <w:tcPr>
            <w:tcW w:w="1280"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2</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5</w:t>
            </w:r>
          </w:p>
        </w:tc>
        <w:tc>
          <w:tcPr>
            <w:tcW w:w="1281" w:type="dxa"/>
            <w:tcBorders>
              <w:top w:val="nil"/>
            </w:tcBorders>
          </w:tcPr>
          <w:p w:rsidR="00006563" w:rsidRPr="003408A6" w:rsidRDefault="00006563" w:rsidP="003A17D0">
            <w:pPr>
              <w:pStyle w:val="Tabletext0beforeafter-centred"/>
              <w:rPr>
                <w:lang w:val="en-AU"/>
              </w:rPr>
            </w:pPr>
            <w:r w:rsidRPr="003408A6">
              <w:rPr>
                <w:lang w:val="en-AU"/>
              </w:rPr>
              <w:t>0</w:t>
            </w:r>
          </w:p>
        </w:tc>
      </w:tr>
      <w:tr w:rsidR="00006563" w:rsidRPr="003408A6" w:rsidTr="005655CD">
        <w:trPr>
          <w:trHeight w:val="288"/>
        </w:trPr>
        <w:tc>
          <w:tcPr>
            <w:tcW w:w="850" w:type="dxa"/>
            <w:tcBorders>
              <w:top w:val="nil"/>
              <w:bottom w:val="single" w:sz="4" w:space="0" w:color="auto"/>
            </w:tcBorders>
          </w:tcPr>
          <w:p w:rsidR="00006563" w:rsidRPr="003408A6" w:rsidRDefault="00006563" w:rsidP="003A17D0">
            <w:pPr>
              <w:pStyle w:val="Tabletext0beforeafter"/>
              <w:rPr>
                <w:lang w:val="en-AU"/>
              </w:rPr>
            </w:pPr>
            <w:r w:rsidRPr="003408A6">
              <w:rPr>
                <w:lang w:val="en-AU"/>
              </w:rPr>
              <w:t>%</w:t>
            </w:r>
          </w:p>
        </w:tc>
        <w:tc>
          <w:tcPr>
            <w:tcW w:w="1280" w:type="dxa"/>
            <w:tcBorders>
              <w:top w:val="nil"/>
              <w:bottom w:val="single" w:sz="4" w:space="0" w:color="auto"/>
            </w:tcBorders>
          </w:tcPr>
          <w:p w:rsidR="00006563" w:rsidRPr="003408A6" w:rsidRDefault="005655CD" w:rsidP="003A17D0">
            <w:pPr>
              <w:pStyle w:val="Tabletext0beforeafter-centred"/>
              <w:rPr>
                <w:lang w:val="en-AU"/>
              </w:rPr>
            </w:pPr>
            <w:r>
              <w:rPr>
                <w:lang w:val="en-AU"/>
              </w:rPr>
              <w:t>–</w:t>
            </w:r>
          </w:p>
        </w:tc>
        <w:tc>
          <w:tcPr>
            <w:tcW w:w="1281" w:type="dxa"/>
            <w:tcBorders>
              <w:top w:val="nil"/>
              <w:bottom w:val="single" w:sz="4" w:space="0" w:color="auto"/>
            </w:tcBorders>
          </w:tcPr>
          <w:p w:rsidR="00006563" w:rsidRPr="003408A6" w:rsidRDefault="005655CD" w:rsidP="003A17D0">
            <w:pPr>
              <w:pStyle w:val="Tabletext0beforeafter-centred"/>
              <w:rPr>
                <w:lang w:val="en-AU"/>
              </w:rPr>
            </w:pPr>
            <w:r>
              <w:rPr>
                <w:lang w:val="en-AU"/>
              </w:rPr>
              <w:t>–</w:t>
            </w:r>
          </w:p>
        </w:tc>
        <w:tc>
          <w:tcPr>
            <w:tcW w:w="1281" w:type="dxa"/>
            <w:tcBorders>
              <w:top w:val="nil"/>
              <w:bottom w:val="single" w:sz="4" w:space="0" w:color="auto"/>
            </w:tcBorders>
          </w:tcPr>
          <w:p w:rsidR="00006563" w:rsidRPr="003408A6" w:rsidRDefault="005655CD" w:rsidP="005655CD">
            <w:pPr>
              <w:pStyle w:val="Tabletext0beforeafter-centred"/>
              <w:rPr>
                <w:lang w:val="en-AU"/>
              </w:rPr>
            </w:pPr>
            <w:r>
              <w:rPr>
                <w:lang w:val="en-AU"/>
              </w:rPr>
              <w:t>–</w:t>
            </w:r>
          </w:p>
        </w:tc>
        <w:tc>
          <w:tcPr>
            <w:tcW w:w="1281" w:type="dxa"/>
            <w:tcBorders>
              <w:top w:val="nil"/>
              <w:bottom w:val="single" w:sz="4" w:space="0" w:color="auto"/>
            </w:tcBorders>
          </w:tcPr>
          <w:p w:rsidR="00006563" w:rsidRPr="003408A6" w:rsidRDefault="00006563" w:rsidP="003A17D0">
            <w:pPr>
              <w:pStyle w:val="Tabletext0beforeafter-centred"/>
              <w:rPr>
                <w:lang w:val="en-AU"/>
              </w:rPr>
            </w:pPr>
            <w:r w:rsidRPr="003408A6">
              <w:rPr>
                <w:lang w:val="en-AU"/>
              </w:rPr>
              <w:t>28.6</w:t>
            </w:r>
          </w:p>
        </w:tc>
        <w:tc>
          <w:tcPr>
            <w:tcW w:w="1281" w:type="dxa"/>
            <w:tcBorders>
              <w:top w:val="nil"/>
              <w:bottom w:val="single" w:sz="4" w:space="0" w:color="auto"/>
            </w:tcBorders>
          </w:tcPr>
          <w:p w:rsidR="00006563" w:rsidRPr="003408A6" w:rsidRDefault="00006563" w:rsidP="003A17D0">
            <w:pPr>
              <w:pStyle w:val="Tabletext0beforeafter-centred"/>
              <w:rPr>
                <w:lang w:val="en-AU"/>
              </w:rPr>
            </w:pPr>
            <w:r w:rsidRPr="003408A6">
              <w:rPr>
                <w:lang w:val="en-AU"/>
              </w:rPr>
              <w:t>71.4</w:t>
            </w:r>
          </w:p>
        </w:tc>
        <w:tc>
          <w:tcPr>
            <w:tcW w:w="1281" w:type="dxa"/>
            <w:tcBorders>
              <w:top w:val="nil"/>
              <w:bottom w:val="single" w:sz="4" w:space="0" w:color="auto"/>
            </w:tcBorders>
          </w:tcPr>
          <w:p w:rsidR="00006563" w:rsidRPr="003408A6" w:rsidRDefault="005655CD" w:rsidP="003A17D0">
            <w:pPr>
              <w:pStyle w:val="Tabletext0beforeafter-centred"/>
              <w:rPr>
                <w:lang w:val="en-AU"/>
              </w:rPr>
            </w:pPr>
            <w:r>
              <w:rPr>
                <w:lang w:val="en-AU"/>
              </w:rPr>
              <w:t>–</w:t>
            </w:r>
          </w:p>
        </w:tc>
      </w:tr>
    </w:tbl>
    <w:p w:rsidR="008454B0" w:rsidRPr="003408A6" w:rsidRDefault="008454B0" w:rsidP="003A17D0">
      <w:pPr>
        <w:pStyle w:val="Bodytextaftertable"/>
        <w:rPr>
          <w:lang w:val="en-AU"/>
        </w:rPr>
      </w:pPr>
      <w:r w:rsidRPr="003408A6">
        <w:rPr>
          <w:b/>
          <w:lang w:val="en-AU"/>
        </w:rPr>
        <w:t>Table 2.</w:t>
      </w:r>
      <w:r w:rsidR="000271C1" w:rsidRPr="003408A6">
        <w:rPr>
          <w:b/>
          <w:lang w:val="en-AU"/>
        </w:rPr>
        <w:t>1</w:t>
      </w:r>
      <w:r w:rsidR="00CD45D0" w:rsidRPr="003408A6">
        <w:rPr>
          <w:b/>
          <w:lang w:val="en-AU"/>
        </w:rPr>
        <w:t>5</w:t>
      </w:r>
      <w:r w:rsidR="000271C1" w:rsidRPr="003408A6">
        <w:rPr>
          <w:lang w:val="en-AU"/>
        </w:rPr>
        <w:t xml:space="preserve"> </w:t>
      </w:r>
      <w:r w:rsidRPr="003408A6">
        <w:rPr>
          <w:lang w:val="en-AU"/>
        </w:rPr>
        <w:t xml:space="preserve">summarises </w:t>
      </w:r>
      <w:r w:rsidR="00C95382" w:rsidRPr="003408A6">
        <w:rPr>
          <w:lang w:val="en-AU"/>
        </w:rPr>
        <w:t>the d</w:t>
      </w:r>
      <w:r w:rsidRPr="003408A6">
        <w:rPr>
          <w:lang w:val="en-AU"/>
        </w:rPr>
        <w:t>istribution of respondents’ level of agreement on factors potentially affecting cervical screening rates. There was strong agreement that HPV vaccination would reduce rather than increas</w:t>
      </w:r>
      <w:r w:rsidR="00C95382" w:rsidRPr="003408A6">
        <w:rPr>
          <w:lang w:val="en-AU"/>
        </w:rPr>
        <w:t>e</w:t>
      </w:r>
      <w:r w:rsidRPr="003408A6">
        <w:rPr>
          <w:lang w:val="en-AU"/>
        </w:rPr>
        <w:t xml:space="preserve"> cervical screening rates in young women. Cervical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 xml:space="preserve">managers also generally agreed that inadequate or poor knowledge/understanding by young women about the need for cervical screening has contributed to a recent national decline in screening rates in this group. Cervical </w:t>
      </w:r>
      <w:r w:rsidR="00C95382" w:rsidRPr="003408A6">
        <w:rPr>
          <w:lang w:val="en-AU"/>
        </w:rPr>
        <w:t>S</w:t>
      </w:r>
      <w:r w:rsidRPr="003408A6">
        <w:rPr>
          <w:lang w:val="en-AU"/>
        </w:rPr>
        <w:t xml:space="preserve">creening </w:t>
      </w:r>
      <w:r w:rsidR="00C95382" w:rsidRPr="003408A6">
        <w:rPr>
          <w:lang w:val="en-AU"/>
        </w:rPr>
        <w:t xml:space="preserve">Program </w:t>
      </w:r>
      <w:r w:rsidRPr="003408A6">
        <w:rPr>
          <w:lang w:val="en-AU"/>
        </w:rPr>
        <w:t xml:space="preserve">managers were not all certain that the National HPV Vaccination Program was promoting cervical screening sufficiently in their jurisdictions. The majority agreed that their own cervical screening program was actively promoting the National HPV Vaccination Program, although two respondents disagreed that their jurisdictions were actively promoting the vaccination program. The majority agreed that they were concerned that the </w:t>
      </w:r>
      <w:r w:rsidR="00C95382" w:rsidRPr="003408A6">
        <w:rPr>
          <w:lang w:val="en-AU"/>
        </w:rPr>
        <w:t xml:space="preserve">vaccination </w:t>
      </w:r>
      <w:r w:rsidRPr="003408A6">
        <w:rPr>
          <w:lang w:val="en-AU"/>
        </w:rPr>
        <w:t>program would reduce cervical screening rates. All respondents</w:t>
      </w:r>
      <w:r w:rsidR="00C95382" w:rsidRPr="003408A6">
        <w:rPr>
          <w:lang w:val="en-AU"/>
        </w:rPr>
        <w:t>,</w:t>
      </w:r>
      <w:r w:rsidRPr="003408A6">
        <w:rPr>
          <w:lang w:val="en-AU"/>
        </w:rPr>
        <w:t xml:space="preserve"> however</w:t>
      </w:r>
      <w:r w:rsidR="00C95382" w:rsidRPr="003408A6">
        <w:rPr>
          <w:lang w:val="en-AU"/>
        </w:rPr>
        <w:t>,</w:t>
      </w:r>
      <w:r w:rsidRPr="003408A6">
        <w:rPr>
          <w:lang w:val="en-AU"/>
        </w:rPr>
        <w:t xml:space="preserve"> agreed that the National HPV Vaccination Program will have positive health consequences for Australia.</w:t>
      </w:r>
    </w:p>
    <w:p w:rsidR="00DC6B5D" w:rsidRPr="003408A6" w:rsidRDefault="00DC6B5D" w:rsidP="00CE0A90">
      <w:pPr>
        <w:spacing w:line="360" w:lineRule="auto"/>
        <w:rPr>
          <w:rFonts w:cs="Arial"/>
          <w:color w:val="004280"/>
          <w:szCs w:val="22"/>
          <w:lang w:eastAsia="en-US"/>
        </w:rPr>
      </w:pPr>
      <w:r w:rsidRPr="003408A6">
        <w:rPr>
          <w:rFonts w:cs="Arial"/>
          <w:color w:val="004280"/>
          <w:szCs w:val="22"/>
          <w:lang w:eastAsia="en-US"/>
        </w:rPr>
        <w:br w:type="page"/>
      </w:r>
    </w:p>
    <w:p w:rsidR="00F650A4" w:rsidRPr="003408A6" w:rsidRDefault="00F650A4" w:rsidP="003950D9">
      <w:pPr>
        <w:pStyle w:val="Heading1"/>
      </w:pPr>
      <w:bookmarkStart w:id="70" w:name="_CHAPTER_4._Immunisation"/>
      <w:bookmarkStart w:id="71" w:name="_Toc396926124"/>
      <w:bookmarkStart w:id="72" w:name="_Toc305598728"/>
      <w:bookmarkStart w:id="73" w:name="_Toc260817713"/>
      <w:bookmarkStart w:id="74" w:name="_Toc286665486"/>
      <w:bookmarkEnd w:id="70"/>
      <w:r w:rsidRPr="003408A6">
        <w:t>CHAPTER 3. Vaccination coverage</w:t>
      </w:r>
      <w:bookmarkEnd w:id="71"/>
      <w:r w:rsidRPr="003408A6">
        <w:t xml:space="preserve"> </w:t>
      </w:r>
    </w:p>
    <w:p w:rsidR="00F650A4" w:rsidRPr="003408A6" w:rsidRDefault="00F650A4" w:rsidP="00F650A4">
      <w:pPr>
        <w:rPr>
          <w:rFonts w:eastAsia="Calibri" w:cs="Arial"/>
          <w:b/>
          <w:i/>
          <w:szCs w:val="22"/>
          <w:lang w:eastAsia="en-US"/>
        </w:rPr>
      </w:pPr>
      <w:r w:rsidRPr="003408A6">
        <w:rPr>
          <w:rFonts w:eastAsia="Calibri" w:cs="Arial"/>
          <w:b/>
          <w:i/>
          <w:szCs w:val="22"/>
          <w:lang w:eastAsia="en-US"/>
        </w:rPr>
        <w:br w:type="page"/>
      </w:r>
    </w:p>
    <w:p w:rsidR="00F650A4" w:rsidRPr="003408A6" w:rsidRDefault="00F650A4" w:rsidP="003950D9">
      <w:pPr>
        <w:pStyle w:val="Heading2"/>
        <w:rPr>
          <w:rFonts w:eastAsia="Calibri"/>
          <w:lang w:eastAsia="en-US"/>
        </w:rPr>
      </w:pPr>
      <w:bookmarkStart w:id="75" w:name="_Toc396926125"/>
      <w:r w:rsidRPr="003408A6">
        <w:rPr>
          <w:rFonts w:eastAsia="Calibri"/>
          <w:lang w:eastAsia="en-US"/>
        </w:rPr>
        <w:t>Introduction</w:t>
      </w:r>
      <w:bookmarkEnd w:id="75"/>
    </w:p>
    <w:p w:rsidR="00F650A4" w:rsidRPr="003408A6" w:rsidRDefault="00F650A4" w:rsidP="00201CAE">
      <w:pPr>
        <w:pStyle w:val="BodyText"/>
        <w:rPr>
          <w:rFonts w:eastAsia="Calibri"/>
          <w:lang w:val="en-AU"/>
        </w:rPr>
      </w:pPr>
      <w:r w:rsidRPr="003408A6">
        <w:rPr>
          <w:rFonts w:eastAsia="Calibri"/>
          <w:lang w:val="en-AU"/>
        </w:rPr>
        <w:t xml:space="preserve">As part of the National HPV Vaccination Program, Australia established the National HPV Vaccination Program Register (NHVPR, also referred to as ‘the Register’ in this chapter). The Register is underpinned by legislation and records doses of HPV vaccine given in Australia, primarily as part of the </w:t>
      </w:r>
      <w:r w:rsidR="00C96AA1">
        <w:rPr>
          <w:rFonts w:eastAsia="Calibri"/>
          <w:lang w:val="en-AU"/>
        </w:rPr>
        <w:t>HPV vaccination p</w:t>
      </w:r>
      <w:r w:rsidRPr="003408A6">
        <w:rPr>
          <w:rFonts w:eastAsia="Calibri"/>
          <w:lang w:val="en-AU"/>
        </w:rPr>
        <w:t>rogram</w:t>
      </w:r>
      <w:r w:rsidR="00C96AA1">
        <w:rPr>
          <w:rFonts w:eastAsia="Calibri"/>
          <w:lang w:val="en-AU"/>
        </w:rPr>
        <w:t xml:space="preserve"> but also</w:t>
      </w:r>
      <w:r w:rsidRPr="003408A6">
        <w:rPr>
          <w:rFonts w:eastAsia="Calibri"/>
          <w:lang w:val="en-AU"/>
        </w:rPr>
        <w:t xml:space="preserve"> </w:t>
      </w:r>
      <w:r w:rsidR="00C96AA1" w:rsidRPr="003408A6">
        <w:rPr>
          <w:lang w:val="en-AU"/>
        </w:rPr>
        <w:t xml:space="preserve">vaccinations in females and males </w:t>
      </w:r>
      <w:r w:rsidRPr="003408A6">
        <w:rPr>
          <w:lang w:val="en-AU"/>
        </w:rPr>
        <w:t xml:space="preserve">received </w:t>
      </w:r>
      <w:r w:rsidR="00C96AA1" w:rsidRPr="003408A6">
        <w:rPr>
          <w:lang w:val="en-AU"/>
        </w:rPr>
        <w:t xml:space="preserve">electively </w:t>
      </w:r>
      <w:r w:rsidRPr="003408A6">
        <w:rPr>
          <w:lang w:val="en-AU"/>
        </w:rPr>
        <w:t>outside of the Program’s recommended age range.</w:t>
      </w:r>
      <w:r w:rsidRPr="003408A6">
        <w:rPr>
          <w:rFonts w:eastAsia="Calibri"/>
          <w:lang w:val="en-AU"/>
        </w:rPr>
        <w:t xml:space="preserve"> This enables monitoring of coverage in the population and supports the completion of the 3-dose vaccine course by advising providers and vaccine recipients if a vaccine course is incomplete. It also ensures that a permanent accessible record of vaccination is retained in the long term, facilitating evaluation of the vaccination program through linkage to health outcomes data and enabling vaccine recipients to be advised if a booster dose of vaccine is ever required.</w:t>
      </w:r>
      <w:hyperlink w:anchor="_ENREF_39" w:tooltip="Gertig, 2011 #43" w:history="1">
        <w:r w:rsidR="00F27F90" w:rsidRPr="003408A6">
          <w:rPr>
            <w:rFonts w:eastAsia="Calibri"/>
            <w:lang w:val="en-AU"/>
          </w:rPr>
          <w:fldChar w:fldCharType="begin"/>
        </w:r>
        <w:r w:rsidR="00F27F90" w:rsidRPr="003408A6">
          <w:rPr>
            <w:rFonts w:eastAsia="Calibri"/>
            <w:lang w:val="en-AU"/>
          </w:rPr>
          <w:instrText xml:space="preserve"> ADDIN EN.CITE &lt;EndNote&gt;&lt;Cite&gt;&lt;Author&gt;Gertig&lt;/Author&gt;&lt;Year&gt;2011&lt;/Year&gt;&lt;RecNum&gt;43&lt;/RecNum&gt;&lt;DisplayText&gt;&lt;style face="superscript"&gt;39&lt;/style&gt;&lt;/DisplayText&gt;&lt;record&gt;&lt;rec-number&gt;43&lt;/rec-number&gt;&lt;foreign-keys&gt;&lt;key app="EN" db-id="dda0wweazfww9besetpx2r5pt0asp9ztvs95"&gt;43&lt;/key&gt;&lt;/foreign-keys&gt;&lt;ref-type name="Journal Article"&gt;17&lt;/ref-type&gt;&lt;contributors&gt;&lt;authors&gt;&lt;author&gt;Gertig, D. M.&lt;/author&gt;&lt;author&gt;Brotherton, J. M.&lt;/author&gt;&lt;author&gt;Saville, M.&lt;/author&gt;&lt;/authors&gt;&lt;/contributors&gt;&lt;auth-address&gt;Victorian Cytology Service, PO Box 161, Carlton South, Vic. 3053, Australia.&lt;/auth-address&gt;&lt;titles&gt;&lt;title&gt;Measuring human papillomavirus (HPV) vaccination coverage and the role of the National HPV Vaccination Program Register, Australia&lt;/title&gt;&lt;secondary-title&gt;Sexual Health&lt;/secondary-title&gt;&lt;alt-title&gt;Sexual health&lt;/alt-title&gt;&lt;/titles&gt;&lt;periodical&gt;&lt;full-title&gt;Sexual Health&lt;/full-title&gt;&lt;abbr-1&gt;Sex. Health&lt;/abbr-1&gt;&lt;abbr-2&gt;Sex Health&lt;/abbr-2&gt;&lt;/periodical&gt;&lt;alt-periodical&gt;&lt;full-title&gt;Sexual Health&lt;/full-title&gt;&lt;abbr-1&gt;Sex. Health&lt;/abbr-1&gt;&lt;abbr-2&gt;Sex Health&lt;/abbr-2&gt;&lt;/alt-periodical&gt;&lt;pages&gt;171-8&lt;/pages&gt;&lt;volume&gt;8&lt;/volume&gt;&lt;number&gt;2&lt;/number&gt;&lt;edition&gt;2011/05/20&lt;/edition&gt;&lt;keywords&gt;&lt;keyword&gt;Adolescent&lt;/keyword&gt;&lt;keyword&gt;Australia/epidemiology&lt;/keyword&gt;&lt;keyword&gt;Child&lt;/keyword&gt;&lt;keyword&gt;Condylomata Acuminata/epidemiology/prevention &amp;amp; control/virology&lt;/keyword&gt;&lt;keyword&gt;Female&lt;/keyword&gt;&lt;keyword&gt;Human papillomavirus 16/immunology&lt;/keyword&gt;&lt;keyword&gt;Humans&lt;/keyword&gt;&lt;keyword&gt;Papillomavirus Infections/epidemiology/ prevention &amp;amp; control/virology&lt;/keyword&gt;&lt;keyword&gt;Papillomavirus Vaccines/ administration &amp;amp; dosage/immunology&lt;/keyword&gt;&lt;keyword&gt;Vaccination/ statistics &amp;amp; numerical data&lt;/keyword&gt;&lt;/keywords&gt;&lt;dates&gt;&lt;year&gt;2011&lt;/year&gt;&lt;pub-dates&gt;&lt;date&gt;Jun&lt;/date&gt;&lt;/pub-dates&gt;&lt;/dates&gt;&lt;isbn&gt;1448-5028 (Print)&amp;#xD;1448-5028 (Linking)&lt;/isbn&gt;&lt;accession-num&gt;21592430&lt;/accession-num&gt;&lt;urls&gt;&lt;/urls&gt;&lt;electronic-resource-num&gt;10.1071/sh10001&lt;/electronic-resource-num&gt;&lt;remote-database-provider&gt;NLM&lt;/remote-database-provider&gt;&lt;language&gt;eng&lt;/language&gt;&lt;/record&gt;&lt;/Cite&gt;&lt;/EndNote&gt;</w:instrText>
        </w:r>
        <w:r w:rsidR="00F27F90" w:rsidRPr="003408A6">
          <w:rPr>
            <w:rFonts w:eastAsia="Calibri"/>
            <w:lang w:val="en-AU"/>
          </w:rPr>
          <w:fldChar w:fldCharType="separate"/>
        </w:r>
        <w:r w:rsidR="00F27F90" w:rsidRPr="003408A6">
          <w:rPr>
            <w:rFonts w:eastAsia="Calibri"/>
            <w:noProof/>
            <w:vertAlign w:val="superscript"/>
            <w:lang w:val="en-AU"/>
          </w:rPr>
          <w:t>39</w:t>
        </w:r>
        <w:r w:rsidR="00F27F90" w:rsidRPr="003408A6">
          <w:rPr>
            <w:rFonts w:eastAsia="Calibri"/>
            <w:lang w:val="en-AU"/>
          </w:rPr>
          <w:fldChar w:fldCharType="end"/>
        </w:r>
      </w:hyperlink>
      <w:r w:rsidRPr="003408A6">
        <w:rPr>
          <w:rFonts w:eastAsia="Calibri"/>
          <w:lang w:val="en-AU"/>
        </w:rPr>
        <w:t xml:space="preserve"> </w:t>
      </w:r>
    </w:p>
    <w:p w:rsidR="00F650A4" w:rsidRPr="003408A6" w:rsidRDefault="00F650A4" w:rsidP="00201CAE">
      <w:pPr>
        <w:pStyle w:val="BodyText"/>
        <w:rPr>
          <w:rFonts w:eastAsia="Calibri"/>
          <w:lang w:val="en-AU"/>
        </w:rPr>
      </w:pPr>
      <w:r w:rsidRPr="003408A6">
        <w:rPr>
          <w:rFonts w:eastAsia="Calibri"/>
          <w:lang w:val="en-AU"/>
        </w:rPr>
        <w:t>The Register commenced operations in mid-2008</w:t>
      </w:r>
      <w:r w:rsidR="00C96AA1">
        <w:rPr>
          <w:rFonts w:eastAsia="Calibri"/>
          <w:lang w:val="en-AU"/>
        </w:rPr>
        <w:t>.</w:t>
      </w:r>
      <w:r w:rsidRPr="003408A6">
        <w:rPr>
          <w:rFonts w:eastAsia="Calibri"/>
          <w:lang w:val="en-AU"/>
        </w:rPr>
        <w:t xml:space="preserve"> </w:t>
      </w:r>
      <w:r w:rsidR="00C96AA1">
        <w:rPr>
          <w:rFonts w:eastAsia="Calibri"/>
          <w:lang w:val="en-AU"/>
        </w:rPr>
        <w:t>D</w:t>
      </w:r>
      <w:r w:rsidRPr="003408A6">
        <w:rPr>
          <w:rFonts w:eastAsia="Calibri"/>
          <w:lang w:val="en-AU"/>
        </w:rPr>
        <w:t xml:space="preserve">ata about doses administered prior to this (April 2007, when the program commenced, onwards) </w:t>
      </w:r>
      <w:r w:rsidR="00C96AA1">
        <w:rPr>
          <w:rFonts w:eastAsia="Calibri"/>
          <w:lang w:val="en-AU"/>
        </w:rPr>
        <w:t xml:space="preserve">was </w:t>
      </w:r>
      <w:r w:rsidRPr="003408A6">
        <w:rPr>
          <w:rFonts w:eastAsia="Calibri"/>
          <w:lang w:val="en-AU"/>
        </w:rPr>
        <w:t>also sought from providers. All school</w:t>
      </w:r>
      <w:r w:rsidRPr="003408A6">
        <w:rPr>
          <w:lang w:val="en-AU"/>
        </w:rPr>
        <w:t>-based</w:t>
      </w:r>
      <w:r w:rsidRPr="003408A6">
        <w:rPr>
          <w:rFonts w:eastAsia="Calibri"/>
          <w:lang w:val="en-AU"/>
        </w:rPr>
        <w:t xml:space="preserve"> program providers retained records of these doses and uploaded them to the </w:t>
      </w:r>
      <w:r w:rsidRPr="003408A6">
        <w:rPr>
          <w:lang w:val="en-AU"/>
        </w:rPr>
        <w:t xml:space="preserve">Register retrospectively. Consent forms used in the school-based program include consent to provide the record to the Register. Parents/students can choose to opt out </w:t>
      </w:r>
      <w:r w:rsidRPr="003408A6">
        <w:rPr>
          <w:rFonts w:eastAsia="Calibri"/>
          <w:lang w:val="en-AU"/>
        </w:rPr>
        <w:t>but the rates of doing so are thought to be extremely low. Coverage data for school</w:t>
      </w:r>
      <w:r w:rsidR="00C96AA1">
        <w:rPr>
          <w:rFonts w:eastAsia="Calibri"/>
          <w:lang w:val="en-AU"/>
        </w:rPr>
        <w:t>-</w:t>
      </w:r>
      <w:r w:rsidRPr="003408A6">
        <w:rPr>
          <w:rFonts w:eastAsia="Calibri"/>
          <w:lang w:val="en-AU"/>
        </w:rPr>
        <w:t>administered doses should therefore be virtually complete. In contrast</w:t>
      </w:r>
      <w:r w:rsidR="00C96AA1">
        <w:rPr>
          <w:rFonts w:eastAsia="Calibri"/>
          <w:lang w:val="en-AU"/>
        </w:rPr>
        <w:t>,</w:t>
      </w:r>
      <w:r w:rsidRPr="003408A6">
        <w:rPr>
          <w:rFonts w:eastAsia="Calibri"/>
          <w:lang w:val="en-AU"/>
        </w:rPr>
        <w:t xml:space="preserve"> notification from general practice and other community providers is not universal, with verbal consent required at the time of vaccination and a variety of methods of notification available (mail, fax, secure web portal upload of single dose or multiple doses in a form or spreadsheet or as extracted from commonly used practice management software systems). To facilitate notification during the females catch-up program, the Australian government paid general practitioners an incentive of $6 per dose notified.</w:t>
      </w:r>
      <w:hyperlink w:anchor="_ENREF_39" w:tooltip="Gertig, 2011 #43" w:history="1">
        <w:r w:rsidR="00F27F90" w:rsidRPr="003408A6">
          <w:rPr>
            <w:rFonts w:eastAsia="Calibri"/>
            <w:lang w:val="en-AU"/>
          </w:rPr>
          <w:fldChar w:fldCharType="begin"/>
        </w:r>
        <w:r w:rsidR="00F27F90" w:rsidRPr="003408A6">
          <w:rPr>
            <w:rFonts w:eastAsia="Calibri"/>
            <w:lang w:val="en-AU"/>
          </w:rPr>
          <w:instrText xml:space="preserve"> ADDIN EN.CITE &lt;EndNote&gt;&lt;Cite&gt;&lt;Author&gt;Gertig&lt;/Author&gt;&lt;Year&gt;2011&lt;/Year&gt;&lt;RecNum&gt;43&lt;/RecNum&gt;&lt;DisplayText&gt;&lt;style face="superscript"&gt;39&lt;/style&gt;&lt;/DisplayText&gt;&lt;record&gt;&lt;rec-number&gt;43&lt;/rec-number&gt;&lt;foreign-keys&gt;&lt;key app="EN" db-id="dda0wweazfww9besetpx2r5pt0asp9ztvs95"&gt;43&lt;/key&gt;&lt;/foreign-keys&gt;&lt;ref-type name="Journal Article"&gt;17&lt;/ref-type&gt;&lt;contributors&gt;&lt;authors&gt;&lt;author&gt;Gertig, D. M.&lt;/author&gt;&lt;author&gt;Brotherton, J. M.&lt;/author&gt;&lt;author&gt;Saville, M.&lt;/author&gt;&lt;/authors&gt;&lt;/contributors&gt;&lt;auth-address&gt;Victorian Cytology Service, PO Box 161, Carlton South, Vic. 3053, Australia.&lt;/auth-address&gt;&lt;titles&gt;&lt;title&gt;Measuring human papillomavirus (HPV) vaccination coverage and the role of the National HPV Vaccination Program Register, Australia&lt;/title&gt;&lt;secondary-title&gt;Sexual Health&lt;/secondary-title&gt;&lt;alt-title&gt;Sexual health&lt;/alt-title&gt;&lt;/titles&gt;&lt;periodical&gt;&lt;full-title&gt;Sexual Health&lt;/full-title&gt;&lt;abbr-1&gt;Sex. Health&lt;/abbr-1&gt;&lt;abbr-2&gt;Sex Health&lt;/abbr-2&gt;&lt;/periodical&gt;&lt;alt-periodical&gt;&lt;full-title&gt;Sexual Health&lt;/full-title&gt;&lt;abbr-1&gt;Sex. Health&lt;/abbr-1&gt;&lt;abbr-2&gt;Sex Health&lt;/abbr-2&gt;&lt;/alt-periodical&gt;&lt;pages&gt;171-8&lt;/pages&gt;&lt;volume&gt;8&lt;/volume&gt;&lt;number&gt;2&lt;/number&gt;&lt;edition&gt;2011/05/20&lt;/edition&gt;&lt;keywords&gt;&lt;keyword&gt;Adolescent&lt;/keyword&gt;&lt;keyword&gt;Australia/epidemiology&lt;/keyword&gt;&lt;keyword&gt;Child&lt;/keyword&gt;&lt;keyword&gt;Condylomata Acuminata/epidemiology/prevention &amp;amp; control/virology&lt;/keyword&gt;&lt;keyword&gt;Female&lt;/keyword&gt;&lt;keyword&gt;Human papillomavirus 16/immunology&lt;/keyword&gt;&lt;keyword&gt;Humans&lt;/keyword&gt;&lt;keyword&gt;Papillomavirus Infections/epidemiology/ prevention &amp;amp; control/virology&lt;/keyword&gt;&lt;keyword&gt;Papillomavirus Vaccines/ administration &amp;amp; dosage/immunology&lt;/keyword&gt;&lt;keyword&gt;Vaccination/ statistics &amp;amp; numerical data&lt;/keyword&gt;&lt;/keywords&gt;&lt;dates&gt;&lt;year&gt;2011&lt;/year&gt;&lt;pub-dates&gt;&lt;date&gt;Jun&lt;/date&gt;&lt;/pub-dates&gt;&lt;/dates&gt;&lt;isbn&gt;1448-5028 (Print)&amp;#xD;1448-5028 (Linking)&lt;/isbn&gt;&lt;accession-num&gt;21592430&lt;/accession-num&gt;&lt;urls&gt;&lt;/urls&gt;&lt;electronic-resource-num&gt;10.1071/sh10001&lt;/electronic-resource-num&gt;&lt;remote-database-provider&gt;NLM&lt;/remote-database-provider&gt;&lt;language&gt;eng&lt;/language&gt;&lt;/record&gt;&lt;/Cite&gt;&lt;/EndNote&gt;</w:instrText>
        </w:r>
        <w:r w:rsidR="00F27F90" w:rsidRPr="003408A6">
          <w:rPr>
            <w:rFonts w:eastAsia="Calibri"/>
            <w:lang w:val="en-AU"/>
          </w:rPr>
          <w:fldChar w:fldCharType="separate"/>
        </w:r>
        <w:r w:rsidR="00F27F90" w:rsidRPr="003408A6">
          <w:rPr>
            <w:rFonts w:eastAsia="Calibri"/>
            <w:noProof/>
            <w:vertAlign w:val="superscript"/>
            <w:lang w:val="en-AU"/>
          </w:rPr>
          <w:t>39</w:t>
        </w:r>
        <w:r w:rsidR="00F27F90" w:rsidRPr="003408A6">
          <w:rPr>
            <w:rFonts w:eastAsia="Calibri"/>
            <w:lang w:val="en-AU"/>
          </w:rPr>
          <w:fldChar w:fldCharType="end"/>
        </w:r>
      </w:hyperlink>
      <w:r w:rsidRPr="003408A6">
        <w:rPr>
          <w:rFonts w:eastAsia="Calibri"/>
          <w:lang w:val="en-AU"/>
        </w:rPr>
        <w:t xml:space="preserve"> </w:t>
      </w:r>
    </w:p>
    <w:p w:rsidR="00F650A4" w:rsidRPr="003408A6" w:rsidRDefault="00F650A4" w:rsidP="00201CAE">
      <w:pPr>
        <w:pStyle w:val="BodyText"/>
        <w:rPr>
          <w:rFonts w:eastAsia="Calibri"/>
          <w:lang w:val="en-AU"/>
        </w:rPr>
      </w:pPr>
      <w:r w:rsidRPr="003408A6">
        <w:rPr>
          <w:rFonts w:eastAsia="Calibri"/>
          <w:lang w:val="en-AU"/>
        </w:rPr>
        <w:t>As at mid-2013, the Register held records of the administration of over 5.3 million doses of HPV vaccine</w:t>
      </w:r>
      <w:r w:rsidRPr="003408A6">
        <w:rPr>
          <w:lang w:val="en-AU"/>
        </w:rPr>
        <w:t>, with &gt;97% of these for females</w:t>
      </w:r>
      <w:r w:rsidRPr="003408A6">
        <w:rPr>
          <w:rFonts w:eastAsia="Calibri"/>
          <w:lang w:val="en-AU"/>
        </w:rPr>
        <w:t>. This chapter aims to assess the HPV vaccination coverage achieved by the National HPV Vaccination Program using data held on the Register. It considers coverage in females vaccinated through the program through reviewing:</w:t>
      </w:r>
    </w:p>
    <w:p w:rsidR="00F650A4" w:rsidRPr="003408A6" w:rsidRDefault="00F650A4" w:rsidP="000E33CA">
      <w:pPr>
        <w:pStyle w:val="Bodytextnumbered"/>
      </w:pPr>
      <w:r w:rsidRPr="003408A6">
        <w:t xml:space="preserve">The coverage achieved among cohorts vaccinated in the catch-up program </w:t>
      </w:r>
      <w:r w:rsidR="00C96AA1">
        <w:t xml:space="preserve">during </w:t>
      </w:r>
      <w:r w:rsidRPr="003408A6">
        <w:t>2007</w:t>
      </w:r>
      <w:r w:rsidR="00C96AA1">
        <w:t>–</w:t>
      </w:r>
      <w:r w:rsidRPr="003408A6">
        <w:t>2009</w:t>
      </w:r>
      <w:r w:rsidR="00C96AA1">
        <w:t>,</w:t>
      </w:r>
      <w:r w:rsidRPr="003408A6">
        <w:t xml:space="preserve"> by age group, state of residence, area of residence/rurality, socioeconomic status</w:t>
      </w:r>
      <w:r w:rsidR="00371FBC">
        <w:t xml:space="preserve"> (SES)</w:t>
      </w:r>
      <w:r w:rsidRPr="003408A6">
        <w:t xml:space="preserve"> and Indigenous status</w:t>
      </w:r>
    </w:p>
    <w:p w:rsidR="00F650A4" w:rsidRPr="003408A6" w:rsidRDefault="00F650A4" w:rsidP="000E33CA">
      <w:pPr>
        <w:pStyle w:val="Bodytextnumbered"/>
      </w:pPr>
      <w:r w:rsidRPr="003408A6">
        <w:t>Coverage by age 15 achieved in the ongoing routine cohorts vaccinated at age 12–13 years</w:t>
      </w:r>
      <w:r w:rsidR="00C96AA1">
        <w:t>,</w:t>
      </w:r>
      <w:r w:rsidRPr="003408A6">
        <w:t xml:space="preserve"> over time and by state of residence</w:t>
      </w:r>
    </w:p>
    <w:p w:rsidR="00F650A4" w:rsidRPr="003408A6" w:rsidRDefault="00F650A4" w:rsidP="000E33CA">
      <w:pPr>
        <w:pStyle w:val="Bodytextnumbered"/>
      </w:pPr>
      <w:r w:rsidRPr="003408A6">
        <w:t xml:space="preserve">Proportion of doses administered by </w:t>
      </w:r>
      <w:r w:rsidR="00DB5945">
        <w:t>general practice</w:t>
      </w:r>
      <w:r w:rsidR="00DB5945" w:rsidRPr="003408A6">
        <w:t xml:space="preserve"> </w:t>
      </w:r>
      <w:r w:rsidRPr="003408A6">
        <w:t>and non</w:t>
      </w:r>
      <w:r w:rsidR="00DB5945">
        <w:t xml:space="preserve">-general practice </w:t>
      </w:r>
      <w:r w:rsidRPr="003408A6">
        <w:t>providers by age group, state of residence and over time</w:t>
      </w:r>
    </w:p>
    <w:p w:rsidR="00F650A4" w:rsidRPr="003408A6" w:rsidRDefault="00F650A4" w:rsidP="000E33CA">
      <w:pPr>
        <w:pStyle w:val="Bodytextnumbered"/>
      </w:pPr>
      <w:r w:rsidRPr="003408A6">
        <w:t>Timeliness of course completion</w:t>
      </w:r>
    </w:p>
    <w:p w:rsidR="00F650A4" w:rsidRPr="003408A6" w:rsidRDefault="00F650A4" w:rsidP="000E33CA">
      <w:pPr>
        <w:pStyle w:val="Bodytextnumbered"/>
      </w:pPr>
      <w:r w:rsidRPr="003408A6">
        <w:t>Methodological considerations</w:t>
      </w:r>
    </w:p>
    <w:p w:rsidR="00F650A4" w:rsidRPr="003408A6" w:rsidRDefault="00F650A4" w:rsidP="000E33CA">
      <w:pPr>
        <w:pStyle w:val="Bodytextindented"/>
      </w:pPr>
      <w:r w:rsidRPr="003408A6">
        <w:t>What is the effect on coverage estimates of using Medicare enrolment data instead of Australian Bureau of Statistics (ABS) population estimates?</w:t>
      </w:r>
    </w:p>
    <w:p w:rsidR="00F650A4" w:rsidRPr="003408A6" w:rsidRDefault="00F650A4" w:rsidP="000E33CA">
      <w:pPr>
        <w:pStyle w:val="Bodytextindented"/>
      </w:pPr>
      <w:r w:rsidRPr="003408A6">
        <w:t>What is the effect on HPV coverage estimates of making a ‘third dose assumption’?</w:t>
      </w:r>
    </w:p>
    <w:p w:rsidR="00F650A4" w:rsidRPr="003408A6" w:rsidRDefault="00F650A4" w:rsidP="003950D9">
      <w:pPr>
        <w:pStyle w:val="Heading2"/>
        <w:rPr>
          <w:rFonts w:eastAsia="Calibri"/>
          <w:lang w:eastAsia="en-US"/>
        </w:rPr>
      </w:pPr>
      <w:bookmarkStart w:id="76" w:name="_Toc396926126"/>
      <w:r w:rsidRPr="003408A6">
        <w:rPr>
          <w:rFonts w:eastAsia="Calibri"/>
          <w:lang w:eastAsia="en-US"/>
        </w:rPr>
        <w:t>Methods</w:t>
      </w:r>
      <w:bookmarkEnd w:id="76"/>
    </w:p>
    <w:p w:rsidR="00F650A4" w:rsidRPr="003408A6" w:rsidRDefault="00F650A4" w:rsidP="000E33CA">
      <w:pPr>
        <w:pStyle w:val="BodyText"/>
        <w:rPr>
          <w:rFonts w:eastAsia="Calibri"/>
          <w:lang w:val="en-AU"/>
        </w:rPr>
      </w:pPr>
      <w:r w:rsidRPr="003408A6">
        <w:rPr>
          <w:rFonts w:eastAsia="Calibri"/>
          <w:lang w:val="en-AU"/>
        </w:rPr>
        <w:t xml:space="preserve">Coverage was calculated as the number of doses notified divided by estimated resident population (ERP), expressed as a percentage. </w:t>
      </w:r>
    </w:p>
    <w:p w:rsidR="00F650A4" w:rsidRPr="003408A6" w:rsidRDefault="00F650A4" w:rsidP="00F07DC6">
      <w:pPr>
        <w:pStyle w:val="Heading3"/>
        <w:rPr>
          <w:rFonts w:eastAsia="Calibri"/>
          <w:lang w:eastAsia="en-US"/>
        </w:rPr>
      </w:pPr>
      <w:r w:rsidRPr="003408A6">
        <w:rPr>
          <w:rFonts w:eastAsia="Calibri"/>
          <w:lang w:eastAsia="en-US"/>
        </w:rPr>
        <w:t>Numerator</w:t>
      </w:r>
    </w:p>
    <w:p w:rsidR="00F650A4" w:rsidRPr="003408A6" w:rsidRDefault="00F650A4" w:rsidP="000E33CA">
      <w:pPr>
        <w:pStyle w:val="BodyText"/>
        <w:rPr>
          <w:rFonts w:eastAsia="Calibri"/>
          <w:lang w:val="en-AU"/>
        </w:rPr>
      </w:pPr>
      <w:r w:rsidRPr="003408A6">
        <w:rPr>
          <w:rFonts w:eastAsia="Calibri"/>
          <w:lang w:val="en-AU"/>
        </w:rPr>
        <w:t>Notified doses are valid doses counted by their implied dose number (</w:t>
      </w:r>
      <w:r w:rsidR="00C96AA1">
        <w:rPr>
          <w:rFonts w:eastAsia="Calibri"/>
          <w:lang w:val="en-AU"/>
        </w:rPr>
        <w:t xml:space="preserve">i.e. </w:t>
      </w:r>
      <w:r w:rsidRPr="003408A6">
        <w:rPr>
          <w:rFonts w:eastAsia="Calibri"/>
          <w:lang w:val="en-AU"/>
        </w:rPr>
        <w:t>dose number allocated according to total doses recorded on the Register for that individual and as per CMO guidelines for acceptable dose intervals), as at the date of data extraction from the Register.</w:t>
      </w:r>
    </w:p>
    <w:p w:rsidR="00F650A4" w:rsidRPr="003408A6" w:rsidRDefault="00F650A4" w:rsidP="00F07DC6">
      <w:pPr>
        <w:pStyle w:val="Heading3"/>
        <w:rPr>
          <w:rFonts w:eastAsia="Calibri"/>
          <w:lang w:eastAsia="en-US"/>
        </w:rPr>
      </w:pPr>
      <w:r w:rsidRPr="003408A6">
        <w:rPr>
          <w:rFonts w:eastAsia="Calibri"/>
          <w:lang w:eastAsia="en-US"/>
        </w:rPr>
        <w:t>Denominator</w:t>
      </w:r>
    </w:p>
    <w:p w:rsidR="00F650A4" w:rsidRPr="003408A6" w:rsidRDefault="00F650A4" w:rsidP="000E33CA">
      <w:pPr>
        <w:pStyle w:val="BodyText"/>
        <w:rPr>
          <w:rFonts w:eastAsia="Calibri"/>
          <w:lang w:val="en-AU"/>
        </w:rPr>
      </w:pPr>
      <w:r w:rsidRPr="003408A6">
        <w:rPr>
          <w:rFonts w:eastAsia="Calibri"/>
          <w:lang w:val="en-AU"/>
        </w:rPr>
        <w:t>Mid</w:t>
      </w:r>
      <w:r w:rsidR="00820D27">
        <w:rPr>
          <w:rFonts w:eastAsia="Calibri"/>
          <w:lang w:val="en-AU"/>
        </w:rPr>
        <w:t>-</w:t>
      </w:r>
      <w:r w:rsidRPr="003408A6">
        <w:rPr>
          <w:rFonts w:eastAsia="Calibri"/>
          <w:lang w:val="en-AU"/>
        </w:rPr>
        <w:t>year ABS ERPs for females were used as the denominator. For the female catch-up program, ERPs for 2007 were used.</w:t>
      </w:r>
    </w:p>
    <w:p w:rsidR="00F650A4" w:rsidRPr="003408A6" w:rsidRDefault="00F650A4" w:rsidP="00F07DC6">
      <w:pPr>
        <w:pStyle w:val="Heading3"/>
        <w:rPr>
          <w:rFonts w:eastAsia="Calibri"/>
          <w:lang w:eastAsia="en-US"/>
        </w:rPr>
      </w:pPr>
      <w:r w:rsidRPr="003408A6">
        <w:rPr>
          <w:rFonts w:eastAsia="Calibri"/>
          <w:lang w:eastAsia="en-US"/>
        </w:rPr>
        <w:t>Stratifying variables</w:t>
      </w:r>
    </w:p>
    <w:p w:rsidR="00F650A4" w:rsidRPr="003408A6" w:rsidRDefault="00C96AA1" w:rsidP="000E33CA">
      <w:pPr>
        <w:pStyle w:val="BodyText"/>
        <w:rPr>
          <w:rFonts w:eastAsia="Calibri"/>
          <w:lang w:val="en-AU"/>
        </w:rPr>
      </w:pPr>
      <w:r>
        <w:rPr>
          <w:rFonts w:eastAsia="Calibri"/>
          <w:lang w:val="en-AU"/>
        </w:rPr>
        <w:t>‘</w:t>
      </w:r>
      <w:r w:rsidR="00F650A4" w:rsidRPr="003408A6">
        <w:rPr>
          <w:rFonts w:eastAsia="Calibri"/>
          <w:lang w:val="en-AU"/>
        </w:rPr>
        <w:t>Age</w:t>
      </w:r>
      <w:r>
        <w:rPr>
          <w:rFonts w:eastAsia="Calibri"/>
          <w:lang w:val="en-AU"/>
        </w:rPr>
        <w:t>’</w:t>
      </w:r>
      <w:r w:rsidR="00F650A4" w:rsidRPr="003408A6">
        <w:rPr>
          <w:rFonts w:eastAsia="Calibri"/>
          <w:lang w:val="en-AU"/>
        </w:rPr>
        <w:t xml:space="preserve"> is age as at ERP date. </w:t>
      </w:r>
    </w:p>
    <w:p w:rsidR="00F650A4" w:rsidRPr="003408A6" w:rsidRDefault="00F650A4" w:rsidP="000E33CA">
      <w:pPr>
        <w:pStyle w:val="BodyText"/>
        <w:rPr>
          <w:rFonts w:eastAsia="Calibri"/>
          <w:lang w:val="en-AU"/>
        </w:rPr>
      </w:pPr>
      <w:r w:rsidRPr="003408A6">
        <w:rPr>
          <w:rFonts w:eastAsia="Calibri"/>
          <w:lang w:val="en-AU"/>
        </w:rPr>
        <w:t xml:space="preserve">The ABS 2006 </w:t>
      </w:r>
      <w:r w:rsidR="00B37994" w:rsidRPr="003408A6">
        <w:rPr>
          <w:lang w:val="en-AU"/>
        </w:rPr>
        <w:t xml:space="preserve">Socio-Economic Indexes for Areas </w:t>
      </w:r>
      <w:r w:rsidR="00B37994">
        <w:rPr>
          <w:lang w:val="en-AU"/>
        </w:rPr>
        <w:t>(</w:t>
      </w:r>
      <w:r w:rsidRPr="003408A6">
        <w:rPr>
          <w:rFonts w:eastAsia="Calibri"/>
          <w:lang w:val="en-AU"/>
        </w:rPr>
        <w:t>SEIFA</w:t>
      </w:r>
      <w:r w:rsidR="00B37994">
        <w:rPr>
          <w:rFonts w:eastAsia="Calibri"/>
          <w:lang w:val="en-AU"/>
        </w:rPr>
        <w:t>)</w:t>
      </w:r>
      <w:r w:rsidRPr="003408A6">
        <w:rPr>
          <w:rFonts w:eastAsia="Calibri"/>
          <w:lang w:val="en-AU"/>
        </w:rPr>
        <w:t xml:space="preserve"> Index of Relative Disadvantage was used to measure socioeconomic status among </w:t>
      </w:r>
      <w:r w:rsidRPr="003408A6">
        <w:rPr>
          <w:lang w:val="en-AU"/>
        </w:rPr>
        <w:t>females</w:t>
      </w:r>
      <w:r w:rsidRPr="003408A6">
        <w:rPr>
          <w:rFonts w:eastAsia="Calibri"/>
          <w:lang w:val="en-AU"/>
        </w:rPr>
        <w:t xml:space="preserve"> aged 12–13 years in 2007 (same age and delivery method as the ongoing cohorts) in quintiles</w:t>
      </w:r>
      <w:r w:rsidR="00C96AA1">
        <w:rPr>
          <w:rFonts w:eastAsia="Calibri"/>
          <w:lang w:val="en-AU"/>
        </w:rPr>
        <w:t>,</w:t>
      </w:r>
      <w:r w:rsidRPr="003408A6">
        <w:rPr>
          <w:rFonts w:eastAsia="Calibri"/>
          <w:lang w:val="en-AU"/>
        </w:rPr>
        <w:t xml:space="preserve"> using the area of residence of vaccinee at the </w:t>
      </w:r>
      <w:r w:rsidRPr="003408A6">
        <w:rPr>
          <w:lang w:val="en-AU"/>
        </w:rPr>
        <w:t>Local Government Area (</w:t>
      </w:r>
      <w:r w:rsidRPr="003408A6">
        <w:rPr>
          <w:rFonts w:eastAsia="Calibri"/>
          <w:lang w:val="en-AU"/>
        </w:rPr>
        <w:t>LGA) level.</w:t>
      </w:r>
    </w:p>
    <w:p w:rsidR="00F650A4" w:rsidRPr="003408A6" w:rsidRDefault="00F650A4" w:rsidP="000E33CA">
      <w:pPr>
        <w:pStyle w:val="BodyText"/>
        <w:rPr>
          <w:rFonts w:eastAsia="Calibri"/>
          <w:lang w:val="en-AU"/>
        </w:rPr>
      </w:pPr>
      <w:r w:rsidRPr="003408A6">
        <w:rPr>
          <w:rFonts w:eastAsia="Calibri"/>
          <w:lang w:val="en-AU"/>
        </w:rPr>
        <w:t>Remoteness was classified using the Remoteness Structure of the Australian Standard Geographical Classification published by the ABS</w:t>
      </w:r>
      <w:r w:rsidR="00C96AA1">
        <w:rPr>
          <w:rFonts w:eastAsia="Calibri"/>
          <w:lang w:val="en-AU"/>
        </w:rPr>
        <w:t>,</w:t>
      </w:r>
      <w:r w:rsidRPr="003408A6">
        <w:rPr>
          <w:rFonts w:eastAsia="Calibri"/>
          <w:lang w:val="en-AU"/>
        </w:rPr>
        <w:t xml:space="preserve"> using the area of residence of the vaccinee at the LGA level. This analysis focused on </w:t>
      </w:r>
      <w:r w:rsidRPr="003408A6">
        <w:rPr>
          <w:lang w:val="en-AU"/>
        </w:rPr>
        <w:t>females</w:t>
      </w:r>
      <w:r w:rsidRPr="003408A6">
        <w:rPr>
          <w:rFonts w:eastAsia="Calibri"/>
          <w:lang w:val="en-AU"/>
        </w:rPr>
        <w:t xml:space="preserve"> aged 12–13 years in 2007 (same age and delivery method as the ongoing cohorts).</w:t>
      </w:r>
    </w:p>
    <w:p w:rsidR="00F650A4" w:rsidRPr="003408A6" w:rsidRDefault="00F650A4" w:rsidP="000E33CA">
      <w:pPr>
        <w:pStyle w:val="BodyText"/>
        <w:rPr>
          <w:rFonts w:eastAsia="Calibri"/>
          <w:lang w:val="en-AU"/>
        </w:rPr>
      </w:pPr>
      <w:r w:rsidRPr="003408A6">
        <w:rPr>
          <w:rFonts w:eastAsia="Calibri"/>
          <w:lang w:val="en-AU"/>
        </w:rPr>
        <w:t xml:space="preserve">The Register groups providers into two types: </w:t>
      </w:r>
      <w:r w:rsidR="00DB5945">
        <w:rPr>
          <w:rFonts w:eastAsia="Calibri"/>
          <w:lang w:val="en-AU"/>
        </w:rPr>
        <w:t>general practice</w:t>
      </w:r>
      <w:r w:rsidR="00DB5945" w:rsidRPr="003408A6">
        <w:rPr>
          <w:rFonts w:eastAsia="Calibri"/>
          <w:lang w:val="en-AU"/>
        </w:rPr>
        <w:t xml:space="preserve"> </w:t>
      </w:r>
      <w:r w:rsidRPr="003408A6">
        <w:rPr>
          <w:rFonts w:eastAsia="Calibri"/>
          <w:lang w:val="en-AU"/>
        </w:rPr>
        <w:t>providers and non-</w:t>
      </w:r>
      <w:r w:rsidR="00DB5945">
        <w:rPr>
          <w:rFonts w:eastAsia="Calibri"/>
          <w:lang w:val="en-AU"/>
        </w:rPr>
        <w:t>general practice</w:t>
      </w:r>
      <w:r w:rsidRPr="003408A6">
        <w:rPr>
          <w:rFonts w:eastAsia="Calibri"/>
          <w:lang w:val="en-AU"/>
        </w:rPr>
        <w:t xml:space="preserve"> providers. Non-</w:t>
      </w:r>
      <w:r w:rsidR="00DB5945">
        <w:rPr>
          <w:rFonts w:eastAsia="Calibri"/>
          <w:lang w:val="en-AU"/>
        </w:rPr>
        <w:t>general practice</w:t>
      </w:r>
      <w:r w:rsidRPr="003408A6">
        <w:rPr>
          <w:rFonts w:eastAsia="Calibri"/>
          <w:lang w:val="en-AU"/>
        </w:rPr>
        <w:t xml:space="preserve"> providers include councils, state/territory health departments and other community-based immunisation providers such as Aboriginal Medical Services and Family Planning Services. </w:t>
      </w:r>
    </w:p>
    <w:p w:rsidR="00F650A4" w:rsidRPr="003408A6" w:rsidRDefault="00F650A4" w:rsidP="000E33CA">
      <w:pPr>
        <w:pStyle w:val="BodyText"/>
        <w:rPr>
          <w:rFonts w:eastAsia="Calibri"/>
          <w:lang w:val="en-AU"/>
        </w:rPr>
      </w:pPr>
      <w:r w:rsidRPr="003408A6">
        <w:rPr>
          <w:rFonts w:eastAsia="Calibri"/>
          <w:lang w:val="en-AU"/>
        </w:rPr>
        <w:t xml:space="preserve">Indigenous status is a non-mandatory field for reporting to the Register and was deemed to be of adequate completeness for analysis for the catch-up program cohorts in the </w:t>
      </w:r>
      <w:r w:rsidRPr="003408A6">
        <w:rPr>
          <w:rFonts w:eastAsia="Calibri"/>
          <w:color w:val="000000"/>
          <w:lang w:val="en-AU"/>
        </w:rPr>
        <w:t>Northern Territory</w:t>
      </w:r>
      <w:r w:rsidRPr="003408A6">
        <w:rPr>
          <w:rFonts w:eastAsia="Calibri"/>
          <w:lang w:val="en-AU"/>
        </w:rPr>
        <w:t xml:space="preserve"> and Queensland. Experimental ABS population estimates by single year of age for the </w:t>
      </w:r>
      <w:r w:rsidRPr="003408A6">
        <w:rPr>
          <w:rFonts w:eastAsia="Calibri"/>
          <w:color w:val="000000"/>
          <w:lang w:val="en-AU"/>
        </w:rPr>
        <w:t>Northern Territory</w:t>
      </w:r>
      <w:r w:rsidRPr="003408A6">
        <w:rPr>
          <w:rFonts w:eastAsia="Calibri"/>
          <w:lang w:val="en-AU"/>
        </w:rPr>
        <w:t xml:space="preserve"> and Queensland, based on the 2006 census, were used to estimate the number of Indigenous females. The number of non-Indigenous females was estimated by subtracting these estimates from ABS ERP estimates.</w:t>
      </w:r>
    </w:p>
    <w:p w:rsidR="00F650A4" w:rsidRPr="003408A6" w:rsidRDefault="00F650A4" w:rsidP="000E33CA">
      <w:pPr>
        <w:pStyle w:val="BodyText"/>
        <w:rPr>
          <w:rFonts w:eastAsia="Calibri"/>
          <w:lang w:val="en-AU"/>
        </w:rPr>
      </w:pPr>
      <w:r w:rsidRPr="003408A6">
        <w:rPr>
          <w:rFonts w:eastAsia="Calibri"/>
          <w:lang w:val="en-AU"/>
        </w:rPr>
        <w:t xml:space="preserve">For assessment of timeliness, the proportion completing the course within 6 or 12 months of receiving their first dose of vaccine (recommended schedule for vaccination is 0, 2, 6 months) was estimated per calendar year </w:t>
      </w:r>
      <w:r w:rsidRPr="003408A6">
        <w:rPr>
          <w:rFonts w:eastAsia="Calibri"/>
          <w:color w:val="000000"/>
          <w:lang w:val="en-AU"/>
        </w:rPr>
        <w:t>for vaccinees who had received the third of 3 valid doses within that year (successfully completing the full course of the HPV vaccine).</w:t>
      </w:r>
    </w:p>
    <w:p w:rsidR="00F650A4" w:rsidRPr="003408A6" w:rsidRDefault="00F650A4" w:rsidP="00F07DC6">
      <w:pPr>
        <w:pStyle w:val="Heading3"/>
        <w:rPr>
          <w:rFonts w:eastAsia="Calibri"/>
          <w:lang w:eastAsia="en-US"/>
        </w:rPr>
      </w:pPr>
      <w:r w:rsidRPr="003408A6">
        <w:rPr>
          <w:rFonts w:eastAsia="Calibri"/>
          <w:lang w:eastAsia="en-US"/>
        </w:rPr>
        <w:t>Methodological analyses</w:t>
      </w:r>
    </w:p>
    <w:p w:rsidR="00F650A4" w:rsidRPr="003408A6" w:rsidRDefault="00F650A4" w:rsidP="000E33CA">
      <w:pPr>
        <w:pStyle w:val="BodyText"/>
        <w:rPr>
          <w:rFonts w:eastAsia="Calibri"/>
          <w:lang w:val="en-AU"/>
        </w:rPr>
      </w:pPr>
      <w:r w:rsidRPr="003408A6">
        <w:rPr>
          <w:rFonts w:eastAsia="Calibri"/>
          <w:lang w:val="en-AU"/>
        </w:rPr>
        <w:t>A secondary analysis was undertaken using Medicare enrolment data for females as the denominator, which was provided as at 30 June 2007 at the LGA level. Coverage was calculated by age group (12–17 years and 18–26 years) and by geographical area. Spatial analysis was performed using ESRI ArcMap 10.3.</w:t>
      </w:r>
    </w:p>
    <w:p w:rsidR="00F650A4" w:rsidRPr="003408A6" w:rsidRDefault="00F650A4" w:rsidP="000E33CA">
      <w:pPr>
        <w:pStyle w:val="BodyText"/>
        <w:rPr>
          <w:rFonts w:eastAsia="Calibri"/>
          <w:lang w:val="en-AU"/>
        </w:rPr>
      </w:pPr>
      <w:r w:rsidRPr="003408A6">
        <w:rPr>
          <w:rFonts w:eastAsia="Calibri"/>
          <w:lang w:val="en-AU"/>
        </w:rPr>
        <w:t xml:space="preserve">A secondary analysis was </w:t>
      </w:r>
      <w:r w:rsidR="0016000A">
        <w:rPr>
          <w:rFonts w:eastAsia="Calibri"/>
          <w:lang w:val="en-AU"/>
        </w:rPr>
        <w:t xml:space="preserve">also </w:t>
      </w:r>
      <w:r w:rsidRPr="003408A6">
        <w:rPr>
          <w:rFonts w:eastAsia="Calibri"/>
          <w:lang w:val="en-AU"/>
        </w:rPr>
        <w:t>undertaken using ‘episode dose number’, which is the dose number reported by the provider, instead of the implied dose number. In this analysis, if a provider(s) reported different doses with the same dose number (e.g. multiple doses assigned as dose 2)</w:t>
      </w:r>
      <w:r w:rsidR="0016000A">
        <w:rPr>
          <w:rFonts w:eastAsia="Calibri"/>
          <w:lang w:val="en-AU"/>
        </w:rPr>
        <w:t>,</w:t>
      </w:r>
      <w:r w:rsidRPr="003408A6">
        <w:rPr>
          <w:rFonts w:eastAsia="Calibri"/>
          <w:lang w:val="en-AU"/>
        </w:rPr>
        <w:t xml:space="preserve"> only one dose 2 was counted for that vaccinee but the other doses were not assigned (i.e. no higher dose numbers and, if no dose 1 was reported no dose 1, were allocated). Dose 3 results are presented consistent with the </w:t>
      </w:r>
      <w:r w:rsidR="0016000A">
        <w:rPr>
          <w:rFonts w:eastAsia="Calibri"/>
          <w:lang w:val="en-AU"/>
        </w:rPr>
        <w:t>‘</w:t>
      </w:r>
      <w:r w:rsidRPr="003408A6">
        <w:rPr>
          <w:rFonts w:eastAsia="Calibri"/>
          <w:lang w:val="en-AU"/>
        </w:rPr>
        <w:t>third dose assumption</w:t>
      </w:r>
      <w:r w:rsidR="0016000A">
        <w:rPr>
          <w:rFonts w:eastAsia="Calibri"/>
          <w:lang w:val="en-AU"/>
        </w:rPr>
        <w:t>’</w:t>
      </w:r>
      <w:r w:rsidRPr="003408A6">
        <w:rPr>
          <w:rFonts w:eastAsia="Calibri"/>
          <w:lang w:val="en-AU"/>
        </w:rPr>
        <w:t xml:space="preserve"> method used by the ACIR when calculating coverage for vaccines with multiple doses (i.e. when dose 3 is reported by a provider the assumption is made that previous doses were actually given, whether or not</w:t>
      </w:r>
      <w:r w:rsidR="009A3DF9">
        <w:rPr>
          <w:rFonts w:eastAsia="Calibri"/>
          <w:lang w:val="en-AU"/>
        </w:rPr>
        <w:t xml:space="preserve"> they were reported to the ACIR</w:t>
      </w:r>
      <w:r w:rsidRPr="003408A6">
        <w:rPr>
          <w:rFonts w:eastAsia="Calibri"/>
          <w:lang w:val="en-AU"/>
        </w:rPr>
        <w:t>)</w:t>
      </w:r>
      <w:r w:rsidR="009A3DF9">
        <w:rPr>
          <w:rFonts w:eastAsia="Calibri"/>
          <w:lang w:val="en-AU"/>
        </w:rPr>
        <w:t>.</w:t>
      </w:r>
    </w:p>
    <w:p w:rsidR="00F650A4" w:rsidRPr="003408A6" w:rsidRDefault="00F650A4" w:rsidP="003950D9">
      <w:pPr>
        <w:pStyle w:val="Heading2"/>
        <w:rPr>
          <w:rFonts w:eastAsia="Calibri"/>
          <w:lang w:eastAsia="en-US"/>
        </w:rPr>
      </w:pPr>
      <w:bookmarkStart w:id="77" w:name="_Toc396926127"/>
      <w:r w:rsidRPr="003408A6">
        <w:rPr>
          <w:rFonts w:eastAsia="Calibri"/>
          <w:lang w:eastAsia="en-US"/>
        </w:rPr>
        <w:t>Results</w:t>
      </w:r>
      <w:bookmarkEnd w:id="77"/>
    </w:p>
    <w:p w:rsidR="00F650A4" w:rsidRPr="003408A6" w:rsidRDefault="00F650A4" w:rsidP="009821B4">
      <w:pPr>
        <w:pStyle w:val="Heading3"/>
        <w:rPr>
          <w:rFonts w:eastAsia="Calibri"/>
          <w:lang w:eastAsia="en-US"/>
        </w:rPr>
      </w:pPr>
      <w:r w:rsidRPr="003408A6">
        <w:rPr>
          <w:rFonts w:eastAsia="Calibri"/>
          <w:lang w:eastAsia="en-US"/>
        </w:rPr>
        <w:t>Female catch-up program: National coverage by age</w:t>
      </w:r>
    </w:p>
    <w:p w:rsidR="00F650A4" w:rsidRPr="003408A6" w:rsidRDefault="00F650A4" w:rsidP="000E33CA">
      <w:pPr>
        <w:pStyle w:val="BodyText"/>
        <w:rPr>
          <w:rFonts w:eastAsia="Calibri"/>
          <w:lang w:val="en-AU"/>
        </w:rPr>
      </w:pPr>
      <w:r w:rsidRPr="003408A6">
        <w:rPr>
          <w:rFonts w:eastAsia="Calibri"/>
          <w:b/>
          <w:lang w:val="en-AU"/>
        </w:rPr>
        <w:t>Figure 3.1</w:t>
      </w:r>
      <w:r w:rsidRPr="003408A6">
        <w:rPr>
          <w:rFonts w:eastAsia="Calibri"/>
          <w:lang w:val="en-AU"/>
        </w:rPr>
        <w:t xml:space="preserve"> illustrates the notified coverage for females in the target age group</w:t>
      </w:r>
      <w:r w:rsidR="0016000A">
        <w:rPr>
          <w:rFonts w:eastAsia="Calibri"/>
          <w:lang w:val="en-AU"/>
        </w:rPr>
        <w:t>,</w:t>
      </w:r>
      <w:r w:rsidRPr="003408A6">
        <w:rPr>
          <w:rFonts w:eastAsia="Calibri"/>
          <w:lang w:val="en-AU"/>
        </w:rPr>
        <w:t xml:space="preserve"> 12–26 years in 2007</w:t>
      </w:r>
      <w:r w:rsidR="0016000A">
        <w:rPr>
          <w:rFonts w:eastAsia="Calibri"/>
          <w:lang w:val="en-AU"/>
        </w:rPr>
        <w:t>,</w:t>
      </w:r>
      <w:r w:rsidRPr="003408A6">
        <w:rPr>
          <w:rFonts w:eastAsia="Calibri"/>
          <w:lang w:val="en-AU"/>
        </w:rPr>
        <w:t xml:space="preserve"> by dose number. Overall, coverage in the cohort is estimated at 66/58/47% for doses 1/2/3, respectively. Notified coverage is highest in the school</w:t>
      </w:r>
      <w:r w:rsidRPr="003408A6">
        <w:rPr>
          <w:lang w:val="en-AU"/>
        </w:rPr>
        <w:t>-based</w:t>
      </w:r>
      <w:r w:rsidRPr="003408A6">
        <w:rPr>
          <w:rFonts w:eastAsia="Calibri"/>
          <w:lang w:val="en-AU"/>
        </w:rPr>
        <w:t xml:space="preserve"> program, peaking for dose 1 at 84% in those aged 14–15 years and for dose 3 at 74% in 12-year olds, and declines with age in females 18–26 years. There is a difference of around 10% in notified coverage with dose 1 compared to dose 3 in the school cohorts and a larger discrepancy (&gt;20%) among adult females. </w:t>
      </w:r>
    </w:p>
    <w:p w:rsidR="00F650A4" w:rsidRPr="003408A6" w:rsidRDefault="00D861BD" w:rsidP="000E33CA">
      <w:pPr>
        <w:pStyle w:val="Figureheading"/>
        <w:rPr>
          <w:rFonts w:eastAsia="Calibri"/>
        </w:rPr>
      </w:pPr>
      <w:bookmarkStart w:id="78" w:name="_Toc374735966"/>
      <w:bookmarkStart w:id="79" w:name="_Toc396475568"/>
      <w:bookmarkStart w:id="80" w:name="_Toc397000796"/>
      <w:r w:rsidRPr="003408A6">
        <w:rPr>
          <w:rFonts w:eastAsia="Calibri"/>
        </w:rPr>
        <w:t>Figure 3.1.</w:t>
      </w:r>
      <w:r w:rsidRPr="003408A6">
        <w:rPr>
          <w:rFonts w:eastAsia="Calibri"/>
        </w:rPr>
        <w:tab/>
      </w:r>
      <w:r w:rsidR="00F650A4" w:rsidRPr="003408A6">
        <w:rPr>
          <w:rFonts w:eastAsia="Calibri"/>
        </w:rPr>
        <w:t>National HPV vaccination coverage for females aged 12–26 years in mid 2007, by dose number*</w:t>
      </w:r>
      <w:bookmarkEnd w:id="78"/>
      <w:bookmarkEnd w:id="79"/>
      <w:bookmarkEnd w:id="80"/>
    </w:p>
    <w:p w:rsidR="00F650A4" w:rsidRPr="003408A6" w:rsidRDefault="00F650A4" w:rsidP="00F650A4">
      <w:pPr>
        <w:spacing w:after="200" w:line="360" w:lineRule="auto"/>
        <w:rPr>
          <w:rFonts w:eastAsia="Calibri" w:cs="Arial"/>
          <w:szCs w:val="22"/>
          <w:lang w:eastAsia="en-US"/>
        </w:rPr>
      </w:pPr>
      <w:r w:rsidRPr="003408A6">
        <w:rPr>
          <w:noProof/>
        </w:rPr>
        <w:drawing>
          <wp:inline distT="0" distB="0" distL="0" distR="0" wp14:anchorId="1D2617F5" wp14:editId="5971DA9C">
            <wp:extent cx="5734050" cy="3752850"/>
            <wp:effectExtent l="0" t="0" r="0" b="0"/>
            <wp:docPr id="324" name="Picture 324" title="National HPV vaccination coverage for females aged 12–26 years in mid 2007, by do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rsidR="00F650A4" w:rsidRPr="003408A6" w:rsidRDefault="000E33CA" w:rsidP="000E33CA">
      <w:pPr>
        <w:pStyle w:val="Tablefootnote"/>
        <w:rPr>
          <w:rFonts w:eastAsia="Calibri"/>
          <w:szCs w:val="22"/>
          <w:lang w:eastAsia="en-US"/>
        </w:rPr>
      </w:pPr>
      <w:r w:rsidRPr="003408A6">
        <w:rPr>
          <w:rFonts w:eastAsia="Calibri"/>
          <w:lang w:eastAsia="en-US"/>
        </w:rPr>
        <w:t>*</w:t>
      </w:r>
      <w:r w:rsidRPr="003408A6">
        <w:rPr>
          <w:rFonts w:eastAsia="Calibri"/>
          <w:lang w:eastAsia="en-US"/>
        </w:rPr>
        <w:tab/>
      </w:r>
      <w:r w:rsidR="00F650A4" w:rsidRPr="003408A6">
        <w:rPr>
          <w:rFonts w:eastAsia="Calibri"/>
          <w:lang w:eastAsia="en-US"/>
        </w:rPr>
        <w:t>As notified to the National HPV Vaccination Program Register, Australia (Data as held at September 2011)</w:t>
      </w:r>
    </w:p>
    <w:p w:rsidR="00F650A4" w:rsidRPr="003408A6" w:rsidRDefault="00F650A4" w:rsidP="000E33CA">
      <w:pPr>
        <w:pStyle w:val="BodyText"/>
        <w:rPr>
          <w:rFonts w:eastAsia="Calibri"/>
          <w:lang w:val="en-AU"/>
        </w:rPr>
      </w:pPr>
    </w:p>
    <w:p w:rsidR="00F650A4" w:rsidRPr="003408A6" w:rsidRDefault="00F650A4" w:rsidP="009821B4">
      <w:pPr>
        <w:pStyle w:val="Heading3"/>
        <w:rPr>
          <w:rFonts w:eastAsia="Calibri"/>
          <w:lang w:eastAsia="en-US"/>
        </w:rPr>
      </w:pPr>
      <w:r w:rsidRPr="003408A6">
        <w:rPr>
          <w:rFonts w:eastAsia="Calibri"/>
          <w:lang w:eastAsia="en-US"/>
        </w:rPr>
        <w:t>Coverage by age and jurisdiction of residence</w:t>
      </w:r>
    </w:p>
    <w:p w:rsidR="00F650A4" w:rsidRPr="003408A6" w:rsidRDefault="00F650A4" w:rsidP="000E33CA">
      <w:pPr>
        <w:pStyle w:val="BodyText"/>
        <w:rPr>
          <w:lang w:val="en-AU"/>
        </w:rPr>
      </w:pPr>
      <w:r w:rsidRPr="003408A6">
        <w:rPr>
          <w:rFonts w:eastAsia="Calibri"/>
          <w:b/>
          <w:lang w:val="en-AU"/>
        </w:rPr>
        <w:t>Table 3.1</w:t>
      </w:r>
      <w:r w:rsidRPr="003408A6">
        <w:rPr>
          <w:rFonts w:eastAsia="Calibri"/>
          <w:lang w:val="en-AU"/>
        </w:rPr>
        <w:t xml:space="preserve"> details coverage by year of age, dose number and state of residence for females aged 12–17 years in 2007 (i.e. school-based catch-up cohorts). Notified HPV vaccination coverage for females aged 12–17 years nationally was 83/78/70% for doses 1/2/3, respectively. The highest 1-dose coverage achieved by jurisdiction was in 13-year olds in the </w:t>
      </w:r>
      <w:r w:rsidRPr="003408A6">
        <w:rPr>
          <w:lang w:val="en-AU"/>
        </w:rPr>
        <w:t>Australian Capital Territory</w:t>
      </w:r>
      <w:r w:rsidRPr="003408A6">
        <w:rPr>
          <w:rFonts w:eastAsia="Calibri"/>
          <w:lang w:val="en-AU"/>
        </w:rPr>
        <w:t xml:space="preserve"> (91%) and in 12-year olds in the </w:t>
      </w:r>
      <w:r w:rsidRPr="003408A6">
        <w:rPr>
          <w:rFonts w:eastAsia="Calibri"/>
          <w:color w:val="000000"/>
          <w:lang w:val="en-AU"/>
        </w:rPr>
        <w:t>Northern Territory</w:t>
      </w:r>
      <w:r w:rsidRPr="003408A6">
        <w:rPr>
          <w:rFonts w:eastAsia="Calibri"/>
          <w:lang w:val="en-AU"/>
        </w:rPr>
        <w:t xml:space="preserve"> (92%). Both the </w:t>
      </w:r>
      <w:r w:rsidRPr="003408A6">
        <w:rPr>
          <w:lang w:val="en-AU"/>
        </w:rPr>
        <w:t>Australian Capital Territory</w:t>
      </w:r>
      <w:r w:rsidRPr="003408A6">
        <w:rPr>
          <w:rFonts w:eastAsia="Calibri"/>
          <w:lang w:val="en-AU"/>
        </w:rPr>
        <w:t xml:space="preserve"> and Victoria recorded the highest 3-dose coverage for the 12–17-year-old cohort overall at 75%.</w:t>
      </w:r>
      <w:r w:rsidRPr="003408A6">
        <w:rPr>
          <w:lang w:val="en-AU"/>
        </w:rPr>
        <w:t xml:space="preserve"> </w:t>
      </w:r>
    </w:p>
    <w:p w:rsidR="00F650A4" w:rsidRPr="003408A6" w:rsidRDefault="00F650A4" w:rsidP="00F650A4">
      <w:r w:rsidRPr="003408A6">
        <w:br w:type="page"/>
      </w:r>
    </w:p>
    <w:p w:rsidR="00F650A4" w:rsidRPr="003408A6" w:rsidRDefault="00F650A4" w:rsidP="002E2DF6">
      <w:pPr>
        <w:pStyle w:val="Tableheading"/>
        <w:rPr>
          <w:rFonts w:eastAsia="Calibri"/>
          <w:lang w:val="en-AU"/>
        </w:rPr>
      </w:pPr>
      <w:bookmarkStart w:id="81" w:name="_Toc396475537"/>
      <w:bookmarkStart w:id="82" w:name="_Toc397000765"/>
      <w:bookmarkStart w:id="83" w:name="_Toc374735933"/>
      <w:r w:rsidRPr="003408A6">
        <w:rPr>
          <w:rFonts w:eastAsia="Calibri"/>
          <w:lang w:val="en-AU"/>
        </w:rPr>
        <w:t>Table 3.1.</w:t>
      </w:r>
      <w:r w:rsidR="00901C17" w:rsidRPr="003408A6">
        <w:rPr>
          <w:rFonts w:eastAsia="Calibri"/>
          <w:lang w:val="en-AU"/>
        </w:rPr>
        <w:tab/>
      </w:r>
      <w:r w:rsidRPr="003408A6">
        <w:rPr>
          <w:rFonts w:eastAsia="Calibri"/>
          <w:lang w:val="en-AU"/>
        </w:rPr>
        <w:t xml:space="preserve">National HPV vaccination coverage </w:t>
      </w:r>
      <w:r w:rsidR="0016000A">
        <w:rPr>
          <w:rFonts w:eastAsia="Calibri"/>
          <w:lang w:val="en-AU"/>
        </w:rPr>
        <w:t xml:space="preserve">(%) </w:t>
      </w:r>
      <w:r w:rsidRPr="003408A6">
        <w:rPr>
          <w:rFonts w:eastAsia="Calibri"/>
          <w:lang w:val="en-AU"/>
        </w:rPr>
        <w:t>for females aged 12–17 years in mid 2007, by dose number and jurisdiction of residence*</w:t>
      </w:r>
      <w:bookmarkEnd w:id="81"/>
      <w:bookmarkEnd w:id="82"/>
      <w:r w:rsidRPr="003408A6">
        <w:rPr>
          <w:rFonts w:eastAsia="Calibri"/>
          <w:lang w:val="en-AU"/>
        </w:rPr>
        <w:t xml:space="preserve"> </w:t>
      </w:r>
      <w:bookmarkEnd w:id="83"/>
    </w:p>
    <w:tbl>
      <w:tblPr>
        <w:tblW w:w="9525" w:type="dxa"/>
        <w:jc w:val="center"/>
        <w:tblInd w:w="-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80" w:type="dxa"/>
          <w:right w:w="180" w:type="dxa"/>
        </w:tblCellMar>
        <w:tblLook w:val="04A0" w:firstRow="1" w:lastRow="0" w:firstColumn="1" w:lastColumn="0" w:noHBand="0" w:noVBand="1"/>
      </w:tblPr>
      <w:tblGrid>
        <w:gridCol w:w="1668"/>
        <w:gridCol w:w="883"/>
        <w:gridCol w:w="995"/>
        <w:gridCol w:w="996"/>
        <w:gridCol w:w="997"/>
        <w:gridCol w:w="996"/>
        <w:gridCol w:w="997"/>
        <w:gridCol w:w="996"/>
        <w:gridCol w:w="997"/>
      </w:tblGrid>
      <w:tr w:rsidR="00F650A4" w:rsidRPr="003408A6" w:rsidTr="0016000A">
        <w:trPr>
          <w:trHeight w:hRule="exact" w:val="384"/>
          <w:jc w:val="center"/>
        </w:trPr>
        <w:tc>
          <w:tcPr>
            <w:tcW w:w="1668" w:type="dxa"/>
            <w:vMerge w:val="restart"/>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columnheading"/>
              <w:rPr>
                <w:rFonts w:eastAsia="Calibri"/>
                <w:lang w:val="en-AU"/>
              </w:rPr>
            </w:pPr>
            <w:r w:rsidRPr="003408A6">
              <w:rPr>
                <w:rFonts w:eastAsia="Calibri"/>
                <w:lang w:val="en-AU"/>
              </w:rPr>
              <w:t xml:space="preserve">Jurisdiction </w:t>
            </w:r>
            <w:r w:rsidRPr="003408A6">
              <w:rPr>
                <w:rFonts w:eastAsia="Calibri"/>
                <w:lang w:val="en-AU"/>
              </w:rPr>
              <w:br/>
              <w:t>(total doses)</w:t>
            </w:r>
          </w:p>
        </w:tc>
        <w:tc>
          <w:tcPr>
            <w:tcW w:w="883"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
              <w:rPr>
                <w:rFonts w:eastAsia="Calibri"/>
                <w:lang w:val="en-AU"/>
              </w:rPr>
            </w:pPr>
            <w:r w:rsidRPr="003408A6">
              <w:rPr>
                <w:rFonts w:eastAsia="Calibri"/>
                <w:lang w:val="en-AU"/>
              </w:rPr>
              <w:t>Dose</w:t>
            </w:r>
          </w:p>
        </w:tc>
        <w:tc>
          <w:tcPr>
            <w:tcW w:w="6974" w:type="dxa"/>
            <w:gridSpan w:val="7"/>
            <w:tcBorders>
              <w:top w:val="single" w:sz="8" w:space="0" w:color="auto"/>
              <w:left w:val="single" w:sz="8" w:space="0" w:color="auto"/>
              <w:bottom w:val="single" w:sz="8" w:space="0" w:color="auto"/>
              <w:right w:val="single" w:sz="8" w:space="0" w:color="auto"/>
            </w:tcBorders>
          </w:tcPr>
          <w:p w:rsidR="00F650A4" w:rsidRPr="003408A6" w:rsidRDefault="0016000A" w:rsidP="0016000A">
            <w:pPr>
              <w:pStyle w:val="Tablecolumnheadings"/>
              <w:rPr>
                <w:rFonts w:eastAsia="Calibri"/>
                <w:lang w:val="en-AU"/>
              </w:rPr>
            </w:pPr>
            <w:r>
              <w:rPr>
                <w:rFonts w:eastAsia="Calibri"/>
                <w:lang w:val="en-AU"/>
              </w:rPr>
              <w:t>Coverage (%) by a</w:t>
            </w:r>
            <w:r w:rsidR="00F650A4" w:rsidRPr="003408A6">
              <w:rPr>
                <w:rFonts w:eastAsia="Calibri"/>
                <w:lang w:val="en-AU"/>
              </w:rPr>
              <w:t xml:space="preserve">ge </w:t>
            </w:r>
            <w:r w:rsidR="00F650A4" w:rsidRPr="003408A6">
              <w:rPr>
                <w:lang w:val="en-AU"/>
              </w:rPr>
              <w:t>as at mid-2007</w:t>
            </w:r>
            <w:r w:rsidR="00F650A4" w:rsidRPr="003408A6">
              <w:rPr>
                <w:rFonts w:eastAsia="Calibri"/>
                <w:lang w:val="en-AU"/>
              </w:rPr>
              <w:t xml:space="preserve"> (years)</w:t>
            </w:r>
          </w:p>
        </w:tc>
      </w:tr>
      <w:tr w:rsidR="00F650A4" w:rsidRPr="003408A6" w:rsidTr="005422C0">
        <w:trPr>
          <w:trHeight w:hRule="exact" w:val="378"/>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p>
        </w:tc>
        <w:tc>
          <w:tcPr>
            <w:tcW w:w="883"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p>
        </w:tc>
        <w:tc>
          <w:tcPr>
            <w:tcW w:w="995"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12</w:t>
            </w:r>
          </w:p>
        </w:tc>
        <w:tc>
          <w:tcPr>
            <w:tcW w:w="996"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13</w:t>
            </w:r>
          </w:p>
        </w:tc>
        <w:tc>
          <w:tcPr>
            <w:tcW w:w="997"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14</w:t>
            </w:r>
          </w:p>
        </w:tc>
        <w:tc>
          <w:tcPr>
            <w:tcW w:w="996"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15</w:t>
            </w:r>
          </w:p>
        </w:tc>
        <w:tc>
          <w:tcPr>
            <w:tcW w:w="997"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16</w:t>
            </w:r>
          </w:p>
        </w:tc>
        <w:tc>
          <w:tcPr>
            <w:tcW w:w="996"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17</w:t>
            </w:r>
          </w:p>
        </w:tc>
        <w:tc>
          <w:tcPr>
            <w:tcW w:w="997"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rFonts w:eastAsia="Calibri"/>
                <w:lang w:val="en-AU"/>
              </w:rPr>
            </w:pPr>
            <w:r w:rsidRPr="003408A6">
              <w:rPr>
                <w:rFonts w:eastAsia="Calibri"/>
                <w:lang w:val="en-AU"/>
              </w:rPr>
              <w:t>12–17</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ACT</w:t>
            </w:r>
          </w:p>
          <w:p w:rsidR="00F650A4" w:rsidRPr="003408A6" w:rsidRDefault="00F650A4" w:rsidP="0016000A">
            <w:pPr>
              <w:pStyle w:val="Tabletext0beforeafter"/>
              <w:rPr>
                <w:rFonts w:eastAsia="Calibri"/>
                <w:lang w:val="en-AU"/>
              </w:rPr>
            </w:pPr>
            <w:r w:rsidRPr="003408A6">
              <w:rPr>
                <w:rFonts w:eastAsia="Calibri"/>
                <w:lang w:val="en-AU"/>
              </w:rPr>
              <w:t>N=32,319</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89</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91</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89</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88</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85</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88</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85</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76</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68</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NSW</w:t>
            </w:r>
          </w:p>
          <w:p w:rsidR="00F650A4" w:rsidRPr="003408A6" w:rsidRDefault="00F650A4" w:rsidP="0016000A">
            <w:pPr>
              <w:pStyle w:val="Tabletext0beforeafter"/>
              <w:rPr>
                <w:rFonts w:eastAsia="Calibri"/>
                <w:lang w:val="en-AU"/>
              </w:rPr>
            </w:pPr>
            <w:r w:rsidRPr="003408A6">
              <w:rPr>
                <w:rFonts w:eastAsia="Calibri"/>
                <w:lang w:val="en-AU"/>
              </w:rPr>
              <w:t>N=628,101</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85</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78</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65</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NT</w:t>
            </w:r>
          </w:p>
          <w:p w:rsidR="00F650A4" w:rsidRPr="003408A6" w:rsidRDefault="00F650A4" w:rsidP="0016000A">
            <w:pPr>
              <w:pStyle w:val="Tabletext0beforeafter"/>
              <w:rPr>
                <w:rFonts w:eastAsia="Calibri"/>
                <w:lang w:val="en-AU"/>
              </w:rPr>
            </w:pPr>
            <w:r w:rsidRPr="003408A6">
              <w:rPr>
                <w:rFonts w:eastAsia="Calibri"/>
                <w:lang w:val="en-AU"/>
              </w:rPr>
              <w:t>N=23,036</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92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88</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76</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63</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QLD</w:t>
            </w:r>
          </w:p>
          <w:p w:rsidR="00F650A4" w:rsidRPr="003408A6" w:rsidRDefault="00F650A4" w:rsidP="0016000A">
            <w:pPr>
              <w:pStyle w:val="Tabletext0beforeafter"/>
              <w:rPr>
                <w:rFonts w:eastAsia="Calibri"/>
                <w:lang w:val="en-AU"/>
              </w:rPr>
            </w:pPr>
            <w:r w:rsidRPr="003408A6">
              <w:rPr>
                <w:rFonts w:eastAsia="Calibri"/>
                <w:lang w:val="en-AU"/>
              </w:rPr>
              <w:t>N=402,516</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85</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85</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58</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SA</w:t>
            </w:r>
          </w:p>
          <w:p w:rsidR="00F650A4" w:rsidRPr="003408A6" w:rsidRDefault="00F650A4" w:rsidP="0016000A">
            <w:pPr>
              <w:pStyle w:val="Tabletext0beforeafter"/>
              <w:rPr>
                <w:rFonts w:eastAsia="Calibri"/>
                <w:lang w:val="en-AU"/>
              </w:rPr>
            </w:pPr>
            <w:r w:rsidRPr="003408A6">
              <w:rPr>
                <w:rFonts w:eastAsia="Calibri"/>
                <w:lang w:val="en-AU"/>
              </w:rPr>
              <w:t>N=137,085</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78</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67</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65</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59</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67</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TAS</w:t>
            </w:r>
          </w:p>
          <w:p w:rsidR="00F650A4" w:rsidRPr="003408A6" w:rsidRDefault="00F650A4" w:rsidP="0016000A">
            <w:pPr>
              <w:pStyle w:val="Tabletext0beforeafter"/>
              <w:rPr>
                <w:rFonts w:eastAsia="Calibri"/>
                <w:lang w:val="en-AU"/>
              </w:rPr>
            </w:pPr>
            <w:r w:rsidRPr="003408A6">
              <w:rPr>
                <w:rFonts w:eastAsia="Calibri"/>
                <w:lang w:val="en-AU"/>
              </w:rPr>
              <w:t>N=42,084</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81</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66</w:t>
            </w:r>
          </w:p>
        </w:tc>
        <w:tc>
          <w:tcPr>
            <w:tcW w:w="996"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6</w:t>
            </w:r>
            <w:r w:rsidR="0016000A">
              <w:rPr>
                <w:rFonts w:eastAsia="Calibri"/>
                <w:lang w:val="en-AU"/>
              </w:rPr>
              <w:t>2</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68</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64</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63</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65</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57</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52</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62</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VIC</w:t>
            </w:r>
          </w:p>
          <w:p w:rsidR="00F650A4" w:rsidRPr="003408A6" w:rsidRDefault="00F650A4" w:rsidP="0016000A">
            <w:pPr>
              <w:pStyle w:val="Tabletext0beforeafter"/>
              <w:rPr>
                <w:rFonts w:eastAsia="Calibri"/>
                <w:lang w:val="en-AU"/>
              </w:rPr>
            </w:pPr>
            <w:r w:rsidRPr="003408A6">
              <w:rPr>
                <w:rFonts w:eastAsia="Calibri"/>
                <w:lang w:val="en-AU"/>
              </w:rPr>
              <w:t>N=490,586</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87</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86</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82</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76</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WA</w:t>
            </w:r>
          </w:p>
          <w:p w:rsidR="00F650A4" w:rsidRPr="003408A6" w:rsidRDefault="00F650A4" w:rsidP="0016000A">
            <w:pPr>
              <w:pStyle w:val="Tabletext0beforeafter"/>
              <w:rPr>
                <w:rFonts w:eastAsia="Calibri"/>
                <w:lang w:val="en-AU"/>
              </w:rPr>
            </w:pPr>
            <w:r w:rsidRPr="003408A6">
              <w:rPr>
                <w:rFonts w:eastAsia="Calibri"/>
                <w:lang w:val="en-AU"/>
              </w:rPr>
              <w:t>N=173,206</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78</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78</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75</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64</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69</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66</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56</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68</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66</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65</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64</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61</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56</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4</w:t>
            </w:r>
            <w:r w:rsidR="0016000A">
              <w:rPr>
                <w:rFonts w:eastAsia="Calibri"/>
                <w:lang w:val="en-AU"/>
              </w:rPr>
              <w:t>6</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60</w:t>
            </w:r>
          </w:p>
        </w:tc>
      </w:tr>
      <w:tr w:rsidR="00F650A4" w:rsidRPr="003408A6" w:rsidTr="005422C0">
        <w:trPr>
          <w:trHeight w:hRule="exact" w:val="240"/>
          <w:jc w:val="center"/>
        </w:trPr>
        <w:tc>
          <w:tcPr>
            <w:tcW w:w="1668" w:type="dxa"/>
            <w:vMerge w:val="restart"/>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16000A">
            <w:pPr>
              <w:pStyle w:val="Tabletext0beforeafter"/>
              <w:rPr>
                <w:rFonts w:eastAsia="Calibri"/>
                <w:lang w:val="en-AU"/>
              </w:rPr>
            </w:pPr>
            <w:r w:rsidRPr="003408A6">
              <w:rPr>
                <w:rFonts w:eastAsia="Calibri"/>
                <w:lang w:val="en-AU"/>
              </w:rPr>
              <w:t>National</w:t>
            </w:r>
          </w:p>
          <w:p w:rsidR="00F650A4" w:rsidRPr="003408A6" w:rsidRDefault="00F650A4" w:rsidP="0016000A">
            <w:pPr>
              <w:pStyle w:val="Tabletext0beforeafter"/>
              <w:rPr>
                <w:rFonts w:eastAsia="Calibri"/>
                <w:lang w:val="en-AU"/>
              </w:rPr>
            </w:pPr>
            <w:r w:rsidRPr="003408A6">
              <w:rPr>
                <w:rFonts w:eastAsia="Calibri"/>
                <w:lang w:val="en-AU"/>
              </w:rPr>
              <w:t>N=1,928,933</w:t>
            </w:r>
          </w:p>
        </w:tc>
        <w:tc>
          <w:tcPr>
            <w:tcW w:w="883" w:type="dxa"/>
            <w:tcBorders>
              <w:top w:val="single" w:sz="8" w:space="0" w:color="auto"/>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D1</w:t>
            </w:r>
          </w:p>
        </w:tc>
        <w:tc>
          <w:tcPr>
            <w:tcW w:w="995"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84</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c>
          <w:tcPr>
            <w:tcW w:w="996"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7" w:type="dxa"/>
            <w:tcBorders>
              <w:top w:val="single" w:sz="8" w:space="0" w:color="auto"/>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83</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732381">
            <w:pPr>
              <w:rPr>
                <w:rFonts w:eastAsia="Calibri" w:cs="Arial"/>
                <w:sz w:val="20"/>
                <w:lang w:eastAsia="en-US"/>
              </w:rPr>
            </w:pPr>
          </w:p>
        </w:tc>
        <w:tc>
          <w:tcPr>
            <w:tcW w:w="883" w:type="dxa"/>
            <w:tcBorders>
              <w:top w:val="nil"/>
              <w:left w:val="single" w:sz="8" w:space="0" w:color="auto"/>
              <w:bottom w:val="nil"/>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D2</w:t>
            </w:r>
          </w:p>
        </w:tc>
        <w:tc>
          <w:tcPr>
            <w:tcW w:w="995"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79</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80</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77</w:t>
            </w:r>
          </w:p>
        </w:tc>
        <w:tc>
          <w:tcPr>
            <w:tcW w:w="996"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7" w:type="dxa"/>
            <w:tcBorders>
              <w:top w:val="nil"/>
              <w:left w:val="single" w:sz="8" w:space="0" w:color="auto"/>
              <w:bottom w:val="nil"/>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78</w:t>
            </w:r>
          </w:p>
        </w:tc>
      </w:tr>
      <w:tr w:rsidR="00F650A4" w:rsidRPr="003408A6" w:rsidTr="005422C0">
        <w:trPr>
          <w:trHeight w:hRule="exact" w:val="240"/>
          <w:jc w:val="center"/>
        </w:trPr>
        <w:tc>
          <w:tcPr>
            <w:tcW w:w="1668"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732381">
            <w:pPr>
              <w:rPr>
                <w:rFonts w:eastAsia="Calibri" w:cs="Arial"/>
                <w:sz w:val="20"/>
                <w:lang w:eastAsia="en-US"/>
              </w:rPr>
            </w:pPr>
          </w:p>
        </w:tc>
        <w:tc>
          <w:tcPr>
            <w:tcW w:w="883" w:type="dxa"/>
            <w:tcBorders>
              <w:top w:val="nil"/>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rFonts w:eastAsia="Calibri"/>
                <w:lang w:val="en-AU"/>
              </w:rPr>
            </w:pPr>
            <w:r w:rsidRPr="003408A6">
              <w:rPr>
                <w:rFonts w:eastAsia="Calibri"/>
                <w:lang w:val="en-AU"/>
              </w:rPr>
              <w:t>D3</w:t>
            </w:r>
          </w:p>
        </w:tc>
        <w:tc>
          <w:tcPr>
            <w:tcW w:w="995"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74</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73</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71</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72</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69</w:t>
            </w:r>
          </w:p>
        </w:tc>
        <w:tc>
          <w:tcPr>
            <w:tcW w:w="996"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62</w:t>
            </w:r>
          </w:p>
        </w:tc>
        <w:tc>
          <w:tcPr>
            <w:tcW w:w="997" w:type="dxa"/>
            <w:tcBorders>
              <w:top w:val="nil"/>
              <w:left w:val="single" w:sz="8" w:space="0" w:color="auto"/>
              <w:bottom w:val="single" w:sz="8" w:space="0" w:color="auto"/>
              <w:right w:val="single" w:sz="8" w:space="0" w:color="auto"/>
            </w:tcBorders>
            <w:vAlign w:val="center"/>
            <w:hideMark/>
          </w:tcPr>
          <w:p w:rsidR="00F650A4" w:rsidRPr="003408A6" w:rsidRDefault="0016000A" w:rsidP="000E33CA">
            <w:pPr>
              <w:pStyle w:val="Tabletext0beforeafter-centred"/>
              <w:rPr>
                <w:rFonts w:eastAsia="Calibri"/>
                <w:lang w:val="en-AU"/>
              </w:rPr>
            </w:pPr>
            <w:r>
              <w:rPr>
                <w:rFonts w:eastAsia="Calibri"/>
                <w:lang w:val="en-AU"/>
              </w:rPr>
              <w:t>70</w:t>
            </w:r>
          </w:p>
        </w:tc>
      </w:tr>
    </w:tbl>
    <w:p w:rsidR="00F650A4" w:rsidRPr="003408A6" w:rsidRDefault="000E33CA" w:rsidP="000E33CA">
      <w:pPr>
        <w:pStyle w:val="Tablefootnote"/>
        <w:rPr>
          <w:rFonts w:eastAsia="Calibri"/>
          <w:szCs w:val="22"/>
          <w:lang w:eastAsia="en-US"/>
        </w:rPr>
      </w:pPr>
      <w:r w:rsidRPr="003408A6">
        <w:rPr>
          <w:rFonts w:eastAsia="Calibri"/>
          <w:szCs w:val="22"/>
          <w:lang w:eastAsia="en-US"/>
        </w:rPr>
        <w:t>*</w:t>
      </w:r>
      <w:r w:rsidRPr="003408A6">
        <w:rPr>
          <w:rFonts w:eastAsia="Calibri"/>
          <w:szCs w:val="22"/>
          <w:lang w:eastAsia="en-US"/>
        </w:rPr>
        <w:tab/>
      </w:r>
      <w:r w:rsidR="00F650A4" w:rsidRPr="003408A6">
        <w:rPr>
          <w:rFonts w:eastAsia="Calibri"/>
          <w:lang w:eastAsia="en-US"/>
        </w:rPr>
        <w:t>As notified to the NHVPR at 30 June 2011</w:t>
      </w:r>
    </w:p>
    <w:p w:rsidR="00F650A4" w:rsidRPr="003408A6" w:rsidRDefault="00F650A4" w:rsidP="000E33CA">
      <w:pPr>
        <w:pStyle w:val="Bodytextaftertable"/>
        <w:rPr>
          <w:lang w:val="en-AU"/>
        </w:rPr>
      </w:pPr>
      <w:r w:rsidRPr="003408A6">
        <w:rPr>
          <w:lang w:val="en-AU"/>
        </w:rPr>
        <w:t xml:space="preserve">As shown in </w:t>
      </w:r>
      <w:r w:rsidRPr="003408A6">
        <w:rPr>
          <w:b/>
          <w:lang w:val="en-AU"/>
        </w:rPr>
        <w:t>Figures 3.1a and 3.1b</w:t>
      </w:r>
      <w:r w:rsidRPr="003408A6">
        <w:rPr>
          <w:lang w:val="en-AU"/>
        </w:rPr>
        <w:t>, in the 12–15-year-old cohorts coverage gradually increased between 2007 and 2008 with marked increases corresponding with timing of vaccination of individual cohorts in the most populous states. In contrast coverage increased rapidly in the first year of the program among 16</w:t>
      </w:r>
      <w:r w:rsidR="005422C0">
        <w:rPr>
          <w:lang w:val="en-AU"/>
        </w:rPr>
        <w:t>-</w:t>
      </w:r>
      <w:r w:rsidRPr="003408A6">
        <w:rPr>
          <w:lang w:val="en-AU"/>
        </w:rPr>
        <w:t xml:space="preserve"> and 17</w:t>
      </w:r>
      <w:r w:rsidR="005422C0">
        <w:rPr>
          <w:lang w:val="en-AU"/>
        </w:rPr>
        <w:t>-</w:t>
      </w:r>
      <w:r w:rsidRPr="003408A6">
        <w:rPr>
          <w:lang w:val="en-AU"/>
        </w:rPr>
        <w:t>year olds, with most of the vaccination completed by the end of 2007, reflecting that all jurisdictions targeted these cohorts in the first year (</w:t>
      </w:r>
      <w:r w:rsidRPr="003408A6">
        <w:rPr>
          <w:b/>
          <w:lang w:val="en-AU"/>
        </w:rPr>
        <w:t>Figures 3.1c and 3.1d</w:t>
      </w:r>
      <w:r w:rsidRPr="003408A6">
        <w:rPr>
          <w:lang w:val="en-AU"/>
        </w:rPr>
        <w:t>).</w:t>
      </w:r>
    </w:p>
    <w:p w:rsidR="00F650A4" w:rsidRPr="003408A6" w:rsidRDefault="00F650A4" w:rsidP="00F650A4">
      <w:pPr>
        <w:rPr>
          <w:b/>
          <w:lang w:eastAsia="en-US"/>
        </w:rPr>
      </w:pPr>
      <w:r w:rsidRPr="003408A6">
        <w:br w:type="page"/>
      </w:r>
    </w:p>
    <w:p w:rsidR="00F650A4" w:rsidRPr="003408A6" w:rsidRDefault="00D861BD" w:rsidP="009821B4">
      <w:pPr>
        <w:pStyle w:val="Figureheading"/>
      </w:pPr>
      <w:bookmarkStart w:id="84" w:name="_Toc374735967"/>
      <w:bookmarkStart w:id="85" w:name="_Toc396475569"/>
      <w:bookmarkStart w:id="86" w:name="_Toc397000797"/>
      <w:r w:rsidRPr="003408A6">
        <w:t>Figure 3.1a.</w:t>
      </w:r>
      <w:r w:rsidRPr="003408A6">
        <w:tab/>
      </w:r>
      <w:r w:rsidR="00F650A4" w:rsidRPr="003408A6">
        <w:t xml:space="preserve">Increase in national </w:t>
      </w:r>
      <w:r w:rsidR="00C20935">
        <w:t>HPV vaccination</w:t>
      </w:r>
      <w:r w:rsidR="00F650A4" w:rsidRPr="003408A6">
        <w:t xml:space="preserve"> coverage over time</w:t>
      </w:r>
      <w:r w:rsidR="00C20935">
        <w:t>,</w:t>
      </w:r>
      <w:r w:rsidR="00F650A4" w:rsidRPr="003408A6">
        <w:t xml:space="preserve"> 2007 to 2009</w:t>
      </w:r>
      <w:r w:rsidR="00C20935">
        <w:t>,</w:t>
      </w:r>
      <w:r w:rsidR="00F650A4" w:rsidRPr="003408A6">
        <w:t xml:space="preserve"> for females aged 12–13 years in 2007, by dose number and age, as notified to the National HPV Vaccination Program Register</w:t>
      </w:r>
      <w:bookmarkEnd w:id="84"/>
      <w:bookmarkEnd w:id="85"/>
      <w:bookmarkEnd w:id="86"/>
    </w:p>
    <w:p w:rsidR="00F650A4" w:rsidRPr="003408A6" w:rsidRDefault="00F650A4" w:rsidP="000E33CA">
      <w:pPr>
        <w:pStyle w:val="BodyText"/>
        <w:rPr>
          <w:lang w:val="en-AU"/>
        </w:rPr>
      </w:pPr>
      <w:r w:rsidRPr="003408A6">
        <w:rPr>
          <w:noProof/>
          <w:lang w:val="en-AU" w:eastAsia="en-AU"/>
        </w:rPr>
        <w:drawing>
          <wp:inline distT="0" distB="0" distL="0" distR="0" wp14:anchorId="7FDC7B45" wp14:editId="4871F5C9">
            <wp:extent cx="5010150" cy="3276600"/>
            <wp:effectExtent l="0" t="0" r="0" b="0"/>
            <wp:docPr id="2" name="Picture 302" title="Increase in national HPV vaccination coverage over time, 2007 to 2009, for females aged 12–13 years in 2007, by dose number and age, as notified to the National HPV Vaccination Program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0150" cy="3276600"/>
                    </a:xfrm>
                    <a:prstGeom prst="rect">
                      <a:avLst/>
                    </a:prstGeom>
                    <a:noFill/>
                    <a:ln>
                      <a:noFill/>
                    </a:ln>
                  </pic:spPr>
                </pic:pic>
              </a:graphicData>
            </a:graphic>
          </wp:inline>
        </w:drawing>
      </w:r>
    </w:p>
    <w:p w:rsidR="00F650A4" w:rsidRPr="003408A6" w:rsidRDefault="00F650A4" w:rsidP="000E33CA">
      <w:pPr>
        <w:pStyle w:val="BodyText"/>
        <w:rPr>
          <w:lang w:val="en-AU"/>
        </w:rPr>
      </w:pPr>
    </w:p>
    <w:p w:rsidR="00F650A4" w:rsidRPr="003408A6" w:rsidRDefault="00D861BD" w:rsidP="009821B4">
      <w:pPr>
        <w:pStyle w:val="Figureheading"/>
      </w:pPr>
      <w:bookmarkStart w:id="87" w:name="_Toc374735968"/>
      <w:bookmarkStart w:id="88" w:name="_Toc396475570"/>
      <w:bookmarkStart w:id="89" w:name="_Toc397000798"/>
      <w:r w:rsidRPr="003408A6">
        <w:t>Figure 3.1b.</w:t>
      </w:r>
      <w:r w:rsidRPr="003408A6">
        <w:tab/>
      </w:r>
      <w:r w:rsidR="00F650A4" w:rsidRPr="003408A6">
        <w:t xml:space="preserve">Increase in national </w:t>
      </w:r>
      <w:r w:rsidR="00C20935">
        <w:t>HPV vaccination</w:t>
      </w:r>
      <w:r w:rsidR="00C20935" w:rsidRPr="003408A6">
        <w:t xml:space="preserve"> </w:t>
      </w:r>
      <w:r w:rsidR="00F650A4" w:rsidRPr="003408A6">
        <w:t>coverage over time</w:t>
      </w:r>
      <w:r w:rsidR="00C20935">
        <w:t>,</w:t>
      </w:r>
      <w:r w:rsidR="00F650A4" w:rsidRPr="003408A6">
        <w:t xml:space="preserve"> 2007 to 2009</w:t>
      </w:r>
      <w:r w:rsidR="00C20935">
        <w:t>,</w:t>
      </w:r>
      <w:r w:rsidR="00F650A4" w:rsidRPr="003408A6">
        <w:t xml:space="preserve"> for females aged 14–15 years in 2007, by dose number and age, as notified to the National HPV Vaccination Program Register</w:t>
      </w:r>
      <w:bookmarkEnd w:id="87"/>
      <w:bookmarkEnd w:id="88"/>
      <w:bookmarkEnd w:id="89"/>
    </w:p>
    <w:p w:rsidR="00F650A4" w:rsidRDefault="00F650A4" w:rsidP="000E33CA">
      <w:pPr>
        <w:pStyle w:val="BodyText"/>
        <w:rPr>
          <w:lang w:val="en-AU"/>
        </w:rPr>
      </w:pPr>
      <w:r w:rsidRPr="003408A6">
        <w:rPr>
          <w:noProof/>
          <w:lang w:val="en-AU" w:eastAsia="en-AU"/>
        </w:rPr>
        <w:drawing>
          <wp:inline distT="0" distB="0" distL="0" distR="0" wp14:anchorId="56EEF344" wp14:editId="27F749FA">
            <wp:extent cx="5010150" cy="3276600"/>
            <wp:effectExtent l="0" t="0" r="0" b="0"/>
            <wp:docPr id="325" name="Picture 300" title="Increase in national HPV vaccination coverage over time, 2007 to 2009, for females aged 14–15 years in 2007, by dose number and age, as notified to the National HPV Vaccination Program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0150" cy="3276600"/>
                    </a:xfrm>
                    <a:prstGeom prst="rect">
                      <a:avLst/>
                    </a:prstGeom>
                    <a:noFill/>
                    <a:ln>
                      <a:noFill/>
                    </a:ln>
                  </pic:spPr>
                </pic:pic>
              </a:graphicData>
            </a:graphic>
          </wp:inline>
        </w:drawing>
      </w:r>
    </w:p>
    <w:p w:rsidR="005422C0" w:rsidRPr="003408A6" w:rsidRDefault="005422C0" w:rsidP="000E33CA">
      <w:pPr>
        <w:pStyle w:val="BodyText"/>
        <w:rPr>
          <w:lang w:val="en-AU"/>
        </w:rPr>
      </w:pPr>
    </w:p>
    <w:p w:rsidR="00F650A4" w:rsidRPr="003408A6" w:rsidRDefault="00D861BD" w:rsidP="009821B4">
      <w:pPr>
        <w:pStyle w:val="Figureheading"/>
      </w:pPr>
      <w:bookmarkStart w:id="90" w:name="_Toc374735969"/>
      <w:bookmarkStart w:id="91" w:name="_Toc396475571"/>
      <w:bookmarkStart w:id="92" w:name="_Toc397000799"/>
      <w:r w:rsidRPr="003408A6">
        <w:t>Figure 3.1c.</w:t>
      </w:r>
      <w:r w:rsidRPr="003408A6">
        <w:tab/>
      </w:r>
      <w:r w:rsidR="00F650A4" w:rsidRPr="003408A6">
        <w:t xml:space="preserve">Increase in national </w:t>
      </w:r>
      <w:r w:rsidR="00C20935">
        <w:t>HPV vaccination</w:t>
      </w:r>
      <w:r w:rsidR="00C20935" w:rsidRPr="003408A6">
        <w:t xml:space="preserve"> </w:t>
      </w:r>
      <w:r w:rsidR="00F650A4" w:rsidRPr="003408A6">
        <w:t>coverage over time</w:t>
      </w:r>
      <w:r w:rsidR="00C20935">
        <w:t>,</w:t>
      </w:r>
      <w:r w:rsidR="00F650A4" w:rsidRPr="003408A6">
        <w:t xml:space="preserve"> 2007 to 2009</w:t>
      </w:r>
      <w:r w:rsidR="00C20935">
        <w:t>,</w:t>
      </w:r>
      <w:r w:rsidR="00F650A4" w:rsidRPr="003408A6">
        <w:t xml:space="preserve"> for females aged 16 years in 2007, by dose number and age, as notified to the National HPV Vaccination Program Register</w:t>
      </w:r>
      <w:bookmarkEnd w:id="90"/>
      <w:bookmarkEnd w:id="91"/>
      <w:bookmarkEnd w:id="92"/>
    </w:p>
    <w:p w:rsidR="00F650A4" w:rsidRPr="003408A6" w:rsidRDefault="00F650A4" w:rsidP="000E33CA">
      <w:pPr>
        <w:pStyle w:val="BodyText"/>
        <w:rPr>
          <w:lang w:val="en-AU"/>
        </w:rPr>
      </w:pPr>
      <w:r w:rsidRPr="003408A6">
        <w:rPr>
          <w:noProof/>
          <w:lang w:val="en-AU" w:eastAsia="en-AU"/>
        </w:rPr>
        <w:drawing>
          <wp:inline distT="0" distB="0" distL="0" distR="0" wp14:anchorId="54DDC03B" wp14:editId="5A246B0D">
            <wp:extent cx="5010150" cy="3276600"/>
            <wp:effectExtent l="0" t="0" r="0" b="0"/>
            <wp:docPr id="326" name="Picture 299" title="Increase in national HPV vaccination coverage over time, 2007 to 2009, for females aged 16 years in 2007, by dose number and age, as notified to the National HPV Vaccination Program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0" cy="3276600"/>
                    </a:xfrm>
                    <a:prstGeom prst="rect">
                      <a:avLst/>
                    </a:prstGeom>
                    <a:noFill/>
                    <a:ln>
                      <a:noFill/>
                    </a:ln>
                  </pic:spPr>
                </pic:pic>
              </a:graphicData>
            </a:graphic>
          </wp:inline>
        </w:drawing>
      </w:r>
    </w:p>
    <w:p w:rsidR="00F650A4" w:rsidRPr="003408A6" w:rsidRDefault="00F650A4" w:rsidP="000E33CA">
      <w:pPr>
        <w:pStyle w:val="BodyText"/>
        <w:rPr>
          <w:b/>
          <w:lang w:val="en-AU"/>
        </w:rPr>
      </w:pPr>
    </w:p>
    <w:p w:rsidR="00F650A4" w:rsidRPr="003408A6" w:rsidRDefault="00F650A4" w:rsidP="009821B4">
      <w:pPr>
        <w:pStyle w:val="Figureheading"/>
      </w:pPr>
      <w:bookmarkStart w:id="93" w:name="_Toc374735970"/>
      <w:bookmarkStart w:id="94" w:name="_Toc396475572"/>
      <w:bookmarkStart w:id="95" w:name="_Toc397000800"/>
      <w:r w:rsidRPr="003408A6">
        <w:t>Figure 3.1d.</w:t>
      </w:r>
      <w:r w:rsidR="00D861BD" w:rsidRPr="003408A6">
        <w:tab/>
      </w:r>
      <w:r w:rsidRPr="003408A6">
        <w:t xml:space="preserve">Increase in national </w:t>
      </w:r>
      <w:r w:rsidR="00C20935">
        <w:t>HPV vaccination</w:t>
      </w:r>
      <w:r w:rsidR="00C20935" w:rsidRPr="003408A6">
        <w:t xml:space="preserve"> </w:t>
      </w:r>
      <w:r w:rsidRPr="003408A6">
        <w:t>coverage over time</w:t>
      </w:r>
      <w:r w:rsidR="00C20935">
        <w:t>,</w:t>
      </w:r>
      <w:r w:rsidRPr="003408A6">
        <w:t xml:space="preserve"> 2007</w:t>
      </w:r>
      <w:r w:rsidR="00C20935">
        <w:t xml:space="preserve"> to </w:t>
      </w:r>
      <w:r w:rsidRPr="003408A6">
        <w:t>2009</w:t>
      </w:r>
      <w:r w:rsidR="00C20935">
        <w:t>,</w:t>
      </w:r>
      <w:r w:rsidRPr="003408A6">
        <w:t xml:space="preserve"> for females aged 17 years in 2007</w:t>
      </w:r>
      <w:r w:rsidR="005422C0">
        <w:t>,</w:t>
      </w:r>
      <w:r w:rsidRPr="003408A6">
        <w:t xml:space="preserve"> by dose number and age, as notified to the National HPV Vaccination Program Register</w:t>
      </w:r>
      <w:bookmarkEnd w:id="93"/>
      <w:bookmarkEnd w:id="94"/>
      <w:bookmarkEnd w:id="95"/>
    </w:p>
    <w:p w:rsidR="00F650A4" w:rsidRPr="003408A6" w:rsidRDefault="00F650A4" w:rsidP="000E33CA">
      <w:pPr>
        <w:pStyle w:val="BodyText"/>
        <w:rPr>
          <w:lang w:val="en-AU"/>
        </w:rPr>
      </w:pPr>
      <w:r w:rsidRPr="003408A6">
        <w:rPr>
          <w:noProof/>
          <w:lang w:val="en-AU" w:eastAsia="en-AU"/>
        </w:rPr>
        <w:drawing>
          <wp:inline distT="0" distB="0" distL="0" distR="0" wp14:anchorId="422BC6D6" wp14:editId="2477D5E9">
            <wp:extent cx="5010150" cy="3276600"/>
            <wp:effectExtent l="0" t="0" r="0" b="0"/>
            <wp:docPr id="327" name="Picture 28" title="Increase in national HPV vaccination coverage over time, 2007 to 2009, for females aged 17 years in 2007, by dose number and age, as notified to the National HPV Vaccination Program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0150" cy="3276600"/>
                    </a:xfrm>
                    <a:prstGeom prst="rect">
                      <a:avLst/>
                    </a:prstGeom>
                    <a:noFill/>
                    <a:ln>
                      <a:noFill/>
                    </a:ln>
                  </pic:spPr>
                </pic:pic>
              </a:graphicData>
            </a:graphic>
          </wp:inline>
        </w:drawing>
      </w:r>
    </w:p>
    <w:p w:rsidR="00F650A4" w:rsidRPr="003408A6" w:rsidRDefault="00F650A4" w:rsidP="005422C0">
      <w:pPr>
        <w:pStyle w:val="Bodytextaftertable"/>
        <w:rPr>
          <w:rFonts w:eastAsia="Calibri"/>
        </w:rPr>
      </w:pPr>
      <w:r w:rsidRPr="003408A6">
        <w:rPr>
          <w:rFonts w:eastAsia="Calibri"/>
          <w:b/>
        </w:rPr>
        <w:t>Table 3.2</w:t>
      </w:r>
      <w:r w:rsidRPr="003408A6">
        <w:rPr>
          <w:rFonts w:eastAsia="Calibri"/>
        </w:rPr>
        <w:t xml:space="preserve"> details coverage by year of age, dose number and state of residence for females aged 18–26 years in 2007 (i.e. community based catch-up cohorts). National notified coverage for females aged 18–26 years was 55% for dose 1, 45% for dose 2 and 32% for dose 3. Females aged 26 years in 2007, only half of whom were eligible for vaccination given that the </w:t>
      </w:r>
      <w:r w:rsidR="00DB5945">
        <w:rPr>
          <w:rFonts w:eastAsia="Calibri"/>
        </w:rPr>
        <w:t>general practice</w:t>
      </w:r>
      <w:r w:rsidRPr="003408A6">
        <w:rPr>
          <w:rFonts w:eastAsia="Calibri"/>
        </w:rPr>
        <w:t>/community program started in July 2007 and women who had already turned 27 were ineligible to commence the course, had substantially lower notified coverage than other ages. Coverage for females aged 18–25 years is therefore slightly higher at 59/47/34% for dose1/2/3, respectively. The highest 1-dose coverage achieved by state was in 18-year olds in Queensland (76%). Victoria recorded the highest 3-dose coverage for the 18–26-year-old cohort overall at 37%.</w:t>
      </w:r>
    </w:p>
    <w:p w:rsidR="00F650A4" w:rsidRPr="003408A6" w:rsidRDefault="00F650A4" w:rsidP="00F650A4">
      <w:pPr>
        <w:rPr>
          <w:rFonts w:eastAsia="Calibri" w:cs="Arial"/>
          <w:szCs w:val="22"/>
          <w:lang w:eastAsia="en-US"/>
        </w:rPr>
      </w:pPr>
      <w:r w:rsidRPr="003408A6">
        <w:rPr>
          <w:rFonts w:eastAsia="Calibri" w:cs="Arial"/>
          <w:szCs w:val="22"/>
          <w:lang w:eastAsia="en-US"/>
        </w:rPr>
        <w:br w:type="page"/>
      </w:r>
    </w:p>
    <w:p w:rsidR="00F650A4" w:rsidRPr="003408A6" w:rsidRDefault="00F650A4" w:rsidP="00F650A4">
      <w:pPr>
        <w:spacing w:line="360" w:lineRule="auto"/>
        <w:rPr>
          <w:rFonts w:eastAsia="Calibri" w:cs="Arial"/>
          <w:b/>
          <w:szCs w:val="22"/>
          <w:lang w:eastAsia="en-US"/>
        </w:rPr>
        <w:sectPr w:rsidR="00F650A4" w:rsidRPr="003408A6" w:rsidSect="00D07C02">
          <w:pgSz w:w="11906" w:h="16838"/>
          <w:pgMar w:top="1440" w:right="1440" w:bottom="1440" w:left="1440" w:header="708" w:footer="708" w:gutter="0"/>
          <w:cols w:space="720"/>
        </w:sectPr>
      </w:pPr>
    </w:p>
    <w:p w:rsidR="00F650A4" w:rsidRPr="003408A6" w:rsidRDefault="00901C17" w:rsidP="002E2DF6">
      <w:pPr>
        <w:pStyle w:val="Tableheading"/>
        <w:rPr>
          <w:rFonts w:eastAsia="Calibri"/>
          <w:lang w:val="en-AU"/>
        </w:rPr>
      </w:pPr>
      <w:bookmarkStart w:id="96" w:name="_Toc374735934"/>
      <w:bookmarkStart w:id="97" w:name="_Toc396475538"/>
      <w:bookmarkStart w:id="98" w:name="_Toc397000766"/>
      <w:r w:rsidRPr="003408A6">
        <w:rPr>
          <w:rFonts w:eastAsia="Calibri"/>
          <w:lang w:val="en-AU"/>
        </w:rPr>
        <w:t>Table 3.2.</w:t>
      </w:r>
      <w:r w:rsidRPr="003408A6">
        <w:rPr>
          <w:rFonts w:eastAsia="Calibri"/>
          <w:lang w:val="en-AU"/>
        </w:rPr>
        <w:tab/>
      </w:r>
      <w:r w:rsidR="00F650A4" w:rsidRPr="003408A6">
        <w:rPr>
          <w:rFonts w:eastAsia="Calibri"/>
          <w:lang w:val="en-AU"/>
        </w:rPr>
        <w:t xml:space="preserve">National HPV vaccination coverage </w:t>
      </w:r>
      <w:r w:rsidR="005422C0">
        <w:rPr>
          <w:rFonts w:eastAsia="Calibri"/>
          <w:lang w:val="en-AU"/>
        </w:rPr>
        <w:t xml:space="preserve">(%) </w:t>
      </w:r>
      <w:r w:rsidR="00F650A4" w:rsidRPr="003408A6">
        <w:rPr>
          <w:rFonts w:eastAsia="Calibri"/>
          <w:lang w:val="en-AU"/>
        </w:rPr>
        <w:t>for females aged 18–26 years of age in 2007, by dose number, age and state or territory of residence</w:t>
      </w:r>
      <w:r w:rsidR="00D34AB6">
        <w:rPr>
          <w:rFonts w:eastAsia="Calibri"/>
          <w:lang w:val="en-AU"/>
        </w:rPr>
        <w:t>*</w:t>
      </w:r>
      <w:bookmarkEnd w:id="96"/>
      <w:bookmarkEnd w:id="97"/>
      <w:bookmarkEnd w:id="98"/>
      <w:r w:rsidR="00F650A4" w:rsidRPr="003408A6">
        <w:rPr>
          <w:rFonts w:eastAsia="Calibri"/>
          <w:lang w:val="en-AU"/>
        </w:rPr>
        <w:t xml:space="preserve"> </w:t>
      </w:r>
    </w:p>
    <w:tbl>
      <w:tblPr>
        <w:tblW w:w="0" w:type="auto"/>
        <w:tblInd w:w="180" w:type="dxa"/>
        <w:tblLayout w:type="fixed"/>
        <w:tblCellMar>
          <w:left w:w="180" w:type="dxa"/>
          <w:right w:w="180" w:type="dxa"/>
        </w:tblCellMar>
        <w:tblLook w:val="04A0" w:firstRow="1" w:lastRow="0" w:firstColumn="1" w:lastColumn="0" w:noHBand="0" w:noVBand="1"/>
      </w:tblPr>
      <w:tblGrid>
        <w:gridCol w:w="2108"/>
        <w:gridCol w:w="1181"/>
        <w:gridCol w:w="1134"/>
        <w:gridCol w:w="1134"/>
        <w:gridCol w:w="1134"/>
        <w:gridCol w:w="1134"/>
        <w:gridCol w:w="1134"/>
        <w:gridCol w:w="1134"/>
        <w:gridCol w:w="1134"/>
        <w:gridCol w:w="1134"/>
        <w:gridCol w:w="1134"/>
        <w:gridCol w:w="1134"/>
      </w:tblGrid>
      <w:tr w:rsidR="00F650A4" w:rsidRPr="003408A6" w:rsidTr="007F3E97">
        <w:trPr>
          <w:trHeight w:val="334"/>
        </w:trPr>
        <w:tc>
          <w:tcPr>
            <w:tcW w:w="2108" w:type="dxa"/>
            <w:vMerge w:val="restart"/>
            <w:tcBorders>
              <w:top w:val="single" w:sz="8" w:space="0" w:color="auto"/>
              <w:left w:val="single" w:sz="8" w:space="0" w:color="auto"/>
              <w:bottom w:val="single" w:sz="8" w:space="0" w:color="auto"/>
              <w:right w:val="nil"/>
            </w:tcBorders>
            <w:hideMark/>
          </w:tcPr>
          <w:p w:rsidR="00F650A4" w:rsidRPr="003408A6" w:rsidRDefault="005422C0" w:rsidP="000E33CA">
            <w:pPr>
              <w:pStyle w:val="Tablecolumnheading"/>
              <w:rPr>
                <w:lang w:val="en-AU"/>
              </w:rPr>
            </w:pPr>
            <w:r>
              <w:rPr>
                <w:lang w:val="en-AU"/>
              </w:rPr>
              <w:t>Jurisdiction</w:t>
            </w:r>
            <w:r w:rsidRPr="003408A6">
              <w:rPr>
                <w:lang w:val="en-AU"/>
              </w:rPr>
              <w:t xml:space="preserve"> </w:t>
            </w:r>
            <w:r w:rsidR="007F3E97">
              <w:rPr>
                <w:lang w:val="en-AU"/>
              </w:rPr>
              <w:br/>
            </w:r>
            <w:r w:rsidR="00F650A4" w:rsidRPr="003408A6">
              <w:rPr>
                <w:lang w:val="en-AU"/>
              </w:rPr>
              <w:t>(total doses)</w:t>
            </w:r>
          </w:p>
        </w:tc>
        <w:tc>
          <w:tcPr>
            <w:tcW w:w="1181" w:type="dxa"/>
            <w:vMerge w:val="restart"/>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columnheading"/>
              <w:rPr>
                <w:lang w:val="en-AU"/>
              </w:rPr>
            </w:pPr>
            <w:r w:rsidRPr="003408A6">
              <w:rPr>
                <w:lang w:val="en-AU"/>
              </w:rPr>
              <w:t>Dose</w:t>
            </w:r>
          </w:p>
        </w:tc>
        <w:tc>
          <w:tcPr>
            <w:tcW w:w="11340" w:type="dxa"/>
            <w:gridSpan w:val="10"/>
            <w:tcBorders>
              <w:top w:val="single" w:sz="8" w:space="0" w:color="auto"/>
              <w:left w:val="single" w:sz="8" w:space="0" w:color="auto"/>
              <w:bottom w:val="single" w:sz="8" w:space="0" w:color="auto"/>
              <w:right w:val="single" w:sz="8" w:space="0" w:color="auto"/>
            </w:tcBorders>
            <w:hideMark/>
          </w:tcPr>
          <w:p w:rsidR="00F650A4" w:rsidRPr="003408A6" w:rsidRDefault="005422C0" w:rsidP="005422C0">
            <w:pPr>
              <w:pStyle w:val="Tablecolumnheadings"/>
              <w:rPr>
                <w:lang w:val="en-AU"/>
              </w:rPr>
            </w:pPr>
            <w:r>
              <w:rPr>
                <w:lang w:val="en-AU"/>
              </w:rPr>
              <w:t>Coverage (%) by a</w:t>
            </w:r>
            <w:r w:rsidR="00F650A4" w:rsidRPr="003408A6">
              <w:rPr>
                <w:lang w:val="en-AU"/>
              </w:rPr>
              <w:t>ge as at mid-2007 (years)</w:t>
            </w:r>
          </w:p>
        </w:tc>
      </w:tr>
      <w:tr w:rsidR="00F650A4" w:rsidRPr="003408A6" w:rsidTr="007F3E97">
        <w:trPr>
          <w:trHeight w:val="269"/>
        </w:trPr>
        <w:tc>
          <w:tcPr>
            <w:tcW w:w="2108" w:type="dxa"/>
            <w:vMerge/>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p>
        </w:tc>
        <w:tc>
          <w:tcPr>
            <w:tcW w:w="1181" w:type="dxa"/>
            <w:vMerge/>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lang w:val="en-AU"/>
              </w:rPr>
            </w:pP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18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19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columnheadings"/>
              <w:rPr>
                <w:lang w:val="en-AU"/>
              </w:rPr>
            </w:pPr>
            <w:r w:rsidRPr="003408A6">
              <w:rPr>
                <w:lang w:val="en-AU"/>
              </w:rPr>
              <w:t>26</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columnheadings"/>
              <w:rPr>
                <w:lang w:val="en-AU"/>
              </w:rPr>
            </w:pPr>
            <w:r w:rsidRPr="003408A6">
              <w:rPr>
                <w:lang w:val="en-AU"/>
              </w:rPr>
              <w:t>18–26</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ACT</w:t>
            </w:r>
          </w:p>
          <w:p w:rsidR="00F650A4" w:rsidRPr="003408A6" w:rsidRDefault="00F650A4" w:rsidP="005422C0">
            <w:pPr>
              <w:pStyle w:val="Tabletext0beforeafter"/>
              <w:rPr>
                <w:lang w:val="en-AU"/>
              </w:rPr>
            </w:pPr>
            <w:r w:rsidRPr="003408A6">
              <w:rPr>
                <w:lang w:val="en-AU"/>
              </w:rPr>
              <w:t>N=33,066</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text0beforeafter-centred"/>
              <w:rPr>
                <w:lang w:val="en-AU"/>
              </w:rPr>
            </w:pPr>
            <w:r w:rsidRPr="003408A6">
              <w:rPr>
                <w:lang w:val="en-AU"/>
              </w:rPr>
              <w:t>64</w:t>
            </w:r>
          </w:p>
          <w:p w:rsidR="00F650A4" w:rsidRPr="003408A6" w:rsidRDefault="005268C7" w:rsidP="000E33CA">
            <w:pPr>
              <w:pStyle w:val="Tabletext0beforeafter-centred"/>
              <w:rPr>
                <w:lang w:val="en-AU"/>
              </w:rPr>
            </w:pPr>
            <w:r>
              <w:rPr>
                <w:lang w:val="en-AU"/>
              </w:rPr>
              <w:t>54</w:t>
            </w:r>
          </w:p>
          <w:p w:rsidR="00F650A4" w:rsidRPr="003408A6" w:rsidRDefault="005268C7" w:rsidP="000E33CA">
            <w:pPr>
              <w:pStyle w:val="Tabletext0beforeafter-centred"/>
              <w:rPr>
                <w:lang w:val="en-AU"/>
              </w:rPr>
            </w:pPr>
            <w:r>
              <w:rPr>
                <w:lang w:val="en-AU"/>
              </w:rPr>
              <w:t>41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54</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46</w:t>
            </w:r>
          </w:p>
          <w:p w:rsidR="00F650A4" w:rsidRPr="003408A6" w:rsidRDefault="005268C7" w:rsidP="000E33CA">
            <w:pPr>
              <w:pStyle w:val="Tabletext0beforeafter-centred"/>
              <w:rPr>
                <w:lang w:val="en-AU"/>
              </w:rPr>
            </w:pPr>
            <w:r>
              <w:rPr>
                <w:lang w:val="en-AU"/>
              </w:rPr>
              <w:t>39</w:t>
            </w:r>
          </w:p>
          <w:p w:rsidR="00F650A4" w:rsidRPr="003408A6" w:rsidRDefault="005268C7" w:rsidP="000E33CA">
            <w:pPr>
              <w:pStyle w:val="Tabletext0beforeafter-centred"/>
              <w:rPr>
                <w:lang w:val="en-AU"/>
              </w:rPr>
            </w:pPr>
            <w:r>
              <w:rPr>
                <w:lang w:val="en-AU"/>
              </w:rPr>
              <w:t>29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31</w:t>
            </w:r>
          </w:p>
          <w:p w:rsidR="00F650A4" w:rsidRPr="003408A6" w:rsidRDefault="005268C7" w:rsidP="000E33CA">
            <w:pPr>
              <w:pStyle w:val="Tabletext0beforeafter-centred"/>
              <w:rPr>
                <w:lang w:val="en-AU"/>
              </w:rPr>
            </w:pPr>
            <w:r>
              <w:rPr>
                <w:lang w:val="en-AU"/>
              </w:rPr>
              <w:t>26</w:t>
            </w:r>
          </w:p>
          <w:p w:rsidR="00F650A4" w:rsidRPr="003408A6" w:rsidRDefault="005268C7" w:rsidP="000E33CA">
            <w:pPr>
              <w:pStyle w:val="Tabletext0beforeafter-centred"/>
              <w:rPr>
                <w:lang w:val="en-AU"/>
              </w:rPr>
            </w:pPr>
            <w:r>
              <w:rPr>
                <w:lang w:val="en-AU"/>
              </w:rPr>
              <w:t>19</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F650A4" w:rsidP="000E33CA">
            <w:pPr>
              <w:pStyle w:val="Tabletext0beforeafter-centred"/>
              <w:rPr>
                <w:lang w:val="en-AU"/>
              </w:rPr>
            </w:pPr>
            <w:r w:rsidRPr="003408A6">
              <w:rPr>
                <w:lang w:val="en-AU"/>
              </w:rPr>
              <w:t>53</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32</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NSW</w:t>
            </w:r>
          </w:p>
          <w:p w:rsidR="00F650A4" w:rsidRPr="003408A6" w:rsidRDefault="00F650A4" w:rsidP="005422C0">
            <w:pPr>
              <w:pStyle w:val="Tabletext0beforeafter"/>
              <w:rPr>
                <w:lang w:val="en-AU"/>
              </w:rPr>
            </w:pPr>
            <w:r w:rsidRPr="003408A6">
              <w:rPr>
                <w:lang w:val="en-AU"/>
              </w:rPr>
              <w:t>N=474,102</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53</w:t>
            </w:r>
          </w:p>
          <w:p w:rsidR="00F650A4" w:rsidRPr="003408A6" w:rsidRDefault="005268C7" w:rsidP="000E33CA">
            <w:pPr>
              <w:pStyle w:val="Tabletext0beforeafter-centred"/>
              <w:rPr>
                <w:lang w:val="en-AU"/>
              </w:rPr>
            </w:pPr>
            <w:r>
              <w:rPr>
                <w:lang w:val="en-AU"/>
              </w:rPr>
              <w:t>41</w:t>
            </w:r>
          </w:p>
          <w:p w:rsidR="00F650A4" w:rsidRPr="003408A6" w:rsidRDefault="005268C7" w:rsidP="000E33CA">
            <w:pPr>
              <w:pStyle w:val="Tabletext0beforeafter-centred"/>
              <w:rPr>
                <w:lang w:val="en-AU"/>
              </w:rPr>
            </w:pPr>
            <w:r>
              <w:rPr>
                <w:lang w:val="en-AU"/>
              </w:rPr>
              <w:t>29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40</w:t>
            </w:r>
          </w:p>
          <w:p w:rsidR="00F650A4" w:rsidRPr="003408A6" w:rsidRDefault="005268C7" w:rsidP="000E33CA">
            <w:pPr>
              <w:pStyle w:val="Tabletext0beforeafter-centred"/>
              <w:rPr>
                <w:lang w:val="en-AU"/>
              </w:rPr>
            </w:pPr>
            <w:r>
              <w:rPr>
                <w:lang w:val="en-AU"/>
              </w:rPr>
              <w:t>27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39</w:t>
            </w:r>
          </w:p>
          <w:p w:rsidR="00F650A4" w:rsidRPr="003408A6" w:rsidRDefault="005268C7" w:rsidP="000E33CA">
            <w:pPr>
              <w:pStyle w:val="Tabletext0beforeafter-centred"/>
              <w:rPr>
                <w:lang w:val="en-AU"/>
              </w:rPr>
            </w:pPr>
            <w:r>
              <w:rPr>
                <w:lang w:val="en-AU"/>
              </w:rPr>
              <w:t>27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38</w:t>
            </w:r>
          </w:p>
          <w:p w:rsidR="00F650A4" w:rsidRPr="003408A6" w:rsidRDefault="005268C7" w:rsidP="000E33CA">
            <w:pPr>
              <w:pStyle w:val="Tabletext0beforeafter-centred"/>
              <w:rPr>
                <w:lang w:val="en-AU"/>
              </w:rPr>
            </w:pPr>
            <w:r>
              <w:rPr>
                <w:lang w:val="en-AU"/>
              </w:rPr>
              <w:t>26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38</w:t>
            </w:r>
          </w:p>
          <w:p w:rsidR="00F650A4" w:rsidRPr="003408A6" w:rsidRDefault="005268C7" w:rsidP="000E33CA">
            <w:pPr>
              <w:pStyle w:val="Tabletext0beforeafter-centred"/>
              <w:rPr>
                <w:lang w:val="en-AU"/>
              </w:rPr>
            </w:pPr>
            <w:r>
              <w:rPr>
                <w:lang w:val="en-AU"/>
              </w:rPr>
              <w:t>26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34</w:t>
            </w:r>
          </w:p>
          <w:p w:rsidR="00F650A4" w:rsidRPr="003408A6" w:rsidRDefault="005268C7" w:rsidP="000E33CA">
            <w:pPr>
              <w:pStyle w:val="Tabletext0beforeafter-centred"/>
              <w:rPr>
                <w:lang w:val="en-AU"/>
              </w:rPr>
            </w:pPr>
            <w:r>
              <w:rPr>
                <w:lang w:val="en-AU"/>
              </w:rPr>
              <w:t>24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26</w:t>
            </w:r>
          </w:p>
          <w:p w:rsidR="00F650A4" w:rsidRPr="003408A6" w:rsidRDefault="005268C7" w:rsidP="000E33CA">
            <w:pPr>
              <w:pStyle w:val="Tabletext0beforeafter-centred"/>
              <w:rPr>
                <w:lang w:val="en-AU"/>
              </w:rPr>
            </w:pPr>
            <w:r>
              <w:rPr>
                <w:lang w:val="en-AU"/>
              </w:rPr>
              <w:t>20</w:t>
            </w:r>
          </w:p>
          <w:p w:rsidR="00F650A4" w:rsidRPr="003408A6" w:rsidRDefault="005268C7" w:rsidP="000E33CA">
            <w:pPr>
              <w:pStyle w:val="Tabletext0beforeafter-centred"/>
              <w:rPr>
                <w:lang w:val="en-AU"/>
              </w:rPr>
            </w:pPr>
            <w:r>
              <w:rPr>
                <w:lang w:val="en-AU"/>
              </w:rPr>
              <w:t>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38</w:t>
            </w:r>
          </w:p>
          <w:p w:rsidR="00F650A4" w:rsidRPr="003408A6" w:rsidRDefault="005268C7" w:rsidP="000E33CA">
            <w:pPr>
              <w:pStyle w:val="Tabletext0beforeafter-centred"/>
              <w:rPr>
                <w:lang w:val="en-AU"/>
              </w:rPr>
            </w:pPr>
            <w:r>
              <w:rPr>
                <w:lang w:val="en-AU"/>
              </w:rPr>
              <w:t>27</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NT</w:t>
            </w:r>
          </w:p>
          <w:p w:rsidR="00F650A4" w:rsidRPr="003408A6" w:rsidRDefault="00F650A4" w:rsidP="005422C0">
            <w:pPr>
              <w:pStyle w:val="Tabletext0beforeafter"/>
              <w:rPr>
                <w:lang w:val="en-AU"/>
              </w:rPr>
            </w:pPr>
            <w:r w:rsidRPr="003408A6">
              <w:rPr>
                <w:lang w:val="en-AU"/>
              </w:rPr>
              <w:t>N=20,826</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74</w:t>
            </w:r>
          </w:p>
          <w:p w:rsidR="00F650A4" w:rsidRPr="003408A6" w:rsidRDefault="005268C7" w:rsidP="000E33CA">
            <w:pPr>
              <w:pStyle w:val="Tabletext0beforeafter-centred"/>
              <w:rPr>
                <w:lang w:val="en-AU"/>
              </w:rPr>
            </w:pPr>
            <w:r>
              <w:rPr>
                <w:lang w:val="en-AU"/>
              </w:rPr>
              <w:t>63</w:t>
            </w:r>
          </w:p>
          <w:p w:rsidR="00F650A4" w:rsidRPr="003408A6" w:rsidRDefault="005268C7" w:rsidP="000E33CA">
            <w:pPr>
              <w:pStyle w:val="Tabletext0beforeafter-centred"/>
              <w:rPr>
                <w:lang w:val="en-AU"/>
              </w:rPr>
            </w:pPr>
            <w:r>
              <w:rPr>
                <w:lang w:val="en-AU"/>
              </w:rPr>
              <w:t>49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69</w:t>
            </w:r>
          </w:p>
          <w:p w:rsidR="00F650A4" w:rsidRPr="003408A6" w:rsidRDefault="005268C7" w:rsidP="000E33CA">
            <w:pPr>
              <w:pStyle w:val="Tabletext0beforeafter-centred"/>
              <w:rPr>
                <w:lang w:val="en-AU"/>
              </w:rPr>
            </w:pPr>
            <w:r>
              <w:rPr>
                <w:lang w:val="en-AU"/>
              </w:rPr>
              <w:t>54</w:t>
            </w:r>
          </w:p>
          <w:p w:rsidR="00F650A4" w:rsidRPr="003408A6" w:rsidRDefault="005268C7" w:rsidP="000E33CA">
            <w:pPr>
              <w:pStyle w:val="Tabletext0beforeafter-centred"/>
              <w:rPr>
                <w:lang w:val="en-AU"/>
              </w:rPr>
            </w:pPr>
            <w:r>
              <w:rPr>
                <w:lang w:val="en-AU"/>
              </w:rPr>
              <w:t>40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69</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64</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66</w:t>
            </w:r>
          </w:p>
          <w:p w:rsidR="00F650A4" w:rsidRPr="003408A6" w:rsidRDefault="005268C7" w:rsidP="000E33CA">
            <w:pPr>
              <w:pStyle w:val="Tabletext0beforeafter-centred"/>
              <w:rPr>
                <w:lang w:val="en-AU"/>
              </w:rPr>
            </w:pPr>
            <w:r>
              <w:rPr>
                <w:lang w:val="en-AU"/>
              </w:rPr>
              <w:t>53</w:t>
            </w:r>
          </w:p>
          <w:p w:rsidR="00F650A4" w:rsidRPr="003408A6" w:rsidRDefault="005268C7" w:rsidP="000E33CA">
            <w:pPr>
              <w:pStyle w:val="Tabletext0beforeafter-centred"/>
              <w:rPr>
                <w:lang w:val="en-AU"/>
              </w:rPr>
            </w:pPr>
            <w:r>
              <w:rPr>
                <w:lang w:val="en-AU"/>
              </w:rPr>
              <w:t>38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64</w:t>
            </w:r>
          </w:p>
          <w:p w:rsidR="00F650A4" w:rsidRPr="003408A6" w:rsidRDefault="005268C7" w:rsidP="000E33CA">
            <w:pPr>
              <w:pStyle w:val="Tabletext0beforeafter-centred"/>
              <w:rPr>
                <w:lang w:val="en-AU"/>
              </w:rPr>
            </w:pPr>
            <w:r>
              <w:rPr>
                <w:lang w:val="en-AU"/>
              </w:rPr>
              <w:t>51</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61</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40</w:t>
            </w:r>
          </w:p>
          <w:p w:rsidR="00F650A4" w:rsidRPr="003408A6" w:rsidRDefault="005268C7" w:rsidP="000E33CA">
            <w:pPr>
              <w:pStyle w:val="Tabletext0beforeafter-centred"/>
              <w:rPr>
                <w:lang w:val="en-AU"/>
              </w:rPr>
            </w:pPr>
            <w:r>
              <w:rPr>
                <w:lang w:val="en-AU"/>
              </w:rPr>
              <w:t>29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22</w:t>
            </w:r>
          </w:p>
          <w:p w:rsidR="00F650A4" w:rsidRPr="003408A6" w:rsidRDefault="005268C7" w:rsidP="000E33CA">
            <w:pPr>
              <w:pStyle w:val="Tabletext0beforeafter-centred"/>
              <w:rPr>
                <w:lang w:val="en-AU"/>
              </w:rPr>
            </w:pPr>
            <w:r>
              <w:rPr>
                <w:lang w:val="en-AU"/>
              </w:rPr>
              <w:t>18</w:t>
            </w:r>
          </w:p>
          <w:p w:rsidR="00F650A4" w:rsidRPr="003408A6" w:rsidRDefault="005268C7" w:rsidP="000E33CA">
            <w:pPr>
              <w:pStyle w:val="Tabletext0beforeafter-centred"/>
              <w:rPr>
                <w:lang w:val="en-AU"/>
              </w:rPr>
            </w:pPr>
            <w:r>
              <w:rPr>
                <w:lang w:val="en-AU"/>
              </w:rPr>
              <w:t>13</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34</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QLD</w:t>
            </w:r>
          </w:p>
          <w:p w:rsidR="00F650A4" w:rsidRPr="003408A6" w:rsidRDefault="00F650A4" w:rsidP="005422C0">
            <w:pPr>
              <w:pStyle w:val="Tabletext0beforeafter"/>
              <w:rPr>
                <w:lang w:val="en-AU"/>
              </w:rPr>
            </w:pPr>
            <w:r w:rsidRPr="003408A6">
              <w:rPr>
                <w:lang w:val="en-AU"/>
              </w:rPr>
              <w:t>N=394,872</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76</w:t>
            </w:r>
          </w:p>
          <w:p w:rsidR="00F650A4" w:rsidRPr="003408A6" w:rsidRDefault="005268C7" w:rsidP="000E33CA">
            <w:pPr>
              <w:pStyle w:val="Tabletext0beforeafter-centred"/>
              <w:rPr>
                <w:lang w:val="en-AU"/>
              </w:rPr>
            </w:pPr>
            <w:r>
              <w:rPr>
                <w:lang w:val="en-AU"/>
              </w:rPr>
              <w:t>63</w:t>
            </w:r>
          </w:p>
          <w:p w:rsidR="00F650A4" w:rsidRPr="003408A6" w:rsidRDefault="005268C7" w:rsidP="000E33CA">
            <w:pPr>
              <w:pStyle w:val="Tabletext0beforeafter-centred"/>
              <w:rPr>
                <w:lang w:val="en-AU"/>
              </w:rPr>
            </w:pPr>
            <w:r>
              <w:rPr>
                <w:lang w:val="en-AU"/>
              </w:rPr>
              <w:t>40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74</w:t>
            </w:r>
          </w:p>
          <w:p w:rsidR="00F650A4" w:rsidRPr="003408A6" w:rsidRDefault="005268C7" w:rsidP="000E33CA">
            <w:pPr>
              <w:pStyle w:val="Tabletext0beforeafter-centred"/>
              <w:rPr>
                <w:lang w:val="en-AU"/>
              </w:rPr>
            </w:pPr>
            <w:r>
              <w:rPr>
                <w:lang w:val="en-AU"/>
              </w:rPr>
              <w:t>61</w:t>
            </w:r>
          </w:p>
          <w:p w:rsidR="00F650A4" w:rsidRPr="003408A6" w:rsidRDefault="005268C7" w:rsidP="000E33CA">
            <w:pPr>
              <w:pStyle w:val="Tabletext0beforeafter-centred"/>
              <w:rPr>
                <w:lang w:val="en-AU"/>
              </w:rPr>
            </w:pPr>
            <w:r>
              <w:rPr>
                <w:lang w:val="en-AU"/>
              </w:rPr>
              <w:t>38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72</w:t>
            </w:r>
          </w:p>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68</w:t>
            </w:r>
          </w:p>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67</w:t>
            </w:r>
          </w:p>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67</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66</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29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33</w:t>
            </w:r>
          </w:p>
          <w:p w:rsidR="00F650A4" w:rsidRPr="003408A6" w:rsidRDefault="005268C7" w:rsidP="000E33CA">
            <w:pPr>
              <w:pStyle w:val="Tabletext0beforeafter-centred"/>
              <w:rPr>
                <w:lang w:val="en-AU"/>
              </w:rPr>
            </w:pPr>
            <w:r>
              <w:rPr>
                <w:lang w:val="en-AU"/>
              </w:rPr>
              <w:t>26</w:t>
            </w:r>
          </w:p>
          <w:p w:rsidR="00F650A4" w:rsidRPr="003408A6" w:rsidRDefault="005268C7" w:rsidP="000E33CA">
            <w:pPr>
              <w:pStyle w:val="Tabletext0beforeafter-centred"/>
              <w:rPr>
                <w:lang w:val="en-AU"/>
              </w:rPr>
            </w:pPr>
            <w:r>
              <w:rPr>
                <w:lang w:val="en-AU"/>
              </w:rPr>
              <w:t>13</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64</w:t>
            </w:r>
          </w:p>
          <w:p w:rsidR="00F650A4" w:rsidRPr="003408A6" w:rsidRDefault="005268C7" w:rsidP="000E33CA">
            <w:pPr>
              <w:pStyle w:val="Tabletext0beforeafter-centred"/>
              <w:rPr>
                <w:lang w:val="en-AU"/>
              </w:rPr>
            </w:pPr>
            <w:r>
              <w:rPr>
                <w:lang w:val="en-AU"/>
              </w:rPr>
              <w:t>53</w:t>
            </w:r>
          </w:p>
          <w:p w:rsidR="00F650A4" w:rsidRPr="003408A6" w:rsidRDefault="005268C7" w:rsidP="000E33CA">
            <w:pPr>
              <w:pStyle w:val="Tabletext0beforeafter-centred"/>
              <w:rPr>
                <w:lang w:val="en-AU"/>
              </w:rPr>
            </w:pPr>
            <w:r>
              <w:rPr>
                <w:lang w:val="en-AU"/>
              </w:rPr>
              <w:t>33</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SA</w:t>
            </w:r>
          </w:p>
          <w:p w:rsidR="00F650A4" w:rsidRPr="003408A6" w:rsidRDefault="00F650A4" w:rsidP="005422C0">
            <w:pPr>
              <w:pStyle w:val="Tabletext0beforeafter"/>
              <w:rPr>
                <w:lang w:val="en-AU"/>
              </w:rPr>
            </w:pPr>
            <w:r w:rsidRPr="003408A6">
              <w:rPr>
                <w:lang w:val="en-AU"/>
              </w:rPr>
              <w:t>N=132,837</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69</w:t>
            </w:r>
          </w:p>
          <w:p w:rsidR="00F650A4" w:rsidRPr="003408A6" w:rsidRDefault="005268C7" w:rsidP="000E33CA">
            <w:pPr>
              <w:pStyle w:val="Tabletext0beforeafter-centred"/>
              <w:rPr>
                <w:lang w:val="en-AU"/>
              </w:rPr>
            </w:pPr>
            <w:r>
              <w:rPr>
                <w:lang w:val="en-AU"/>
              </w:rPr>
              <w:t>57</w:t>
            </w:r>
          </w:p>
          <w:p w:rsidR="00F650A4" w:rsidRPr="003408A6" w:rsidRDefault="005268C7" w:rsidP="000E33CA">
            <w:pPr>
              <w:pStyle w:val="Tabletext0beforeafter-centred"/>
              <w:rPr>
                <w:lang w:val="en-AU"/>
              </w:rPr>
            </w:pPr>
            <w:r>
              <w:rPr>
                <w:lang w:val="en-AU"/>
              </w:rPr>
              <w:t>42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67</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39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64</w:t>
            </w:r>
          </w:p>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61</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F650A4" w:rsidP="000E33CA">
            <w:pPr>
              <w:pStyle w:val="Tabletext0beforeafter-centred"/>
              <w:rPr>
                <w:lang w:val="en-AU"/>
              </w:rPr>
            </w:pPr>
            <w:r w:rsidRPr="003408A6">
              <w:rPr>
                <w:lang w:val="en-AU"/>
              </w:rPr>
              <w:t>6</w:t>
            </w:r>
            <w:r w:rsidR="005268C7">
              <w:rPr>
                <w:lang w:val="en-AU"/>
              </w:rPr>
              <w:t>0</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32</w:t>
            </w:r>
          </w:p>
          <w:p w:rsidR="00F650A4" w:rsidRPr="003408A6" w:rsidRDefault="005268C7" w:rsidP="000E33CA">
            <w:pPr>
              <w:pStyle w:val="Tabletext0beforeafter-centred"/>
              <w:rPr>
                <w:lang w:val="en-AU"/>
              </w:rPr>
            </w:pPr>
            <w:r>
              <w:rPr>
                <w:lang w:val="en-AU"/>
              </w:rPr>
              <w:t>26</w:t>
            </w:r>
          </w:p>
          <w:p w:rsidR="00F650A4" w:rsidRPr="003408A6" w:rsidRDefault="005268C7" w:rsidP="000E33CA">
            <w:pPr>
              <w:pStyle w:val="Tabletext0beforeafter-centred"/>
              <w:rPr>
                <w:lang w:val="en-AU"/>
              </w:rPr>
            </w:pPr>
            <w:r>
              <w:rPr>
                <w:lang w:val="en-AU"/>
              </w:rPr>
              <w:t>18</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34</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TAS</w:t>
            </w:r>
          </w:p>
          <w:p w:rsidR="00F650A4" w:rsidRPr="003408A6" w:rsidRDefault="00F650A4" w:rsidP="005422C0">
            <w:pPr>
              <w:pStyle w:val="Tabletext0beforeafter"/>
              <w:rPr>
                <w:lang w:val="en-AU"/>
              </w:rPr>
            </w:pPr>
            <w:r w:rsidRPr="003408A6">
              <w:rPr>
                <w:lang w:val="en-AU"/>
              </w:rPr>
              <w:t>N=37,326</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65</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63</w:t>
            </w:r>
          </w:p>
          <w:p w:rsidR="00F650A4" w:rsidRPr="003408A6" w:rsidRDefault="005268C7" w:rsidP="000E33CA">
            <w:pPr>
              <w:pStyle w:val="Tabletext0beforeafter-centred"/>
              <w:rPr>
                <w:lang w:val="en-AU"/>
              </w:rPr>
            </w:pPr>
            <w:r>
              <w:rPr>
                <w:lang w:val="en-AU"/>
              </w:rPr>
              <w:t>51</w:t>
            </w:r>
          </w:p>
          <w:p w:rsidR="00F650A4" w:rsidRPr="003408A6" w:rsidRDefault="005268C7" w:rsidP="000E33CA">
            <w:pPr>
              <w:pStyle w:val="Tabletext0beforeafter-centred"/>
              <w:rPr>
                <w:lang w:val="en-AU"/>
              </w:rPr>
            </w:pPr>
            <w:r>
              <w:rPr>
                <w:lang w:val="en-AU"/>
              </w:rPr>
              <w:t>38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57</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54</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40</w:t>
            </w:r>
          </w:p>
          <w:p w:rsidR="00F650A4" w:rsidRPr="003408A6" w:rsidRDefault="005268C7" w:rsidP="000E33CA">
            <w:pPr>
              <w:pStyle w:val="Tabletext0beforeafter-centred"/>
              <w:rPr>
                <w:lang w:val="en-AU"/>
              </w:rPr>
            </w:pPr>
            <w:r>
              <w:rPr>
                <w:lang w:val="en-AU"/>
              </w:rPr>
              <w:t>30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31</w:t>
            </w:r>
          </w:p>
          <w:p w:rsidR="00F650A4" w:rsidRPr="003408A6" w:rsidRDefault="005268C7" w:rsidP="000E33CA">
            <w:pPr>
              <w:pStyle w:val="Tabletext0beforeafter-centred"/>
              <w:rPr>
                <w:lang w:val="en-AU"/>
              </w:rPr>
            </w:pPr>
            <w:r>
              <w:rPr>
                <w:lang w:val="en-AU"/>
              </w:rPr>
              <w:t>25</w:t>
            </w:r>
          </w:p>
          <w:p w:rsidR="00F650A4" w:rsidRPr="003408A6" w:rsidRDefault="005268C7" w:rsidP="000E33CA">
            <w:pPr>
              <w:pStyle w:val="Tabletext0beforeafter-centred"/>
              <w:rPr>
                <w:lang w:val="en-AU"/>
              </w:rPr>
            </w:pPr>
            <w:r>
              <w:rPr>
                <w:lang w:val="en-AU"/>
              </w:rPr>
              <w:t>18</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46</w:t>
            </w:r>
          </w:p>
          <w:p w:rsidR="00F650A4" w:rsidRPr="003408A6" w:rsidRDefault="005268C7" w:rsidP="000E33CA">
            <w:pPr>
              <w:pStyle w:val="Tabletext0beforeafter-centred"/>
              <w:rPr>
                <w:lang w:val="en-AU"/>
              </w:rPr>
            </w:pPr>
            <w:r>
              <w:rPr>
                <w:lang w:val="en-AU"/>
              </w:rPr>
              <w:t>34</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VIC</w:t>
            </w:r>
          </w:p>
          <w:p w:rsidR="00F650A4" w:rsidRPr="003408A6" w:rsidRDefault="00F650A4" w:rsidP="005422C0">
            <w:pPr>
              <w:pStyle w:val="Tabletext0beforeafter"/>
              <w:rPr>
                <w:lang w:val="en-AU"/>
              </w:rPr>
            </w:pPr>
            <w:r w:rsidRPr="003408A6">
              <w:rPr>
                <w:lang w:val="en-AU"/>
              </w:rPr>
              <w:t>N=470,004</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70</w:t>
            </w:r>
          </w:p>
          <w:p w:rsidR="00F650A4" w:rsidRPr="003408A6" w:rsidRDefault="005268C7" w:rsidP="000E33CA">
            <w:pPr>
              <w:pStyle w:val="Tabletext0beforeafter-centred"/>
              <w:rPr>
                <w:lang w:val="en-AU"/>
              </w:rPr>
            </w:pPr>
            <w:r>
              <w:rPr>
                <w:lang w:val="en-AU"/>
              </w:rPr>
              <w:t>61</w:t>
            </w:r>
          </w:p>
          <w:p w:rsidR="00F650A4" w:rsidRPr="003408A6" w:rsidRDefault="005268C7" w:rsidP="000E33CA">
            <w:pPr>
              <w:pStyle w:val="Tabletext0beforeafter-centred"/>
              <w:rPr>
                <w:lang w:val="en-AU"/>
              </w:rPr>
            </w:pPr>
            <w:r>
              <w:rPr>
                <w:lang w:val="en-AU"/>
              </w:rPr>
              <w:t>49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63</w:t>
            </w:r>
          </w:p>
          <w:p w:rsidR="00F650A4" w:rsidRPr="003408A6" w:rsidRDefault="00F650A4" w:rsidP="000E33CA">
            <w:pPr>
              <w:pStyle w:val="Tabletext0beforeafter-centred"/>
              <w:rPr>
                <w:lang w:val="en-AU"/>
              </w:rPr>
            </w:pPr>
            <w:r w:rsidRPr="003408A6">
              <w:rPr>
                <w:lang w:val="en-AU"/>
              </w:rPr>
              <w:t>53</w:t>
            </w:r>
          </w:p>
          <w:p w:rsidR="00F650A4" w:rsidRPr="003408A6" w:rsidRDefault="005268C7" w:rsidP="000E33CA">
            <w:pPr>
              <w:pStyle w:val="Tabletext0beforeafter-centred"/>
              <w:rPr>
                <w:lang w:val="en-AU"/>
              </w:rPr>
            </w:pPr>
            <w:r>
              <w:rPr>
                <w:lang w:val="en-AU"/>
              </w:rPr>
              <w:t>41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62</w:t>
            </w:r>
          </w:p>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39</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60</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37</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44</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35</w:t>
            </w:r>
          </w:p>
          <w:p w:rsidR="00F650A4" w:rsidRPr="003408A6" w:rsidRDefault="005268C7" w:rsidP="000E33CA">
            <w:pPr>
              <w:pStyle w:val="Tabletext0beforeafter-centred"/>
              <w:rPr>
                <w:lang w:val="en-AU"/>
              </w:rPr>
            </w:pPr>
            <w:r>
              <w:rPr>
                <w:lang w:val="en-AU"/>
              </w:rPr>
              <w:t>29</w:t>
            </w:r>
          </w:p>
          <w:p w:rsidR="00F650A4" w:rsidRPr="003408A6" w:rsidRDefault="005268C7" w:rsidP="000E33CA">
            <w:pPr>
              <w:pStyle w:val="Tabletext0beforeafter-centred"/>
              <w:rPr>
                <w:lang w:val="en-AU"/>
              </w:rPr>
            </w:pPr>
            <w:r>
              <w:rPr>
                <w:lang w:val="en-AU"/>
              </w:rPr>
              <w:t>23</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48</w:t>
            </w:r>
          </w:p>
          <w:p w:rsidR="00F650A4" w:rsidRPr="003408A6" w:rsidRDefault="005268C7" w:rsidP="000E33CA">
            <w:pPr>
              <w:pStyle w:val="Tabletext0beforeafter-centred"/>
              <w:rPr>
                <w:lang w:val="en-AU"/>
              </w:rPr>
            </w:pPr>
            <w:r>
              <w:rPr>
                <w:lang w:val="en-AU"/>
              </w:rPr>
              <w:t>37</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WA</w:t>
            </w:r>
          </w:p>
          <w:p w:rsidR="00F650A4" w:rsidRPr="003408A6" w:rsidRDefault="00F650A4" w:rsidP="005422C0">
            <w:pPr>
              <w:pStyle w:val="Tabletext0beforeafter"/>
              <w:rPr>
                <w:lang w:val="en-AU"/>
              </w:rPr>
            </w:pPr>
            <w:r w:rsidRPr="003408A6">
              <w:rPr>
                <w:lang w:val="en-AU"/>
              </w:rPr>
              <w:t>N=155,461</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35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46</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44</w:t>
            </w:r>
          </w:p>
          <w:p w:rsidR="00F650A4" w:rsidRPr="003408A6" w:rsidRDefault="005268C7" w:rsidP="000E33CA">
            <w:pPr>
              <w:pStyle w:val="Tabletext0beforeafter-centred"/>
              <w:rPr>
                <w:lang w:val="en-AU"/>
              </w:rPr>
            </w:pPr>
            <w:r>
              <w:rPr>
                <w:lang w:val="en-AU"/>
              </w:rPr>
              <w:t>32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54</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53</w:t>
            </w:r>
          </w:p>
          <w:p w:rsidR="00F650A4" w:rsidRPr="003408A6" w:rsidRDefault="005268C7" w:rsidP="000E33CA">
            <w:pPr>
              <w:pStyle w:val="Tabletext0beforeafter-centred"/>
              <w:rPr>
                <w:lang w:val="en-AU"/>
              </w:rPr>
            </w:pPr>
            <w:r>
              <w:rPr>
                <w:lang w:val="en-AU"/>
              </w:rPr>
              <w:t>43</w:t>
            </w:r>
          </w:p>
          <w:p w:rsidR="00F650A4" w:rsidRPr="003408A6" w:rsidRDefault="005268C7" w:rsidP="000E33CA">
            <w:pPr>
              <w:pStyle w:val="Tabletext0beforeafter-centred"/>
              <w:rPr>
                <w:lang w:val="en-AU"/>
              </w:rPr>
            </w:pPr>
            <w:r>
              <w:rPr>
                <w:lang w:val="en-AU"/>
              </w:rPr>
              <w:t>31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52</w:t>
            </w:r>
          </w:p>
          <w:p w:rsidR="00F650A4" w:rsidRPr="003408A6" w:rsidRDefault="005268C7" w:rsidP="000E33CA">
            <w:pPr>
              <w:pStyle w:val="Tabletext0beforeafter-centred"/>
              <w:rPr>
                <w:lang w:val="en-AU"/>
              </w:rPr>
            </w:pPr>
            <w:r>
              <w:rPr>
                <w:lang w:val="en-AU"/>
              </w:rPr>
              <w:t>41</w:t>
            </w:r>
          </w:p>
          <w:p w:rsidR="00F650A4" w:rsidRPr="003408A6" w:rsidRDefault="005268C7" w:rsidP="000E33CA">
            <w:pPr>
              <w:pStyle w:val="Tabletext0beforeafter-centred"/>
              <w:rPr>
                <w:lang w:val="en-AU"/>
              </w:rPr>
            </w:pPr>
            <w:r>
              <w:rPr>
                <w:lang w:val="en-AU"/>
              </w:rPr>
              <w:t>30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51</w:t>
            </w:r>
          </w:p>
          <w:p w:rsidR="00F650A4" w:rsidRPr="003408A6" w:rsidRDefault="005268C7" w:rsidP="000E33CA">
            <w:pPr>
              <w:pStyle w:val="Tabletext0beforeafter-centred"/>
              <w:rPr>
                <w:lang w:val="en-AU"/>
              </w:rPr>
            </w:pPr>
            <w:r>
              <w:rPr>
                <w:lang w:val="en-AU"/>
              </w:rPr>
              <w:t>41</w:t>
            </w:r>
          </w:p>
          <w:p w:rsidR="00F650A4" w:rsidRPr="003408A6" w:rsidRDefault="005268C7" w:rsidP="000E33CA">
            <w:pPr>
              <w:pStyle w:val="Tabletext0beforeafter-centred"/>
              <w:rPr>
                <w:lang w:val="en-AU"/>
              </w:rPr>
            </w:pPr>
            <w:r>
              <w:rPr>
                <w:lang w:val="en-AU"/>
              </w:rPr>
              <w:t>30</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41</w:t>
            </w:r>
          </w:p>
          <w:p w:rsidR="00F650A4" w:rsidRPr="003408A6" w:rsidRDefault="005268C7" w:rsidP="000E33CA">
            <w:pPr>
              <w:pStyle w:val="Tabletext0beforeafter-centred"/>
              <w:rPr>
                <w:lang w:val="en-AU"/>
              </w:rPr>
            </w:pPr>
            <w:r>
              <w:rPr>
                <w:lang w:val="en-AU"/>
              </w:rPr>
              <w:t>33</w:t>
            </w:r>
          </w:p>
          <w:p w:rsidR="00F650A4" w:rsidRPr="003408A6" w:rsidRDefault="005268C7" w:rsidP="000E33CA">
            <w:pPr>
              <w:pStyle w:val="Tabletext0beforeafter-centred"/>
              <w:rPr>
                <w:lang w:val="en-AU"/>
              </w:rPr>
            </w:pPr>
            <w:r>
              <w:rPr>
                <w:lang w:val="en-AU"/>
              </w:rPr>
              <w:t>25</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25</w:t>
            </w:r>
          </w:p>
          <w:p w:rsidR="00F650A4" w:rsidRPr="003408A6" w:rsidRDefault="005268C7" w:rsidP="000E33CA">
            <w:pPr>
              <w:pStyle w:val="Tabletext0beforeafter-centred"/>
              <w:rPr>
                <w:lang w:val="en-AU"/>
              </w:rPr>
            </w:pPr>
            <w:r>
              <w:rPr>
                <w:lang w:val="en-AU"/>
              </w:rPr>
              <w:t>20</w:t>
            </w:r>
          </w:p>
          <w:p w:rsidR="00F650A4" w:rsidRPr="003408A6" w:rsidRDefault="005268C7" w:rsidP="000E33CA">
            <w:pPr>
              <w:pStyle w:val="Tabletext0beforeafter-centred"/>
              <w:rPr>
                <w:lang w:val="en-AU"/>
              </w:rPr>
            </w:pPr>
            <w:r>
              <w:rPr>
                <w:lang w:val="en-AU"/>
              </w:rPr>
              <w:t>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40</w:t>
            </w:r>
          </w:p>
          <w:p w:rsidR="00F650A4" w:rsidRPr="003408A6" w:rsidRDefault="005268C7" w:rsidP="000E33CA">
            <w:pPr>
              <w:pStyle w:val="Tabletext0beforeafter-centred"/>
              <w:rPr>
                <w:lang w:val="en-AU"/>
              </w:rPr>
            </w:pPr>
            <w:r>
              <w:rPr>
                <w:lang w:val="en-AU"/>
              </w:rPr>
              <w:t>30</w:t>
            </w:r>
          </w:p>
        </w:tc>
      </w:tr>
      <w:tr w:rsidR="00F650A4" w:rsidRPr="003408A6" w:rsidTr="007F3E97">
        <w:trPr>
          <w:trHeight w:val="675"/>
        </w:trPr>
        <w:tc>
          <w:tcPr>
            <w:tcW w:w="2108" w:type="dxa"/>
            <w:tcBorders>
              <w:top w:val="single" w:sz="8" w:space="0" w:color="auto"/>
              <w:left w:val="single" w:sz="8" w:space="0" w:color="auto"/>
              <w:bottom w:val="single" w:sz="8" w:space="0" w:color="auto"/>
              <w:right w:val="nil"/>
            </w:tcBorders>
            <w:vAlign w:val="center"/>
            <w:hideMark/>
          </w:tcPr>
          <w:p w:rsidR="00F650A4" w:rsidRPr="003408A6" w:rsidRDefault="00F650A4" w:rsidP="005422C0">
            <w:pPr>
              <w:pStyle w:val="Tabletext0beforeafter"/>
              <w:rPr>
                <w:lang w:val="en-AU"/>
              </w:rPr>
            </w:pPr>
            <w:r w:rsidRPr="003408A6">
              <w:rPr>
                <w:lang w:val="en-AU"/>
              </w:rPr>
              <w:t>National</w:t>
            </w:r>
          </w:p>
          <w:p w:rsidR="00F650A4" w:rsidRPr="003408A6" w:rsidRDefault="00F650A4" w:rsidP="005422C0">
            <w:pPr>
              <w:pStyle w:val="Tabletext0beforeafter"/>
              <w:rPr>
                <w:lang w:val="en-AU"/>
              </w:rPr>
            </w:pPr>
            <w:r w:rsidRPr="003408A6">
              <w:rPr>
                <w:lang w:val="en-AU"/>
              </w:rPr>
              <w:t>N=1,718,494</w:t>
            </w:r>
          </w:p>
        </w:tc>
        <w:tc>
          <w:tcPr>
            <w:tcW w:w="1181" w:type="dxa"/>
            <w:tcBorders>
              <w:top w:val="single" w:sz="8" w:space="0" w:color="auto"/>
              <w:left w:val="single" w:sz="8" w:space="0" w:color="auto"/>
              <w:bottom w:val="single" w:sz="8" w:space="0" w:color="auto"/>
              <w:right w:val="single" w:sz="8" w:space="0" w:color="auto"/>
            </w:tcBorders>
            <w:hideMark/>
          </w:tcPr>
          <w:p w:rsidR="00F650A4" w:rsidRPr="003408A6" w:rsidRDefault="00F650A4" w:rsidP="000E33CA">
            <w:pPr>
              <w:pStyle w:val="Tabletext0beforeafter-centred"/>
              <w:rPr>
                <w:lang w:val="en-AU"/>
              </w:rPr>
            </w:pPr>
            <w:r w:rsidRPr="003408A6">
              <w:rPr>
                <w:lang w:val="en-AU"/>
              </w:rPr>
              <w:t>D1</w:t>
            </w:r>
          </w:p>
          <w:p w:rsidR="00F650A4" w:rsidRPr="003408A6" w:rsidRDefault="00F650A4" w:rsidP="000E33CA">
            <w:pPr>
              <w:pStyle w:val="Tabletext0beforeafter-centred"/>
              <w:rPr>
                <w:lang w:val="en-AU"/>
              </w:rPr>
            </w:pPr>
            <w:r w:rsidRPr="003408A6">
              <w:rPr>
                <w:lang w:val="en-AU"/>
              </w:rPr>
              <w:t>D2</w:t>
            </w:r>
          </w:p>
          <w:p w:rsidR="00F650A4" w:rsidRPr="003408A6" w:rsidRDefault="00F650A4" w:rsidP="000E33CA">
            <w:pPr>
              <w:pStyle w:val="Tabletext0beforeafter-centred"/>
              <w:rPr>
                <w:lang w:val="en-AU"/>
              </w:rPr>
            </w:pPr>
            <w:r w:rsidRPr="003408A6">
              <w:rPr>
                <w:lang w:val="en-AU"/>
              </w:rPr>
              <w:t>D3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67</w:t>
            </w:r>
          </w:p>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41</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62</w:t>
            </w:r>
          </w:p>
          <w:p w:rsidR="00F650A4" w:rsidRPr="003408A6" w:rsidRDefault="005268C7" w:rsidP="000E33CA">
            <w:pPr>
              <w:pStyle w:val="Tabletext0beforeafter-centred"/>
              <w:rPr>
                <w:lang w:val="en-AU"/>
              </w:rPr>
            </w:pPr>
            <w:r>
              <w:rPr>
                <w:lang w:val="en-AU"/>
              </w:rPr>
              <w:t>50</w:t>
            </w:r>
          </w:p>
          <w:p w:rsidR="00F650A4" w:rsidRPr="003408A6" w:rsidRDefault="005268C7" w:rsidP="000E33CA">
            <w:pPr>
              <w:pStyle w:val="Tabletext0beforeafter-centred"/>
              <w:rPr>
                <w:lang w:val="en-AU"/>
              </w:rPr>
            </w:pPr>
            <w:r>
              <w:rPr>
                <w:lang w:val="en-AU"/>
              </w:rPr>
              <w:t>36</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61</w:t>
            </w:r>
          </w:p>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34</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59</w:t>
            </w:r>
          </w:p>
          <w:p w:rsidR="00F650A4" w:rsidRPr="003408A6" w:rsidRDefault="005268C7" w:rsidP="000E33CA">
            <w:pPr>
              <w:pStyle w:val="Tabletext0beforeafter-centred"/>
              <w:rPr>
                <w:lang w:val="en-AU"/>
              </w:rPr>
            </w:pPr>
            <w:r>
              <w:rPr>
                <w:lang w:val="en-AU"/>
              </w:rPr>
              <w:t>47</w:t>
            </w:r>
          </w:p>
          <w:p w:rsidR="00F650A4" w:rsidRPr="003408A6" w:rsidRDefault="005268C7" w:rsidP="000E33CA">
            <w:pPr>
              <w:pStyle w:val="Tabletext0beforeafter-centred"/>
              <w:rPr>
                <w:lang w:val="en-AU"/>
              </w:rPr>
            </w:pPr>
            <w:r>
              <w:rPr>
                <w:lang w:val="en-AU"/>
              </w:rPr>
              <w:t>33</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58</w:t>
            </w:r>
          </w:p>
          <w:p w:rsidR="00F650A4" w:rsidRPr="003408A6" w:rsidRDefault="005268C7" w:rsidP="000E33CA">
            <w:pPr>
              <w:pStyle w:val="Tabletext0beforeafter-centred"/>
              <w:rPr>
                <w:lang w:val="en-AU"/>
              </w:rPr>
            </w:pPr>
            <w:r>
              <w:rPr>
                <w:lang w:val="en-AU"/>
              </w:rPr>
              <w:t>46</w:t>
            </w:r>
          </w:p>
          <w:p w:rsidR="00F650A4" w:rsidRPr="003408A6" w:rsidRDefault="005268C7" w:rsidP="000E33CA">
            <w:pPr>
              <w:pStyle w:val="Tabletext0beforeafter-centred"/>
              <w:rPr>
                <w:lang w:val="en-AU"/>
              </w:rPr>
            </w:pPr>
            <w:r>
              <w:rPr>
                <w:lang w:val="en-AU"/>
              </w:rPr>
              <w:t>32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57</w:t>
            </w:r>
          </w:p>
          <w:p w:rsidR="00F650A4" w:rsidRPr="003408A6" w:rsidRDefault="005268C7" w:rsidP="000E33CA">
            <w:pPr>
              <w:pStyle w:val="Tabletext0beforeafter-centred"/>
              <w:rPr>
                <w:lang w:val="en-AU"/>
              </w:rPr>
            </w:pPr>
            <w:r>
              <w:rPr>
                <w:lang w:val="en-AU"/>
              </w:rPr>
              <w:t>46</w:t>
            </w:r>
          </w:p>
          <w:p w:rsidR="00F650A4" w:rsidRPr="003408A6" w:rsidRDefault="005268C7" w:rsidP="000E33CA">
            <w:pPr>
              <w:pStyle w:val="Tabletext0beforeafter-centred"/>
              <w:rPr>
                <w:lang w:val="en-AU"/>
              </w:rPr>
            </w:pPr>
            <w:r>
              <w:rPr>
                <w:lang w:val="en-AU"/>
              </w:rPr>
              <w:t>32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56</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32</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49</w:t>
            </w:r>
          </w:p>
          <w:p w:rsidR="00F650A4" w:rsidRPr="003408A6" w:rsidRDefault="005268C7" w:rsidP="000E33CA">
            <w:pPr>
              <w:pStyle w:val="Tabletext0beforeafter-centred"/>
              <w:rPr>
                <w:lang w:val="en-AU"/>
              </w:rPr>
            </w:pPr>
            <w:r>
              <w:rPr>
                <w:lang w:val="en-AU"/>
              </w:rPr>
              <w:t>40</w:t>
            </w:r>
          </w:p>
          <w:p w:rsidR="00F650A4" w:rsidRPr="003408A6" w:rsidRDefault="005268C7" w:rsidP="000E33CA">
            <w:pPr>
              <w:pStyle w:val="Tabletext0beforeafter-centred"/>
              <w:rPr>
                <w:lang w:val="en-AU"/>
              </w:rPr>
            </w:pPr>
            <w:r>
              <w:rPr>
                <w:lang w:val="en-AU"/>
              </w:rPr>
              <w:t>28</w:t>
            </w:r>
          </w:p>
        </w:tc>
        <w:tc>
          <w:tcPr>
            <w:tcW w:w="1134" w:type="dxa"/>
            <w:tcBorders>
              <w:top w:val="single" w:sz="8" w:space="0" w:color="auto"/>
              <w:left w:val="single" w:sz="8" w:space="0" w:color="auto"/>
              <w:bottom w:val="single" w:sz="8" w:space="0" w:color="auto"/>
              <w:right w:val="nil"/>
            </w:tcBorders>
            <w:vAlign w:val="center"/>
            <w:hideMark/>
          </w:tcPr>
          <w:p w:rsidR="00F650A4" w:rsidRPr="003408A6" w:rsidRDefault="005268C7" w:rsidP="000E33CA">
            <w:pPr>
              <w:pStyle w:val="Tabletext0beforeafter-centred"/>
              <w:rPr>
                <w:lang w:val="en-AU"/>
              </w:rPr>
            </w:pPr>
            <w:r>
              <w:rPr>
                <w:lang w:val="en-AU"/>
              </w:rPr>
              <w:t>30</w:t>
            </w:r>
          </w:p>
          <w:p w:rsidR="00F650A4" w:rsidRPr="003408A6" w:rsidRDefault="005268C7" w:rsidP="000E33CA">
            <w:pPr>
              <w:pStyle w:val="Tabletext0beforeafter-centred"/>
              <w:rPr>
                <w:lang w:val="en-AU"/>
              </w:rPr>
            </w:pPr>
            <w:r>
              <w:rPr>
                <w:lang w:val="en-AU"/>
              </w:rPr>
              <w:t>24</w:t>
            </w:r>
          </w:p>
          <w:p w:rsidR="00F650A4" w:rsidRPr="003408A6" w:rsidRDefault="005268C7" w:rsidP="000E33CA">
            <w:pPr>
              <w:pStyle w:val="Tabletext0beforeafter-centred"/>
              <w:rPr>
                <w:lang w:val="en-AU"/>
              </w:rPr>
            </w:pPr>
            <w:r>
              <w:rPr>
                <w:lang w:val="en-AU"/>
              </w:rPr>
              <w:t>17</w:t>
            </w:r>
          </w:p>
        </w:tc>
        <w:tc>
          <w:tcPr>
            <w:tcW w:w="1134" w:type="dxa"/>
            <w:tcBorders>
              <w:top w:val="single" w:sz="8" w:space="0" w:color="auto"/>
              <w:left w:val="single" w:sz="8" w:space="0" w:color="auto"/>
              <w:bottom w:val="single" w:sz="8" w:space="0" w:color="auto"/>
              <w:right w:val="single" w:sz="8" w:space="0" w:color="auto"/>
            </w:tcBorders>
            <w:vAlign w:val="center"/>
            <w:hideMark/>
          </w:tcPr>
          <w:p w:rsidR="00F650A4" w:rsidRPr="003408A6" w:rsidRDefault="005268C7" w:rsidP="000E33CA">
            <w:pPr>
              <w:pStyle w:val="Tabletext0beforeafter-centred"/>
              <w:rPr>
                <w:lang w:val="en-AU"/>
              </w:rPr>
            </w:pPr>
            <w:r>
              <w:rPr>
                <w:lang w:val="en-AU"/>
              </w:rPr>
              <w:t>55</w:t>
            </w:r>
          </w:p>
          <w:p w:rsidR="00F650A4" w:rsidRPr="003408A6" w:rsidRDefault="005268C7" w:rsidP="000E33CA">
            <w:pPr>
              <w:pStyle w:val="Tabletext0beforeafter-centred"/>
              <w:rPr>
                <w:lang w:val="en-AU"/>
              </w:rPr>
            </w:pPr>
            <w:r>
              <w:rPr>
                <w:lang w:val="en-AU"/>
              </w:rPr>
              <w:t>45</w:t>
            </w:r>
          </w:p>
          <w:p w:rsidR="00F650A4" w:rsidRPr="003408A6" w:rsidRDefault="005268C7" w:rsidP="000E33CA">
            <w:pPr>
              <w:pStyle w:val="Tabletext0beforeafter-centred"/>
              <w:rPr>
                <w:lang w:val="en-AU"/>
              </w:rPr>
            </w:pPr>
            <w:r>
              <w:rPr>
                <w:lang w:val="en-AU"/>
              </w:rPr>
              <w:t>32</w:t>
            </w:r>
          </w:p>
        </w:tc>
      </w:tr>
    </w:tbl>
    <w:p w:rsidR="00F650A4" w:rsidRDefault="00D34AB6" w:rsidP="00F07DC6">
      <w:pPr>
        <w:pStyle w:val="Tablefootnote"/>
        <w:rPr>
          <w:rFonts w:eastAsia="Calibri"/>
          <w:lang w:eastAsia="en-US"/>
        </w:rPr>
      </w:pPr>
      <w:r>
        <w:rPr>
          <w:rFonts w:eastAsia="Calibri"/>
        </w:rPr>
        <w:t>*</w:t>
      </w:r>
      <w:r>
        <w:rPr>
          <w:rFonts w:eastAsia="Calibri"/>
        </w:rPr>
        <w:tab/>
      </w:r>
      <w:r w:rsidRPr="003408A6">
        <w:rPr>
          <w:rFonts w:eastAsia="Calibri"/>
          <w:lang w:eastAsia="en-US"/>
        </w:rPr>
        <w:t xml:space="preserve">As notified to the NHVPR </w:t>
      </w:r>
      <w:r w:rsidRPr="003408A6">
        <w:rPr>
          <w:rFonts w:eastAsia="Calibri"/>
        </w:rPr>
        <w:t>at 22 March 2011</w:t>
      </w:r>
      <w:r>
        <w:rPr>
          <w:rFonts w:eastAsia="Calibri"/>
        </w:rPr>
        <w:t>.</w:t>
      </w:r>
    </w:p>
    <w:p w:rsidR="00D34AB6" w:rsidRDefault="00D34AB6" w:rsidP="00F650A4">
      <w:pPr>
        <w:spacing w:line="360" w:lineRule="auto"/>
        <w:rPr>
          <w:rFonts w:eastAsia="Calibri" w:cs="Arial"/>
          <w:szCs w:val="22"/>
          <w:lang w:eastAsia="en-US"/>
        </w:rPr>
      </w:pPr>
    </w:p>
    <w:p w:rsidR="00D34AB6" w:rsidRPr="003408A6" w:rsidRDefault="00D34AB6" w:rsidP="00F650A4">
      <w:pPr>
        <w:spacing w:line="360" w:lineRule="auto"/>
        <w:rPr>
          <w:rFonts w:eastAsia="Calibri" w:cs="Arial"/>
          <w:szCs w:val="22"/>
          <w:lang w:eastAsia="en-US"/>
        </w:rPr>
        <w:sectPr w:rsidR="00D34AB6" w:rsidRPr="003408A6" w:rsidSect="00D07C02">
          <w:pgSz w:w="16838" w:h="11906" w:orient="landscape"/>
          <w:pgMar w:top="720" w:right="720" w:bottom="720" w:left="720" w:header="709" w:footer="709" w:gutter="0"/>
          <w:cols w:space="720"/>
        </w:sectPr>
      </w:pPr>
    </w:p>
    <w:p w:rsidR="00F650A4" w:rsidRPr="003408A6" w:rsidRDefault="00F650A4" w:rsidP="009821B4">
      <w:pPr>
        <w:pStyle w:val="Heading3"/>
        <w:rPr>
          <w:rFonts w:eastAsia="Calibri"/>
          <w:lang w:eastAsia="en-US"/>
        </w:rPr>
      </w:pPr>
      <w:r w:rsidRPr="003408A6">
        <w:rPr>
          <w:rFonts w:eastAsia="Calibri"/>
          <w:lang w:eastAsia="en-US"/>
        </w:rPr>
        <w:t xml:space="preserve">Coverage by remoteness </w:t>
      </w:r>
    </w:p>
    <w:p w:rsidR="00F650A4" w:rsidRPr="003408A6" w:rsidRDefault="00F650A4" w:rsidP="000E33CA">
      <w:pPr>
        <w:pStyle w:val="BodyText"/>
        <w:rPr>
          <w:rFonts w:eastAsia="Calibri"/>
          <w:lang w:val="en-AU"/>
        </w:rPr>
      </w:pPr>
      <w:r w:rsidRPr="003408A6">
        <w:rPr>
          <w:rFonts w:eastAsia="Calibri"/>
          <w:lang w:val="en-AU"/>
        </w:rPr>
        <w:t>As reported in Barbaro and Brotherton</w:t>
      </w:r>
      <w:r w:rsidR="00413B61" w:rsidRPr="003408A6">
        <w:rPr>
          <w:rFonts w:eastAsia="Calibri"/>
          <w:lang w:val="en-AU"/>
        </w:rPr>
        <w:t>,</w:t>
      </w:r>
      <w:hyperlink w:anchor="_ENREF_40" w:tooltip="Barbaro, 2014 #1298" w:history="1">
        <w:r w:rsidR="00F27F90" w:rsidRPr="003408A6">
          <w:rPr>
            <w:rFonts w:eastAsia="Calibri"/>
            <w:lang w:val="en-AU"/>
          </w:rPr>
          <w:fldChar w:fldCharType="begin"/>
        </w:r>
        <w:r w:rsidR="00F27F90">
          <w:rPr>
            <w:rFonts w:eastAsia="Calibri"/>
            <w:lang w:val="en-AU"/>
          </w:rPr>
          <w:instrText xml:space="preserve"> ADDIN EN.CITE &lt;EndNote&gt;&lt;Cite&gt;&lt;Author&gt;Barbaro&lt;/Author&gt;&lt;Year&gt;2014&lt;/Year&gt;&lt;RecNum&gt;1298&lt;/RecNum&gt;&lt;DisplayText&gt;&lt;style face="superscript"&gt;40&lt;/style&gt;&lt;/DisplayText&gt;&lt;record&gt;&lt;rec-number&gt;1298&lt;/rec-number&gt;&lt;foreign-keys&gt;&lt;key app="EN" db-id="dda0wweazfww9besetpx2r5pt0asp9ztvs95"&gt;1298&lt;/key&gt;&lt;/foreign-keys&gt;&lt;ref-type name="Journal Article"&gt;17&lt;/ref-type&gt;&lt;contributors&gt;&lt;authors&gt;&lt;author&gt;Barbaro, B.&lt;/author&gt;&lt;author&gt;Brotherton, J.M.L. &lt;/author&gt;&lt;/authors&gt;&lt;/contributors&gt;&lt;titles&gt;&lt;title&gt;Assessing HPV vaccine coverage in Australia by geography and socioeconomic status: are we protecting those most at risk?&lt;/title&gt;&lt;secondary-title&gt;Australian and New Zealand Journal of Public Health&lt;/secondary-title&gt;&lt;/titles&gt;&lt;periodical&gt;&lt;full-title&gt;Australian and New Zealand Journal of Public Health&lt;/full-title&gt;&lt;abbr-1&gt;Aust. N. Z. J. Public Health&lt;/abbr-1&gt;&lt;abbr-2&gt;Aust N Z J Public Health&lt;/abbr-2&gt;&lt;abbr-3&gt;Australian &amp;amp; New Zealand Journal of Public Health&lt;/abbr-3&gt;&lt;/periodical&gt;&lt;pages&gt; [Epub ahead of print] doi: 10.1111/1753-6405.12218&lt;/pages&gt;&lt;volume&gt; Jun 24&lt;/volume&gt;&lt;dates&gt;&lt;year&gt;2014&lt;/year&gt;&lt;/dates&gt;&lt;urls&gt;&lt;/urls&gt;&lt;/record&gt;&lt;/Cite&gt;&lt;/EndNote&gt;</w:instrText>
        </w:r>
        <w:r w:rsidR="00F27F90" w:rsidRPr="003408A6">
          <w:rPr>
            <w:rFonts w:eastAsia="Calibri"/>
            <w:lang w:val="en-AU"/>
          </w:rPr>
          <w:fldChar w:fldCharType="separate"/>
        </w:r>
        <w:r w:rsidR="00F27F90" w:rsidRPr="003408A6">
          <w:rPr>
            <w:rFonts w:eastAsia="Calibri"/>
            <w:noProof/>
            <w:vertAlign w:val="superscript"/>
            <w:lang w:val="en-AU"/>
          </w:rPr>
          <w:t>40</w:t>
        </w:r>
        <w:r w:rsidR="00F27F90" w:rsidRPr="003408A6">
          <w:rPr>
            <w:rFonts w:eastAsia="Calibri"/>
            <w:lang w:val="en-AU"/>
          </w:rPr>
          <w:fldChar w:fldCharType="end"/>
        </w:r>
      </w:hyperlink>
      <w:r w:rsidRPr="003408A6">
        <w:rPr>
          <w:lang w:val="en-AU"/>
        </w:rPr>
        <w:t xml:space="preserve"> </w:t>
      </w:r>
      <w:r w:rsidRPr="003408A6">
        <w:rPr>
          <w:rFonts w:eastAsia="Calibri"/>
          <w:lang w:val="en-AU"/>
        </w:rPr>
        <w:t>among females aged 12–13 years in 2007, coverage of the HPV vaccine was relatively uniformly spread across Australia’s major ci</w:t>
      </w:r>
      <w:r w:rsidR="005D540F">
        <w:rPr>
          <w:rFonts w:eastAsia="Calibri"/>
          <w:lang w:val="en-AU"/>
        </w:rPr>
        <w:t>ties, regional and remote areas</w:t>
      </w:r>
      <w:r w:rsidRPr="003408A6">
        <w:rPr>
          <w:rFonts w:eastAsia="Calibri"/>
          <w:lang w:val="en-AU"/>
        </w:rPr>
        <w:t xml:space="preserve"> for each dose received, although rates for 3 doses dropped off more markedly in the remote areas (</w:t>
      </w:r>
      <w:r w:rsidRPr="003408A6">
        <w:rPr>
          <w:rFonts w:eastAsia="Calibri"/>
          <w:b/>
          <w:lang w:val="en-AU"/>
        </w:rPr>
        <w:t>Table 3.3</w:t>
      </w:r>
      <w:r w:rsidRPr="003408A6">
        <w:rPr>
          <w:rFonts w:eastAsia="Calibri"/>
          <w:lang w:val="en-AU"/>
        </w:rPr>
        <w:t>). The rate for dose 1 coverage was highest in the very remote areas of Australia (88.5%), 5.1% higher than the rate in major cities (p&lt;0.001). Areas in the outer regional class had the lowest uptake</w:t>
      </w:r>
      <w:r w:rsidR="005D540F">
        <w:rPr>
          <w:rFonts w:eastAsia="Calibri"/>
          <w:lang w:val="en-AU"/>
        </w:rPr>
        <w:t xml:space="preserve"> rate at 82.4%. Similarly, for d</w:t>
      </w:r>
      <w:r w:rsidRPr="003408A6">
        <w:rPr>
          <w:rFonts w:eastAsia="Calibri"/>
          <w:lang w:val="en-AU"/>
        </w:rPr>
        <w:t>ose 2 the highest coverage rate was in the very remote class (81.8%), while the other four remoteness classes had similar rates (78.2% to 80.2%). The proportion fully vaccinated was highest in the major cities (73.6%) and was up to 3% lower across other remoteness classes to 71.4% in the Very Remote class (</w:t>
      </w:r>
      <w:r w:rsidR="00371FBC">
        <w:rPr>
          <w:rFonts w:eastAsia="Calibri"/>
          <w:lang w:val="en-AU"/>
        </w:rPr>
        <w:t>r</w:t>
      </w:r>
      <w:r w:rsidRPr="003408A6">
        <w:rPr>
          <w:rFonts w:eastAsia="Calibri"/>
          <w:lang w:val="en-AU"/>
        </w:rPr>
        <w:t xml:space="preserve">ate </w:t>
      </w:r>
      <w:r w:rsidR="00371FBC">
        <w:rPr>
          <w:rFonts w:eastAsia="Calibri"/>
          <w:lang w:val="en-AU"/>
        </w:rPr>
        <w:t>r</w:t>
      </w:r>
      <w:r w:rsidRPr="003408A6">
        <w:rPr>
          <w:rFonts w:eastAsia="Calibri"/>
          <w:lang w:val="en-AU"/>
        </w:rPr>
        <w:t>atio</w:t>
      </w:r>
      <w:r w:rsidR="00371FBC">
        <w:rPr>
          <w:rFonts w:eastAsia="Calibri"/>
          <w:lang w:val="en-AU"/>
        </w:rPr>
        <w:t xml:space="preserve"> [RR]</w:t>
      </w:r>
      <w:r w:rsidRPr="003408A6">
        <w:rPr>
          <w:rFonts w:eastAsia="Calibri"/>
          <w:lang w:val="en-AU"/>
        </w:rPr>
        <w:t xml:space="preserve"> 0.97</w:t>
      </w:r>
      <w:r w:rsidR="005D540F">
        <w:rPr>
          <w:rFonts w:eastAsia="Calibri"/>
          <w:lang w:val="en-AU"/>
        </w:rPr>
        <w:t>;</w:t>
      </w:r>
      <w:r w:rsidRPr="003408A6">
        <w:rPr>
          <w:rFonts w:eastAsia="Calibri"/>
          <w:lang w:val="en-AU"/>
        </w:rPr>
        <w:t xml:space="preserve"> p=0.01). The areas classified as remote recorded the lowest rate for both </w:t>
      </w:r>
      <w:r w:rsidR="005D540F">
        <w:rPr>
          <w:rFonts w:eastAsia="Calibri"/>
          <w:lang w:val="en-AU"/>
        </w:rPr>
        <w:t>d</w:t>
      </w:r>
      <w:r w:rsidRPr="003408A6">
        <w:rPr>
          <w:rFonts w:eastAsia="Calibri"/>
          <w:lang w:val="en-AU"/>
        </w:rPr>
        <w:t xml:space="preserve">ose 2 and </w:t>
      </w:r>
      <w:r w:rsidR="005D540F">
        <w:rPr>
          <w:rFonts w:eastAsia="Calibri"/>
          <w:lang w:val="en-AU"/>
        </w:rPr>
        <w:t>d</w:t>
      </w:r>
      <w:r w:rsidRPr="003408A6">
        <w:rPr>
          <w:rFonts w:eastAsia="Calibri"/>
          <w:lang w:val="en-AU"/>
        </w:rPr>
        <w:t>ose 3 coverage.</w:t>
      </w:r>
    </w:p>
    <w:p w:rsidR="00F650A4" w:rsidRPr="003408A6" w:rsidRDefault="00901C17" w:rsidP="002E2DF6">
      <w:pPr>
        <w:pStyle w:val="Tableheading"/>
        <w:rPr>
          <w:rFonts w:eastAsia="Calibri"/>
          <w:lang w:val="en-AU"/>
        </w:rPr>
      </w:pPr>
      <w:bookmarkStart w:id="99" w:name="_Toc374735935"/>
      <w:bookmarkStart w:id="100" w:name="_Toc396475539"/>
      <w:bookmarkStart w:id="101" w:name="_Toc397000767"/>
      <w:r w:rsidRPr="003408A6">
        <w:rPr>
          <w:rFonts w:eastAsia="Calibri"/>
          <w:lang w:val="en-AU"/>
        </w:rPr>
        <w:t>Table 3.3.</w:t>
      </w:r>
      <w:r w:rsidRPr="003408A6">
        <w:rPr>
          <w:rFonts w:eastAsia="Calibri"/>
          <w:lang w:val="en-AU"/>
        </w:rPr>
        <w:tab/>
      </w:r>
      <w:r w:rsidR="00204397">
        <w:rPr>
          <w:rFonts w:eastAsia="Calibri"/>
          <w:lang w:val="en-AU"/>
        </w:rPr>
        <w:t>National</w:t>
      </w:r>
      <w:r w:rsidR="00204397" w:rsidRPr="003408A6">
        <w:rPr>
          <w:rFonts w:eastAsia="Calibri"/>
          <w:lang w:val="en-AU"/>
        </w:rPr>
        <w:t xml:space="preserve"> </w:t>
      </w:r>
      <w:r w:rsidR="00F650A4" w:rsidRPr="003408A6">
        <w:rPr>
          <w:rFonts w:eastAsia="Calibri"/>
          <w:lang w:val="en-AU"/>
        </w:rPr>
        <w:t xml:space="preserve">HPV vaccination coverage </w:t>
      </w:r>
      <w:r w:rsidR="00204397">
        <w:rPr>
          <w:rFonts w:eastAsia="Calibri"/>
          <w:lang w:val="en-AU"/>
        </w:rPr>
        <w:t>for</w:t>
      </w:r>
      <w:r w:rsidR="00F650A4" w:rsidRPr="003408A6">
        <w:rPr>
          <w:rFonts w:eastAsia="Calibri"/>
          <w:lang w:val="en-AU"/>
        </w:rPr>
        <w:t xml:space="preserve"> females aged 12–13 years in 2007, by remoteness</w:t>
      </w:r>
      <w:r w:rsidR="005D540F">
        <w:rPr>
          <w:rFonts w:eastAsia="Calibri"/>
          <w:lang w:val="en-AU"/>
        </w:rPr>
        <w:t>*</w:t>
      </w:r>
      <w:bookmarkEnd w:id="99"/>
      <w:bookmarkEnd w:id="100"/>
      <w:bookmarkEnd w:id="101"/>
    </w:p>
    <w:tbl>
      <w:tblPr>
        <w:tblW w:w="8237" w:type="dxa"/>
        <w:tblInd w:w="93" w:type="dxa"/>
        <w:tblLayout w:type="fixed"/>
        <w:tblLook w:val="04A0" w:firstRow="1" w:lastRow="0" w:firstColumn="1" w:lastColumn="0" w:noHBand="0" w:noVBand="1"/>
      </w:tblPr>
      <w:tblGrid>
        <w:gridCol w:w="1858"/>
        <w:gridCol w:w="2126"/>
        <w:gridCol w:w="2126"/>
        <w:gridCol w:w="2127"/>
      </w:tblGrid>
      <w:tr w:rsidR="00F650A4" w:rsidRPr="003408A6" w:rsidTr="005D540F">
        <w:trPr>
          <w:trHeight w:val="600"/>
        </w:trPr>
        <w:tc>
          <w:tcPr>
            <w:tcW w:w="1858" w:type="dxa"/>
            <w:tcBorders>
              <w:top w:val="single" w:sz="4" w:space="0" w:color="auto"/>
              <w:left w:val="nil"/>
              <w:bottom w:val="single" w:sz="4" w:space="0" w:color="auto"/>
              <w:right w:val="nil"/>
            </w:tcBorders>
            <w:noWrap/>
            <w:vAlign w:val="bottom"/>
            <w:hideMark/>
          </w:tcPr>
          <w:p w:rsidR="00F650A4" w:rsidRPr="003408A6" w:rsidRDefault="00F650A4" w:rsidP="000E33CA">
            <w:pPr>
              <w:pStyle w:val="Tablecolumnheadings"/>
              <w:rPr>
                <w:rFonts w:eastAsia="Calibri"/>
                <w:lang w:val="en-AU"/>
              </w:rPr>
            </w:pPr>
            <w:r w:rsidRPr="003408A6">
              <w:rPr>
                <w:rFonts w:eastAsia="Calibri"/>
                <w:lang w:val="en-AU"/>
              </w:rPr>
              <w:t> </w:t>
            </w:r>
          </w:p>
        </w:tc>
        <w:tc>
          <w:tcPr>
            <w:tcW w:w="2126" w:type="dxa"/>
            <w:tcBorders>
              <w:top w:val="single" w:sz="4" w:space="0" w:color="auto"/>
              <w:left w:val="nil"/>
              <w:bottom w:val="single" w:sz="4" w:space="0" w:color="auto"/>
              <w:right w:val="nil"/>
            </w:tcBorders>
            <w:vAlign w:val="center"/>
            <w:hideMark/>
          </w:tcPr>
          <w:p w:rsidR="00F650A4" w:rsidRPr="003408A6" w:rsidRDefault="00F650A4" w:rsidP="005D540F">
            <w:pPr>
              <w:pStyle w:val="Tablecolumnheadings"/>
              <w:rPr>
                <w:rFonts w:eastAsia="Calibri"/>
                <w:lang w:val="en-AU"/>
              </w:rPr>
            </w:pPr>
            <w:r w:rsidRPr="003408A6">
              <w:rPr>
                <w:rFonts w:eastAsia="Calibri"/>
                <w:lang w:val="en-AU"/>
              </w:rPr>
              <w:t xml:space="preserve">Dose 1 </w:t>
            </w:r>
            <w:r w:rsidR="005D540F">
              <w:rPr>
                <w:rFonts w:eastAsia="Calibri"/>
                <w:lang w:val="en-AU"/>
              </w:rPr>
              <w:br/>
            </w:r>
            <w:r w:rsidRPr="003408A6">
              <w:rPr>
                <w:rFonts w:eastAsia="Calibri"/>
                <w:lang w:val="en-AU"/>
              </w:rPr>
              <w:t>% (95% CI)</w:t>
            </w:r>
          </w:p>
        </w:tc>
        <w:tc>
          <w:tcPr>
            <w:tcW w:w="2126" w:type="dxa"/>
            <w:tcBorders>
              <w:top w:val="single" w:sz="4" w:space="0" w:color="auto"/>
              <w:left w:val="nil"/>
              <w:bottom w:val="single" w:sz="4" w:space="0" w:color="auto"/>
              <w:right w:val="nil"/>
            </w:tcBorders>
            <w:vAlign w:val="center"/>
            <w:hideMark/>
          </w:tcPr>
          <w:p w:rsidR="00F650A4" w:rsidRPr="003408A6" w:rsidRDefault="00F650A4" w:rsidP="005D540F">
            <w:pPr>
              <w:pStyle w:val="Tablecolumnheadings"/>
              <w:rPr>
                <w:rFonts w:eastAsia="Calibri"/>
                <w:lang w:val="en-AU"/>
              </w:rPr>
            </w:pPr>
            <w:r w:rsidRPr="003408A6">
              <w:rPr>
                <w:rFonts w:eastAsia="Calibri"/>
                <w:lang w:val="en-AU"/>
              </w:rPr>
              <w:t xml:space="preserve">Dose 2 </w:t>
            </w:r>
            <w:r w:rsidR="005D540F">
              <w:rPr>
                <w:rFonts w:eastAsia="Calibri"/>
                <w:lang w:val="en-AU"/>
              </w:rPr>
              <w:br/>
            </w:r>
            <w:r w:rsidRPr="003408A6">
              <w:rPr>
                <w:rFonts w:eastAsia="Calibri"/>
                <w:lang w:val="en-AU"/>
              </w:rPr>
              <w:t>% (95% CI)</w:t>
            </w:r>
          </w:p>
        </w:tc>
        <w:tc>
          <w:tcPr>
            <w:tcW w:w="2127" w:type="dxa"/>
            <w:tcBorders>
              <w:top w:val="single" w:sz="4" w:space="0" w:color="auto"/>
              <w:left w:val="nil"/>
              <w:bottom w:val="single" w:sz="4" w:space="0" w:color="auto"/>
              <w:right w:val="nil"/>
            </w:tcBorders>
            <w:vAlign w:val="center"/>
            <w:hideMark/>
          </w:tcPr>
          <w:p w:rsidR="00F650A4" w:rsidRPr="003408A6" w:rsidRDefault="00F650A4" w:rsidP="005D540F">
            <w:pPr>
              <w:pStyle w:val="Tablecolumnheadings"/>
              <w:rPr>
                <w:rFonts w:eastAsia="Calibri"/>
                <w:lang w:val="en-AU"/>
              </w:rPr>
            </w:pPr>
            <w:r w:rsidRPr="003408A6">
              <w:rPr>
                <w:rFonts w:eastAsia="Calibri"/>
                <w:lang w:val="en-AU"/>
              </w:rPr>
              <w:t xml:space="preserve">Dose 3 </w:t>
            </w:r>
            <w:r w:rsidR="005D540F">
              <w:rPr>
                <w:rFonts w:eastAsia="Calibri"/>
                <w:lang w:val="en-AU"/>
              </w:rPr>
              <w:br/>
            </w:r>
            <w:r w:rsidRPr="003408A6">
              <w:rPr>
                <w:rFonts w:eastAsia="Calibri"/>
                <w:lang w:val="en-AU"/>
              </w:rPr>
              <w:t>% (95% CI)</w:t>
            </w:r>
          </w:p>
        </w:tc>
      </w:tr>
      <w:tr w:rsidR="00F650A4" w:rsidRPr="003408A6" w:rsidTr="005D540F">
        <w:trPr>
          <w:trHeight w:val="300"/>
        </w:trPr>
        <w:tc>
          <w:tcPr>
            <w:tcW w:w="1858" w:type="dxa"/>
            <w:noWrap/>
            <w:vAlign w:val="bottom"/>
            <w:hideMark/>
          </w:tcPr>
          <w:p w:rsidR="00F650A4" w:rsidRPr="003408A6" w:rsidRDefault="00F650A4" w:rsidP="000E33CA">
            <w:pPr>
              <w:pStyle w:val="Tabletext"/>
              <w:rPr>
                <w:rFonts w:eastAsia="Calibri"/>
                <w:lang w:val="en-AU"/>
              </w:rPr>
            </w:pPr>
            <w:r w:rsidRPr="003408A6">
              <w:rPr>
                <w:rFonts w:eastAsia="Calibri"/>
                <w:lang w:val="en-AU"/>
              </w:rPr>
              <w:t xml:space="preserve">Major cities </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83.4 (83.3</w:t>
            </w:r>
            <w:r w:rsidR="005D540F">
              <w:rPr>
                <w:rFonts w:eastAsia="Calibri"/>
                <w:lang w:val="en-AU"/>
              </w:rPr>
              <w:t>–</w:t>
            </w:r>
            <w:r w:rsidRPr="003408A6">
              <w:rPr>
                <w:rFonts w:eastAsia="Calibri"/>
                <w:lang w:val="en-AU"/>
              </w:rPr>
              <w:t>83.6)</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80.2 (80.0</w:t>
            </w:r>
            <w:r w:rsidR="005D540F">
              <w:rPr>
                <w:rFonts w:eastAsia="Calibri"/>
                <w:lang w:val="en-AU"/>
              </w:rPr>
              <w:t>–</w:t>
            </w:r>
            <w:r w:rsidRPr="003408A6">
              <w:rPr>
                <w:rFonts w:eastAsia="Calibri"/>
                <w:lang w:val="en-AU"/>
              </w:rPr>
              <w:t>80.4)</w:t>
            </w:r>
          </w:p>
        </w:tc>
        <w:tc>
          <w:tcPr>
            <w:tcW w:w="2127" w:type="dxa"/>
            <w:noWrap/>
            <w:vAlign w:val="center"/>
            <w:hideMark/>
          </w:tcPr>
          <w:p w:rsidR="00F650A4" w:rsidRPr="003408A6" w:rsidRDefault="005D540F" w:rsidP="005D540F">
            <w:pPr>
              <w:pStyle w:val="Tabletext"/>
              <w:jc w:val="center"/>
              <w:rPr>
                <w:rFonts w:eastAsia="Calibri"/>
                <w:lang w:val="en-AU"/>
              </w:rPr>
            </w:pPr>
            <w:r>
              <w:rPr>
                <w:rFonts w:eastAsia="Calibri"/>
                <w:lang w:val="en-AU"/>
              </w:rPr>
              <w:t>73.6 (73.4–</w:t>
            </w:r>
            <w:r w:rsidR="00F650A4" w:rsidRPr="003408A6">
              <w:rPr>
                <w:rFonts w:eastAsia="Calibri"/>
                <w:lang w:val="en-AU"/>
              </w:rPr>
              <w:t>73.8)</w:t>
            </w:r>
          </w:p>
        </w:tc>
      </w:tr>
      <w:tr w:rsidR="00F650A4" w:rsidRPr="003408A6" w:rsidTr="005D540F">
        <w:trPr>
          <w:trHeight w:val="300"/>
        </w:trPr>
        <w:tc>
          <w:tcPr>
            <w:tcW w:w="1858" w:type="dxa"/>
            <w:noWrap/>
            <w:vAlign w:val="bottom"/>
            <w:hideMark/>
          </w:tcPr>
          <w:p w:rsidR="00F650A4" w:rsidRPr="003408A6" w:rsidRDefault="00F650A4" w:rsidP="000E33CA">
            <w:pPr>
              <w:pStyle w:val="Tabletext"/>
              <w:rPr>
                <w:rFonts w:eastAsia="Calibri"/>
                <w:lang w:val="en-AU"/>
              </w:rPr>
            </w:pPr>
            <w:r w:rsidRPr="003408A6">
              <w:rPr>
                <w:rFonts w:eastAsia="Calibri"/>
                <w:lang w:val="en-AU"/>
              </w:rPr>
              <w:t xml:space="preserve">Inner regional </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82.6 (82.3</w:t>
            </w:r>
            <w:r w:rsidR="005D540F">
              <w:rPr>
                <w:rFonts w:eastAsia="Calibri"/>
                <w:lang w:val="en-AU"/>
              </w:rPr>
              <w:t>–</w:t>
            </w:r>
            <w:r w:rsidRPr="003408A6">
              <w:rPr>
                <w:rFonts w:eastAsia="Calibri"/>
                <w:lang w:val="en-AU"/>
              </w:rPr>
              <w:t>83.0)</w:t>
            </w:r>
          </w:p>
        </w:tc>
        <w:tc>
          <w:tcPr>
            <w:tcW w:w="2126" w:type="dxa"/>
            <w:noWrap/>
            <w:vAlign w:val="center"/>
            <w:hideMark/>
          </w:tcPr>
          <w:p w:rsidR="00F650A4" w:rsidRPr="003408A6" w:rsidRDefault="005D540F" w:rsidP="005D540F">
            <w:pPr>
              <w:pStyle w:val="Tabletext"/>
              <w:jc w:val="center"/>
              <w:rPr>
                <w:rFonts w:eastAsia="Calibri"/>
                <w:lang w:val="en-AU"/>
              </w:rPr>
            </w:pPr>
            <w:r>
              <w:rPr>
                <w:rFonts w:eastAsia="Calibri"/>
                <w:lang w:val="en-AU"/>
              </w:rPr>
              <w:t>79.1 (78.7–</w:t>
            </w:r>
            <w:r w:rsidR="00F650A4" w:rsidRPr="003408A6">
              <w:rPr>
                <w:rFonts w:eastAsia="Calibri"/>
                <w:lang w:val="en-AU"/>
              </w:rPr>
              <w:t>79.4)</w:t>
            </w:r>
          </w:p>
        </w:tc>
        <w:tc>
          <w:tcPr>
            <w:tcW w:w="2127" w:type="dxa"/>
            <w:noWrap/>
            <w:vAlign w:val="center"/>
            <w:hideMark/>
          </w:tcPr>
          <w:p w:rsidR="00F650A4" w:rsidRPr="003408A6" w:rsidRDefault="005D540F" w:rsidP="005D540F">
            <w:pPr>
              <w:pStyle w:val="Tabletext"/>
              <w:jc w:val="center"/>
              <w:rPr>
                <w:rFonts w:eastAsia="Calibri"/>
                <w:lang w:val="en-AU"/>
              </w:rPr>
            </w:pPr>
            <w:r>
              <w:rPr>
                <w:rFonts w:eastAsia="Calibri"/>
                <w:lang w:val="en-AU"/>
              </w:rPr>
              <w:t>72.1 (71.8–</w:t>
            </w:r>
            <w:r w:rsidR="00F650A4" w:rsidRPr="003408A6">
              <w:rPr>
                <w:rFonts w:eastAsia="Calibri"/>
                <w:lang w:val="en-AU"/>
              </w:rPr>
              <w:t>72.5)</w:t>
            </w:r>
          </w:p>
        </w:tc>
      </w:tr>
      <w:tr w:rsidR="00F650A4" w:rsidRPr="003408A6" w:rsidTr="005D540F">
        <w:trPr>
          <w:trHeight w:val="300"/>
        </w:trPr>
        <w:tc>
          <w:tcPr>
            <w:tcW w:w="1858" w:type="dxa"/>
            <w:noWrap/>
            <w:vAlign w:val="bottom"/>
            <w:hideMark/>
          </w:tcPr>
          <w:p w:rsidR="00F650A4" w:rsidRPr="003408A6" w:rsidRDefault="00F650A4" w:rsidP="000E33CA">
            <w:pPr>
              <w:pStyle w:val="Tabletext"/>
              <w:rPr>
                <w:rFonts w:eastAsia="Calibri"/>
                <w:lang w:val="en-AU"/>
              </w:rPr>
            </w:pPr>
            <w:r w:rsidRPr="003408A6">
              <w:rPr>
                <w:rFonts w:eastAsia="Calibri"/>
                <w:lang w:val="en-AU"/>
              </w:rPr>
              <w:t xml:space="preserve">Outer regional </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82.4 (82.0</w:t>
            </w:r>
            <w:r w:rsidR="005D540F">
              <w:rPr>
                <w:rFonts w:eastAsia="Calibri"/>
                <w:lang w:val="en-AU"/>
              </w:rPr>
              <w:t>–</w:t>
            </w:r>
            <w:r w:rsidRPr="003408A6">
              <w:rPr>
                <w:rFonts w:eastAsia="Calibri"/>
                <w:lang w:val="en-AU"/>
              </w:rPr>
              <w:t>82.8)</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78.8 (78.3</w:t>
            </w:r>
            <w:r w:rsidR="005D540F">
              <w:rPr>
                <w:rFonts w:eastAsia="Calibri"/>
                <w:lang w:val="en-AU"/>
              </w:rPr>
              <w:t>–</w:t>
            </w:r>
            <w:r w:rsidRPr="003408A6">
              <w:rPr>
                <w:rFonts w:eastAsia="Calibri"/>
                <w:lang w:val="en-AU"/>
              </w:rPr>
              <w:t>79.3)</w:t>
            </w:r>
          </w:p>
        </w:tc>
        <w:tc>
          <w:tcPr>
            <w:tcW w:w="2127"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72.0 (71.5</w:t>
            </w:r>
            <w:r w:rsidR="005D540F">
              <w:rPr>
                <w:rFonts w:eastAsia="Calibri"/>
                <w:lang w:val="en-AU"/>
              </w:rPr>
              <w:t>–</w:t>
            </w:r>
            <w:r w:rsidRPr="003408A6">
              <w:rPr>
                <w:rFonts w:eastAsia="Calibri"/>
                <w:lang w:val="en-AU"/>
              </w:rPr>
              <w:t>72.5)</w:t>
            </w:r>
          </w:p>
        </w:tc>
      </w:tr>
      <w:tr w:rsidR="00F650A4" w:rsidRPr="003408A6" w:rsidTr="005D540F">
        <w:trPr>
          <w:trHeight w:val="300"/>
        </w:trPr>
        <w:tc>
          <w:tcPr>
            <w:tcW w:w="1858" w:type="dxa"/>
            <w:noWrap/>
            <w:vAlign w:val="bottom"/>
            <w:hideMark/>
          </w:tcPr>
          <w:p w:rsidR="00F650A4" w:rsidRPr="003408A6" w:rsidRDefault="00F650A4" w:rsidP="000E33CA">
            <w:pPr>
              <w:pStyle w:val="Tabletext"/>
              <w:rPr>
                <w:rFonts w:eastAsia="Calibri"/>
                <w:lang w:val="en-AU"/>
              </w:rPr>
            </w:pPr>
            <w:r w:rsidRPr="003408A6">
              <w:rPr>
                <w:rFonts w:eastAsia="Calibri"/>
                <w:lang w:val="en-AU"/>
              </w:rPr>
              <w:t xml:space="preserve">Remote </w:t>
            </w:r>
          </w:p>
        </w:tc>
        <w:tc>
          <w:tcPr>
            <w:tcW w:w="2126" w:type="dxa"/>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83.0 (82.0</w:t>
            </w:r>
            <w:r w:rsidR="005D540F">
              <w:rPr>
                <w:rFonts w:eastAsia="Calibri"/>
                <w:lang w:val="en-AU"/>
              </w:rPr>
              <w:t>–</w:t>
            </w:r>
            <w:r w:rsidRPr="003408A6">
              <w:rPr>
                <w:rFonts w:eastAsia="Calibri"/>
                <w:lang w:val="en-AU"/>
              </w:rPr>
              <w:t>84.1)</w:t>
            </w:r>
          </w:p>
        </w:tc>
        <w:tc>
          <w:tcPr>
            <w:tcW w:w="2126" w:type="dxa"/>
            <w:noWrap/>
            <w:vAlign w:val="center"/>
            <w:hideMark/>
          </w:tcPr>
          <w:p w:rsidR="00F650A4" w:rsidRPr="003408A6" w:rsidRDefault="005D540F" w:rsidP="005D540F">
            <w:pPr>
              <w:pStyle w:val="Tabletext"/>
              <w:jc w:val="center"/>
              <w:rPr>
                <w:rFonts w:eastAsia="Calibri"/>
                <w:lang w:val="en-AU"/>
              </w:rPr>
            </w:pPr>
            <w:r>
              <w:rPr>
                <w:rFonts w:eastAsia="Calibri"/>
                <w:lang w:val="en-AU"/>
              </w:rPr>
              <w:t>78.2 (77.0–</w:t>
            </w:r>
            <w:r w:rsidR="00F650A4" w:rsidRPr="003408A6">
              <w:rPr>
                <w:rFonts w:eastAsia="Calibri"/>
                <w:lang w:val="en-AU"/>
              </w:rPr>
              <w:t>79.3)</w:t>
            </w:r>
          </w:p>
        </w:tc>
        <w:tc>
          <w:tcPr>
            <w:tcW w:w="2127" w:type="dxa"/>
            <w:noWrap/>
            <w:vAlign w:val="center"/>
            <w:hideMark/>
          </w:tcPr>
          <w:p w:rsidR="00F650A4" w:rsidRPr="003408A6" w:rsidRDefault="005D540F" w:rsidP="005D540F">
            <w:pPr>
              <w:pStyle w:val="Tabletext"/>
              <w:jc w:val="center"/>
              <w:rPr>
                <w:rFonts w:eastAsia="Calibri"/>
                <w:lang w:val="en-AU"/>
              </w:rPr>
            </w:pPr>
            <w:r>
              <w:rPr>
                <w:rFonts w:eastAsia="Calibri"/>
                <w:lang w:val="en-AU"/>
              </w:rPr>
              <w:t>70.1 (68.8–</w:t>
            </w:r>
            <w:r w:rsidR="00F650A4" w:rsidRPr="003408A6">
              <w:rPr>
                <w:rFonts w:eastAsia="Calibri"/>
                <w:lang w:val="en-AU"/>
              </w:rPr>
              <w:t>71.4)</w:t>
            </w:r>
          </w:p>
        </w:tc>
      </w:tr>
      <w:tr w:rsidR="00F650A4" w:rsidRPr="003408A6" w:rsidTr="005D540F">
        <w:trPr>
          <w:trHeight w:val="300"/>
        </w:trPr>
        <w:tc>
          <w:tcPr>
            <w:tcW w:w="1858" w:type="dxa"/>
            <w:tcBorders>
              <w:top w:val="nil"/>
              <w:left w:val="nil"/>
              <w:bottom w:val="single" w:sz="4" w:space="0" w:color="auto"/>
              <w:right w:val="nil"/>
            </w:tcBorders>
            <w:noWrap/>
            <w:vAlign w:val="bottom"/>
            <w:hideMark/>
          </w:tcPr>
          <w:p w:rsidR="00F650A4" w:rsidRPr="003408A6" w:rsidRDefault="00F650A4" w:rsidP="000E33CA">
            <w:pPr>
              <w:pStyle w:val="Tabletext"/>
              <w:rPr>
                <w:rFonts w:eastAsia="Calibri"/>
                <w:lang w:val="en-AU"/>
              </w:rPr>
            </w:pPr>
            <w:r w:rsidRPr="003408A6">
              <w:rPr>
                <w:rFonts w:eastAsia="Calibri"/>
                <w:lang w:val="en-AU"/>
              </w:rPr>
              <w:t xml:space="preserve">Very remote </w:t>
            </w:r>
          </w:p>
        </w:tc>
        <w:tc>
          <w:tcPr>
            <w:tcW w:w="2126" w:type="dxa"/>
            <w:tcBorders>
              <w:top w:val="nil"/>
              <w:left w:val="nil"/>
              <w:bottom w:val="single" w:sz="4" w:space="0" w:color="auto"/>
              <w:right w:val="nil"/>
            </w:tcBorders>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88.5 (87.2</w:t>
            </w:r>
            <w:r w:rsidR="005D540F">
              <w:rPr>
                <w:rFonts w:eastAsia="Calibri"/>
                <w:lang w:val="en-AU"/>
              </w:rPr>
              <w:t>–</w:t>
            </w:r>
            <w:r w:rsidRPr="003408A6">
              <w:rPr>
                <w:rFonts w:eastAsia="Calibri"/>
                <w:lang w:val="en-AU"/>
              </w:rPr>
              <w:t>89.8)</w:t>
            </w:r>
          </w:p>
        </w:tc>
        <w:tc>
          <w:tcPr>
            <w:tcW w:w="2126" w:type="dxa"/>
            <w:tcBorders>
              <w:top w:val="nil"/>
              <w:left w:val="nil"/>
              <w:bottom w:val="single" w:sz="4" w:space="0" w:color="auto"/>
              <w:right w:val="nil"/>
            </w:tcBorders>
            <w:noWrap/>
            <w:vAlign w:val="center"/>
            <w:hideMark/>
          </w:tcPr>
          <w:p w:rsidR="00F650A4" w:rsidRPr="003408A6" w:rsidRDefault="005D540F" w:rsidP="005D540F">
            <w:pPr>
              <w:pStyle w:val="Tabletext"/>
              <w:jc w:val="center"/>
              <w:rPr>
                <w:rFonts w:eastAsia="Calibri"/>
                <w:lang w:val="en-AU"/>
              </w:rPr>
            </w:pPr>
            <w:r>
              <w:rPr>
                <w:rFonts w:eastAsia="Calibri"/>
                <w:lang w:val="en-AU"/>
              </w:rPr>
              <w:t>81.8 (80.2–</w:t>
            </w:r>
            <w:r w:rsidR="00F650A4" w:rsidRPr="003408A6">
              <w:rPr>
                <w:rFonts w:eastAsia="Calibri"/>
                <w:lang w:val="en-AU"/>
              </w:rPr>
              <w:t>83.3)</w:t>
            </w:r>
          </w:p>
        </w:tc>
        <w:tc>
          <w:tcPr>
            <w:tcW w:w="2127" w:type="dxa"/>
            <w:tcBorders>
              <w:top w:val="nil"/>
              <w:left w:val="nil"/>
              <w:bottom w:val="single" w:sz="4" w:space="0" w:color="auto"/>
              <w:right w:val="nil"/>
            </w:tcBorders>
            <w:noWrap/>
            <w:vAlign w:val="center"/>
            <w:hideMark/>
          </w:tcPr>
          <w:p w:rsidR="00F650A4" w:rsidRPr="003408A6" w:rsidRDefault="00F650A4" w:rsidP="005D540F">
            <w:pPr>
              <w:pStyle w:val="Tabletext"/>
              <w:jc w:val="center"/>
              <w:rPr>
                <w:rFonts w:eastAsia="Calibri"/>
                <w:lang w:val="en-AU"/>
              </w:rPr>
            </w:pPr>
            <w:r w:rsidRPr="003408A6">
              <w:rPr>
                <w:rFonts w:eastAsia="Calibri"/>
                <w:lang w:val="en-AU"/>
              </w:rPr>
              <w:t>71.4 (69.5</w:t>
            </w:r>
            <w:r w:rsidR="005D540F">
              <w:rPr>
                <w:rFonts w:eastAsia="Calibri"/>
                <w:lang w:val="en-AU"/>
              </w:rPr>
              <w:t>–</w:t>
            </w:r>
            <w:r w:rsidRPr="003408A6">
              <w:rPr>
                <w:rFonts w:eastAsia="Calibri"/>
                <w:lang w:val="en-AU"/>
              </w:rPr>
              <w:t>73.2)</w:t>
            </w:r>
          </w:p>
        </w:tc>
      </w:tr>
    </w:tbl>
    <w:p w:rsidR="00F650A4" w:rsidRPr="003408A6" w:rsidRDefault="005D540F" w:rsidP="005D540F">
      <w:pPr>
        <w:pStyle w:val="Tablefootnote"/>
        <w:rPr>
          <w:rFonts w:eastAsia="Calibri"/>
        </w:rPr>
      </w:pPr>
      <w:r>
        <w:rPr>
          <w:rFonts w:eastAsia="Calibri"/>
        </w:rPr>
        <w:t>*</w:t>
      </w:r>
      <w:r>
        <w:rPr>
          <w:rFonts w:eastAsia="Calibri"/>
        </w:rPr>
        <w:tab/>
        <w:t xml:space="preserve">Data as at </w:t>
      </w:r>
      <w:r w:rsidRPr="003408A6">
        <w:rPr>
          <w:rFonts w:eastAsia="Calibri"/>
        </w:rPr>
        <w:t>Dec</w:t>
      </w:r>
      <w:r>
        <w:rPr>
          <w:rFonts w:eastAsia="Calibri"/>
        </w:rPr>
        <w:t>ember</w:t>
      </w:r>
      <w:r w:rsidRPr="003408A6">
        <w:rPr>
          <w:rFonts w:eastAsia="Calibri"/>
        </w:rPr>
        <w:t xml:space="preserve"> 2011</w:t>
      </w:r>
      <w:r>
        <w:rPr>
          <w:rFonts w:eastAsia="Calibri"/>
        </w:rPr>
        <w:t>.</w:t>
      </w:r>
    </w:p>
    <w:p w:rsidR="00F650A4" w:rsidRPr="003408A6" w:rsidRDefault="00F650A4" w:rsidP="00DE0897">
      <w:pPr>
        <w:pStyle w:val="Heading3"/>
        <w:rPr>
          <w:rFonts w:eastAsia="Calibri"/>
          <w:lang w:eastAsia="en-US"/>
        </w:rPr>
      </w:pPr>
      <w:r w:rsidRPr="003408A6">
        <w:rPr>
          <w:rFonts w:eastAsia="Calibri"/>
          <w:lang w:eastAsia="en-US"/>
        </w:rPr>
        <w:t>Coverage by socioeconomic status</w:t>
      </w:r>
    </w:p>
    <w:p w:rsidR="00F650A4" w:rsidRPr="003408A6" w:rsidRDefault="00F650A4" w:rsidP="000E33CA">
      <w:pPr>
        <w:pStyle w:val="BodyText"/>
        <w:rPr>
          <w:rFonts w:eastAsia="Calibri"/>
          <w:lang w:val="en-AU"/>
        </w:rPr>
      </w:pPr>
      <w:r w:rsidRPr="003408A6">
        <w:rPr>
          <w:rFonts w:eastAsia="Calibri"/>
          <w:lang w:val="en-AU"/>
        </w:rPr>
        <w:t xml:space="preserve">Among females aged 12–13 years in 2007, HPV vaccination coverage stratified by socioeconomic status was relatively uniform. Nationally, 83.9% received the first dose of the vaccine in high </w:t>
      </w:r>
      <w:r w:rsidR="008579C7">
        <w:rPr>
          <w:rFonts w:eastAsia="Calibri"/>
          <w:lang w:val="en-AU"/>
        </w:rPr>
        <w:t>SES</w:t>
      </w:r>
      <w:r w:rsidRPr="003408A6">
        <w:rPr>
          <w:rFonts w:eastAsia="Calibri"/>
          <w:lang w:val="en-AU"/>
        </w:rPr>
        <w:t xml:space="preserve"> areas, compared to 83.1% in low </w:t>
      </w:r>
      <w:r w:rsidR="00CC250F">
        <w:rPr>
          <w:rFonts w:eastAsia="Calibri"/>
          <w:lang w:val="en-AU"/>
        </w:rPr>
        <w:t>SES</w:t>
      </w:r>
      <w:r w:rsidRPr="003408A6">
        <w:rPr>
          <w:rFonts w:eastAsia="Calibri"/>
          <w:lang w:val="en-AU"/>
        </w:rPr>
        <w:t xml:space="preserve"> areas (RR 0.99; p&lt;0.001) (</w:t>
      </w:r>
      <w:r w:rsidRPr="003408A6">
        <w:rPr>
          <w:rFonts w:eastAsia="Calibri"/>
          <w:b/>
          <w:lang w:val="en-AU"/>
        </w:rPr>
        <w:t>Table 3.4</w:t>
      </w:r>
      <w:r w:rsidRPr="003408A6">
        <w:rPr>
          <w:rFonts w:eastAsia="Calibri"/>
          <w:lang w:val="en-AU"/>
        </w:rPr>
        <w:t>). The difference in coverage by socioeconomic status was slightly greater for 2 doses, although still relatively small, with 81.2% coverage in high SES areas compared to 79.1% in low SES areas (p&lt;0.001). The SES gradient was most pronounced when observing completed vaccination, with the rate in the low SES areas 4.1% below that in high SES areas (</w:t>
      </w:r>
      <w:r w:rsidRPr="003408A6">
        <w:rPr>
          <w:bCs/>
          <w:lang w:val="en-AU"/>
        </w:rPr>
        <w:t>71.5% versus 75.6%</w:t>
      </w:r>
      <w:r w:rsidRPr="003408A6">
        <w:rPr>
          <w:rFonts w:eastAsia="Calibri"/>
          <w:lang w:val="en-AU"/>
        </w:rPr>
        <w:t>; p&lt;0.001) (</w:t>
      </w:r>
      <w:r w:rsidRPr="003408A6">
        <w:rPr>
          <w:rFonts w:eastAsia="Calibri"/>
          <w:b/>
          <w:lang w:val="en-AU"/>
        </w:rPr>
        <w:t>Table 3.4</w:t>
      </w:r>
      <w:r w:rsidRPr="003408A6">
        <w:rPr>
          <w:rFonts w:eastAsia="Calibri"/>
          <w:lang w:val="en-AU"/>
        </w:rPr>
        <w:t>).</w:t>
      </w:r>
    </w:p>
    <w:p w:rsidR="00F650A4" w:rsidRPr="003408A6" w:rsidRDefault="00F650A4" w:rsidP="00F650A4">
      <w:pPr>
        <w:rPr>
          <w:rFonts w:cs="Arial"/>
          <w:b/>
          <w:bCs/>
          <w:kern w:val="28"/>
          <w:szCs w:val="22"/>
          <w:lang w:eastAsia="en-US"/>
        </w:rPr>
        <w:sectPr w:rsidR="00F650A4" w:rsidRPr="003408A6" w:rsidSect="00D07C02">
          <w:pgSz w:w="11906" w:h="16838"/>
          <w:pgMar w:top="1440" w:right="1440" w:bottom="1440" w:left="1440" w:header="709" w:footer="709" w:gutter="0"/>
          <w:cols w:space="720"/>
        </w:sectPr>
      </w:pPr>
    </w:p>
    <w:p w:rsidR="00F650A4" w:rsidRPr="003408A6" w:rsidRDefault="00901C17" w:rsidP="00DD7504">
      <w:pPr>
        <w:pStyle w:val="Tableheading"/>
        <w:rPr>
          <w:rFonts w:eastAsia="Calibri"/>
          <w:lang w:val="en-AU"/>
        </w:rPr>
      </w:pPr>
      <w:bookmarkStart w:id="102" w:name="_Toc374735936"/>
      <w:bookmarkStart w:id="103" w:name="_Toc396475540"/>
      <w:bookmarkStart w:id="104" w:name="_Toc397000768"/>
      <w:r w:rsidRPr="003408A6">
        <w:rPr>
          <w:lang w:val="en-AU"/>
        </w:rPr>
        <w:t>Table 3.4.</w:t>
      </w:r>
      <w:r w:rsidRPr="003408A6">
        <w:rPr>
          <w:lang w:val="en-AU"/>
        </w:rPr>
        <w:tab/>
      </w:r>
      <w:r w:rsidR="00F650A4" w:rsidRPr="003408A6">
        <w:rPr>
          <w:lang w:val="en-AU"/>
        </w:rPr>
        <w:t xml:space="preserve">National HPV vaccination coverage </w:t>
      </w:r>
      <w:r w:rsidR="00204397">
        <w:rPr>
          <w:lang w:val="en-AU"/>
        </w:rPr>
        <w:t>for</w:t>
      </w:r>
      <w:r w:rsidR="00204397" w:rsidRPr="003408A6">
        <w:rPr>
          <w:lang w:val="en-AU"/>
        </w:rPr>
        <w:t xml:space="preserve"> </w:t>
      </w:r>
      <w:r w:rsidR="00F650A4" w:rsidRPr="003408A6">
        <w:rPr>
          <w:lang w:val="en-AU"/>
        </w:rPr>
        <w:t>females aged 12–13 years in 2007, by socioeconomic status*</w:t>
      </w:r>
      <w:bookmarkEnd w:id="102"/>
      <w:bookmarkEnd w:id="103"/>
      <w:bookmarkEnd w:id="104"/>
    </w:p>
    <w:tbl>
      <w:tblPr>
        <w:tblW w:w="7580" w:type="dxa"/>
        <w:tblInd w:w="93" w:type="dxa"/>
        <w:tblLook w:val="04A0" w:firstRow="1" w:lastRow="0" w:firstColumn="1" w:lastColumn="0" w:noHBand="0" w:noVBand="1"/>
      </w:tblPr>
      <w:tblGrid>
        <w:gridCol w:w="2180"/>
        <w:gridCol w:w="1800"/>
        <w:gridCol w:w="1800"/>
        <w:gridCol w:w="1800"/>
      </w:tblGrid>
      <w:tr w:rsidR="00F650A4" w:rsidRPr="003408A6" w:rsidTr="00B802CF">
        <w:trPr>
          <w:trHeight w:val="405"/>
        </w:trPr>
        <w:tc>
          <w:tcPr>
            <w:tcW w:w="2180" w:type="dxa"/>
            <w:tcBorders>
              <w:top w:val="single" w:sz="4" w:space="0" w:color="auto"/>
              <w:left w:val="nil"/>
              <w:bottom w:val="single" w:sz="4" w:space="0" w:color="auto"/>
              <w:right w:val="nil"/>
            </w:tcBorders>
            <w:shd w:val="clear" w:color="auto" w:fill="auto"/>
            <w:noWrap/>
            <w:vAlign w:val="bottom"/>
            <w:hideMark/>
          </w:tcPr>
          <w:p w:rsidR="00F650A4" w:rsidRPr="003408A6" w:rsidRDefault="00F650A4" w:rsidP="000E33CA">
            <w:pPr>
              <w:pStyle w:val="Tablecolumnheading"/>
              <w:rPr>
                <w:lang w:val="en-AU"/>
              </w:rPr>
            </w:pPr>
            <w:r w:rsidRPr="003408A6">
              <w:rPr>
                <w:lang w:val="en-AU"/>
              </w:rPr>
              <w:t> </w:t>
            </w:r>
          </w:p>
        </w:tc>
        <w:tc>
          <w:tcPr>
            <w:tcW w:w="1800" w:type="dxa"/>
            <w:tcBorders>
              <w:top w:val="single" w:sz="4" w:space="0" w:color="auto"/>
              <w:left w:val="nil"/>
              <w:bottom w:val="single" w:sz="4" w:space="0" w:color="auto"/>
              <w:right w:val="nil"/>
            </w:tcBorders>
            <w:shd w:val="clear" w:color="auto" w:fill="auto"/>
            <w:noWrap/>
            <w:vAlign w:val="bottom"/>
            <w:hideMark/>
          </w:tcPr>
          <w:p w:rsidR="00F650A4" w:rsidRPr="003408A6" w:rsidRDefault="00F650A4" w:rsidP="00B802CF">
            <w:pPr>
              <w:pStyle w:val="Tablecolumnheading"/>
              <w:jc w:val="center"/>
              <w:rPr>
                <w:lang w:val="en-AU"/>
              </w:rPr>
            </w:pPr>
            <w:r w:rsidRPr="003408A6">
              <w:rPr>
                <w:lang w:val="en-AU"/>
              </w:rPr>
              <w:t xml:space="preserve">Dose 1 </w:t>
            </w:r>
            <w:r w:rsidR="00B802CF">
              <w:rPr>
                <w:lang w:val="en-AU"/>
              </w:rPr>
              <w:br/>
            </w:r>
            <w:r w:rsidRPr="003408A6">
              <w:rPr>
                <w:lang w:val="en-AU"/>
              </w:rPr>
              <w:t>%(95% CI)</w:t>
            </w:r>
          </w:p>
        </w:tc>
        <w:tc>
          <w:tcPr>
            <w:tcW w:w="1800" w:type="dxa"/>
            <w:tcBorders>
              <w:top w:val="single" w:sz="4" w:space="0" w:color="auto"/>
              <w:left w:val="nil"/>
              <w:bottom w:val="single" w:sz="4" w:space="0" w:color="auto"/>
              <w:right w:val="nil"/>
            </w:tcBorders>
            <w:shd w:val="clear" w:color="auto" w:fill="auto"/>
            <w:noWrap/>
            <w:vAlign w:val="bottom"/>
            <w:hideMark/>
          </w:tcPr>
          <w:p w:rsidR="00F650A4" w:rsidRPr="003408A6" w:rsidRDefault="00F650A4" w:rsidP="00B802CF">
            <w:pPr>
              <w:pStyle w:val="Tablecolumnheading"/>
              <w:jc w:val="center"/>
              <w:rPr>
                <w:lang w:val="en-AU"/>
              </w:rPr>
            </w:pPr>
            <w:r w:rsidRPr="003408A6">
              <w:rPr>
                <w:lang w:val="en-AU"/>
              </w:rPr>
              <w:t xml:space="preserve">Dose 2 </w:t>
            </w:r>
            <w:r w:rsidR="00B802CF">
              <w:rPr>
                <w:lang w:val="en-AU"/>
              </w:rPr>
              <w:br/>
            </w:r>
            <w:r w:rsidRPr="003408A6">
              <w:rPr>
                <w:lang w:val="en-AU"/>
              </w:rPr>
              <w:t>%(95% CI)</w:t>
            </w:r>
          </w:p>
        </w:tc>
        <w:tc>
          <w:tcPr>
            <w:tcW w:w="1800" w:type="dxa"/>
            <w:tcBorders>
              <w:top w:val="single" w:sz="4" w:space="0" w:color="auto"/>
              <w:left w:val="nil"/>
              <w:bottom w:val="single" w:sz="4" w:space="0" w:color="auto"/>
              <w:right w:val="nil"/>
            </w:tcBorders>
            <w:shd w:val="clear" w:color="auto" w:fill="auto"/>
            <w:noWrap/>
            <w:vAlign w:val="bottom"/>
            <w:hideMark/>
          </w:tcPr>
          <w:p w:rsidR="00F650A4" w:rsidRPr="003408A6" w:rsidRDefault="00F650A4" w:rsidP="00B802CF">
            <w:pPr>
              <w:pStyle w:val="Tablecolumnheading"/>
              <w:jc w:val="center"/>
              <w:rPr>
                <w:lang w:val="en-AU"/>
              </w:rPr>
            </w:pPr>
            <w:r w:rsidRPr="003408A6">
              <w:rPr>
                <w:lang w:val="en-AU"/>
              </w:rPr>
              <w:t xml:space="preserve">Dose 3 </w:t>
            </w:r>
            <w:r w:rsidR="00B802CF">
              <w:rPr>
                <w:lang w:val="en-AU"/>
              </w:rPr>
              <w:br/>
            </w:r>
            <w:r w:rsidRPr="003408A6">
              <w:rPr>
                <w:lang w:val="en-AU"/>
              </w:rPr>
              <w:t>%(95% CI)</w:t>
            </w:r>
          </w:p>
        </w:tc>
      </w:tr>
      <w:tr w:rsidR="00F650A4" w:rsidRPr="003408A6" w:rsidTr="00B802CF">
        <w:trPr>
          <w:trHeight w:val="300"/>
        </w:trPr>
        <w:tc>
          <w:tcPr>
            <w:tcW w:w="2180" w:type="dxa"/>
            <w:tcBorders>
              <w:top w:val="nil"/>
              <w:left w:val="nil"/>
              <w:bottom w:val="nil"/>
              <w:right w:val="nil"/>
            </w:tcBorders>
            <w:shd w:val="clear" w:color="auto" w:fill="auto"/>
            <w:noWrap/>
            <w:vAlign w:val="bottom"/>
            <w:hideMark/>
          </w:tcPr>
          <w:p w:rsidR="00F650A4" w:rsidRPr="003408A6" w:rsidRDefault="00F650A4" w:rsidP="000E33CA">
            <w:pPr>
              <w:pStyle w:val="Tabletext"/>
              <w:rPr>
                <w:lang w:val="en-AU"/>
              </w:rPr>
            </w:pPr>
            <w:r w:rsidRPr="003408A6">
              <w:rPr>
                <w:lang w:val="en-AU"/>
              </w:rPr>
              <w:t>Quintile 1: High SES</w:t>
            </w:r>
          </w:p>
        </w:tc>
        <w:tc>
          <w:tcPr>
            <w:tcW w:w="1800" w:type="dxa"/>
            <w:tcBorders>
              <w:top w:val="nil"/>
              <w:left w:val="nil"/>
              <w:bottom w:val="nil"/>
              <w:right w:val="nil"/>
            </w:tcBorders>
            <w:shd w:val="clear" w:color="auto" w:fill="auto"/>
            <w:noWrap/>
            <w:vAlign w:val="bottom"/>
            <w:hideMark/>
          </w:tcPr>
          <w:p w:rsidR="00F650A4" w:rsidRPr="003408A6" w:rsidRDefault="00F650A4" w:rsidP="00B802CF">
            <w:pPr>
              <w:pStyle w:val="Tabletext"/>
              <w:jc w:val="center"/>
              <w:rPr>
                <w:lang w:val="en-AU"/>
              </w:rPr>
            </w:pPr>
            <w:r w:rsidRPr="003408A6">
              <w:rPr>
                <w:lang w:val="en-AU"/>
              </w:rPr>
              <w:t>83.9 (83.6</w:t>
            </w:r>
            <w:r w:rsidR="00B802CF">
              <w:rPr>
                <w:lang w:val="en-AU"/>
              </w:rPr>
              <w:t>–</w:t>
            </w:r>
            <w:r w:rsidRPr="003408A6">
              <w:rPr>
                <w:lang w:val="en-AU"/>
              </w:rPr>
              <w:t>84.3)</w:t>
            </w:r>
          </w:p>
        </w:tc>
        <w:tc>
          <w:tcPr>
            <w:tcW w:w="1800" w:type="dxa"/>
            <w:tcBorders>
              <w:top w:val="nil"/>
              <w:left w:val="nil"/>
              <w:bottom w:val="nil"/>
              <w:right w:val="nil"/>
            </w:tcBorders>
            <w:shd w:val="clear" w:color="auto" w:fill="auto"/>
            <w:noWrap/>
            <w:vAlign w:val="bottom"/>
            <w:hideMark/>
          </w:tcPr>
          <w:p w:rsidR="00F650A4" w:rsidRPr="003408A6" w:rsidRDefault="00F650A4" w:rsidP="00B802CF">
            <w:pPr>
              <w:pStyle w:val="Tabletext"/>
              <w:jc w:val="center"/>
              <w:rPr>
                <w:lang w:val="en-AU"/>
              </w:rPr>
            </w:pPr>
            <w:r w:rsidRPr="003408A6">
              <w:rPr>
                <w:lang w:val="en-AU"/>
              </w:rPr>
              <w:t>81.2 (80.9</w:t>
            </w:r>
            <w:r w:rsidR="00B802CF">
              <w:rPr>
                <w:lang w:val="en-AU"/>
              </w:rPr>
              <w:t>–</w:t>
            </w:r>
            <w:r w:rsidRPr="003408A6">
              <w:rPr>
                <w:lang w:val="en-AU"/>
              </w:rPr>
              <w:t>81.5)</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75.6 (75.2–</w:t>
            </w:r>
            <w:r w:rsidR="00F650A4" w:rsidRPr="003408A6">
              <w:rPr>
                <w:lang w:val="en-AU"/>
              </w:rPr>
              <w:t>75.9)</w:t>
            </w:r>
          </w:p>
        </w:tc>
      </w:tr>
      <w:tr w:rsidR="00F650A4" w:rsidRPr="003408A6" w:rsidTr="00B802CF">
        <w:trPr>
          <w:trHeight w:val="300"/>
        </w:trPr>
        <w:tc>
          <w:tcPr>
            <w:tcW w:w="2180" w:type="dxa"/>
            <w:tcBorders>
              <w:top w:val="nil"/>
              <w:left w:val="nil"/>
              <w:bottom w:val="nil"/>
              <w:right w:val="nil"/>
            </w:tcBorders>
            <w:shd w:val="clear" w:color="auto" w:fill="auto"/>
            <w:noWrap/>
            <w:vAlign w:val="bottom"/>
            <w:hideMark/>
          </w:tcPr>
          <w:p w:rsidR="00F650A4" w:rsidRPr="003408A6" w:rsidRDefault="00F650A4" w:rsidP="000E33CA">
            <w:pPr>
              <w:pStyle w:val="Tabletext"/>
              <w:rPr>
                <w:lang w:val="en-AU"/>
              </w:rPr>
            </w:pPr>
            <w:r w:rsidRPr="003408A6">
              <w:rPr>
                <w:lang w:val="en-AU"/>
              </w:rPr>
              <w:t>Quintile 2</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83.3 (83.0–</w:t>
            </w:r>
            <w:r w:rsidR="00F650A4" w:rsidRPr="003408A6">
              <w:rPr>
                <w:lang w:val="en-AU"/>
              </w:rPr>
              <w:t>83.6)</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79.4 (79.1–</w:t>
            </w:r>
            <w:r w:rsidR="00F650A4" w:rsidRPr="003408A6">
              <w:rPr>
                <w:lang w:val="en-AU"/>
              </w:rPr>
              <w:t>79.8)</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72.9 (72.6–</w:t>
            </w:r>
            <w:r w:rsidR="00F650A4" w:rsidRPr="003408A6">
              <w:rPr>
                <w:lang w:val="en-AU"/>
              </w:rPr>
              <w:t>73.3)</w:t>
            </w:r>
          </w:p>
        </w:tc>
      </w:tr>
      <w:tr w:rsidR="00F650A4" w:rsidRPr="003408A6" w:rsidTr="00B802CF">
        <w:trPr>
          <w:trHeight w:val="300"/>
        </w:trPr>
        <w:tc>
          <w:tcPr>
            <w:tcW w:w="2180" w:type="dxa"/>
            <w:tcBorders>
              <w:top w:val="nil"/>
              <w:left w:val="nil"/>
              <w:bottom w:val="nil"/>
              <w:right w:val="nil"/>
            </w:tcBorders>
            <w:shd w:val="clear" w:color="auto" w:fill="auto"/>
            <w:noWrap/>
            <w:vAlign w:val="bottom"/>
            <w:hideMark/>
          </w:tcPr>
          <w:p w:rsidR="00F650A4" w:rsidRPr="003408A6" w:rsidRDefault="00F650A4" w:rsidP="000E33CA">
            <w:pPr>
              <w:pStyle w:val="Tabletext"/>
              <w:rPr>
                <w:lang w:val="en-AU"/>
              </w:rPr>
            </w:pPr>
            <w:r w:rsidRPr="003408A6">
              <w:rPr>
                <w:lang w:val="en-AU"/>
              </w:rPr>
              <w:t>Quintile 3</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83.3 (83.0–</w:t>
            </w:r>
            <w:r w:rsidR="00F650A4" w:rsidRPr="003408A6">
              <w:rPr>
                <w:lang w:val="en-AU"/>
              </w:rPr>
              <w:t>83.6)</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79.9 (79.6–</w:t>
            </w:r>
            <w:r w:rsidR="00F650A4" w:rsidRPr="003408A6">
              <w:rPr>
                <w:lang w:val="en-AU"/>
              </w:rPr>
              <w:t>80.3)</w:t>
            </w:r>
          </w:p>
        </w:tc>
        <w:tc>
          <w:tcPr>
            <w:tcW w:w="1800" w:type="dxa"/>
            <w:tcBorders>
              <w:top w:val="nil"/>
              <w:left w:val="nil"/>
              <w:bottom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73.0 (72.6–</w:t>
            </w:r>
            <w:r w:rsidR="00F650A4" w:rsidRPr="003408A6">
              <w:rPr>
                <w:lang w:val="en-AU"/>
              </w:rPr>
              <w:t>73.3)</w:t>
            </w:r>
          </w:p>
        </w:tc>
      </w:tr>
      <w:tr w:rsidR="00F650A4" w:rsidRPr="003408A6" w:rsidTr="00B802CF">
        <w:trPr>
          <w:trHeight w:val="300"/>
        </w:trPr>
        <w:tc>
          <w:tcPr>
            <w:tcW w:w="2180" w:type="dxa"/>
            <w:tcBorders>
              <w:top w:val="nil"/>
              <w:left w:val="nil"/>
              <w:right w:val="nil"/>
            </w:tcBorders>
            <w:shd w:val="clear" w:color="auto" w:fill="auto"/>
            <w:noWrap/>
            <w:vAlign w:val="bottom"/>
            <w:hideMark/>
          </w:tcPr>
          <w:p w:rsidR="00F650A4" w:rsidRPr="003408A6" w:rsidRDefault="00F650A4" w:rsidP="000E33CA">
            <w:pPr>
              <w:pStyle w:val="Tabletext"/>
              <w:rPr>
                <w:lang w:val="en-AU"/>
              </w:rPr>
            </w:pPr>
            <w:r w:rsidRPr="003408A6">
              <w:rPr>
                <w:lang w:val="en-AU"/>
              </w:rPr>
              <w:t>Quintile 4</w:t>
            </w:r>
          </w:p>
        </w:tc>
        <w:tc>
          <w:tcPr>
            <w:tcW w:w="1800" w:type="dxa"/>
            <w:tcBorders>
              <w:top w:val="nil"/>
              <w:left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83.0 (82.7–</w:t>
            </w:r>
            <w:r w:rsidR="00F650A4" w:rsidRPr="003408A6">
              <w:rPr>
                <w:lang w:val="en-AU"/>
              </w:rPr>
              <w:t>83.3)</w:t>
            </w:r>
          </w:p>
        </w:tc>
        <w:tc>
          <w:tcPr>
            <w:tcW w:w="1800" w:type="dxa"/>
            <w:tcBorders>
              <w:top w:val="nil"/>
              <w:left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79.4 (79.1–</w:t>
            </w:r>
            <w:r w:rsidR="00F650A4" w:rsidRPr="003408A6">
              <w:rPr>
                <w:lang w:val="en-AU"/>
              </w:rPr>
              <w:t>79.7)</w:t>
            </w:r>
          </w:p>
        </w:tc>
        <w:tc>
          <w:tcPr>
            <w:tcW w:w="1800" w:type="dxa"/>
            <w:tcBorders>
              <w:top w:val="nil"/>
              <w:left w:val="nil"/>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72.6 (72.2–</w:t>
            </w:r>
            <w:r w:rsidR="00F650A4" w:rsidRPr="003408A6">
              <w:rPr>
                <w:lang w:val="en-AU"/>
              </w:rPr>
              <w:t>72.9)</w:t>
            </w:r>
          </w:p>
        </w:tc>
      </w:tr>
      <w:tr w:rsidR="00F650A4" w:rsidRPr="003408A6" w:rsidTr="00B802CF">
        <w:trPr>
          <w:trHeight w:val="300"/>
        </w:trPr>
        <w:tc>
          <w:tcPr>
            <w:tcW w:w="2180" w:type="dxa"/>
            <w:tcBorders>
              <w:top w:val="nil"/>
              <w:left w:val="nil"/>
              <w:bottom w:val="single" w:sz="4" w:space="0" w:color="auto"/>
              <w:right w:val="nil"/>
            </w:tcBorders>
            <w:shd w:val="clear" w:color="auto" w:fill="auto"/>
            <w:noWrap/>
            <w:vAlign w:val="bottom"/>
            <w:hideMark/>
          </w:tcPr>
          <w:p w:rsidR="00F650A4" w:rsidRPr="003408A6" w:rsidRDefault="00F650A4" w:rsidP="000E33CA">
            <w:pPr>
              <w:pStyle w:val="Tabletext"/>
              <w:rPr>
                <w:lang w:val="en-AU"/>
              </w:rPr>
            </w:pPr>
            <w:r w:rsidRPr="003408A6">
              <w:rPr>
                <w:lang w:val="en-AU"/>
              </w:rPr>
              <w:t>Quintile 5: Low SES</w:t>
            </w:r>
          </w:p>
        </w:tc>
        <w:tc>
          <w:tcPr>
            <w:tcW w:w="1800" w:type="dxa"/>
            <w:tcBorders>
              <w:top w:val="nil"/>
              <w:left w:val="nil"/>
              <w:bottom w:val="single" w:sz="4" w:space="0" w:color="auto"/>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83.1 (82.8–</w:t>
            </w:r>
            <w:r w:rsidR="00F650A4" w:rsidRPr="003408A6">
              <w:rPr>
                <w:lang w:val="en-AU"/>
              </w:rPr>
              <w:t>83.5)</w:t>
            </w:r>
          </w:p>
        </w:tc>
        <w:tc>
          <w:tcPr>
            <w:tcW w:w="1800" w:type="dxa"/>
            <w:tcBorders>
              <w:top w:val="nil"/>
              <w:left w:val="nil"/>
              <w:bottom w:val="single" w:sz="4" w:space="0" w:color="auto"/>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79.1 (78.8–</w:t>
            </w:r>
            <w:r w:rsidR="00F650A4" w:rsidRPr="003408A6">
              <w:rPr>
                <w:lang w:val="en-AU"/>
              </w:rPr>
              <w:t>79.4)</w:t>
            </w:r>
          </w:p>
        </w:tc>
        <w:tc>
          <w:tcPr>
            <w:tcW w:w="1800" w:type="dxa"/>
            <w:tcBorders>
              <w:top w:val="nil"/>
              <w:left w:val="nil"/>
              <w:bottom w:val="single" w:sz="4" w:space="0" w:color="auto"/>
              <w:right w:val="nil"/>
            </w:tcBorders>
            <w:shd w:val="clear" w:color="auto" w:fill="auto"/>
            <w:noWrap/>
            <w:vAlign w:val="bottom"/>
            <w:hideMark/>
          </w:tcPr>
          <w:p w:rsidR="00F650A4" w:rsidRPr="003408A6" w:rsidRDefault="00B802CF" w:rsidP="00B802CF">
            <w:pPr>
              <w:pStyle w:val="Tabletext"/>
              <w:jc w:val="center"/>
              <w:rPr>
                <w:lang w:val="en-AU"/>
              </w:rPr>
            </w:pPr>
            <w:r>
              <w:rPr>
                <w:lang w:val="en-AU"/>
              </w:rPr>
              <w:t>71.5 (71.2–</w:t>
            </w:r>
            <w:r w:rsidR="00F650A4" w:rsidRPr="003408A6">
              <w:rPr>
                <w:lang w:val="en-AU"/>
              </w:rPr>
              <w:t>71.9)</w:t>
            </w:r>
          </w:p>
        </w:tc>
      </w:tr>
    </w:tbl>
    <w:p w:rsidR="00F650A4" w:rsidRPr="003408A6" w:rsidRDefault="000E33CA" w:rsidP="000E33CA">
      <w:pPr>
        <w:pStyle w:val="Tablefootnote"/>
        <w:rPr>
          <w:rFonts w:eastAsia="Calibri"/>
        </w:rPr>
      </w:pPr>
      <w:r w:rsidRPr="003408A6">
        <w:rPr>
          <w:rFonts w:eastAsia="Calibri"/>
        </w:rPr>
        <w:t>*</w:t>
      </w:r>
      <w:r w:rsidRPr="003408A6">
        <w:rPr>
          <w:rFonts w:eastAsia="Calibri"/>
        </w:rPr>
        <w:tab/>
      </w:r>
      <w:r w:rsidR="00F650A4" w:rsidRPr="003408A6">
        <w:rPr>
          <w:rFonts w:eastAsia="Calibri"/>
        </w:rPr>
        <w:t>Data as at December 2011.</w:t>
      </w:r>
    </w:p>
    <w:p w:rsidR="00F650A4" w:rsidRPr="003408A6" w:rsidRDefault="00F650A4" w:rsidP="00DD7504">
      <w:pPr>
        <w:pStyle w:val="Heading3"/>
        <w:rPr>
          <w:rFonts w:eastAsia="Calibri"/>
          <w:lang w:eastAsia="en-US"/>
        </w:rPr>
      </w:pPr>
      <w:r w:rsidRPr="003408A6">
        <w:rPr>
          <w:rFonts w:eastAsia="Calibri"/>
          <w:lang w:eastAsia="en-US"/>
        </w:rPr>
        <w:t>Coverage by Indigenous status</w:t>
      </w:r>
    </w:p>
    <w:p w:rsidR="00F650A4" w:rsidRPr="003408A6" w:rsidRDefault="00F650A4" w:rsidP="000E33CA">
      <w:pPr>
        <w:pStyle w:val="BodyText"/>
        <w:rPr>
          <w:rFonts w:eastAsia="Calibri"/>
          <w:lang w:val="en-AU"/>
        </w:rPr>
      </w:pPr>
      <w:r w:rsidRPr="003408A6">
        <w:rPr>
          <w:rFonts w:eastAsia="Calibri"/>
          <w:lang w:val="en-AU"/>
        </w:rPr>
        <w:t>For vaccinations given during the female catch-up program, notification of Indigenous status to the Register was of insufficient completeness for reporting except in Queensland and the Northern Territory.</w:t>
      </w:r>
      <w:hyperlink w:anchor="_ENREF_41" w:tooltip="Brotherton, 2013 #1297" w:history="1">
        <w:r w:rsidR="00F27F90" w:rsidRPr="00B802CF">
          <w:rPr>
            <w:rFonts w:eastAsia="Calibri"/>
            <w:vertAlign w:val="superscript"/>
          </w:rPr>
          <w:fldChar w:fldCharType="begin"/>
        </w:r>
        <w:r w:rsidR="00F27F90">
          <w:rPr>
            <w:rFonts w:eastAsia="Calibri"/>
            <w:vertAlign w:val="superscript"/>
          </w:rPr>
          <w:instrText xml:space="preserve"> ADDIN EN.CITE &lt;EndNote&gt;&lt;Cite&gt;&lt;Author&gt;Brotherton&lt;/Author&gt;&lt;Year&gt;2013&lt;/Year&gt;&lt;RecNum&gt;1297&lt;/RecNum&gt;&lt;DisplayText&gt;&lt;style face="superscript"&gt;41&lt;/style&gt;&lt;/DisplayText&gt;&lt;record&gt;&lt;rec-number&gt;1297&lt;/rec-number&gt;&lt;foreign-keys&gt;&lt;key app="EN" db-id="dda0wweazfww9besetpx2r5pt0asp9ztvs95"&gt;1297&lt;/key&gt;&lt;/foreign-keys&gt;&lt;ref-type name="Journal Article"&gt;17&lt;/ref-type&gt;&lt;contributors&gt;&lt;authors&gt;&lt;author&gt;Brotherton, J.M.L. &lt;/author&gt;&lt;author&gt;Murray, S.L.&lt;/author&gt;&lt;author&gt;Hall, M. &lt;/author&gt;&lt;author&gt;Andrewartha, L.K.&lt;/author&gt;&lt;author&gt;Banks, C.A.&lt;/author&gt;&lt;author&gt;Meijer, D.&lt;/author&gt;&lt;author&gt;Pitcher, H. &lt;/author&gt;&lt;author&gt;Scully, M.&lt;/author&gt;&lt;author&gt;Molchanoff,  L.&lt;/author&gt;&lt;/authors&gt;&lt;/contributors&gt;&lt;titles&gt;&lt;title&gt;Human papillomavirus vaccine coverage among female Australian adolescents: success of the school-based approach&lt;/title&gt;&lt;secondary-title&gt;Medical Journal of Australia&lt;/secondary-title&gt;&lt;/titles&gt;&lt;periodical&gt;&lt;full-title&gt;Medical Journal of Australia&lt;/full-title&gt;&lt;abbr-1&gt;Med. J. Aust.&lt;/abbr-1&gt;&lt;abbr-2&gt;Med J Aust&lt;/abbr-2&gt;&lt;/periodical&gt;&lt;pages&gt;614-617&lt;/pages&gt;&lt;volume&gt;199&lt;/volume&gt;&lt;dates&gt;&lt;year&gt;2013&lt;/year&gt;&lt;/dates&gt;&lt;urls&gt;&lt;/urls&gt;&lt;electronic-resource-num&gt;10.5694/mja13.10272&lt;/electronic-resource-num&gt;&lt;/record&gt;&lt;/Cite&gt;&lt;/EndNote&gt;</w:instrText>
        </w:r>
        <w:r w:rsidR="00F27F90" w:rsidRPr="00B802CF">
          <w:rPr>
            <w:rFonts w:eastAsia="Calibri"/>
            <w:vertAlign w:val="superscript"/>
          </w:rPr>
          <w:fldChar w:fldCharType="separate"/>
        </w:r>
        <w:r w:rsidR="00F27F90" w:rsidRPr="00B802CF">
          <w:rPr>
            <w:rFonts w:eastAsia="Calibri"/>
            <w:noProof/>
            <w:vertAlign w:val="superscript"/>
          </w:rPr>
          <w:t>41</w:t>
        </w:r>
        <w:r w:rsidR="00F27F90" w:rsidRPr="00B802CF">
          <w:rPr>
            <w:rFonts w:eastAsia="Calibri"/>
            <w:vertAlign w:val="superscript"/>
          </w:rPr>
          <w:fldChar w:fldCharType="end"/>
        </w:r>
      </w:hyperlink>
      <w:r w:rsidRPr="003408A6">
        <w:rPr>
          <w:rFonts w:eastAsia="Calibri"/>
          <w:lang w:val="en-AU"/>
        </w:rPr>
        <w:t xml:space="preserve"> </w:t>
      </w:r>
      <w:r w:rsidRPr="003408A6">
        <w:rPr>
          <w:rFonts w:eastAsia="Calibri"/>
          <w:b/>
          <w:lang w:val="en-AU"/>
        </w:rPr>
        <w:t>Table 3.5</w:t>
      </w:r>
      <w:r w:rsidRPr="003408A6">
        <w:rPr>
          <w:rFonts w:eastAsia="Calibri"/>
          <w:lang w:val="en-AU"/>
        </w:rPr>
        <w:t xml:space="preserve"> and </w:t>
      </w:r>
      <w:r w:rsidRPr="003408A6">
        <w:rPr>
          <w:rFonts w:eastAsia="Calibri"/>
          <w:b/>
          <w:lang w:val="en-AU"/>
        </w:rPr>
        <w:t>Table 3.6</w:t>
      </w:r>
      <w:r w:rsidRPr="003408A6">
        <w:rPr>
          <w:rFonts w:eastAsia="Calibri"/>
          <w:lang w:val="en-AU"/>
        </w:rPr>
        <w:t xml:space="preserve"> show comparative estimates of coverage by Indigenous status in Queensland and the </w:t>
      </w:r>
      <w:r w:rsidRPr="003408A6">
        <w:rPr>
          <w:rFonts w:eastAsia="Calibri"/>
          <w:color w:val="000000"/>
          <w:lang w:val="en-AU"/>
        </w:rPr>
        <w:t>Northern Territory, respectively,</w:t>
      </w:r>
      <w:r w:rsidRPr="003408A6">
        <w:rPr>
          <w:rFonts w:eastAsia="Calibri"/>
          <w:lang w:val="en-AU"/>
        </w:rPr>
        <w:t xml:space="preserve"> for cohorts aged 10–26 years in 2007. These should be interpreted with caution, given the uncertainty in the accuracy of the denominator data and possible under-reporting of Indigenous status in the numerator. The data show a lower rate of vaccination in Indigenous females of school age in both jurisdictions. The </w:t>
      </w:r>
      <w:r w:rsidRPr="003408A6">
        <w:rPr>
          <w:rFonts w:eastAsia="Calibri"/>
          <w:color w:val="000000"/>
          <w:lang w:val="en-AU"/>
        </w:rPr>
        <w:t>Northern Territory</w:t>
      </w:r>
      <w:r w:rsidRPr="003408A6">
        <w:rPr>
          <w:rFonts w:eastAsia="Calibri"/>
          <w:lang w:val="en-AU"/>
        </w:rPr>
        <w:t xml:space="preserve"> estimates suggest slightly higher rates of dose 3 coverage in young adult Indigenous females, resulting in higher overall dose 3 coverage for 12–26-year-old Indigenous females than for non-Indigenous females. </w:t>
      </w:r>
    </w:p>
    <w:p w:rsidR="00F650A4" w:rsidRPr="003408A6" w:rsidRDefault="00F650A4" w:rsidP="00DD7504">
      <w:pPr>
        <w:pStyle w:val="Heading3"/>
        <w:rPr>
          <w:rFonts w:eastAsia="Calibri"/>
          <w:lang w:eastAsia="en-US"/>
        </w:rPr>
      </w:pPr>
      <w:r w:rsidRPr="003408A6">
        <w:rPr>
          <w:rFonts w:eastAsia="Calibri"/>
          <w:lang w:eastAsia="en-US"/>
        </w:rPr>
        <w:t>Coverage by age 15</w:t>
      </w:r>
      <w:r w:rsidR="00B802CF">
        <w:rPr>
          <w:rFonts w:eastAsia="Calibri"/>
          <w:lang w:eastAsia="en-US"/>
        </w:rPr>
        <w:t>,</w:t>
      </w:r>
      <w:r w:rsidRPr="003408A6">
        <w:rPr>
          <w:rFonts w:eastAsia="Calibri"/>
          <w:lang w:eastAsia="en-US"/>
        </w:rPr>
        <w:t xml:space="preserve"> over time and by state of residence</w:t>
      </w:r>
    </w:p>
    <w:p w:rsidR="00F650A4" w:rsidRPr="003408A6" w:rsidRDefault="00F650A4" w:rsidP="000E33CA">
      <w:pPr>
        <w:pStyle w:val="BodyText"/>
        <w:rPr>
          <w:lang w:val="en-AU"/>
        </w:rPr>
      </w:pPr>
      <w:r w:rsidRPr="003408A6">
        <w:rPr>
          <w:lang w:val="en-AU"/>
        </w:rPr>
        <w:t xml:space="preserve">Due to the varying age of administration of routine HPV vaccination (with children of varying ages in the first year of high school across the country), age 15 is a useful set point for comparing the coverage in the routine cohorts across jurisdictions. Age 15 is the recommended age for international comparisons from the World Health Organization (WHO). </w:t>
      </w:r>
      <w:r w:rsidRPr="003408A6">
        <w:rPr>
          <w:b/>
          <w:lang w:val="en-AU"/>
        </w:rPr>
        <w:t>Figure 3.2</w:t>
      </w:r>
      <w:r w:rsidRPr="003408A6">
        <w:rPr>
          <w:lang w:val="en-AU"/>
        </w:rPr>
        <w:t xml:space="preserve"> illustrates 3-dose coverage by age 15 in jurisdictions over time (data given in </w:t>
      </w:r>
      <w:r w:rsidRPr="003408A6">
        <w:rPr>
          <w:b/>
          <w:lang w:val="en-AU"/>
        </w:rPr>
        <w:t>Table 3.7</w:t>
      </w:r>
      <w:r w:rsidRPr="003408A6">
        <w:rPr>
          <w:lang w:val="en-AU"/>
        </w:rPr>
        <w:t xml:space="preserve">). Coverage has remained relatively stable over time. Slightly lower coverage is reported for these cohorts at age 15 compared to at earlier ages given the increasing denominator population over time due to net immigration. </w:t>
      </w:r>
      <w:r w:rsidRPr="003408A6">
        <w:rPr>
          <w:b/>
          <w:lang w:val="en-AU"/>
        </w:rPr>
        <w:t>Figure 3.3</w:t>
      </w:r>
      <w:r w:rsidRPr="003408A6">
        <w:rPr>
          <w:lang w:val="en-AU"/>
        </w:rPr>
        <w:t xml:space="preserve"> illustrates the coverage achieved and the varying age at vaccination of the 15-year-old 2011 cohort by jurisdiction. The figure clearly shows these variances in age of administration, with South Australian coverage at age 12 below 5%, while </w:t>
      </w:r>
      <w:r w:rsidRPr="003408A6">
        <w:rPr>
          <w:rFonts w:eastAsia="Calibri"/>
          <w:color w:val="000000"/>
          <w:lang w:val="en-AU"/>
        </w:rPr>
        <w:t>Northern Territory</w:t>
      </w:r>
      <w:r w:rsidRPr="003408A6">
        <w:rPr>
          <w:lang w:val="en-AU"/>
        </w:rPr>
        <w:t xml:space="preserve"> coverage for 12-year olds stands at over 60%. Some earlier vaccination at age 11 occurs in the </w:t>
      </w:r>
      <w:r w:rsidRPr="003408A6">
        <w:rPr>
          <w:rFonts w:eastAsia="Calibri"/>
          <w:color w:val="000000"/>
          <w:lang w:val="en-AU"/>
        </w:rPr>
        <w:t>Northern Territory</w:t>
      </w:r>
      <w:r w:rsidRPr="003408A6">
        <w:rPr>
          <w:lang w:val="en-AU"/>
        </w:rPr>
        <w:t xml:space="preserve"> and in Tasmania, where some councils have routinely vaccinated girls in the final year of primary school.</w:t>
      </w:r>
    </w:p>
    <w:p w:rsidR="00F650A4" w:rsidRPr="003408A6" w:rsidRDefault="00F650A4" w:rsidP="00F650A4">
      <w:pPr>
        <w:spacing w:line="360" w:lineRule="auto"/>
        <w:rPr>
          <w:rFonts w:cs="Arial"/>
          <w:szCs w:val="22"/>
          <w:lang w:eastAsia="en-US"/>
        </w:rPr>
        <w:sectPr w:rsidR="00F650A4" w:rsidRPr="003408A6" w:rsidSect="00D07C02">
          <w:pgSz w:w="11906" w:h="16838"/>
          <w:pgMar w:top="1440" w:right="1440" w:bottom="1440" w:left="1440" w:header="708" w:footer="708" w:gutter="0"/>
          <w:cols w:space="720"/>
        </w:sectPr>
      </w:pPr>
    </w:p>
    <w:p w:rsidR="00F650A4" w:rsidRPr="003408A6" w:rsidRDefault="00F650A4" w:rsidP="002E2DF6">
      <w:pPr>
        <w:pStyle w:val="Tableheading"/>
        <w:rPr>
          <w:lang w:val="en-AU"/>
        </w:rPr>
      </w:pPr>
      <w:bookmarkStart w:id="105" w:name="_Toc396475541"/>
      <w:bookmarkStart w:id="106" w:name="_Toc397000769"/>
      <w:bookmarkStart w:id="107" w:name="_Toc374735937"/>
      <w:r w:rsidRPr="003408A6">
        <w:rPr>
          <w:lang w:val="en-AU"/>
        </w:rPr>
        <w:t>Table 3.5</w:t>
      </w:r>
      <w:r w:rsidR="00901C17" w:rsidRPr="003408A6">
        <w:rPr>
          <w:lang w:val="en-AU"/>
        </w:rPr>
        <w:t>.</w:t>
      </w:r>
      <w:r w:rsidR="00901C17" w:rsidRPr="003408A6">
        <w:rPr>
          <w:lang w:val="en-AU"/>
        </w:rPr>
        <w:tab/>
      </w:r>
      <w:r w:rsidRPr="003408A6">
        <w:rPr>
          <w:lang w:val="en-AU"/>
        </w:rPr>
        <w:t xml:space="preserve">Notified HPV vaccination coverage </w:t>
      </w:r>
      <w:r w:rsidR="00CD08F1" w:rsidRPr="003408A6">
        <w:rPr>
          <w:lang w:val="en-AU"/>
        </w:rPr>
        <w:t xml:space="preserve">(%) </w:t>
      </w:r>
      <w:r w:rsidRPr="003408A6">
        <w:rPr>
          <w:lang w:val="en-AU"/>
        </w:rPr>
        <w:t>by Indigenous status and age in 2007, Queensland, Australia*</w:t>
      </w:r>
      <w:bookmarkEnd w:id="105"/>
      <w:bookmarkEnd w:id="106"/>
      <w:r w:rsidRPr="003408A6">
        <w:rPr>
          <w:lang w:val="en-AU"/>
        </w:rPr>
        <w:t xml:space="preserve"> </w:t>
      </w:r>
      <w:bookmarkEnd w:id="107"/>
    </w:p>
    <w:tbl>
      <w:tblPr>
        <w:tblW w:w="5000" w:type="pct"/>
        <w:tblLayout w:type="fixed"/>
        <w:tblLook w:val="04A0" w:firstRow="1" w:lastRow="0" w:firstColumn="1" w:lastColumn="0" w:noHBand="0" w:noVBand="1"/>
      </w:tblPr>
      <w:tblGrid>
        <w:gridCol w:w="1382"/>
        <w:gridCol w:w="1186"/>
        <w:gridCol w:w="1186"/>
        <w:gridCol w:w="1187"/>
        <w:gridCol w:w="1187"/>
        <w:gridCol w:w="1187"/>
        <w:gridCol w:w="1187"/>
        <w:gridCol w:w="1187"/>
        <w:gridCol w:w="1187"/>
        <w:gridCol w:w="1187"/>
        <w:gridCol w:w="1187"/>
        <w:gridCol w:w="1187"/>
        <w:gridCol w:w="1177"/>
      </w:tblGrid>
      <w:tr w:rsidR="00F650A4" w:rsidRPr="003408A6" w:rsidTr="00B802CF">
        <w:trPr>
          <w:trHeight w:val="320"/>
        </w:trPr>
        <w:tc>
          <w:tcPr>
            <w:tcW w:w="443" w:type="pct"/>
            <w:tcBorders>
              <w:top w:val="single" w:sz="8" w:space="0" w:color="auto"/>
              <w:left w:val="single" w:sz="8" w:space="0" w:color="auto"/>
              <w:bottom w:val="double" w:sz="6" w:space="0" w:color="auto"/>
              <w:right w:val="double" w:sz="6" w:space="0" w:color="auto"/>
            </w:tcBorders>
            <w:noWrap/>
            <w:vAlign w:val="bottom"/>
            <w:hideMark/>
          </w:tcPr>
          <w:p w:rsidR="00F650A4" w:rsidRPr="003408A6" w:rsidRDefault="00F650A4" w:rsidP="000E33CA">
            <w:pPr>
              <w:pStyle w:val="Tablecolumnheadings"/>
              <w:rPr>
                <w:lang w:val="en-AU"/>
              </w:rPr>
            </w:pPr>
          </w:p>
        </w:tc>
        <w:tc>
          <w:tcPr>
            <w:tcW w:w="1519" w:type="pct"/>
            <w:gridSpan w:val="4"/>
            <w:tcBorders>
              <w:top w:val="single" w:sz="8" w:space="0" w:color="auto"/>
              <w:left w:val="nil"/>
              <w:bottom w:val="double" w:sz="6" w:space="0" w:color="auto"/>
              <w:right w:val="double" w:sz="6" w:space="0" w:color="000000"/>
            </w:tcBorders>
            <w:noWrap/>
            <w:vAlign w:val="bottom"/>
            <w:hideMark/>
          </w:tcPr>
          <w:p w:rsidR="00F650A4" w:rsidRPr="003408A6" w:rsidRDefault="00F650A4" w:rsidP="000E33CA">
            <w:pPr>
              <w:pStyle w:val="Tablecolumnheadings"/>
              <w:rPr>
                <w:lang w:val="en-AU"/>
              </w:rPr>
            </w:pPr>
            <w:r w:rsidRPr="003408A6">
              <w:rPr>
                <w:lang w:val="en-AU"/>
              </w:rPr>
              <w:t>DOSE 1 COVERAGE</w:t>
            </w:r>
            <w:r w:rsidR="00B802CF">
              <w:rPr>
                <w:lang w:val="en-AU"/>
              </w:rPr>
              <w:t xml:space="preserve"> (%)</w:t>
            </w:r>
          </w:p>
        </w:tc>
        <w:tc>
          <w:tcPr>
            <w:tcW w:w="1519" w:type="pct"/>
            <w:gridSpan w:val="4"/>
            <w:tcBorders>
              <w:top w:val="single" w:sz="8" w:space="0" w:color="auto"/>
              <w:left w:val="nil"/>
              <w:bottom w:val="double" w:sz="6" w:space="0" w:color="auto"/>
              <w:right w:val="double" w:sz="6" w:space="0" w:color="000000"/>
            </w:tcBorders>
            <w:noWrap/>
            <w:vAlign w:val="bottom"/>
            <w:hideMark/>
          </w:tcPr>
          <w:p w:rsidR="00F650A4" w:rsidRPr="003408A6" w:rsidRDefault="00F650A4" w:rsidP="000E33CA">
            <w:pPr>
              <w:pStyle w:val="Tablecolumnheadings"/>
              <w:rPr>
                <w:lang w:val="en-AU"/>
              </w:rPr>
            </w:pPr>
            <w:r w:rsidRPr="003408A6">
              <w:rPr>
                <w:lang w:val="en-AU"/>
              </w:rPr>
              <w:t>DOSE 2 COVERAGE</w:t>
            </w:r>
            <w:r w:rsidR="00B802CF">
              <w:rPr>
                <w:lang w:val="en-AU"/>
              </w:rPr>
              <w:t xml:space="preserve"> (%)</w:t>
            </w:r>
          </w:p>
        </w:tc>
        <w:tc>
          <w:tcPr>
            <w:tcW w:w="1519" w:type="pct"/>
            <w:gridSpan w:val="4"/>
            <w:tcBorders>
              <w:top w:val="single" w:sz="8" w:space="0" w:color="auto"/>
              <w:left w:val="nil"/>
              <w:bottom w:val="double" w:sz="6" w:space="0" w:color="auto"/>
              <w:right w:val="single" w:sz="8" w:space="0" w:color="auto"/>
            </w:tcBorders>
            <w:noWrap/>
            <w:vAlign w:val="bottom"/>
            <w:hideMark/>
          </w:tcPr>
          <w:p w:rsidR="00F650A4" w:rsidRPr="003408A6" w:rsidRDefault="00F650A4" w:rsidP="000E33CA">
            <w:pPr>
              <w:pStyle w:val="Tablecolumnheadings"/>
              <w:rPr>
                <w:lang w:val="en-AU"/>
              </w:rPr>
            </w:pPr>
            <w:r w:rsidRPr="003408A6">
              <w:rPr>
                <w:lang w:val="en-AU"/>
              </w:rPr>
              <w:t>DOSE 3 COVERAGE</w:t>
            </w:r>
            <w:r w:rsidR="00B802CF">
              <w:rPr>
                <w:lang w:val="en-AU"/>
              </w:rPr>
              <w:t xml:space="preserve"> (%)</w:t>
            </w:r>
          </w:p>
        </w:tc>
      </w:tr>
      <w:tr w:rsidR="00B8646D" w:rsidRPr="003408A6" w:rsidTr="00B802CF">
        <w:trPr>
          <w:trHeight w:val="320"/>
        </w:trPr>
        <w:tc>
          <w:tcPr>
            <w:tcW w:w="443" w:type="pct"/>
            <w:tcBorders>
              <w:top w:val="nil"/>
              <w:left w:val="single" w:sz="8" w:space="0" w:color="auto"/>
              <w:bottom w:val="double" w:sz="6" w:space="0" w:color="auto"/>
              <w:right w:val="double" w:sz="6"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Age at 30 June 2007 (years)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non-Indigenous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Difference</w:t>
            </w:r>
          </w:p>
        </w:tc>
        <w:tc>
          <w:tcPr>
            <w:tcW w:w="380" w:type="pct"/>
            <w:tcBorders>
              <w:top w:val="nil"/>
              <w:left w:val="nil"/>
              <w:bottom w:val="double" w:sz="6" w:space="0" w:color="auto"/>
              <w:right w:val="double" w:sz="6"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All</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non-Indigenous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Difference</w:t>
            </w:r>
          </w:p>
        </w:tc>
        <w:tc>
          <w:tcPr>
            <w:tcW w:w="380" w:type="pct"/>
            <w:tcBorders>
              <w:top w:val="nil"/>
              <w:left w:val="nil"/>
              <w:bottom w:val="double" w:sz="6" w:space="0" w:color="auto"/>
              <w:right w:val="double" w:sz="6"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All</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non-Indigenous</w:t>
            </w:r>
          </w:p>
        </w:tc>
        <w:tc>
          <w:tcPr>
            <w:tcW w:w="380" w:type="pct"/>
            <w:tcBorders>
              <w:top w:val="nil"/>
              <w:left w:val="nil"/>
              <w:bottom w:val="double" w:sz="6" w:space="0" w:color="auto"/>
              <w:right w:val="single" w:sz="4"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Difference</w:t>
            </w:r>
          </w:p>
        </w:tc>
        <w:tc>
          <w:tcPr>
            <w:tcW w:w="380" w:type="pct"/>
            <w:tcBorders>
              <w:top w:val="nil"/>
              <w:left w:val="nil"/>
              <w:bottom w:val="double" w:sz="6" w:space="0" w:color="auto"/>
              <w:right w:val="single" w:sz="8" w:space="0" w:color="auto"/>
            </w:tcBorders>
            <w:shd w:val="clear" w:color="auto" w:fill="BFBFBF"/>
            <w:noWrap/>
            <w:vAlign w:val="center"/>
            <w:hideMark/>
          </w:tcPr>
          <w:p w:rsidR="00F650A4" w:rsidRPr="003408A6" w:rsidRDefault="00F650A4" w:rsidP="00CD08F1">
            <w:pPr>
              <w:pStyle w:val="Tablecolumnheading"/>
              <w:jc w:val="center"/>
              <w:rPr>
                <w:sz w:val="18"/>
                <w:szCs w:val="18"/>
                <w:lang w:val="en-AU"/>
              </w:rPr>
            </w:pPr>
            <w:r w:rsidRPr="003408A6">
              <w:rPr>
                <w:sz w:val="18"/>
                <w:szCs w:val="18"/>
                <w:lang w:val="en-AU"/>
              </w:rPr>
              <w:t>All</w:t>
            </w:r>
          </w:p>
        </w:tc>
      </w:tr>
      <w:tr w:rsidR="00CD08F1" w:rsidRPr="003408A6" w:rsidTr="00B802CF">
        <w:trPr>
          <w:trHeight w:val="283"/>
        </w:trPr>
        <w:tc>
          <w:tcPr>
            <w:tcW w:w="443" w:type="pct"/>
            <w:tcBorders>
              <w:top w:val="double" w:sz="6"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12</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80.4</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84.7</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4.3</w:t>
            </w:r>
          </w:p>
        </w:tc>
        <w:tc>
          <w:tcPr>
            <w:tcW w:w="380" w:type="pct"/>
            <w:tcBorders>
              <w:top w:val="single" w:sz="4" w:space="0" w:color="auto"/>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84.4</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71.7</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80.8</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9</w:t>
            </w:r>
            <w:r w:rsidR="00CD08F1" w:rsidRPr="003408A6">
              <w:rPr>
                <w:color w:val="FF0000"/>
                <w:sz w:val="18"/>
                <w:szCs w:val="18"/>
                <w:lang w:val="en-AU"/>
              </w:rPr>
              <w:t>.1</w:t>
            </w:r>
          </w:p>
        </w:tc>
        <w:tc>
          <w:tcPr>
            <w:tcW w:w="380" w:type="pct"/>
            <w:tcBorders>
              <w:top w:val="single" w:sz="4" w:space="0" w:color="auto"/>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80.2</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58.0</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73.2</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–15.2</w:t>
            </w:r>
          </w:p>
        </w:tc>
        <w:tc>
          <w:tcPr>
            <w:tcW w:w="380" w:type="pct"/>
            <w:tcBorders>
              <w:top w:val="single" w:sz="4" w:space="0" w:color="auto"/>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72.3</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13</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78.9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84.2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5.3</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83.9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69.2</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10.9</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79.4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56.0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72.0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–15.9</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71.0</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83.8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85.9</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2.2</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85.8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71.7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81.2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9.5</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80.6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57.1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72.9</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–15.9</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72.0</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86.4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5.9</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86.1</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69.0</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81.6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12.6</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80.8</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53.5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73.7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–20.2</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72.4</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16</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81.5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86.1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4.7</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85.9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69.2</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79.9</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–10.7</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79.3</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54.4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71.0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–16.6</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70.0</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77.5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80.8</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3.3</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80.6</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62.8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71.6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–8.8</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71.1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46.9</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57.6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–10.7</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57.0</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70.7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75.8</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5.0</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75.5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52.6</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63.2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B8646D">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10.5</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62.6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32.6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40.5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–7.9</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40.1</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19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68.3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
              <w:jc w:val="center"/>
              <w:rPr>
                <w:sz w:val="18"/>
                <w:szCs w:val="18"/>
                <w:lang w:val="en-AU"/>
              </w:rPr>
            </w:pPr>
            <w:r w:rsidRPr="003408A6">
              <w:rPr>
                <w:sz w:val="18"/>
                <w:szCs w:val="18"/>
                <w:lang w:val="en-AU"/>
              </w:rPr>
              <w:t>74</w:t>
            </w:r>
            <w:r w:rsidR="00CD08F1" w:rsidRPr="003408A6">
              <w:rPr>
                <w:sz w:val="18"/>
                <w:szCs w:val="18"/>
                <w:lang w:val="en-AU"/>
              </w:rPr>
              <w:t>.2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5.9</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73.9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52.4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61.1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–8.7</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60.7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33.2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38.5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–5.4</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38.3</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20</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66.8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72.0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5.1</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71.7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52.2</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59.9</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–7.6</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59.5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33.3</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37.4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–4.0</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37.2</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21</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60.9</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68.8</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7.9</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68.4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46.1</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56.7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B8646D">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10.6</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56.2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28.7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36.0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–7.3</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35.7</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22</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60.0</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67.7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7.6</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67.4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48.1</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
              <w:jc w:val="center"/>
              <w:rPr>
                <w:sz w:val="18"/>
                <w:szCs w:val="18"/>
                <w:lang w:val="en-AU"/>
              </w:rPr>
            </w:pPr>
            <w:r w:rsidRPr="003408A6">
              <w:rPr>
                <w:sz w:val="18"/>
                <w:szCs w:val="18"/>
                <w:lang w:val="en-AU"/>
              </w:rPr>
              <w:t>55.7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–7.7</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55.4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28.1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35.3</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–7.2</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35.0</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23</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60.8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67.1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6.3</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66.8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47.7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55.5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–7.8</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55.2</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28.5</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–7.2</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35.4</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59.4</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66.4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6.9</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66.1</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47.5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55.3</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–7.8</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55.0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31.1</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35.0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–3.9</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34.9</w:t>
            </w:r>
          </w:p>
        </w:tc>
      </w:tr>
      <w:tr w:rsidR="00CD08F1" w:rsidRPr="003408A6" w:rsidTr="00B802CF">
        <w:trPr>
          <w:trHeight w:val="283"/>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25</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50.0</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58.0</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7.9</w:t>
            </w:r>
          </w:p>
        </w:tc>
        <w:tc>
          <w:tcPr>
            <w:tcW w:w="380" w:type="pct"/>
            <w:tcBorders>
              <w:top w:val="nil"/>
              <w:left w:val="nil"/>
              <w:bottom w:val="single" w:sz="4"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57.7</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36.8</w:t>
            </w:r>
          </w:p>
        </w:tc>
        <w:tc>
          <w:tcPr>
            <w:tcW w:w="380" w:type="pct"/>
            <w:tcBorders>
              <w:top w:val="nil"/>
              <w:left w:val="nil"/>
              <w:bottom w:val="single" w:sz="4"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47.8</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B8646D">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11.1</w:t>
            </w:r>
          </w:p>
        </w:tc>
        <w:tc>
          <w:tcPr>
            <w:tcW w:w="380" w:type="pct"/>
            <w:tcBorders>
              <w:top w:val="nil"/>
              <w:left w:val="nil"/>
              <w:bottom w:val="single" w:sz="4"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47.4</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22.7</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28.6</w:t>
            </w:r>
          </w:p>
        </w:tc>
        <w:tc>
          <w:tcPr>
            <w:tcW w:w="380" w:type="pct"/>
            <w:tcBorders>
              <w:top w:val="nil"/>
              <w:left w:val="nil"/>
              <w:bottom w:val="single" w:sz="4"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F650A4" w:rsidRPr="003408A6">
              <w:rPr>
                <w:color w:val="FF0000"/>
                <w:sz w:val="18"/>
                <w:szCs w:val="18"/>
                <w:lang w:val="en-AU"/>
              </w:rPr>
              <w:t>5</w:t>
            </w:r>
            <w:r w:rsidRPr="003408A6">
              <w:rPr>
                <w:color w:val="FF0000"/>
                <w:sz w:val="18"/>
                <w:szCs w:val="18"/>
                <w:lang w:val="en-AU"/>
              </w:rPr>
              <w:t>.9</w:t>
            </w:r>
          </w:p>
        </w:tc>
        <w:tc>
          <w:tcPr>
            <w:tcW w:w="380" w:type="pct"/>
            <w:tcBorders>
              <w:top w:val="nil"/>
              <w:left w:val="nil"/>
              <w:bottom w:val="single" w:sz="4"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28.4</w:t>
            </w:r>
          </w:p>
        </w:tc>
      </w:tr>
      <w:tr w:rsidR="00CD08F1" w:rsidRPr="003408A6" w:rsidTr="00B802CF">
        <w:trPr>
          <w:trHeight w:val="283"/>
        </w:trPr>
        <w:tc>
          <w:tcPr>
            <w:tcW w:w="443" w:type="pct"/>
            <w:tcBorders>
              <w:top w:val="single" w:sz="4" w:space="0" w:color="auto"/>
              <w:left w:val="single" w:sz="8" w:space="0" w:color="auto"/>
              <w:bottom w:val="double" w:sz="6"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26</w:t>
            </w:r>
          </w:p>
        </w:tc>
        <w:tc>
          <w:tcPr>
            <w:tcW w:w="380" w:type="pct"/>
            <w:tcBorders>
              <w:top w:val="nil"/>
              <w:left w:val="nil"/>
              <w:bottom w:val="nil"/>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23.2</w:t>
            </w:r>
          </w:p>
        </w:tc>
        <w:tc>
          <w:tcPr>
            <w:tcW w:w="380" w:type="pct"/>
            <w:tcBorders>
              <w:top w:val="nil"/>
              <w:left w:val="nil"/>
              <w:bottom w:val="nil"/>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32.9</w:t>
            </w:r>
          </w:p>
        </w:tc>
        <w:tc>
          <w:tcPr>
            <w:tcW w:w="380" w:type="pct"/>
            <w:tcBorders>
              <w:top w:val="nil"/>
              <w:left w:val="nil"/>
              <w:bottom w:val="nil"/>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9.7</w:t>
            </w:r>
          </w:p>
        </w:tc>
        <w:tc>
          <w:tcPr>
            <w:tcW w:w="380" w:type="pct"/>
            <w:tcBorders>
              <w:top w:val="nil"/>
              <w:left w:val="nil"/>
              <w:bottom w:val="nil"/>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32.6</w:t>
            </w:r>
          </w:p>
        </w:tc>
        <w:tc>
          <w:tcPr>
            <w:tcW w:w="380" w:type="pct"/>
            <w:tcBorders>
              <w:top w:val="nil"/>
              <w:left w:val="nil"/>
              <w:bottom w:val="nil"/>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18.6</w:t>
            </w:r>
          </w:p>
        </w:tc>
        <w:tc>
          <w:tcPr>
            <w:tcW w:w="380" w:type="pct"/>
            <w:tcBorders>
              <w:top w:val="nil"/>
              <w:left w:val="nil"/>
              <w:bottom w:val="nil"/>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26.3</w:t>
            </w:r>
          </w:p>
        </w:tc>
        <w:tc>
          <w:tcPr>
            <w:tcW w:w="380" w:type="pct"/>
            <w:tcBorders>
              <w:top w:val="nil"/>
              <w:left w:val="nil"/>
              <w:bottom w:val="nil"/>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–7.7</w:t>
            </w:r>
          </w:p>
        </w:tc>
        <w:tc>
          <w:tcPr>
            <w:tcW w:w="380" w:type="pct"/>
            <w:tcBorders>
              <w:top w:val="nil"/>
              <w:left w:val="nil"/>
              <w:bottom w:val="nil"/>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26.0</w:t>
            </w:r>
          </w:p>
        </w:tc>
        <w:tc>
          <w:tcPr>
            <w:tcW w:w="380" w:type="pct"/>
            <w:tcBorders>
              <w:top w:val="nil"/>
              <w:left w:val="nil"/>
              <w:bottom w:val="nil"/>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10.1</w:t>
            </w:r>
          </w:p>
        </w:tc>
        <w:tc>
          <w:tcPr>
            <w:tcW w:w="380" w:type="pct"/>
            <w:tcBorders>
              <w:top w:val="nil"/>
              <w:left w:val="nil"/>
              <w:bottom w:val="nil"/>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13.4</w:t>
            </w:r>
          </w:p>
        </w:tc>
        <w:tc>
          <w:tcPr>
            <w:tcW w:w="380" w:type="pct"/>
            <w:tcBorders>
              <w:top w:val="nil"/>
              <w:left w:val="nil"/>
              <w:bottom w:val="nil"/>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–3.3</w:t>
            </w:r>
          </w:p>
        </w:tc>
        <w:tc>
          <w:tcPr>
            <w:tcW w:w="380" w:type="pct"/>
            <w:tcBorders>
              <w:top w:val="nil"/>
              <w:left w:val="nil"/>
              <w:bottom w:val="nil"/>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13.3</w:t>
            </w:r>
          </w:p>
        </w:tc>
      </w:tr>
      <w:tr w:rsidR="00CD08F1" w:rsidRPr="003408A6" w:rsidTr="00B802CF">
        <w:trPr>
          <w:trHeight w:val="320"/>
        </w:trPr>
        <w:tc>
          <w:tcPr>
            <w:tcW w:w="443" w:type="pct"/>
            <w:tcBorders>
              <w:top w:val="double" w:sz="6" w:space="0" w:color="auto"/>
              <w:left w:val="single" w:sz="8" w:space="0" w:color="auto"/>
              <w:bottom w:val="single" w:sz="8" w:space="0" w:color="auto"/>
              <w:right w:val="double" w:sz="6" w:space="0" w:color="auto"/>
            </w:tcBorders>
            <w:noWrap/>
            <w:vAlign w:val="center"/>
            <w:hideMark/>
          </w:tcPr>
          <w:p w:rsidR="00F650A4" w:rsidRPr="003408A6" w:rsidRDefault="00F650A4" w:rsidP="00CD08F1">
            <w:pPr>
              <w:pStyle w:val="Tabletext0beforeafter"/>
              <w:jc w:val="center"/>
              <w:rPr>
                <w:b/>
                <w:sz w:val="18"/>
                <w:szCs w:val="18"/>
                <w:lang w:val="en-AU"/>
              </w:rPr>
            </w:pPr>
            <w:r w:rsidRPr="003408A6">
              <w:rPr>
                <w:b/>
                <w:sz w:val="18"/>
                <w:szCs w:val="18"/>
                <w:lang w:val="en-AU"/>
              </w:rPr>
              <w:t>Total</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69.4</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73.7</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w:t>
            </w:r>
            <w:r w:rsidR="00CD08F1" w:rsidRPr="003408A6">
              <w:rPr>
                <w:color w:val="FF0000"/>
                <w:sz w:val="18"/>
                <w:szCs w:val="18"/>
                <w:lang w:val="en-AU"/>
              </w:rPr>
              <w:t>4.3</w:t>
            </w:r>
          </w:p>
        </w:tc>
        <w:tc>
          <w:tcPr>
            <w:tcW w:w="380" w:type="pct"/>
            <w:tcBorders>
              <w:top w:val="double" w:sz="6" w:space="0" w:color="auto"/>
              <w:left w:val="nil"/>
              <w:bottom w:val="single" w:sz="8" w:space="0" w:color="auto"/>
              <w:right w:val="double" w:sz="6"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73.5</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57.5</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CD08F1" w:rsidP="00CD08F1">
            <w:pPr>
              <w:pStyle w:val="Tabletext0beforeafter"/>
              <w:jc w:val="center"/>
              <w:rPr>
                <w:sz w:val="18"/>
                <w:szCs w:val="18"/>
                <w:lang w:val="en-AU"/>
              </w:rPr>
            </w:pPr>
            <w:r w:rsidRPr="003408A6">
              <w:rPr>
                <w:sz w:val="18"/>
                <w:szCs w:val="18"/>
                <w:lang w:val="en-AU"/>
              </w:rPr>
              <w:t>65.0</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–7.5</w:t>
            </w:r>
          </w:p>
        </w:tc>
        <w:tc>
          <w:tcPr>
            <w:tcW w:w="380" w:type="pct"/>
            <w:tcBorders>
              <w:top w:val="double" w:sz="6" w:space="0" w:color="auto"/>
              <w:left w:val="nil"/>
              <w:bottom w:val="single" w:sz="8" w:space="0" w:color="auto"/>
              <w:right w:val="double" w:sz="6"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64.6</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41.4</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49.2</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B8646D" w:rsidP="00CD08F1">
            <w:pPr>
              <w:pStyle w:val="Tabletext0beforeafter"/>
              <w:jc w:val="center"/>
              <w:rPr>
                <w:color w:val="FF0000"/>
                <w:sz w:val="18"/>
                <w:szCs w:val="18"/>
                <w:lang w:val="en-AU"/>
              </w:rPr>
            </w:pPr>
            <w:r w:rsidRPr="003408A6">
              <w:rPr>
                <w:color w:val="FF0000"/>
                <w:sz w:val="18"/>
                <w:szCs w:val="18"/>
                <w:lang w:val="en-AU"/>
              </w:rPr>
              <w:t>–7.8</w:t>
            </w:r>
          </w:p>
        </w:tc>
        <w:tc>
          <w:tcPr>
            <w:tcW w:w="380" w:type="pct"/>
            <w:tcBorders>
              <w:top w:val="double" w:sz="6" w:space="0" w:color="auto"/>
              <w:left w:val="nil"/>
              <w:bottom w:val="single" w:sz="8" w:space="0" w:color="auto"/>
              <w:right w:val="single" w:sz="8" w:space="0" w:color="auto"/>
            </w:tcBorders>
            <w:noWrap/>
            <w:vAlign w:val="center"/>
            <w:hideMark/>
          </w:tcPr>
          <w:p w:rsidR="00F650A4" w:rsidRPr="003408A6" w:rsidRDefault="00B8646D" w:rsidP="00CD08F1">
            <w:pPr>
              <w:pStyle w:val="Tabletext0beforeafter"/>
              <w:jc w:val="center"/>
              <w:rPr>
                <w:sz w:val="18"/>
                <w:szCs w:val="18"/>
                <w:lang w:val="en-AU"/>
              </w:rPr>
            </w:pPr>
            <w:r w:rsidRPr="003408A6">
              <w:rPr>
                <w:sz w:val="18"/>
                <w:szCs w:val="18"/>
                <w:lang w:val="en-AU"/>
              </w:rPr>
              <w:t>48.8</w:t>
            </w:r>
          </w:p>
        </w:tc>
      </w:tr>
    </w:tbl>
    <w:p w:rsidR="00F650A4" w:rsidRPr="003408A6" w:rsidRDefault="00CD08F1" w:rsidP="00CD08F1">
      <w:pPr>
        <w:pStyle w:val="Tablefootnote"/>
        <w:rPr>
          <w:lang w:eastAsia="en-US"/>
        </w:rPr>
      </w:pPr>
      <w:r w:rsidRPr="003408A6">
        <w:rPr>
          <w:lang w:eastAsia="en-US"/>
        </w:rPr>
        <w:t>*</w:t>
      </w:r>
      <w:r w:rsidRPr="003408A6">
        <w:rPr>
          <w:lang w:eastAsia="en-US"/>
        </w:rPr>
        <w:tab/>
      </w:r>
      <w:r w:rsidR="00F650A4" w:rsidRPr="003408A6">
        <w:rPr>
          <w:lang w:eastAsia="en-US"/>
        </w:rPr>
        <w:t>Data as at Dec</w:t>
      </w:r>
      <w:r w:rsidR="00B802CF">
        <w:rPr>
          <w:lang w:eastAsia="en-US"/>
        </w:rPr>
        <w:t>ember</w:t>
      </w:r>
      <w:r w:rsidR="00F650A4" w:rsidRPr="003408A6">
        <w:rPr>
          <w:lang w:eastAsia="en-US"/>
        </w:rPr>
        <w:t xml:space="preserve"> 2010. Experimental ABS population estimates used as the denominator.</w:t>
      </w:r>
    </w:p>
    <w:p w:rsidR="003950D9" w:rsidRPr="003408A6" w:rsidRDefault="003950D9">
      <w:r w:rsidRPr="003408A6">
        <w:br w:type="page"/>
      </w:r>
    </w:p>
    <w:p w:rsidR="00F650A4" w:rsidRPr="003408A6" w:rsidRDefault="00901C17" w:rsidP="00CD08F1">
      <w:pPr>
        <w:pStyle w:val="Tableheading"/>
        <w:rPr>
          <w:lang w:val="en-AU"/>
        </w:rPr>
      </w:pPr>
      <w:bookmarkStart w:id="108" w:name="_Toc396475542"/>
      <w:bookmarkStart w:id="109" w:name="_Toc397000770"/>
      <w:bookmarkStart w:id="110" w:name="_Toc374735938"/>
      <w:r w:rsidRPr="003408A6">
        <w:rPr>
          <w:lang w:val="en-AU"/>
        </w:rPr>
        <w:t>Table 3.6.</w:t>
      </w:r>
      <w:r w:rsidRPr="003408A6">
        <w:rPr>
          <w:lang w:val="en-AU"/>
        </w:rPr>
        <w:tab/>
      </w:r>
      <w:r w:rsidR="00F650A4" w:rsidRPr="003408A6">
        <w:rPr>
          <w:lang w:val="en-AU"/>
        </w:rPr>
        <w:t>Notified HPV vaccin</w:t>
      </w:r>
      <w:r w:rsidR="00204397">
        <w:rPr>
          <w:lang w:val="en-AU"/>
        </w:rPr>
        <w:t>ation</w:t>
      </w:r>
      <w:r w:rsidR="00F650A4" w:rsidRPr="003408A6">
        <w:rPr>
          <w:lang w:val="en-AU"/>
        </w:rPr>
        <w:t xml:space="preserve"> coverage </w:t>
      </w:r>
      <w:r w:rsidR="00CD08F1" w:rsidRPr="003408A6">
        <w:rPr>
          <w:lang w:val="en-AU"/>
        </w:rPr>
        <w:t xml:space="preserve">(%) </w:t>
      </w:r>
      <w:r w:rsidR="00F650A4" w:rsidRPr="003408A6">
        <w:rPr>
          <w:lang w:val="en-AU"/>
        </w:rPr>
        <w:t>by Indigenous status and age in 2007, Northern Territory, Australia*</w:t>
      </w:r>
      <w:bookmarkEnd w:id="108"/>
      <w:bookmarkEnd w:id="109"/>
      <w:r w:rsidR="00F650A4" w:rsidRPr="003408A6">
        <w:rPr>
          <w:lang w:val="en-AU"/>
        </w:rPr>
        <w:t xml:space="preserve"> </w:t>
      </w:r>
      <w:bookmarkEnd w:id="110"/>
    </w:p>
    <w:tbl>
      <w:tblPr>
        <w:tblW w:w="5000" w:type="pct"/>
        <w:tblLayout w:type="fixed"/>
        <w:tblLook w:val="04A0" w:firstRow="1" w:lastRow="0" w:firstColumn="1" w:lastColumn="0" w:noHBand="0" w:noVBand="1"/>
      </w:tblPr>
      <w:tblGrid>
        <w:gridCol w:w="1382"/>
        <w:gridCol w:w="1183"/>
        <w:gridCol w:w="1186"/>
        <w:gridCol w:w="1186"/>
        <w:gridCol w:w="1187"/>
        <w:gridCol w:w="1187"/>
        <w:gridCol w:w="1187"/>
        <w:gridCol w:w="1184"/>
        <w:gridCol w:w="1187"/>
        <w:gridCol w:w="1187"/>
        <w:gridCol w:w="1187"/>
        <w:gridCol w:w="1187"/>
        <w:gridCol w:w="1184"/>
      </w:tblGrid>
      <w:tr w:rsidR="00B8646D" w:rsidRPr="003408A6" w:rsidTr="00B802CF">
        <w:trPr>
          <w:trHeight w:val="320"/>
        </w:trPr>
        <w:tc>
          <w:tcPr>
            <w:tcW w:w="443" w:type="pct"/>
            <w:tcBorders>
              <w:top w:val="single" w:sz="8" w:space="0" w:color="auto"/>
              <w:left w:val="single" w:sz="8" w:space="0" w:color="auto"/>
              <w:bottom w:val="nil"/>
              <w:right w:val="double" w:sz="6" w:space="0" w:color="auto"/>
            </w:tcBorders>
            <w:noWrap/>
            <w:vAlign w:val="bottom"/>
            <w:hideMark/>
          </w:tcPr>
          <w:p w:rsidR="00F650A4" w:rsidRPr="003408A6" w:rsidRDefault="00F650A4" w:rsidP="00CD08F1">
            <w:pPr>
              <w:pStyle w:val="Tablecolumnheadings"/>
              <w:rPr>
                <w:lang w:val="en-AU"/>
              </w:rPr>
            </w:pPr>
          </w:p>
        </w:tc>
        <w:tc>
          <w:tcPr>
            <w:tcW w:w="1519" w:type="pct"/>
            <w:gridSpan w:val="4"/>
            <w:tcBorders>
              <w:top w:val="single" w:sz="8" w:space="0" w:color="auto"/>
              <w:left w:val="nil"/>
              <w:bottom w:val="double" w:sz="6" w:space="0" w:color="auto"/>
              <w:right w:val="double" w:sz="6" w:space="0" w:color="000000"/>
            </w:tcBorders>
            <w:noWrap/>
            <w:vAlign w:val="bottom"/>
            <w:hideMark/>
          </w:tcPr>
          <w:p w:rsidR="00F650A4" w:rsidRPr="003408A6" w:rsidRDefault="00F650A4" w:rsidP="00CD08F1">
            <w:pPr>
              <w:pStyle w:val="Tablecolumnheadings"/>
              <w:rPr>
                <w:lang w:val="en-AU"/>
              </w:rPr>
            </w:pPr>
            <w:r w:rsidRPr="003408A6">
              <w:rPr>
                <w:lang w:val="en-AU"/>
              </w:rPr>
              <w:t>DOSE 1 COVERAGE</w:t>
            </w:r>
          </w:p>
        </w:tc>
        <w:tc>
          <w:tcPr>
            <w:tcW w:w="1519" w:type="pct"/>
            <w:gridSpan w:val="4"/>
            <w:tcBorders>
              <w:top w:val="single" w:sz="8" w:space="0" w:color="auto"/>
              <w:left w:val="nil"/>
              <w:bottom w:val="double" w:sz="6" w:space="0" w:color="auto"/>
              <w:right w:val="double" w:sz="6" w:space="0" w:color="000000"/>
            </w:tcBorders>
            <w:noWrap/>
            <w:vAlign w:val="bottom"/>
            <w:hideMark/>
          </w:tcPr>
          <w:p w:rsidR="00F650A4" w:rsidRPr="003408A6" w:rsidRDefault="00F650A4" w:rsidP="00CD08F1">
            <w:pPr>
              <w:pStyle w:val="Tablecolumnheadings"/>
              <w:rPr>
                <w:lang w:val="en-AU"/>
              </w:rPr>
            </w:pPr>
            <w:r w:rsidRPr="003408A6">
              <w:rPr>
                <w:lang w:val="en-AU"/>
              </w:rPr>
              <w:t>DOSE 2 COVERAGE</w:t>
            </w:r>
          </w:p>
        </w:tc>
        <w:tc>
          <w:tcPr>
            <w:tcW w:w="1519" w:type="pct"/>
            <w:gridSpan w:val="4"/>
            <w:tcBorders>
              <w:top w:val="single" w:sz="8" w:space="0" w:color="auto"/>
              <w:left w:val="nil"/>
              <w:bottom w:val="double" w:sz="6" w:space="0" w:color="auto"/>
              <w:right w:val="single" w:sz="8" w:space="0" w:color="auto"/>
            </w:tcBorders>
            <w:noWrap/>
            <w:vAlign w:val="bottom"/>
            <w:hideMark/>
          </w:tcPr>
          <w:p w:rsidR="00F650A4" w:rsidRPr="003408A6" w:rsidRDefault="00F650A4" w:rsidP="00CD08F1">
            <w:pPr>
              <w:pStyle w:val="Tablecolumnheadings"/>
              <w:rPr>
                <w:lang w:val="en-AU"/>
              </w:rPr>
            </w:pPr>
            <w:r w:rsidRPr="003408A6">
              <w:rPr>
                <w:lang w:val="en-AU"/>
              </w:rPr>
              <w:t>DOSE 3 COVERAGE</w:t>
            </w:r>
          </w:p>
        </w:tc>
      </w:tr>
      <w:tr w:rsidR="00B8646D" w:rsidRPr="003408A6" w:rsidTr="00B802CF">
        <w:trPr>
          <w:trHeight w:val="320"/>
        </w:trPr>
        <w:tc>
          <w:tcPr>
            <w:tcW w:w="443" w:type="pct"/>
            <w:tcBorders>
              <w:top w:val="double" w:sz="6" w:space="0" w:color="auto"/>
              <w:left w:val="single" w:sz="8" w:space="0" w:color="auto"/>
              <w:bottom w:val="double" w:sz="6" w:space="0" w:color="auto"/>
              <w:right w:val="double" w:sz="6"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Age at 30 June 2007 (years)</w:t>
            </w:r>
          </w:p>
        </w:tc>
        <w:tc>
          <w:tcPr>
            <w:tcW w:w="379"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non-Indigenous</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Difference</w:t>
            </w:r>
          </w:p>
        </w:tc>
        <w:tc>
          <w:tcPr>
            <w:tcW w:w="380" w:type="pct"/>
            <w:tcBorders>
              <w:top w:val="nil"/>
              <w:left w:val="nil"/>
              <w:bottom w:val="double" w:sz="6" w:space="0" w:color="auto"/>
              <w:right w:val="double" w:sz="6"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All</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non-Indigenous</w:t>
            </w:r>
          </w:p>
        </w:tc>
        <w:tc>
          <w:tcPr>
            <w:tcW w:w="379"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Difference</w:t>
            </w:r>
          </w:p>
        </w:tc>
        <w:tc>
          <w:tcPr>
            <w:tcW w:w="380" w:type="pct"/>
            <w:tcBorders>
              <w:top w:val="nil"/>
              <w:left w:val="nil"/>
              <w:bottom w:val="double" w:sz="6" w:space="0" w:color="auto"/>
              <w:right w:val="double" w:sz="6"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All</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Indigenous</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non-Indigenous</w:t>
            </w:r>
          </w:p>
        </w:tc>
        <w:tc>
          <w:tcPr>
            <w:tcW w:w="380" w:type="pct"/>
            <w:tcBorders>
              <w:top w:val="nil"/>
              <w:left w:val="nil"/>
              <w:bottom w:val="double" w:sz="6" w:space="0" w:color="auto"/>
              <w:right w:val="single" w:sz="4"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Difference</w:t>
            </w:r>
          </w:p>
        </w:tc>
        <w:tc>
          <w:tcPr>
            <w:tcW w:w="380" w:type="pct"/>
            <w:tcBorders>
              <w:top w:val="nil"/>
              <w:left w:val="nil"/>
              <w:bottom w:val="double" w:sz="6" w:space="0" w:color="auto"/>
              <w:right w:val="single" w:sz="8" w:space="0" w:color="auto"/>
            </w:tcBorders>
            <w:shd w:val="clear" w:color="auto" w:fill="BFBFBF"/>
            <w:noWrap/>
            <w:vAlign w:val="bottom"/>
            <w:hideMark/>
          </w:tcPr>
          <w:p w:rsidR="00F650A4" w:rsidRPr="003408A6" w:rsidRDefault="00F650A4" w:rsidP="00CD08F1">
            <w:pPr>
              <w:pStyle w:val="Tablecolumnheadings"/>
              <w:rPr>
                <w:sz w:val="18"/>
                <w:szCs w:val="18"/>
                <w:lang w:val="en-AU"/>
              </w:rPr>
            </w:pPr>
            <w:r w:rsidRPr="003408A6">
              <w:rPr>
                <w:sz w:val="18"/>
                <w:szCs w:val="18"/>
                <w:lang w:val="en-AU"/>
              </w:rPr>
              <w:t>All</w:t>
            </w:r>
          </w:p>
        </w:tc>
      </w:tr>
      <w:tr w:rsidR="00B8646D" w:rsidRPr="003408A6" w:rsidTr="00B802CF">
        <w:trPr>
          <w:trHeight w:val="300"/>
        </w:trPr>
        <w:tc>
          <w:tcPr>
            <w:tcW w:w="443" w:type="pct"/>
            <w:tcBorders>
              <w:top w:val="double" w:sz="6"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12</w:t>
            </w:r>
          </w:p>
        </w:tc>
        <w:tc>
          <w:tcPr>
            <w:tcW w:w="379"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80.7</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99.9</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19.2</w:t>
            </w:r>
          </w:p>
        </w:tc>
        <w:tc>
          <w:tcPr>
            <w:tcW w:w="380" w:type="pct"/>
            <w:tcBorders>
              <w:top w:val="single" w:sz="4" w:space="0" w:color="auto"/>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91.5</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76.0</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96.2</w:t>
            </w:r>
          </w:p>
        </w:tc>
        <w:tc>
          <w:tcPr>
            <w:tcW w:w="379" w:type="pct"/>
            <w:tcBorders>
              <w:top w:val="single" w:sz="4" w:space="0" w:color="auto"/>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20.2</w:t>
            </w:r>
          </w:p>
        </w:tc>
        <w:tc>
          <w:tcPr>
            <w:tcW w:w="380" w:type="pct"/>
            <w:tcBorders>
              <w:top w:val="single" w:sz="4" w:space="0" w:color="auto"/>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87.3</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70.6</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89.0</w:t>
            </w:r>
          </w:p>
        </w:tc>
        <w:tc>
          <w:tcPr>
            <w:tcW w:w="380" w:type="pct"/>
            <w:tcBorders>
              <w:top w:val="single" w:sz="4" w:space="0" w:color="auto"/>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18.4</w:t>
            </w:r>
          </w:p>
        </w:tc>
        <w:tc>
          <w:tcPr>
            <w:tcW w:w="380" w:type="pct"/>
            <w:tcBorders>
              <w:top w:val="single" w:sz="4" w:space="0" w:color="auto"/>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80.9</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13</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77.5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96.4</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18.9</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88.0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72.7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91.1</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18.5</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82.9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64.9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84.9</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20.0</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75.9</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14</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75.0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88.0</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13.0</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82.6</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70.5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82.4</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11.9</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77.4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64.8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73.4</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8.6</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69.8</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15</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78.1</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90.9</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12.8</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85.4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72.4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86.8</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14.4</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80.6</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64.7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80.2</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15.6</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73.6</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16</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77.9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93.2</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15.3</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86.6</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73.2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85.1</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11.9</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65.5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76.0</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10.5</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71.5</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17</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69.7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89.9</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20.2</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80.8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63.8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78.8</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15.0</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72.0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56.0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68.0</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12.0</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62.5</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18</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74.0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73.8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0.2</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73.9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68.1</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58.1</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BBB59"/>
                <w:sz w:val="18"/>
                <w:szCs w:val="18"/>
                <w:lang w:val="en-AU"/>
              </w:rPr>
            </w:pPr>
            <w:r w:rsidRPr="003408A6">
              <w:rPr>
                <w:color w:val="9BBB59"/>
                <w:sz w:val="18"/>
                <w:szCs w:val="18"/>
                <w:lang w:val="en-AU"/>
              </w:rPr>
              <w:t>10.0</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62.4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59.2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40.4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18.8</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48.4</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19</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69.1</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0.7</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68.6</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59.3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49.1</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BBB59"/>
                <w:sz w:val="18"/>
                <w:szCs w:val="18"/>
                <w:lang w:val="en-AU"/>
              </w:rPr>
            </w:pPr>
            <w:r w:rsidRPr="003408A6">
              <w:rPr>
                <w:color w:val="9BBB59"/>
                <w:sz w:val="18"/>
                <w:szCs w:val="18"/>
                <w:lang w:val="en-AU"/>
              </w:rPr>
              <w:t>10.2</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53.2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31.0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20.2</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39.2</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20</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65.5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71.1</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5.6</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57.4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52.0</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BBB59"/>
                <w:sz w:val="18"/>
                <w:szCs w:val="18"/>
                <w:lang w:val="en-AU"/>
              </w:rPr>
            </w:pPr>
            <w:r w:rsidRPr="003408A6">
              <w:rPr>
                <w:color w:val="9BBB59"/>
                <w:sz w:val="18"/>
                <w:szCs w:val="18"/>
                <w:lang w:val="en-AU"/>
              </w:rPr>
              <w:t>5.4</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54.3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48.3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34.5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13.8</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40.2</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21</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55.5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69.7</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14.2</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63.7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47.8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51.4</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3.6</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49.9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39.0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29.3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9.7</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33.4</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22</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60.9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68.5</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7.7</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65.5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53.1</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52.2</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BBB59"/>
                <w:sz w:val="18"/>
                <w:szCs w:val="18"/>
                <w:lang w:val="en-AU"/>
              </w:rPr>
            </w:pPr>
            <w:r w:rsidRPr="003408A6">
              <w:rPr>
                <w:color w:val="9BBB59"/>
                <w:sz w:val="18"/>
                <w:szCs w:val="18"/>
                <w:lang w:val="en-AU"/>
              </w:rPr>
              <w:t>0.9</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52.5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43.2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33.2</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10.0</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37.1</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23</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58.0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67.1</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9.1</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64.0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50.8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51.7</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0.9</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43.7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33.0</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10.7</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36.6</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24</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55.7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62.7</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7.0</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60.4</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48.9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47.1</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1.8</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47.7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40.5</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30.8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9.7</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34.0</w:t>
            </w:r>
          </w:p>
        </w:tc>
      </w:tr>
      <w:tr w:rsidR="00B8646D" w:rsidRPr="003408A6" w:rsidTr="00B802CF">
        <w:trPr>
          <w:trHeight w:val="280"/>
        </w:trPr>
        <w:tc>
          <w:tcPr>
            <w:tcW w:w="443" w:type="pct"/>
            <w:tcBorders>
              <w:top w:val="single" w:sz="4" w:space="0" w:color="auto"/>
              <w:left w:val="single" w:sz="8" w:space="0" w:color="auto"/>
              <w:bottom w:val="single" w:sz="4"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25</w:t>
            </w:r>
          </w:p>
        </w:tc>
        <w:tc>
          <w:tcPr>
            <w:tcW w:w="379"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41.3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50.8</w:t>
            </w:r>
          </w:p>
        </w:tc>
        <w:tc>
          <w:tcPr>
            <w:tcW w:w="380"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9.5</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47.9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37.3</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41.0</w:t>
            </w:r>
          </w:p>
        </w:tc>
        <w:tc>
          <w:tcPr>
            <w:tcW w:w="379" w:type="pct"/>
            <w:tcBorders>
              <w:top w:val="nil"/>
              <w:left w:val="nil"/>
              <w:bottom w:val="single" w:sz="4"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3.8</w:t>
            </w:r>
          </w:p>
        </w:tc>
        <w:tc>
          <w:tcPr>
            <w:tcW w:w="380" w:type="pct"/>
            <w:tcBorders>
              <w:top w:val="nil"/>
              <w:left w:val="nil"/>
              <w:bottom w:val="single" w:sz="4"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39.9</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32.7</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26.8</w:t>
            </w:r>
          </w:p>
        </w:tc>
        <w:tc>
          <w:tcPr>
            <w:tcW w:w="380" w:type="pct"/>
            <w:tcBorders>
              <w:top w:val="nil"/>
              <w:left w:val="nil"/>
              <w:bottom w:val="single" w:sz="4"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5.8</w:t>
            </w:r>
          </w:p>
        </w:tc>
        <w:tc>
          <w:tcPr>
            <w:tcW w:w="380" w:type="pct"/>
            <w:tcBorders>
              <w:top w:val="nil"/>
              <w:left w:val="nil"/>
              <w:bottom w:val="single" w:sz="4"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28.6</w:t>
            </w:r>
          </w:p>
        </w:tc>
      </w:tr>
      <w:tr w:rsidR="00B8646D" w:rsidRPr="003408A6" w:rsidTr="00B802CF">
        <w:trPr>
          <w:trHeight w:val="300"/>
        </w:trPr>
        <w:tc>
          <w:tcPr>
            <w:tcW w:w="443" w:type="pct"/>
            <w:tcBorders>
              <w:top w:val="single" w:sz="4" w:space="0" w:color="auto"/>
              <w:left w:val="single" w:sz="8" w:space="0" w:color="auto"/>
              <w:bottom w:val="nil"/>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26</w:t>
            </w:r>
          </w:p>
        </w:tc>
        <w:tc>
          <w:tcPr>
            <w:tcW w:w="379"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14.3</w:t>
            </w:r>
          </w:p>
        </w:tc>
        <w:tc>
          <w:tcPr>
            <w:tcW w:w="380"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25.6</w:t>
            </w:r>
          </w:p>
        </w:tc>
        <w:tc>
          <w:tcPr>
            <w:tcW w:w="380" w:type="pct"/>
            <w:tcBorders>
              <w:top w:val="nil"/>
              <w:left w:val="nil"/>
              <w:bottom w:val="nil"/>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11.4</w:t>
            </w:r>
          </w:p>
        </w:tc>
        <w:tc>
          <w:tcPr>
            <w:tcW w:w="380" w:type="pct"/>
            <w:tcBorders>
              <w:top w:val="nil"/>
              <w:left w:val="nil"/>
              <w:bottom w:val="nil"/>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21.9</w:t>
            </w:r>
          </w:p>
        </w:tc>
        <w:tc>
          <w:tcPr>
            <w:tcW w:w="380"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12.5</w:t>
            </w:r>
          </w:p>
        </w:tc>
        <w:tc>
          <w:tcPr>
            <w:tcW w:w="380"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20.7</w:t>
            </w:r>
          </w:p>
        </w:tc>
        <w:tc>
          <w:tcPr>
            <w:tcW w:w="379" w:type="pct"/>
            <w:tcBorders>
              <w:top w:val="nil"/>
              <w:left w:val="nil"/>
              <w:bottom w:val="nil"/>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8.1</w:t>
            </w:r>
          </w:p>
        </w:tc>
        <w:tc>
          <w:tcPr>
            <w:tcW w:w="380" w:type="pct"/>
            <w:tcBorders>
              <w:top w:val="nil"/>
              <w:left w:val="nil"/>
              <w:bottom w:val="nil"/>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18.0</w:t>
            </w:r>
          </w:p>
        </w:tc>
        <w:tc>
          <w:tcPr>
            <w:tcW w:w="380"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10.8</w:t>
            </w:r>
          </w:p>
        </w:tc>
        <w:tc>
          <w:tcPr>
            <w:tcW w:w="380" w:type="pct"/>
            <w:tcBorders>
              <w:top w:val="nil"/>
              <w:left w:val="nil"/>
              <w:bottom w:val="nil"/>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13.6</w:t>
            </w:r>
          </w:p>
        </w:tc>
        <w:tc>
          <w:tcPr>
            <w:tcW w:w="380" w:type="pct"/>
            <w:tcBorders>
              <w:top w:val="nil"/>
              <w:left w:val="nil"/>
              <w:bottom w:val="nil"/>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2.9</w:t>
            </w:r>
          </w:p>
        </w:tc>
        <w:tc>
          <w:tcPr>
            <w:tcW w:w="380" w:type="pct"/>
            <w:tcBorders>
              <w:top w:val="nil"/>
              <w:left w:val="nil"/>
              <w:bottom w:val="nil"/>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12.7</w:t>
            </w:r>
          </w:p>
        </w:tc>
      </w:tr>
      <w:tr w:rsidR="00B8646D" w:rsidRPr="003408A6" w:rsidTr="00B802CF">
        <w:trPr>
          <w:trHeight w:val="320"/>
        </w:trPr>
        <w:tc>
          <w:tcPr>
            <w:tcW w:w="443" w:type="pct"/>
            <w:tcBorders>
              <w:top w:val="double" w:sz="6" w:space="0" w:color="auto"/>
              <w:left w:val="single" w:sz="8" w:space="0" w:color="auto"/>
              <w:bottom w:val="single" w:sz="8" w:space="0" w:color="auto"/>
              <w:right w:val="double" w:sz="6" w:space="0" w:color="auto"/>
            </w:tcBorders>
            <w:noWrap/>
            <w:vAlign w:val="center"/>
            <w:hideMark/>
          </w:tcPr>
          <w:p w:rsidR="00F650A4" w:rsidRPr="003408A6" w:rsidRDefault="00F650A4" w:rsidP="00CD08F1">
            <w:pPr>
              <w:pStyle w:val="Tabletext0beforeafter-centred"/>
              <w:rPr>
                <w:b/>
                <w:sz w:val="18"/>
                <w:szCs w:val="18"/>
                <w:lang w:val="en-AU"/>
              </w:rPr>
            </w:pPr>
            <w:r w:rsidRPr="003408A6">
              <w:rPr>
                <w:b/>
                <w:sz w:val="18"/>
                <w:szCs w:val="18"/>
                <w:lang w:val="en-AU"/>
              </w:rPr>
              <w:t>Total</w:t>
            </w:r>
          </w:p>
        </w:tc>
        <w:tc>
          <w:tcPr>
            <w:tcW w:w="379"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66.2</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74.3</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8.1</w:t>
            </w:r>
          </w:p>
        </w:tc>
        <w:tc>
          <w:tcPr>
            <w:tcW w:w="380" w:type="pct"/>
            <w:tcBorders>
              <w:top w:val="double" w:sz="6" w:space="0" w:color="auto"/>
              <w:left w:val="nil"/>
              <w:bottom w:val="single" w:sz="8"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71.1</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60.4</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63.8</w:t>
            </w:r>
          </w:p>
        </w:tc>
        <w:tc>
          <w:tcPr>
            <w:tcW w:w="379" w:type="pct"/>
            <w:tcBorders>
              <w:top w:val="double" w:sz="6" w:space="0" w:color="auto"/>
              <w:left w:val="nil"/>
              <w:bottom w:val="single" w:sz="8" w:space="0" w:color="auto"/>
              <w:right w:val="single" w:sz="4" w:space="0" w:color="auto"/>
            </w:tcBorders>
            <w:noWrap/>
            <w:vAlign w:val="center"/>
            <w:hideMark/>
          </w:tcPr>
          <w:p w:rsidR="00F650A4" w:rsidRPr="003408A6" w:rsidRDefault="00405280" w:rsidP="00CD08F1">
            <w:pPr>
              <w:pStyle w:val="Tabletext0beforeafter-centred"/>
              <w:rPr>
                <w:color w:val="FF0000"/>
                <w:sz w:val="18"/>
                <w:szCs w:val="18"/>
                <w:lang w:val="en-AU"/>
              </w:rPr>
            </w:pPr>
            <w:r w:rsidRPr="003408A6">
              <w:rPr>
                <w:color w:val="FF0000"/>
                <w:sz w:val="18"/>
                <w:szCs w:val="18"/>
                <w:lang w:val="en-AU"/>
              </w:rPr>
              <w:t>–</w:t>
            </w:r>
            <w:r w:rsidR="00F650A4" w:rsidRPr="003408A6">
              <w:rPr>
                <w:color w:val="FF0000"/>
                <w:sz w:val="18"/>
                <w:szCs w:val="18"/>
                <w:lang w:val="en-AU"/>
              </w:rPr>
              <w:t>3.4</w:t>
            </w:r>
          </w:p>
        </w:tc>
        <w:tc>
          <w:tcPr>
            <w:tcW w:w="380" w:type="pct"/>
            <w:tcBorders>
              <w:top w:val="double" w:sz="6" w:space="0" w:color="auto"/>
              <w:left w:val="nil"/>
              <w:bottom w:val="single" w:sz="8" w:space="0" w:color="auto"/>
              <w:right w:val="double" w:sz="6"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62.5</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52.9</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51.0</w:t>
            </w:r>
          </w:p>
        </w:tc>
        <w:tc>
          <w:tcPr>
            <w:tcW w:w="380" w:type="pct"/>
            <w:tcBorders>
              <w:top w:val="double" w:sz="6" w:space="0" w:color="auto"/>
              <w:left w:val="nil"/>
              <w:bottom w:val="single" w:sz="8" w:space="0" w:color="auto"/>
              <w:right w:val="single" w:sz="4" w:space="0" w:color="auto"/>
            </w:tcBorders>
            <w:noWrap/>
            <w:vAlign w:val="center"/>
            <w:hideMark/>
          </w:tcPr>
          <w:p w:rsidR="00F650A4" w:rsidRPr="003408A6" w:rsidRDefault="00F650A4" w:rsidP="00CD08F1">
            <w:pPr>
              <w:pStyle w:val="Tabletext0beforeafter-centred"/>
              <w:rPr>
                <w:color w:val="92D050"/>
                <w:sz w:val="18"/>
                <w:szCs w:val="18"/>
                <w:lang w:val="en-AU"/>
              </w:rPr>
            </w:pPr>
            <w:r w:rsidRPr="003408A6">
              <w:rPr>
                <w:color w:val="92D050"/>
                <w:sz w:val="18"/>
                <w:szCs w:val="18"/>
                <w:lang w:val="en-AU"/>
              </w:rPr>
              <w:t>1.9</w:t>
            </w:r>
          </w:p>
        </w:tc>
        <w:tc>
          <w:tcPr>
            <w:tcW w:w="380" w:type="pct"/>
            <w:tcBorders>
              <w:top w:val="double" w:sz="6" w:space="0" w:color="auto"/>
              <w:left w:val="nil"/>
              <w:bottom w:val="single" w:sz="8" w:space="0" w:color="auto"/>
              <w:right w:val="single" w:sz="8" w:space="0" w:color="auto"/>
            </w:tcBorders>
            <w:noWrap/>
            <w:vAlign w:val="center"/>
            <w:hideMark/>
          </w:tcPr>
          <w:p w:rsidR="00F650A4" w:rsidRPr="003408A6" w:rsidRDefault="00F650A4" w:rsidP="00CD08F1">
            <w:pPr>
              <w:pStyle w:val="Tabletext0beforeafter-centred"/>
              <w:rPr>
                <w:sz w:val="18"/>
                <w:szCs w:val="18"/>
                <w:lang w:val="en-AU"/>
              </w:rPr>
            </w:pPr>
            <w:r w:rsidRPr="003408A6">
              <w:rPr>
                <w:sz w:val="18"/>
                <w:szCs w:val="18"/>
                <w:lang w:val="en-AU"/>
              </w:rPr>
              <w:t>51.7</w:t>
            </w:r>
          </w:p>
        </w:tc>
      </w:tr>
    </w:tbl>
    <w:p w:rsidR="00F650A4" w:rsidRPr="003408A6" w:rsidRDefault="00B8646D" w:rsidP="00B8646D">
      <w:pPr>
        <w:pStyle w:val="Tablefootnote"/>
      </w:pPr>
      <w:r w:rsidRPr="003408A6">
        <w:rPr>
          <w:lang w:eastAsia="en-US"/>
        </w:rPr>
        <w:t>*</w:t>
      </w:r>
      <w:r w:rsidRPr="003408A6">
        <w:rPr>
          <w:lang w:eastAsia="en-US"/>
        </w:rPr>
        <w:tab/>
      </w:r>
      <w:r w:rsidR="00F650A4" w:rsidRPr="003408A6">
        <w:rPr>
          <w:lang w:eastAsia="en-US"/>
        </w:rPr>
        <w:t>Data as at Dec 2010. Experimental ABS population estimates used as the denominator</w:t>
      </w:r>
    </w:p>
    <w:p w:rsidR="00F650A4" w:rsidRPr="003408A6" w:rsidRDefault="00F650A4" w:rsidP="00F650A4">
      <w:pPr>
        <w:spacing w:line="360" w:lineRule="auto"/>
        <w:rPr>
          <w:rFonts w:eastAsia="Calibri" w:cs="Arial"/>
          <w:szCs w:val="22"/>
          <w:lang w:eastAsia="en-US"/>
        </w:rPr>
        <w:sectPr w:rsidR="00F650A4" w:rsidRPr="003408A6" w:rsidSect="00D07C02">
          <w:pgSz w:w="16838" w:h="11906" w:orient="landscape"/>
          <w:pgMar w:top="720" w:right="720" w:bottom="720" w:left="720" w:header="708" w:footer="708" w:gutter="0"/>
          <w:cols w:space="720"/>
        </w:sectPr>
      </w:pPr>
    </w:p>
    <w:p w:rsidR="00F650A4" w:rsidRPr="003408A6" w:rsidRDefault="00654DC0" w:rsidP="00EF415D">
      <w:pPr>
        <w:pStyle w:val="Figureheading"/>
        <w:rPr>
          <w:rFonts w:eastAsia="Calibri"/>
        </w:rPr>
      </w:pPr>
      <w:bookmarkStart w:id="111" w:name="_Toc374735971"/>
      <w:bookmarkStart w:id="112" w:name="_Toc396475573"/>
      <w:bookmarkStart w:id="113" w:name="_Toc397000801"/>
      <w:r w:rsidRPr="003408A6">
        <w:rPr>
          <w:rFonts w:eastAsia="Calibri"/>
        </w:rPr>
        <w:t>Figure 3.2.</w:t>
      </w:r>
      <w:r w:rsidR="00D861BD" w:rsidRPr="003408A6">
        <w:rPr>
          <w:rFonts w:eastAsia="Calibri"/>
        </w:rPr>
        <w:tab/>
      </w:r>
      <w:r w:rsidR="00F650A4" w:rsidRPr="003408A6">
        <w:rPr>
          <w:rFonts w:eastAsia="Calibri"/>
        </w:rPr>
        <w:t>National 3</w:t>
      </w:r>
      <w:r w:rsidR="00F83E29">
        <w:rPr>
          <w:rFonts w:eastAsia="Calibri"/>
        </w:rPr>
        <w:t>-</w:t>
      </w:r>
      <w:r w:rsidR="00F650A4" w:rsidRPr="003408A6">
        <w:rPr>
          <w:rFonts w:eastAsia="Calibri"/>
        </w:rPr>
        <w:t xml:space="preserve">dose </w:t>
      </w:r>
      <w:r w:rsidR="00F83E29" w:rsidRPr="003408A6">
        <w:rPr>
          <w:rFonts w:eastAsia="Calibri"/>
        </w:rPr>
        <w:t xml:space="preserve">HPV </w:t>
      </w:r>
      <w:r w:rsidR="00F650A4" w:rsidRPr="003408A6">
        <w:rPr>
          <w:rFonts w:eastAsia="Calibri"/>
        </w:rPr>
        <w:t>vaccination coverage for females turning 15 years of age, 2007</w:t>
      </w:r>
      <w:r w:rsidR="00F83E29">
        <w:rPr>
          <w:rFonts w:eastAsia="Calibri"/>
        </w:rPr>
        <w:t xml:space="preserve"> to </w:t>
      </w:r>
      <w:r w:rsidR="00F650A4" w:rsidRPr="003408A6">
        <w:rPr>
          <w:rFonts w:eastAsia="Calibri"/>
        </w:rPr>
        <w:t>2012</w:t>
      </w:r>
      <w:bookmarkEnd w:id="111"/>
      <w:r w:rsidR="00F650A4" w:rsidRPr="003408A6">
        <w:rPr>
          <w:rFonts w:eastAsia="Calibri"/>
        </w:rPr>
        <w:t>, by jurisdiction of residence*</w:t>
      </w:r>
      <w:bookmarkEnd w:id="112"/>
      <w:bookmarkEnd w:id="113"/>
    </w:p>
    <w:p w:rsidR="00D94434" w:rsidRPr="003408A6" w:rsidRDefault="00D94434" w:rsidP="00671356">
      <w:pPr>
        <w:pStyle w:val="BodyText"/>
        <w:rPr>
          <w:rFonts w:eastAsia="Calibri"/>
          <w:lang w:val="en-AU"/>
        </w:rPr>
      </w:pPr>
      <w:r w:rsidRPr="003408A6">
        <w:rPr>
          <w:rFonts w:eastAsia="Calibri"/>
          <w:noProof/>
          <w:lang w:val="en-AU" w:eastAsia="en-AU"/>
        </w:rPr>
        <w:drawing>
          <wp:inline distT="0" distB="0" distL="0" distR="0" wp14:anchorId="24562124" wp14:editId="17421F39">
            <wp:extent cx="6297930" cy="3084830"/>
            <wp:effectExtent l="0" t="0" r="7620" b="1270"/>
            <wp:docPr id="3" name="Picture 3" title="National 3-dose HPV vaccination coverage for females turning 15 years of age, 2007 to 2012, by jurisdiction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7930" cy="3084830"/>
                    </a:xfrm>
                    <a:prstGeom prst="rect">
                      <a:avLst/>
                    </a:prstGeom>
                    <a:noFill/>
                  </pic:spPr>
                </pic:pic>
              </a:graphicData>
            </a:graphic>
          </wp:inline>
        </w:drawing>
      </w:r>
    </w:p>
    <w:p w:rsidR="00B802CF" w:rsidRPr="003408A6" w:rsidRDefault="00B802CF" w:rsidP="00B802CF">
      <w:pPr>
        <w:pStyle w:val="Tablefootnote"/>
        <w:rPr>
          <w:rFonts w:eastAsia="Calibri"/>
          <w:lang w:eastAsia="en-US"/>
        </w:rPr>
      </w:pPr>
      <w:r w:rsidRPr="003408A6">
        <w:rPr>
          <w:rFonts w:eastAsia="Calibri"/>
          <w:lang w:eastAsia="en-US"/>
        </w:rPr>
        <w:t>*</w:t>
      </w:r>
      <w:r w:rsidRPr="003408A6">
        <w:rPr>
          <w:rFonts w:eastAsia="Calibri"/>
          <w:lang w:eastAsia="en-US"/>
        </w:rPr>
        <w:tab/>
      </w:r>
      <w:r w:rsidRPr="003408A6">
        <w:t>Data extracted from the HPV Register as at 15 Oct</w:t>
      </w:r>
      <w:r>
        <w:t>ober</w:t>
      </w:r>
      <w:r w:rsidRPr="003408A6">
        <w:t xml:space="preserve"> 2013.</w:t>
      </w:r>
    </w:p>
    <w:p w:rsidR="008F3EF8" w:rsidRPr="003408A6" w:rsidRDefault="008F3EF8" w:rsidP="00B802CF">
      <w:pPr>
        <w:pStyle w:val="Tablefootnote"/>
        <w:rPr>
          <w:rFonts w:eastAsia="Calibri"/>
        </w:rPr>
      </w:pPr>
    </w:p>
    <w:p w:rsidR="008F3EF8" w:rsidRPr="003408A6" w:rsidRDefault="00654DC0" w:rsidP="00EF415D">
      <w:pPr>
        <w:pStyle w:val="Tableheading"/>
        <w:rPr>
          <w:rFonts w:eastAsia="Calibri"/>
          <w:szCs w:val="22"/>
          <w:lang w:val="en-AU"/>
        </w:rPr>
      </w:pPr>
      <w:bookmarkStart w:id="114" w:name="_Toc396475543"/>
      <w:bookmarkStart w:id="115" w:name="_Toc397000771"/>
      <w:r w:rsidRPr="003408A6">
        <w:rPr>
          <w:rFonts w:eastAsia="Calibri"/>
          <w:lang w:val="en-AU"/>
        </w:rPr>
        <w:t>Table 3.7</w:t>
      </w:r>
      <w:r w:rsidR="00901C17" w:rsidRPr="003408A6">
        <w:rPr>
          <w:rFonts w:eastAsia="Calibri"/>
          <w:lang w:val="en-AU"/>
        </w:rPr>
        <w:t>.</w:t>
      </w:r>
      <w:r w:rsidR="00901C17" w:rsidRPr="003408A6">
        <w:rPr>
          <w:rFonts w:eastAsia="Calibri"/>
          <w:lang w:val="en-AU"/>
        </w:rPr>
        <w:tab/>
      </w:r>
      <w:r w:rsidR="008F3EF8" w:rsidRPr="003408A6">
        <w:rPr>
          <w:rFonts w:eastAsia="Calibri"/>
          <w:lang w:val="en-AU"/>
        </w:rPr>
        <w:t>National 3</w:t>
      </w:r>
      <w:r w:rsidR="00204397">
        <w:rPr>
          <w:rFonts w:eastAsia="Calibri"/>
          <w:lang w:val="en-AU"/>
        </w:rPr>
        <w:t>-</w:t>
      </w:r>
      <w:r w:rsidR="008F3EF8" w:rsidRPr="003408A6">
        <w:rPr>
          <w:rFonts w:eastAsia="Calibri"/>
          <w:lang w:val="en-AU"/>
        </w:rPr>
        <w:t xml:space="preserve">dose </w:t>
      </w:r>
      <w:r w:rsidR="00204397" w:rsidRPr="003408A6">
        <w:rPr>
          <w:rFonts w:eastAsia="Calibri"/>
          <w:lang w:val="en-AU"/>
        </w:rPr>
        <w:t xml:space="preserve">HPV </w:t>
      </w:r>
      <w:r w:rsidR="008F3EF8" w:rsidRPr="003408A6">
        <w:rPr>
          <w:rFonts w:eastAsia="Calibri"/>
          <w:lang w:val="en-AU"/>
        </w:rPr>
        <w:t>vaccination coverage for females turning 15 years of age, 2007</w:t>
      </w:r>
      <w:r w:rsidR="00204397">
        <w:rPr>
          <w:rFonts w:eastAsia="Calibri"/>
          <w:lang w:val="en-AU"/>
        </w:rPr>
        <w:t xml:space="preserve"> to </w:t>
      </w:r>
      <w:r w:rsidR="008F3EF8" w:rsidRPr="003408A6">
        <w:rPr>
          <w:rFonts w:eastAsia="Calibri"/>
          <w:lang w:val="en-AU"/>
        </w:rPr>
        <w:t>2012, by jurisdiction of residence*</w:t>
      </w:r>
      <w:bookmarkEnd w:id="114"/>
      <w:bookmarkEnd w:id="115"/>
    </w:p>
    <w:p w:rsidR="008F3EF8" w:rsidRPr="003408A6" w:rsidRDefault="008F3EF8" w:rsidP="00F650A4">
      <w:pPr>
        <w:spacing w:after="200" w:line="360" w:lineRule="auto"/>
        <w:rPr>
          <w:rStyle w:val="BodyTextChar"/>
          <w:rFonts w:eastAsia="Calibri"/>
          <w:lang w:val="en-AU"/>
        </w:rPr>
      </w:pPr>
      <w:r w:rsidRPr="003408A6">
        <w:rPr>
          <w:rFonts w:eastAsia="Calibri" w:cs="Arial"/>
          <w:noProof/>
          <w:szCs w:val="22"/>
        </w:rPr>
        <w:drawing>
          <wp:inline distT="0" distB="0" distL="0" distR="0" wp14:anchorId="5EB48993" wp14:editId="4F0EAB43">
            <wp:extent cx="6528428" cy="1493134"/>
            <wp:effectExtent l="0" t="0" r="6350" b="0"/>
            <wp:docPr id="17" name="Picture 17" title="National 3-dose HPV vaccination coverage for females turning 15 years of age, 2007 to 2012, by jurisdiction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0029" cy="1493500"/>
                    </a:xfrm>
                    <a:prstGeom prst="rect">
                      <a:avLst/>
                    </a:prstGeom>
                    <a:noFill/>
                  </pic:spPr>
                </pic:pic>
              </a:graphicData>
            </a:graphic>
          </wp:inline>
        </w:drawing>
      </w:r>
    </w:p>
    <w:p w:rsidR="00F650A4" w:rsidRPr="003408A6" w:rsidRDefault="00F650A4" w:rsidP="00671356">
      <w:pPr>
        <w:pStyle w:val="Tablefootnote"/>
        <w:rPr>
          <w:rFonts w:eastAsia="Calibri"/>
          <w:lang w:eastAsia="en-US"/>
        </w:rPr>
      </w:pPr>
      <w:r w:rsidRPr="003408A6">
        <w:rPr>
          <w:rFonts w:eastAsia="Calibri"/>
          <w:lang w:eastAsia="en-US"/>
        </w:rPr>
        <w:t>*</w:t>
      </w:r>
      <w:r w:rsidR="00671356" w:rsidRPr="003408A6">
        <w:rPr>
          <w:rFonts w:eastAsia="Calibri"/>
          <w:lang w:eastAsia="en-US"/>
        </w:rPr>
        <w:tab/>
      </w:r>
      <w:r w:rsidRPr="003408A6">
        <w:t>Data extracted from the HPV Register as at 15 Oct</w:t>
      </w:r>
      <w:r w:rsidR="00B802CF">
        <w:t>ober</w:t>
      </w:r>
      <w:r w:rsidRPr="003408A6">
        <w:t xml:space="preserve"> 2013.</w:t>
      </w:r>
    </w:p>
    <w:p w:rsidR="00F650A4" w:rsidRPr="003408A6" w:rsidRDefault="00F650A4" w:rsidP="00671356">
      <w:pPr>
        <w:pStyle w:val="BodyText"/>
        <w:rPr>
          <w:rFonts w:eastAsia="Calibri"/>
          <w:lang w:val="en-AU"/>
        </w:rPr>
      </w:pPr>
      <w:r w:rsidRPr="003408A6">
        <w:rPr>
          <w:rFonts w:eastAsia="Calibri"/>
          <w:lang w:val="en-AU"/>
        </w:rPr>
        <w:br w:type="page"/>
      </w:r>
    </w:p>
    <w:p w:rsidR="00F650A4" w:rsidRPr="003408A6" w:rsidRDefault="00D861BD" w:rsidP="00DD7504">
      <w:pPr>
        <w:pStyle w:val="Figureheading"/>
        <w:rPr>
          <w:rFonts w:eastAsia="Calibri"/>
        </w:rPr>
      </w:pPr>
      <w:bookmarkStart w:id="116" w:name="_Toc397000802"/>
      <w:bookmarkStart w:id="117" w:name="_Toc374735972"/>
      <w:bookmarkStart w:id="118" w:name="_Toc396475574"/>
      <w:r w:rsidRPr="003408A6">
        <w:rPr>
          <w:rFonts w:eastAsia="Calibri"/>
        </w:rPr>
        <w:t>Figure 3.3.</w:t>
      </w:r>
      <w:r w:rsidRPr="003408A6">
        <w:rPr>
          <w:rFonts w:eastAsia="Calibri"/>
        </w:rPr>
        <w:tab/>
      </w:r>
      <w:r w:rsidR="00B802CF">
        <w:rPr>
          <w:rFonts w:eastAsia="Calibri"/>
        </w:rPr>
        <w:t xml:space="preserve">National </w:t>
      </w:r>
      <w:r w:rsidR="00F83E29" w:rsidRPr="003408A6">
        <w:rPr>
          <w:rFonts w:eastAsia="Calibri"/>
        </w:rPr>
        <w:t xml:space="preserve">3-dose </w:t>
      </w:r>
      <w:r w:rsidR="00F650A4" w:rsidRPr="003408A6">
        <w:rPr>
          <w:rFonts w:eastAsia="Calibri"/>
        </w:rPr>
        <w:t>HPV vaccination coverage estimates for females aged 15 in mid 2011*</w:t>
      </w:r>
      <w:bookmarkEnd w:id="116"/>
      <w:r w:rsidR="00F650A4" w:rsidRPr="003408A6">
        <w:rPr>
          <w:rFonts w:eastAsia="Calibri"/>
        </w:rPr>
        <w:t xml:space="preserve"> </w:t>
      </w:r>
      <w:bookmarkEnd w:id="117"/>
      <w:bookmarkEnd w:id="118"/>
    </w:p>
    <w:p w:rsidR="00F650A4" w:rsidRPr="003408A6" w:rsidRDefault="00F650A4" w:rsidP="00F650A4">
      <w:pPr>
        <w:keepNext/>
        <w:keepLines/>
        <w:spacing w:after="200" w:line="360" w:lineRule="auto"/>
        <w:rPr>
          <w:rStyle w:val="BodyTextChar"/>
          <w:rFonts w:eastAsia="Calibri"/>
          <w:lang w:val="en-AU"/>
        </w:rPr>
      </w:pPr>
      <w:r w:rsidRPr="003408A6">
        <w:rPr>
          <w:rFonts w:eastAsia="Calibri" w:cs="Arial"/>
          <w:b/>
          <w:noProof/>
          <w:szCs w:val="22"/>
        </w:rPr>
        <w:drawing>
          <wp:inline distT="0" distB="0" distL="0" distR="0" wp14:anchorId="00CD0189" wp14:editId="53C0903A">
            <wp:extent cx="6286500" cy="3773639"/>
            <wp:effectExtent l="0" t="0" r="0" b="0"/>
            <wp:docPr id="329" name="Picture 329" title="National 3-dose HPV vaccination coverage estimates for females aged 15 in mi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1721" cy="3776773"/>
                    </a:xfrm>
                    <a:prstGeom prst="rect">
                      <a:avLst/>
                    </a:prstGeom>
                    <a:noFill/>
                    <a:ln>
                      <a:noFill/>
                    </a:ln>
                  </pic:spPr>
                </pic:pic>
              </a:graphicData>
            </a:graphic>
          </wp:inline>
        </w:drawing>
      </w:r>
    </w:p>
    <w:p w:rsidR="00F83E29" w:rsidRDefault="00F83E29" w:rsidP="00671356">
      <w:pPr>
        <w:pStyle w:val="Tablefootnote"/>
        <w:rPr>
          <w:rFonts w:eastAsia="Calibri"/>
          <w:szCs w:val="22"/>
          <w:lang w:eastAsia="en-US"/>
        </w:rPr>
      </w:pPr>
      <w:r>
        <w:rPr>
          <w:rFonts w:eastAsia="Calibri"/>
          <w:szCs w:val="22"/>
          <w:lang w:eastAsia="en-US"/>
        </w:rPr>
        <w:t xml:space="preserve">Note: </w:t>
      </w:r>
      <w:r w:rsidRPr="003408A6">
        <w:rPr>
          <w:rFonts w:eastAsia="Calibri"/>
        </w:rPr>
        <w:t>Colour indicates age at vaccination</w:t>
      </w:r>
      <w:r>
        <w:rPr>
          <w:rFonts w:eastAsia="Calibri"/>
        </w:rPr>
        <w:t>.</w:t>
      </w:r>
    </w:p>
    <w:p w:rsidR="00F650A4" w:rsidRPr="003408A6" w:rsidRDefault="00F650A4" w:rsidP="00671356">
      <w:pPr>
        <w:pStyle w:val="Tablefootnote"/>
        <w:rPr>
          <w:rFonts w:eastAsia="Calibri"/>
          <w:szCs w:val="22"/>
          <w:lang w:eastAsia="en-US"/>
        </w:rPr>
        <w:sectPr w:rsidR="00F650A4" w:rsidRPr="003408A6" w:rsidSect="00D07C02">
          <w:pgSz w:w="11906" w:h="16838"/>
          <w:pgMar w:top="1440" w:right="1440" w:bottom="1440" w:left="1440" w:header="708" w:footer="708" w:gutter="0"/>
          <w:cols w:space="720"/>
          <w:docGrid w:linePitch="326"/>
        </w:sectPr>
      </w:pPr>
      <w:r w:rsidRPr="003408A6">
        <w:rPr>
          <w:rFonts w:eastAsia="Calibri"/>
          <w:szCs w:val="22"/>
          <w:lang w:eastAsia="en-US"/>
        </w:rPr>
        <w:t>*</w:t>
      </w:r>
      <w:r w:rsidR="00671356" w:rsidRPr="003408A6">
        <w:rPr>
          <w:rFonts w:eastAsia="Calibri"/>
          <w:lang w:eastAsia="en-US"/>
        </w:rPr>
        <w:tab/>
      </w:r>
      <w:r w:rsidRPr="003408A6">
        <w:rPr>
          <w:rFonts w:eastAsia="Calibri"/>
          <w:lang w:eastAsia="en-US"/>
        </w:rPr>
        <w:t>From the National HPV Vaccination Program Register, as at 16 July 2013</w:t>
      </w:r>
      <w:r w:rsidR="00B802CF">
        <w:rPr>
          <w:rFonts w:eastAsia="Calibri"/>
          <w:lang w:eastAsia="en-US"/>
        </w:rPr>
        <w:t>.</w:t>
      </w:r>
    </w:p>
    <w:p w:rsidR="00F650A4" w:rsidRPr="003408A6" w:rsidRDefault="00F650A4" w:rsidP="009A3DF9">
      <w:pPr>
        <w:pStyle w:val="Heading4"/>
        <w:rPr>
          <w:rFonts w:eastAsia="Calibri"/>
          <w:lang w:eastAsia="en-US"/>
        </w:rPr>
      </w:pPr>
      <w:r w:rsidRPr="003408A6">
        <w:rPr>
          <w:rFonts w:eastAsia="Calibri"/>
          <w:lang w:eastAsia="en-US"/>
        </w:rPr>
        <w:t xml:space="preserve">Proportion of doses administered by </w:t>
      </w:r>
      <w:r w:rsidR="00DB5945">
        <w:t>general practice</w:t>
      </w:r>
      <w:r w:rsidRPr="003408A6">
        <w:rPr>
          <w:rFonts w:eastAsia="Calibri"/>
          <w:lang w:eastAsia="en-US"/>
        </w:rPr>
        <w:t xml:space="preserve"> and non</w:t>
      </w:r>
      <w:r w:rsidR="00DB5945">
        <w:rPr>
          <w:rFonts w:eastAsia="Calibri"/>
          <w:lang w:eastAsia="en-US"/>
        </w:rPr>
        <w:t>-</w:t>
      </w:r>
      <w:r w:rsidR="00DB5945">
        <w:t xml:space="preserve">general practice </w:t>
      </w:r>
      <w:r w:rsidRPr="003408A6">
        <w:rPr>
          <w:rFonts w:eastAsia="Calibri"/>
          <w:lang w:eastAsia="en-US"/>
        </w:rPr>
        <w:t>providers</w:t>
      </w:r>
    </w:p>
    <w:p w:rsidR="00F650A4" w:rsidRPr="003408A6" w:rsidRDefault="00F650A4" w:rsidP="00671356">
      <w:pPr>
        <w:pStyle w:val="BodyText"/>
        <w:rPr>
          <w:rFonts w:eastAsia="Calibri"/>
          <w:lang w:val="en-AU"/>
        </w:rPr>
      </w:pPr>
      <w:r w:rsidRPr="003408A6">
        <w:rPr>
          <w:rFonts w:eastAsia="Calibri"/>
          <w:b/>
          <w:lang w:val="en-AU"/>
        </w:rPr>
        <w:t>Figures 3.4a–f</w:t>
      </w:r>
      <w:r w:rsidRPr="003408A6">
        <w:rPr>
          <w:rFonts w:eastAsia="Calibri"/>
          <w:lang w:val="en-AU"/>
        </w:rPr>
        <w:t xml:space="preserve"> show the proportion of doses notified to the Register as given by school and community providers or by </w:t>
      </w:r>
      <w:r w:rsidR="00B802CF">
        <w:rPr>
          <w:rFonts w:eastAsia="Calibri"/>
          <w:lang w:val="en-AU"/>
        </w:rPr>
        <w:t>general practice</w:t>
      </w:r>
      <w:r w:rsidRPr="003408A6">
        <w:rPr>
          <w:rFonts w:eastAsia="Calibri"/>
          <w:lang w:val="en-AU"/>
        </w:rPr>
        <w:t xml:space="preserve"> providers, by year of administration and state. The largest percentage of notified doses given by GPs occurred in 2009 (57.2% nationally), the final year of the female catch-up program</w:t>
      </w:r>
      <w:r w:rsidR="00B802CF">
        <w:rPr>
          <w:rFonts w:eastAsia="Calibri"/>
          <w:lang w:val="en-AU"/>
        </w:rPr>
        <w:t>.</w:t>
      </w:r>
      <w:r w:rsidRPr="003408A6">
        <w:rPr>
          <w:rFonts w:eastAsia="Calibri"/>
          <w:lang w:val="en-AU"/>
        </w:rPr>
        <w:t xml:space="preserve"> (</w:t>
      </w:r>
      <w:r w:rsidR="00B802CF">
        <w:rPr>
          <w:rFonts w:eastAsia="Calibri"/>
          <w:lang w:val="en-AU"/>
        </w:rPr>
        <w:t>I</w:t>
      </w:r>
      <w:r w:rsidRPr="003408A6">
        <w:rPr>
          <w:rFonts w:eastAsia="Calibri"/>
          <w:lang w:val="en-AU"/>
        </w:rPr>
        <w:t>n 2008</w:t>
      </w:r>
      <w:r w:rsidR="00B802CF">
        <w:rPr>
          <w:rFonts w:eastAsia="Calibri"/>
          <w:lang w:val="en-AU"/>
        </w:rPr>
        <w:t>,</w:t>
      </w:r>
      <w:r w:rsidRPr="003408A6">
        <w:rPr>
          <w:rFonts w:eastAsia="Calibri"/>
          <w:lang w:val="en-AU"/>
        </w:rPr>
        <w:t xml:space="preserve"> it was 48.1% and in 2007</w:t>
      </w:r>
      <w:r w:rsidR="00B802CF">
        <w:rPr>
          <w:rFonts w:eastAsia="Calibri"/>
          <w:lang w:val="en-AU"/>
        </w:rPr>
        <w:t>,</w:t>
      </w:r>
      <w:r w:rsidRPr="003408A6">
        <w:rPr>
          <w:rFonts w:eastAsia="Calibri"/>
          <w:lang w:val="en-AU"/>
        </w:rPr>
        <w:t xml:space="preserve"> 38.0%</w:t>
      </w:r>
      <w:r w:rsidR="00B802CF">
        <w:rPr>
          <w:rFonts w:eastAsia="Calibri"/>
          <w:lang w:val="en-AU"/>
        </w:rPr>
        <w:t>.</w:t>
      </w:r>
      <w:r w:rsidRPr="003408A6">
        <w:rPr>
          <w:rFonts w:eastAsia="Calibri"/>
          <w:lang w:val="en-AU"/>
        </w:rPr>
        <w:t>) Since the female catch-up program, the vast majority of doses are given by school providers (only 6.5% of doses were notified by GPs in 2010, falling to 4.5% in 2011 and 2012). Tasmania is the only state in which the percentage of notifications from GPs has remained above 10% since the catch</w:t>
      </w:r>
      <w:r w:rsidR="00EE26E6">
        <w:rPr>
          <w:rFonts w:eastAsia="Calibri"/>
          <w:lang w:val="en-AU"/>
        </w:rPr>
        <w:t>-</w:t>
      </w:r>
      <w:r w:rsidRPr="003408A6">
        <w:rPr>
          <w:rFonts w:eastAsia="Calibri"/>
          <w:lang w:val="en-AU"/>
        </w:rPr>
        <w:t>up program</w:t>
      </w:r>
      <w:r w:rsidR="00B802CF">
        <w:rPr>
          <w:rFonts w:eastAsia="Calibri"/>
          <w:lang w:val="en-AU"/>
        </w:rPr>
        <w:t>.</w:t>
      </w:r>
      <w:r w:rsidRPr="003408A6">
        <w:rPr>
          <w:rFonts w:eastAsia="Calibri"/>
          <w:lang w:val="en-AU"/>
        </w:rPr>
        <w:t xml:space="preserve"> (Tasmania had the highest proportion of GP notifications of any </w:t>
      </w:r>
      <w:r w:rsidR="00B802CF">
        <w:rPr>
          <w:rFonts w:eastAsia="Calibri"/>
          <w:lang w:val="en-AU"/>
        </w:rPr>
        <w:t>s</w:t>
      </w:r>
      <w:r w:rsidRPr="003408A6">
        <w:rPr>
          <w:rFonts w:eastAsia="Calibri"/>
          <w:lang w:val="en-AU"/>
        </w:rPr>
        <w:t xml:space="preserve">tate in any year in 2008 at 69.9% of doses. In 2010, 2011 and 2012 the percentages of GP doses for Tasmania were 12.1%, 10.4% and 10.9%, respectively.) The percentage of doses notified by GPs will be influenced by both the actual percentage of doses given in general practice, which varies according to the method for catch-up of missed school doses by jurisdiction, and by the diligence of GPs in notifying administered doses to the Register, which may also vary by jurisdiction. </w:t>
      </w:r>
    </w:p>
    <w:p w:rsidR="00F650A4" w:rsidRPr="003408A6" w:rsidRDefault="00D861BD" w:rsidP="00671356">
      <w:pPr>
        <w:pStyle w:val="Figureheading"/>
        <w:rPr>
          <w:rFonts w:eastAsia="Calibri"/>
        </w:rPr>
      </w:pPr>
      <w:bookmarkStart w:id="119" w:name="_Toc374735973"/>
      <w:bookmarkStart w:id="120" w:name="_Toc396475575"/>
      <w:bookmarkStart w:id="121" w:name="_Toc397000803"/>
      <w:r w:rsidRPr="003408A6">
        <w:rPr>
          <w:rFonts w:eastAsia="Calibri"/>
        </w:rPr>
        <w:t>Figure 3.4a.</w:t>
      </w:r>
      <w:r w:rsidRPr="003408A6">
        <w:rPr>
          <w:rFonts w:eastAsia="Calibri"/>
        </w:rPr>
        <w:tab/>
      </w:r>
      <w:r w:rsidR="00F650A4" w:rsidRPr="003408A6">
        <w:rPr>
          <w:rFonts w:eastAsia="Calibri"/>
        </w:rPr>
        <w:t>Distribution of notified HPV vaccine doses by provider type and state, 2007</w:t>
      </w:r>
      <w:r w:rsidR="001D113B">
        <w:rPr>
          <w:rFonts w:eastAsia="Calibri"/>
        </w:rPr>
        <w:t>*</w:t>
      </w:r>
      <w:bookmarkEnd w:id="119"/>
      <w:bookmarkEnd w:id="120"/>
      <w:bookmarkEnd w:id="121"/>
    </w:p>
    <w:p w:rsidR="00F650A4" w:rsidRPr="00A115CE" w:rsidRDefault="00F650A4" w:rsidP="00A115CE">
      <w:pPr>
        <w:spacing w:line="360" w:lineRule="auto"/>
        <w:rPr>
          <w:rStyle w:val="BodyTextChar"/>
          <w:rFonts w:eastAsia="Calibri"/>
        </w:rPr>
      </w:pPr>
      <w:r w:rsidRPr="003408A6">
        <w:rPr>
          <w:rFonts w:eastAsia="Calibri" w:cs="Arial"/>
          <w:noProof/>
          <w:szCs w:val="22"/>
        </w:rPr>
        <w:drawing>
          <wp:inline distT="0" distB="0" distL="0" distR="0" wp14:anchorId="1D69E866" wp14:editId="03056281">
            <wp:extent cx="3219450" cy="1924050"/>
            <wp:effectExtent l="0" t="0" r="0" b="0"/>
            <wp:docPr id="330" name="Picture 2" title="Distribution of notified HPV vaccine doses by provider type and stat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9450" cy="1924050"/>
                    </a:xfrm>
                    <a:prstGeom prst="rect">
                      <a:avLst/>
                    </a:prstGeom>
                    <a:noFill/>
                    <a:ln>
                      <a:noFill/>
                    </a:ln>
                  </pic:spPr>
                </pic:pic>
              </a:graphicData>
            </a:graphic>
          </wp:inline>
        </w:drawing>
      </w:r>
    </w:p>
    <w:p w:rsidR="00F83E29" w:rsidRPr="003408A6" w:rsidRDefault="00F83E29" w:rsidP="00F83E29">
      <w:pPr>
        <w:pStyle w:val="Tablefootnote"/>
        <w:rPr>
          <w:rFonts w:eastAsia="Calibri"/>
          <w:lang w:eastAsia="en-US"/>
        </w:rPr>
      </w:pPr>
      <w:r>
        <w:rPr>
          <w:rFonts w:eastAsia="Calibri"/>
          <w:lang w:eastAsia="en-US"/>
        </w:rPr>
        <w:t xml:space="preserve">Note: </w:t>
      </w:r>
      <w:r w:rsidR="00A115CE" w:rsidRPr="003408A6">
        <w:rPr>
          <w:rFonts w:eastAsia="Calibri"/>
        </w:rPr>
        <w:t>Data as at 9 July 2013</w:t>
      </w:r>
      <w:r w:rsidR="00A115CE">
        <w:rPr>
          <w:rFonts w:eastAsia="Calibri"/>
        </w:rPr>
        <w:t xml:space="preserve">. </w:t>
      </w:r>
      <w:r w:rsidRPr="003408A6">
        <w:rPr>
          <w:rFonts w:eastAsia="Calibri"/>
        </w:rPr>
        <w:t>Only includes valid doses given in the reporting period</w:t>
      </w:r>
      <w:r>
        <w:rPr>
          <w:rFonts w:eastAsia="Calibri"/>
        </w:rPr>
        <w:t>.</w:t>
      </w:r>
    </w:p>
    <w:p w:rsidR="00F650A4" w:rsidRPr="003408A6" w:rsidRDefault="00F650A4" w:rsidP="00F650A4">
      <w:pPr>
        <w:rPr>
          <w:rFonts w:eastAsia="Calibri"/>
          <w:b/>
          <w:lang w:eastAsia="en-US"/>
        </w:rPr>
      </w:pPr>
      <w:r w:rsidRPr="003408A6">
        <w:rPr>
          <w:rFonts w:eastAsia="Calibri"/>
        </w:rPr>
        <w:br w:type="page"/>
      </w:r>
    </w:p>
    <w:p w:rsidR="00F650A4" w:rsidRPr="003408A6" w:rsidRDefault="00D861BD" w:rsidP="00DD7504">
      <w:pPr>
        <w:pStyle w:val="Figureheading"/>
        <w:rPr>
          <w:rFonts w:eastAsia="Calibri"/>
        </w:rPr>
      </w:pPr>
      <w:bookmarkStart w:id="122" w:name="_Toc374735974"/>
      <w:bookmarkStart w:id="123" w:name="_Toc396475576"/>
      <w:bookmarkStart w:id="124" w:name="_Toc397000804"/>
      <w:r w:rsidRPr="003408A6">
        <w:rPr>
          <w:rFonts w:eastAsia="Calibri"/>
        </w:rPr>
        <w:t>Figure 3.4b.</w:t>
      </w:r>
      <w:r w:rsidRPr="003408A6">
        <w:rPr>
          <w:rFonts w:eastAsia="Calibri"/>
        </w:rPr>
        <w:tab/>
      </w:r>
      <w:r w:rsidR="00F650A4" w:rsidRPr="003408A6">
        <w:rPr>
          <w:rFonts w:eastAsia="Calibri"/>
        </w:rPr>
        <w:t>Distribution of notified HPV vaccine doses by provider type and state, 2008</w:t>
      </w:r>
      <w:r w:rsidR="001D113B">
        <w:rPr>
          <w:rFonts w:eastAsia="Calibri"/>
        </w:rPr>
        <w:t>*</w:t>
      </w:r>
      <w:bookmarkEnd w:id="122"/>
      <w:bookmarkEnd w:id="123"/>
      <w:bookmarkEnd w:id="124"/>
    </w:p>
    <w:p w:rsidR="00F650A4" w:rsidRDefault="00F650A4" w:rsidP="00A115CE">
      <w:pPr>
        <w:keepNext/>
        <w:keepLines/>
        <w:spacing w:line="360" w:lineRule="auto"/>
        <w:rPr>
          <w:rStyle w:val="BodyTextChar"/>
          <w:rFonts w:eastAsia="Calibri"/>
          <w:lang w:val="en-AU"/>
        </w:rPr>
      </w:pPr>
      <w:r w:rsidRPr="003408A6">
        <w:rPr>
          <w:rFonts w:eastAsia="Calibri" w:cs="Arial"/>
          <w:noProof/>
          <w:szCs w:val="22"/>
        </w:rPr>
        <w:drawing>
          <wp:inline distT="0" distB="0" distL="0" distR="0" wp14:anchorId="00A0B35A" wp14:editId="300D37ED">
            <wp:extent cx="3219450" cy="1933575"/>
            <wp:effectExtent l="0" t="0" r="0" b="9525"/>
            <wp:docPr id="331" name="Picture 3" title="Distribution of notified HPV vaccine doses by provider type and stat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115CE" w:rsidRPr="003408A6" w:rsidRDefault="00A115CE" w:rsidP="00A115CE">
      <w:pPr>
        <w:pStyle w:val="Tablefootnote"/>
        <w:spacing w:after="120"/>
        <w:rPr>
          <w:rStyle w:val="BodyTextChar"/>
          <w:rFonts w:eastAsia="Calibri"/>
          <w:lang w:val="en-AU"/>
        </w:rPr>
      </w:pPr>
      <w:r>
        <w:rPr>
          <w:rFonts w:eastAsia="Calibri"/>
          <w:lang w:eastAsia="en-US"/>
        </w:rPr>
        <w:t xml:space="preserve">Note: </w:t>
      </w:r>
      <w:r w:rsidRPr="003408A6">
        <w:rPr>
          <w:rFonts w:eastAsia="Calibri"/>
        </w:rPr>
        <w:t>Data as at 9 July 2013</w:t>
      </w:r>
      <w:r>
        <w:rPr>
          <w:rFonts w:eastAsia="Calibri"/>
        </w:rPr>
        <w:t xml:space="preserve">. </w:t>
      </w:r>
      <w:r w:rsidRPr="003408A6">
        <w:rPr>
          <w:rFonts w:eastAsia="Calibri"/>
        </w:rPr>
        <w:t>Only includes valid doses given in the reporting period</w:t>
      </w:r>
      <w:r>
        <w:rPr>
          <w:rFonts w:eastAsia="Calibri"/>
        </w:rPr>
        <w:t>.</w:t>
      </w:r>
    </w:p>
    <w:p w:rsidR="00F650A4" w:rsidRPr="003408A6" w:rsidRDefault="00F650A4" w:rsidP="00A115CE">
      <w:pPr>
        <w:pStyle w:val="Figureheading"/>
        <w:spacing w:before="240"/>
        <w:rPr>
          <w:rFonts w:eastAsia="Calibri"/>
        </w:rPr>
      </w:pPr>
      <w:bookmarkStart w:id="125" w:name="_Toc374735975"/>
      <w:bookmarkStart w:id="126" w:name="_Toc396475577"/>
      <w:bookmarkStart w:id="127" w:name="_Toc397000805"/>
      <w:r w:rsidRPr="003408A6">
        <w:rPr>
          <w:rFonts w:eastAsia="Calibri"/>
        </w:rPr>
        <w:t>Figure 3.4c.</w:t>
      </w:r>
      <w:r w:rsidR="00D861BD" w:rsidRPr="003408A6">
        <w:rPr>
          <w:rFonts w:eastAsia="Calibri"/>
        </w:rPr>
        <w:tab/>
      </w:r>
      <w:r w:rsidRPr="003408A6">
        <w:rPr>
          <w:rFonts w:eastAsia="Calibri"/>
        </w:rPr>
        <w:t>Distribution of notified HPV vaccine doses by provider type and state, 2009</w:t>
      </w:r>
      <w:r w:rsidR="001D113B">
        <w:rPr>
          <w:rFonts w:eastAsia="Calibri"/>
        </w:rPr>
        <w:t>*</w:t>
      </w:r>
      <w:bookmarkEnd w:id="125"/>
      <w:bookmarkEnd w:id="126"/>
      <w:bookmarkEnd w:id="127"/>
    </w:p>
    <w:p w:rsidR="00F650A4" w:rsidRDefault="00F650A4" w:rsidP="00A115CE">
      <w:pPr>
        <w:spacing w:line="360" w:lineRule="auto"/>
        <w:rPr>
          <w:rFonts w:eastAsia="Calibri" w:cs="Arial"/>
          <w:szCs w:val="22"/>
          <w:lang w:eastAsia="en-US"/>
        </w:rPr>
      </w:pPr>
      <w:r w:rsidRPr="003408A6">
        <w:rPr>
          <w:rFonts w:eastAsia="Calibri" w:cs="Arial"/>
          <w:noProof/>
          <w:szCs w:val="22"/>
        </w:rPr>
        <w:drawing>
          <wp:inline distT="0" distB="0" distL="0" distR="0" wp14:anchorId="06273A5D" wp14:editId="29F6BC1E">
            <wp:extent cx="3219450" cy="1933575"/>
            <wp:effectExtent l="0" t="0" r="0" b="9525"/>
            <wp:docPr id="11" name="Picture 4" title="Distribution of notified HPV vaccine doses by provider type and stat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115CE" w:rsidRPr="003408A6" w:rsidRDefault="00A115CE" w:rsidP="00A115CE">
      <w:pPr>
        <w:pStyle w:val="Tablefootnote"/>
        <w:rPr>
          <w:rFonts w:eastAsia="Calibri"/>
          <w:lang w:eastAsia="en-US"/>
        </w:rPr>
      </w:pPr>
      <w:r>
        <w:rPr>
          <w:rFonts w:eastAsia="Calibri"/>
          <w:lang w:eastAsia="en-US"/>
        </w:rPr>
        <w:t xml:space="preserve">Note: </w:t>
      </w:r>
      <w:r w:rsidRPr="003408A6">
        <w:rPr>
          <w:rFonts w:eastAsia="Calibri"/>
        </w:rPr>
        <w:t>Data as at 9 July 2013</w:t>
      </w:r>
      <w:r>
        <w:rPr>
          <w:rFonts w:eastAsia="Calibri"/>
        </w:rPr>
        <w:t xml:space="preserve">. </w:t>
      </w:r>
      <w:r w:rsidRPr="003408A6">
        <w:rPr>
          <w:rFonts w:eastAsia="Calibri"/>
        </w:rPr>
        <w:t>Only includes valid doses given in the reporting period</w:t>
      </w:r>
      <w:r>
        <w:rPr>
          <w:rFonts w:eastAsia="Calibri"/>
        </w:rPr>
        <w:t>.</w:t>
      </w:r>
    </w:p>
    <w:p w:rsidR="00F650A4" w:rsidRPr="003408A6" w:rsidRDefault="00D861BD" w:rsidP="00A115CE">
      <w:pPr>
        <w:pStyle w:val="Figureheading"/>
        <w:spacing w:before="240"/>
        <w:rPr>
          <w:rFonts w:eastAsia="Calibri"/>
        </w:rPr>
      </w:pPr>
      <w:bookmarkStart w:id="128" w:name="_Toc374735976"/>
      <w:bookmarkStart w:id="129" w:name="_Toc396475578"/>
      <w:bookmarkStart w:id="130" w:name="_Toc397000806"/>
      <w:r w:rsidRPr="003408A6">
        <w:rPr>
          <w:rFonts w:eastAsia="Calibri"/>
        </w:rPr>
        <w:t>Figure 3.4d.</w:t>
      </w:r>
      <w:r w:rsidRPr="003408A6">
        <w:rPr>
          <w:rFonts w:eastAsia="Calibri"/>
        </w:rPr>
        <w:tab/>
      </w:r>
      <w:r w:rsidR="00F650A4" w:rsidRPr="003408A6">
        <w:rPr>
          <w:rFonts w:eastAsia="Calibri"/>
        </w:rPr>
        <w:t>Distribution of notified HPV vaccine doses by provider type and state, 2010</w:t>
      </w:r>
      <w:r w:rsidR="001D113B">
        <w:rPr>
          <w:rFonts w:eastAsia="Calibri"/>
        </w:rPr>
        <w:t>*</w:t>
      </w:r>
      <w:bookmarkEnd w:id="128"/>
      <w:bookmarkEnd w:id="129"/>
      <w:bookmarkEnd w:id="130"/>
    </w:p>
    <w:p w:rsidR="00F650A4" w:rsidRDefault="00F650A4" w:rsidP="00A115CE">
      <w:pPr>
        <w:pStyle w:val="BodyText"/>
        <w:spacing w:after="0"/>
        <w:rPr>
          <w:rFonts w:eastAsia="Calibri"/>
          <w:lang w:val="en-AU"/>
        </w:rPr>
      </w:pPr>
      <w:r w:rsidRPr="003408A6">
        <w:rPr>
          <w:rFonts w:eastAsia="Calibri"/>
          <w:noProof/>
          <w:lang w:val="en-AU" w:eastAsia="en-AU"/>
        </w:rPr>
        <w:drawing>
          <wp:inline distT="0" distB="0" distL="0" distR="0" wp14:anchorId="799BA12D" wp14:editId="62832E79">
            <wp:extent cx="3219450" cy="1933575"/>
            <wp:effectExtent l="0" t="0" r="0" b="9525"/>
            <wp:docPr id="12" name="Picture 5" title="Distribution of notified HPV vaccine doses by provider type and stat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115CE" w:rsidRPr="003408A6" w:rsidRDefault="00A115CE" w:rsidP="00A115CE">
      <w:pPr>
        <w:pStyle w:val="Tablefootnote"/>
        <w:rPr>
          <w:rFonts w:eastAsia="Calibri"/>
          <w:lang w:eastAsia="en-US"/>
        </w:rPr>
      </w:pPr>
      <w:r>
        <w:rPr>
          <w:rFonts w:eastAsia="Calibri"/>
          <w:lang w:eastAsia="en-US"/>
        </w:rPr>
        <w:t xml:space="preserve">Note: </w:t>
      </w:r>
      <w:r w:rsidRPr="003408A6">
        <w:rPr>
          <w:rFonts w:eastAsia="Calibri"/>
        </w:rPr>
        <w:t>Data as at 9 July 2013</w:t>
      </w:r>
      <w:r>
        <w:rPr>
          <w:rFonts w:eastAsia="Calibri"/>
        </w:rPr>
        <w:t xml:space="preserve">. </w:t>
      </w:r>
      <w:r w:rsidRPr="003408A6">
        <w:rPr>
          <w:rFonts w:eastAsia="Calibri"/>
        </w:rPr>
        <w:t>Only includes valid doses given in the reporting period</w:t>
      </w:r>
      <w:r>
        <w:rPr>
          <w:rFonts w:eastAsia="Calibri"/>
        </w:rPr>
        <w:t>.</w:t>
      </w:r>
    </w:p>
    <w:p w:rsidR="00A115CE" w:rsidRPr="003408A6" w:rsidRDefault="00A115CE" w:rsidP="00671356">
      <w:pPr>
        <w:pStyle w:val="BodyText"/>
        <w:rPr>
          <w:rFonts w:eastAsia="Calibri"/>
          <w:lang w:val="en-AU"/>
        </w:rPr>
      </w:pPr>
    </w:p>
    <w:p w:rsidR="00F650A4" w:rsidRPr="003408A6" w:rsidRDefault="00F650A4" w:rsidP="00671356">
      <w:pPr>
        <w:pStyle w:val="BodyText"/>
        <w:rPr>
          <w:rFonts w:eastAsia="Calibri"/>
          <w:b/>
          <w:lang w:val="en-AU"/>
        </w:rPr>
      </w:pPr>
      <w:r w:rsidRPr="003408A6">
        <w:rPr>
          <w:rFonts w:eastAsia="Calibri"/>
          <w:lang w:val="en-AU"/>
        </w:rPr>
        <w:br w:type="page"/>
      </w:r>
    </w:p>
    <w:p w:rsidR="00A115CE" w:rsidRPr="00A115CE" w:rsidRDefault="00D861BD" w:rsidP="00A115CE">
      <w:pPr>
        <w:pStyle w:val="Figureheading"/>
        <w:rPr>
          <w:rFonts w:eastAsia="Calibri"/>
        </w:rPr>
      </w:pPr>
      <w:bookmarkStart w:id="131" w:name="_Toc374735977"/>
      <w:bookmarkStart w:id="132" w:name="_Toc396475579"/>
      <w:bookmarkStart w:id="133" w:name="_Toc397000807"/>
      <w:r w:rsidRPr="003408A6">
        <w:rPr>
          <w:rFonts w:eastAsia="Calibri"/>
        </w:rPr>
        <w:t>Figure 3.4e.</w:t>
      </w:r>
      <w:r w:rsidRPr="003408A6">
        <w:rPr>
          <w:rFonts w:eastAsia="Calibri"/>
        </w:rPr>
        <w:tab/>
      </w:r>
      <w:r w:rsidR="00F650A4" w:rsidRPr="003408A6">
        <w:rPr>
          <w:rFonts w:eastAsia="Calibri"/>
        </w:rPr>
        <w:t>Distribution of notified HPV vaccine doses by provider type and state, 2011</w:t>
      </w:r>
      <w:r w:rsidR="001D113B">
        <w:rPr>
          <w:rFonts w:eastAsia="Calibri"/>
        </w:rPr>
        <w:t>*</w:t>
      </w:r>
      <w:bookmarkEnd w:id="131"/>
      <w:bookmarkEnd w:id="132"/>
      <w:bookmarkEnd w:id="133"/>
    </w:p>
    <w:p w:rsidR="00F650A4" w:rsidRDefault="00F650A4" w:rsidP="00A115CE">
      <w:pPr>
        <w:spacing w:line="360" w:lineRule="auto"/>
        <w:rPr>
          <w:rFonts w:eastAsia="Calibri" w:cs="Arial"/>
          <w:szCs w:val="22"/>
          <w:lang w:eastAsia="en-US"/>
        </w:rPr>
      </w:pPr>
      <w:r w:rsidRPr="003408A6">
        <w:rPr>
          <w:rFonts w:eastAsia="Calibri" w:cs="Arial"/>
          <w:szCs w:val="22"/>
          <w:lang w:eastAsia="en-US"/>
        </w:rPr>
        <w:t xml:space="preserve"> </w:t>
      </w:r>
      <w:r w:rsidRPr="003408A6">
        <w:rPr>
          <w:rFonts w:eastAsia="Calibri" w:cs="Arial"/>
          <w:noProof/>
          <w:szCs w:val="22"/>
        </w:rPr>
        <w:drawing>
          <wp:inline distT="0" distB="0" distL="0" distR="0" wp14:anchorId="5D9AC893" wp14:editId="160D8978">
            <wp:extent cx="3219450" cy="1933575"/>
            <wp:effectExtent l="0" t="0" r="0" b="9525"/>
            <wp:docPr id="13" name="Picture 6" title="Distribution of notified HPV vaccine doses by provider type and stat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115CE" w:rsidRPr="003408A6" w:rsidRDefault="00A115CE" w:rsidP="00A115CE">
      <w:pPr>
        <w:pStyle w:val="Tablefootnote"/>
        <w:spacing w:after="120"/>
        <w:rPr>
          <w:rStyle w:val="BodyTextChar"/>
          <w:rFonts w:eastAsia="Calibri"/>
          <w:lang w:val="en-AU"/>
        </w:rPr>
      </w:pPr>
      <w:r>
        <w:rPr>
          <w:rFonts w:eastAsia="Calibri"/>
          <w:lang w:eastAsia="en-US"/>
        </w:rPr>
        <w:t xml:space="preserve">Note: </w:t>
      </w:r>
      <w:r w:rsidRPr="003408A6">
        <w:rPr>
          <w:rFonts w:eastAsia="Calibri"/>
        </w:rPr>
        <w:t>Data as at 9 July 2013</w:t>
      </w:r>
      <w:r>
        <w:rPr>
          <w:rFonts w:eastAsia="Calibri"/>
        </w:rPr>
        <w:t xml:space="preserve">. </w:t>
      </w:r>
      <w:r w:rsidRPr="003408A6">
        <w:rPr>
          <w:rFonts w:eastAsia="Calibri"/>
        </w:rPr>
        <w:t>Only includes valid doses given in the reporting period</w:t>
      </w:r>
      <w:r>
        <w:rPr>
          <w:rFonts w:eastAsia="Calibri"/>
        </w:rPr>
        <w:t>.</w:t>
      </w:r>
    </w:p>
    <w:p w:rsidR="00F650A4" w:rsidRPr="003408A6" w:rsidRDefault="00F650A4" w:rsidP="00A115CE">
      <w:pPr>
        <w:pStyle w:val="Figureheading"/>
        <w:spacing w:before="240"/>
        <w:rPr>
          <w:rFonts w:eastAsia="Calibri"/>
        </w:rPr>
      </w:pPr>
      <w:bookmarkStart w:id="134" w:name="_Toc397000808"/>
      <w:bookmarkStart w:id="135" w:name="_Toc374735978"/>
      <w:bookmarkStart w:id="136" w:name="_Toc396475580"/>
      <w:r w:rsidRPr="003408A6">
        <w:rPr>
          <w:rFonts w:eastAsia="Calibri"/>
        </w:rPr>
        <w:t>Figure 3.4f.</w:t>
      </w:r>
      <w:r w:rsidR="00D861BD" w:rsidRPr="003408A6">
        <w:rPr>
          <w:rFonts w:eastAsia="Calibri"/>
        </w:rPr>
        <w:tab/>
      </w:r>
      <w:r w:rsidRPr="003408A6">
        <w:rPr>
          <w:rFonts w:eastAsia="Calibri"/>
        </w:rPr>
        <w:t>Distribution of notified HPV vaccine doses by provider type and state, 2012</w:t>
      </w:r>
      <w:r w:rsidR="001D113B">
        <w:rPr>
          <w:rFonts w:eastAsia="Calibri"/>
        </w:rPr>
        <w:t>*</w:t>
      </w:r>
      <w:bookmarkEnd w:id="134"/>
      <w:r w:rsidRPr="003408A6">
        <w:rPr>
          <w:rFonts w:eastAsia="Calibri"/>
        </w:rPr>
        <w:t xml:space="preserve"> </w:t>
      </w:r>
      <w:bookmarkEnd w:id="135"/>
      <w:bookmarkEnd w:id="136"/>
    </w:p>
    <w:p w:rsidR="00F650A4" w:rsidRDefault="00F650A4" w:rsidP="00A115CE">
      <w:pPr>
        <w:spacing w:line="360" w:lineRule="auto"/>
        <w:rPr>
          <w:rStyle w:val="BodyTextChar"/>
          <w:rFonts w:eastAsia="Calibri"/>
          <w:lang w:val="en-AU"/>
        </w:rPr>
      </w:pPr>
      <w:r w:rsidRPr="003408A6">
        <w:rPr>
          <w:rFonts w:eastAsia="Calibri" w:cs="Arial"/>
          <w:noProof/>
          <w:szCs w:val="22"/>
        </w:rPr>
        <w:drawing>
          <wp:inline distT="0" distB="0" distL="0" distR="0" wp14:anchorId="205F80CF" wp14:editId="0ADD523B">
            <wp:extent cx="3219450" cy="1933575"/>
            <wp:effectExtent l="0" t="0" r="0" b="9525"/>
            <wp:docPr id="332" name="Picture 7" title="Distribution of notified HPV vaccine doses by provider type and state,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115CE" w:rsidRPr="003408A6" w:rsidRDefault="00A115CE" w:rsidP="00A115CE">
      <w:pPr>
        <w:pStyle w:val="Tablefootnote"/>
        <w:rPr>
          <w:rStyle w:val="BodyTextChar"/>
          <w:rFonts w:eastAsia="Calibri"/>
          <w:lang w:val="en-AU"/>
        </w:rPr>
      </w:pPr>
      <w:r>
        <w:rPr>
          <w:rFonts w:eastAsia="Calibri"/>
          <w:lang w:eastAsia="en-US"/>
        </w:rPr>
        <w:t xml:space="preserve">Note: </w:t>
      </w:r>
      <w:r w:rsidRPr="003408A6">
        <w:rPr>
          <w:rFonts w:eastAsia="Calibri"/>
        </w:rPr>
        <w:t>Data as at 9 July 2013</w:t>
      </w:r>
      <w:r>
        <w:rPr>
          <w:rFonts w:eastAsia="Calibri"/>
        </w:rPr>
        <w:t xml:space="preserve">. </w:t>
      </w:r>
      <w:r w:rsidRPr="003408A6">
        <w:rPr>
          <w:rFonts w:eastAsia="Calibri"/>
        </w:rPr>
        <w:t>Only includes valid doses given in the reporting period</w:t>
      </w:r>
      <w:r>
        <w:rPr>
          <w:rFonts w:eastAsia="Calibri"/>
        </w:rPr>
        <w:t>.</w:t>
      </w:r>
    </w:p>
    <w:p w:rsidR="00671356" w:rsidRPr="003408A6" w:rsidRDefault="00671356" w:rsidP="00F650A4">
      <w:pPr>
        <w:spacing w:after="200" w:line="360" w:lineRule="auto"/>
        <w:rPr>
          <w:rStyle w:val="BodyTextChar"/>
          <w:rFonts w:eastAsia="Calibri"/>
          <w:lang w:val="en-AU"/>
        </w:rPr>
      </w:pPr>
    </w:p>
    <w:p w:rsidR="00F650A4" w:rsidRPr="003408A6" w:rsidRDefault="00F650A4" w:rsidP="00DD7504">
      <w:pPr>
        <w:pStyle w:val="Heading3"/>
        <w:rPr>
          <w:rFonts w:eastAsia="Calibri"/>
          <w:lang w:eastAsia="en-US"/>
        </w:rPr>
      </w:pPr>
      <w:r w:rsidRPr="003408A6">
        <w:rPr>
          <w:rFonts w:eastAsia="Calibri"/>
          <w:lang w:eastAsia="en-US"/>
        </w:rPr>
        <w:t>Timeliness of course completion</w:t>
      </w:r>
    </w:p>
    <w:p w:rsidR="00F650A4" w:rsidRPr="003408A6" w:rsidRDefault="00F650A4" w:rsidP="00671356">
      <w:pPr>
        <w:pStyle w:val="BodyText"/>
        <w:rPr>
          <w:rFonts w:eastAsia="Calibri"/>
          <w:lang w:val="en-AU"/>
        </w:rPr>
      </w:pPr>
      <w:r w:rsidRPr="003408A6">
        <w:rPr>
          <w:rFonts w:eastAsia="Calibri"/>
          <w:b/>
          <w:lang w:val="en-AU"/>
        </w:rPr>
        <w:t>Tables 3.8a–f</w:t>
      </w:r>
      <w:r w:rsidRPr="003408A6">
        <w:rPr>
          <w:rFonts w:eastAsia="Calibri"/>
          <w:lang w:val="en-AU"/>
        </w:rPr>
        <w:t xml:space="preserve"> indicate the proportion of vaccine recipients with course completion within 6 months, 12 months or over 12 months</w:t>
      </w:r>
      <w:r w:rsidR="001D113B">
        <w:rPr>
          <w:rFonts w:eastAsia="Calibri"/>
          <w:lang w:val="en-AU"/>
        </w:rPr>
        <w:t>,</w:t>
      </w:r>
      <w:r w:rsidRPr="003408A6">
        <w:rPr>
          <w:rFonts w:eastAsia="Calibri"/>
          <w:lang w:val="en-AU"/>
        </w:rPr>
        <w:t xml:space="preserve"> by calendar year of third dose receipt. The largest proportion of third doses received after 12 months was in 2009, the final year of the female catch-up program. In 2010, this fell to 4.8% and in 2011 and 2012 only about 2.5% of all completely vaccinated females completed their courses more than 12 months after the first dose, with the majority completing between 6 and 12 months after the first dose was received. The Northern Territory consistently has the largest percentage of consumers taking more than 12 months to complete the course.</w:t>
      </w:r>
    </w:p>
    <w:p w:rsidR="00F650A4" w:rsidRPr="003408A6" w:rsidRDefault="00F650A4" w:rsidP="00F650A4">
      <w:pPr>
        <w:spacing w:after="200" w:line="360" w:lineRule="auto"/>
        <w:rPr>
          <w:rFonts w:eastAsia="Calibri" w:cs="Arial"/>
          <w:szCs w:val="22"/>
          <w:lang w:eastAsia="en-US"/>
        </w:rPr>
      </w:pPr>
    </w:p>
    <w:p w:rsidR="00F650A4" w:rsidRPr="003408A6" w:rsidRDefault="00F650A4" w:rsidP="00F650A4">
      <w:pPr>
        <w:spacing w:line="360" w:lineRule="auto"/>
        <w:rPr>
          <w:rFonts w:eastAsia="Calibri" w:cs="Arial"/>
          <w:szCs w:val="22"/>
          <w:lang w:eastAsia="en-US"/>
        </w:rPr>
        <w:sectPr w:rsidR="00F650A4" w:rsidRPr="003408A6" w:rsidSect="00D07C02">
          <w:pgSz w:w="11906" w:h="16838"/>
          <w:pgMar w:top="1440" w:right="1440" w:bottom="1440" w:left="1440" w:header="708" w:footer="708" w:gutter="0"/>
          <w:cols w:space="720"/>
        </w:sectPr>
      </w:pPr>
    </w:p>
    <w:p w:rsidR="00F650A4" w:rsidRPr="003408A6" w:rsidRDefault="00901C17" w:rsidP="002E2DF6">
      <w:pPr>
        <w:pStyle w:val="Tableheading"/>
        <w:rPr>
          <w:rFonts w:eastAsia="Calibri"/>
          <w:lang w:val="en-AU"/>
        </w:rPr>
      </w:pPr>
      <w:bookmarkStart w:id="137" w:name="_Toc374735940"/>
      <w:bookmarkStart w:id="138" w:name="_Toc396475544"/>
      <w:bookmarkStart w:id="139" w:name="_Toc397000772"/>
      <w:r w:rsidRPr="003408A6">
        <w:rPr>
          <w:rFonts w:eastAsia="Calibri"/>
          <w:lang w:val="en-AU"/>
        </w:rPr>
        <w:t>Tables 3.8a–f.</w:t>
      </w:r>
      <w:r w:rsidRPr="003408A6">
        <w:rPr>
          <w:rFonts w:eastAsia="Calibri"/>
          <w:lang w:val="en-AU"/>
        </w:rPr>
        <w:tab/>
      </w:r>
      <w:r w:rsidR="00F650A4" w:rsidRPr="003408A6">
        <w:rPr>
          <w:rFonts w:eastAsia="Calibri"/>
          <w:lang w:val="en-AU"/>
        </w:rPr>
        <w:t>Timeliness of course completion by calendar year of third dose receipt and jurisdiction</w:t>
      </w:r>
      <w:bookmarkEnd w:id="137"/>
      <w:bookmarkEnd w:id="138"/>
      <w:bookmarkEnd w:id="139"/>
    </w:p>
    <w:tbl>
      <w:tblPr>
        <w:tblW w:w="0" w:type="auto"/>
        <w:tblInd w:w="93" w:type="dxa"/>
        <w:tblLayout w:type="fixed"/>
        <w:tblLook w:val="04A0" w:firstRow="1" w:lastRow="0" w:firstColumn="1" w:lastColumn="0" w:noHBand="0" w:noVBand="1"/>
      </w:tblPr>
      <w:tblGrid>
        <w:gridCol w:w="1586"/>
        <w:gridCol w:w="3532"/>
        <w:gridCol w:w="1131"/>
        <w:gridCol w:w="1131"/>
        <w:gridCol w:w="1131"/>
        <w:gridCol w:w="1131"/>
        <w:gridCol w:w="1131"/>
        <w:gridCol w:w="54"/>
        <w:gridCol w:w="1078"/>
      </w:tblGrid>
      <w:tr w:rsidR="00446061" w:rsidRPr="003408A6" w:rsidTr="00DE22A6">
        <w:trPr>
          <w:trHeight w:val="300"/>
        </w:trPr>
        <w:tc>
          <w:tcPr>
            <w:tcW w:w="11905" w:type="dxa"/>
            <w:gridSpan w:val="9"/>
            <w:noWrap/>
            <w:vAlign w:val="center"/>
            <w:hideMark/>
          </w:tcPr>
          <w:p w:rsidR="00446061" w:rsidRPr="003408A6" w:rsidRDefault="00446061" w:rsidP="001D113B">
            <w:pPr>
              <w:pStyle w:val="Tablefigureheadingsnotlisted"/>
              <w:rPr>
                <w:lang w:val="en-AU"/>
              </w:rPr>
            </w:pPr>
            <w:r w:rsidRPr="003408A6">
              <w:rPr>
                <w:lang w:val="en-AU"/>
              </w:rPr>
              <w:t xml:space="preserve">Table 3.8a. </w:t>
            </w:r>
            <w:r w:rsidRPr="003408A6">
              <w:rPr>
                <w:color w:val="DD0806"/>
                <w:lang w:val="en-AU"/>
              </w:rPr>
              <w:t xml:space="preserve">2007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March 2012)</w:t>
            </w:r>
          </w:p>
        </w:tc>
      </w:tr>
      <w:tr w:rsidR="00F650A4" w:rsidRPr="003408A6" w:rsidTr="00446061">
        <w:trPr>
          <w:trHeight w:val="300"/>
        </w:trPr>
        <w:tc>
          <w:tcPr>
            <w:tcW w:w="1586"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446061">
            <w:pPr>
              <w:pStyle w:val="Tablecolumnheading"/>
              <w:rPr>
                <w:lang w:val="en-AU"/>
              </w:rPr>
            </w:pPr>
            <w:r w:rsidRPr="003408A6">
              <w:rPr>
                <w:lang w:val="en-AU"/>
              </w:rPr>
              <w:t>State</w:t>
            </w:r>
          </w:p>
        </w:tc>
        <w:tc>
          <w:tcPr>
            <w:tcW w:w="3532"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 xml:space="preserve">Number of consumers </w:t>
            </w:r>
            <w:r w:rsidR="00446061" w:rsidRPr="003408A6">
              <w:rPr>
                <w:lang w:val="en-AU"/>
              </w:rPr>
              <w:br/>
            </w:r>
            <w:r w:rsidRPr="003408A6">
              <w:rPr>
                <w:lang w:val="en-AU"/>
              </w:rPr>
              <w:t>(completed course)</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Within 6 Months</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6–12 Months</w:t>
            </w:r>
          </w:p>
        </w:tc>
        <w:tc>
          <w:tcPr>
            <w:tcW w:w="2263" w:type="dxa"/>
            <w:gridSpan w:val="3"/>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More than 12 Months</w:t>
            </w:r>
          </w:p>
        </w:tc>
      </w:tr>
      <w:tr w:rsidR="00F650A4" w:rsidRPr="003408A6" w:rsidTr="00446061">
        <w:trPr>
          <w:trHeight w:val="300"/>
        </w:trPr>
        <w:tc>
          <w:tcPr>
            <w:tcW w:w="1586"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2" w:type="dxa"/>
            <w:gridSpan w:val="2"/>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ACT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5,767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5,315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92.2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452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NSW</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87,574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83,967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95.9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3,587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4.1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3,167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2,895</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91.4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272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8.6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QLD</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50,607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47,283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93.4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3,323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SA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29,042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28,041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96.6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999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TAS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8,967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6,934</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77.3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2,033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VIC</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91,667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85,521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93.3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6,135</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WA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22,994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22,234</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756</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732381">
            <w:pPr>
              <w:jc w:val="center"/>
              <w:rPr>
                <w:rFonts w:cs="Arial"/>
                <w:sz w:val="20"/>
                <w:lang w:eastAsia="en-US"/>
              </w:rPr>
            </w:pPr>
            <w:r w:rsidRPr="003408A6">
              <w:rPr>
                <w:rFonts w:cs="Arial"/>
                <w:sz w:val="20"/>
                <w:lang w:eastAsia="en-US"/>
              </w:rPr>
              <w:t>0.0</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b/>
                <w:lang w:val="en-AU"/>
              </w:rPr>
            </w:pPr>
            <w:r w:rsidRPr="003408A6">
              <w:rPr>
                <w:b/>
                <w:lang w:val="en-AU"/>
              </w:rPr>
              <w:t>ALL STATES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299,785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282,190</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94.1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17,557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5.9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38</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F650A4" w:rsidP="00446061">
            <w:pPr>
              <w:jc w:val="center"/>
              <w:rPr>
                <w:rFonts w:cs="Arial"/>
                <w:b/>
                <w:bCs/>
                <w:sz w:val="20"/>
                <w:lang w:eastAsia="en-US"/>
              </w:rPr>
            </w:pPr>
            <w:r w:rsidRPr="003408A6">
              <w:rPr>
                <w:rFonts w:cs="Arial"/>
                <w:b/>
                <w:bCs/>
                <w:sz w:val="20"/>
                <w:lang w:eastAsia="en-US"/>
              </w:rPr>
              <w:t>0.0</w:t>
            </w:r>
          </w:p>
        </w:tc>
      </w:tr>
      <w:tr w:rsidR="00446061" w:rsidRPr="003408A6" w:rsidTr="00DE22A6">
        <w:trPr>
          <w:trHeight w:val="300"/>
        </w:trPr>
        <w:tc>
          <w:tcPr>
            <w:tcW w:w="11905" w:type="dxa"/>
            <w:gridSpan w:val="9"/>
            <w:noWrap/>
            <w:vAlign w:val="center"/>
            <w:hideMark/>
          </w:tcPr>
          <w:p w:rsidR="00446061" w:rsidRPr="003408A6" w:rsidRDefault="00446061" w:rsidP="001D113B">
            <w:pPr>
              <w:pStyle w:val="Tablefigureheadingsnotlisted"/>
              <w:rPr>
                <w:lang w:val="en-AU"/>
              </w:rPr>
            </w:pPr>
            <w:r w:rsidRPr="003408A6">
              <w:rPr>
                <w:lang w:val="en-AU"/>
              </w:rPr>
              <w:t xml:space="preserve">Table 3.8b. </w:t>
            </w:r>
            <w:r w:rsidRPr="003408A6">
              <w:rPr>
                <w:color w:val="DD0806"/>
                <w:lang w:val="en-AU"/>
              </w:rPr>
              <w:t xml:space="preserve">2008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March 2012)</w:t>
            </w:r>
          </w:p>
        </w:tc>
      </w:tr>
      <w:tr w:rsidR="00F650A4" w:rsidRPr="003408A6" w:rsidTr="00446061">
        <w:trPr>
          <w:trHeight w:val="300"/>
        </w:trPr>
        <w:tc>
          <w:tcPr>
            <w:tcW w:w="1586"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446061">
            <w:pPr>
              <w:pStyle w:val="Tablecolumnheading"/>
              <w:rPr>
                <w:lang w:val="en-AU"/>
              </w:rPr>
            </w:pPr>
            <w:r w:rsidRPr="003408A6">
              <w:rPr>
                <w:lang w:val="en-AU"/>
              </w:rPr>
              <w:t>State</w:t>
            </w:r>
          </w:p>
        </w:tc>
        <w:tc>
          <w:tcPr>
            <w:tcW w:w="3532"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446061" w:rsidP="00446061">
            <w:pPr>
              <w:pStyle w:val="Tablecolumnheadings"/>
              <w:rPr>
                <w:lang w:val="en-AU"/>
              </w:rPr>
            </w:pPr>
            <w:r w:rsidRPr="003408A6">
              <w:rPr>
                <w:lang w:val="en-AU"/>
              </w:rPr>
              <w:t>Number of consumers</w:t>
            </w:r>
            <w:r w:rsidRPr="003408A6">
              <w:rPr>
                <w:lang w:val="en-AU"/>
              </w:rPr>
              <w:br/>
            </w:r>
            <w:r w:rsidR="00F650A4" w:rsidRPr="003408A6">
              <w:rPr>
                <w:lang w:val="en-AU"/>
              </w:rPr>
              <w:t>(completed course)</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Within 6 Months</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6–12 Months</w:t>
            </w:r>
          </w:p>
        </w:tc>
        <w:tc>
          <w:tcPr>
            <w:tcW w:w="2263" w:type="dxa"/>
            <w:gridSpan w:val="3"/>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More than 12 Months</w:t>
            </w:r>
          </w:p>
        </w:tc>
      </w:tr>
      <w:tr w:rsidR="00F650A4" w:rsidRPr="003408A6" w:rsidTr="00446061">
        <w:trPr>
          <w:trHeight w:val="300"/>
        </w:trPr>
        <w:tc>
          <w:tcPr>
            <w:tcW w:w="1586"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2" w:type="dxa"/>
            <w:gridSpan w:val="2"/>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ACT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11,020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1,610</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14.6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9,129</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82.8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281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2.5</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NSW</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210,558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52,461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24.9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154,041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73.2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4,056</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1.9</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7,503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957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12.8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5,938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79.1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608</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8.1</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QLD</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120,516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24,790</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20.6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92,467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3,259</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2.7</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SA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31,283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9,604</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30.7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20,262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64.8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1,417</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4.5</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TAS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11,264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3,821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33.9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6,951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61.7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492</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4.4</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VIC</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162,972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53,136</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32.6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105,212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64.6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4,624</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2.8</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WA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63,053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14,973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23.7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46,257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73.4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1,823</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2.9</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b/>
                <w:bCs/>
                <w:lang w:val="en-AU"/>
              </w:rPr>
            </w:pPr>
            <w:r w:rsidRPr="003408A6">
              <w:rPr>
                <w:b/>
                <w:bCs/>
                <w:lang w:val="en-AU"/>
              </w:rPr>
              <w:t>ALL STATES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618,169</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161,352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26.1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440,257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71.2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16,560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2.7</w:t>
            </w:r>
          </w:p>
        </w:tc>
      </w:tr>
      <w:tr w:rsidR="00446061" w:rsidRPr="003408A6" w:rsidTr="00DE22A6">
        <w:trPr>
          <w:trHeight w:val="300"/>
        </w:trPr>
        <w:tc>
          <w:tcPr>
            <w:tcW w:w="10827" w:type="dxa"/>
            <w:gridSpan w:val="8"/>
            <w:noWrap/>
            <w:vAlign w:val="center"/>
            <w:hideMark/>
          </w:tcPr>
          <w:p w:rsidR="00446061" w:rsidRPr="003408A6" w:rsidRDefault="00446061" w:rsidP="001D113B">
            <w:pPr>
              <w:pStyle w:val="Tablefigureheadingsnotlisted"/>
              <w:rPr>
                <w:lang w:val="en-AU"/>
              </w:rPr>
            </w:pPr>
            <w:r w:rsidRPr="003408A6">
              <w:rPr>
                <w:lang w:val="en-AU"/>
              </w:rPr>
              <w:t xml:space="preserve">Table 3.8c. </w:t>
            </w:r>
            <w:r w:rsidRPr="003408A6">
              <w:rPr>
                <w:color w:val="DD0806"/>
                <w:lang w:val="en-AU"/>
              </w:rPr>
              <w:t xml:space="preserve">2009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September 2012)</w:t>
            </w:r>
          </w:p>
        </w:tc>
        <w:tc>
          <w:tcPr>
            <w:tcW w:w="1078" w:type="dxa"/>
            <w:noWrap/>
            <w:vAlign w:val="center"/>
            <w:hideMark/>
          </w:tcPr>
          <w:p w:rsidR="00446061" w:rsidRPr="003408A6" w:rsidRDefault="00446061" w:rsidP="00732381">
            <w:pPr>
              <w:rPr>
                <w:szCs w:val="22"/>
              </w:rPr>
            </w:pPr>
          </w:p>
        </w:tc>
      </w:tr>
      <w:tr w:rsidR="00F650A4" w:rsidRPr="003408A6" w:rsidTr="00446061">
        <w:trPr>
          <w:trHeight w:val="300"/>
        </w:trPr>
        <w:tc>
          <w:tcPr>
            <w:tcW w:w="1586"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446061">
            <w:pPr>
              <w:pStyle w:val="Tablecolumnheading"/>
              <w:rPr>
                <w:lang w:val="en-AU"/>
              </w:rPr>
            </w:pPr>
            <w:r w:rsidRPr="003408A6">
              <w:rPr>
                <w:lang w:val="en-AU"/>
              </w:rPr>
              <w:t>State</w:t>
            </w:r>
          </w:p>
        </w:tc>
        <w:tc>
          <w:tcPr>
            <w:tcW w:w="3532"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446061" w:rsidP="00446061">
            <w:pPr>
              <w:pStyle w:val="Tablecolumnheadings"/>
              <w:rPr>
                <w:lang w:val="en-AU"/>
              </w:rPr>
            </w:pPr>
            <w:r w:rsidRPr="003408A6">
              <w:rPr>
                <w:lang w:val="en-AU"/>
              </w:rPr>
              <w:t>Number of consumers</w:t>
            </w:r>
            <w:r w:rsidRPr="003408A6">
              <w:rPr>
                <w:lang w:val="en-AU"/>
              </w:rPr>
              <w:br/>
            </w:r>
            <w:r w:rsidR="00F650A4" w:rsidRPr="003408A6">
              <w:rPr>
                <w:lang w:val="en-AU"/>
              </w:rPr>
              <w:t>(completed course)</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Within 6 Months</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6–12 Months</w:t>
            </w:r>
          </w:p>
        </w:tc>
        <w:tc>
          <w:tcPr>
            <w:tcW w:w="2263" w:type="dxa"/>
            <w:gridSpan w:val="3"/>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More than 12 Months</w:t>
            </w:r>
          </w:p>
        </w:tc>
      </w:tr>
      <w:tr w:rsidR="00F650A4" w:rsidRPr="003408A6" w:rsidTr="00446061">
        <w:trPr>
          <w:trHeight w:val="300"/>
        </w:trPr>
        <w:tc>
          <w:tcPr>
            <w:tcW w:w="1586"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2" w:type="dxa"/>
            <w:gridSpan w:val="2"/>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ACT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3,951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437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11.1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2,837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71.8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677</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17.1</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NSW</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65,165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12,595</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19.3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42,837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65.7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9,733</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14.9</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3,788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388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10.2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2,294</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60.6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1,106</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29.2</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QLD</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63,577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10,473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16.5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42,079</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66.2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11,025</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17.3</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SA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17,576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5,221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29.7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9,228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52.5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3,127</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17.8</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TAS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5,426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1,448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2,992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55.1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986</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18.2</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VIC</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59,763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14,355</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24.0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35,097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58.7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10,311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17.3</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WA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23,400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4,329</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18.5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15,016</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64.2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4,055</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17.3</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b/>
                <w:bCs/>
                <w:lang w:val="en-AU"/>
              </w:rPr>
            </w:pPr>
            <w:r w:rsidRPr="003408A6">
              <w:rPr>
                <w:b/>
                <w:bCs/>
                <w:lang w:val="en-AU"/>
              </w:rPr>
              <w:t>ALL STATES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242,646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49,246</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20.3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152,380</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62.8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41,020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16.9</w:t>
            </w:r>
          </w:p>
        </w:tc>
      </w:tr>
      <w:tr w:rsidR="00446061" w:rsidRPr="003408A6" w:rsidTr="00DE22A6">
        <w:trPr>
          <w:trHeight w:val="300"/>
        </w:trPr>
        <w:tc>
          <w:tcPr>
            <w:tcW w:w="11905" w:type="dxa"/>
            <w:gridSpan w:val="9"/>
            <w:noWrap/>
            <w:vAlign w:val="center"/>
            <w:hideMark/>
          </w:tcPr>
          <w:p w:rsidR="00446061" w:rsidRPr="003408A6" w:rsidRDefault="00446061" w:rsidP="001D113B">
            <w:pPr>
              <w:pStyle w:val="Tablefigureheadingsnotlisted"/>
              <w:rPr>
                <w:lang w:val="en-AU"/>
              </w:rPr>
            </w:pPr>
            <w:r w:rsidRPr="003408A6">
              <w:rPr>
                <w:lang w:val="en-AU"/>
              </w:rPr>
              <w:t xml:space="preserve">Table 3.8d. </w:t>
            </w:r>
            <w:r w:rsidRPr="003408A6">
              <w:rPr>
                <w:color w:val="DD0806"/>
                <w:lang w:val="en-AU"/>
              </w:rPr>
              <w:t xml:space="preserve">2010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March 2013)</w:t>
            </w:r>
          </w:p>
        </w:tc>
      </w:tr>
      <w:tr w:rsidR="00F650A4" w:rsidRPr="003408A6" w:rsidTr="00446061">
        <w:trPr>
          <w:trHeight w:val="300"/>
        </w:trPr>
        <w:tc>
          <w:tcPr>
            <w:tcW w:w="1586"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446061">
            <w:pPr>
              <w:pStyle w:val="Tablecolumnheading"/>
              <w:rPr>
                <w:lang w:val="en-AU"/>
              </w:rPr>
            </w:pPr>
            <w:r w:rsidRPr="003408A6">
              <w:rPr>
                <w:lang w:val="en-AU"/>
              </w:rPr>
              <w:t>State</w:t>
            </w:r>
          </w:p>
        </w:tc>
        <w:tc>
          <w:tcPr>
            <w:tcW w:w="3532"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Number of consumers</w:t>
            </w:r>
            <w:r w:rsidR="00446061" w:rsidRPr="003408A6">
              <w:rPr>
                <w:lang w:val="en-AU"/>
              </w:rPr>
              <w:br/>
            </w:r>
            <w:r w:rsidRPr="003408A6">
              <w:rPr>
                <w:lang w:val="en-AU"/>
              </w:rPr>
              <w:t>(completed course)</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Within 6 Months</w:t>
            </w:r>
          </w:p>
        </w:tc>
        <w:tc>
          <w:tcPr>
            <w:tcW w:w="2262"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6–12 Months</w:t>
            </w:r>
          </w:p>
        </w:tc>
        <w:tc>
          <w:tcPr>
            <w:tcW w:w="2263" w:type="dxa"/>
            <w:gridSpan w:val="3"/>
            <w:tcBorders>
              <w:top w:val="single" w:sz="4" w:space="0" w:color="auto"/>
              <w:left w:val="nil"/>
              <w:bottom w:val="single" w:sz="4" w:space="0" w:color="auto"/>
              <w:right w:val="single" w:sz="4" w:space="0" w:color="auto"/>
            </w:tcBorders>
            <w:noWrap/>
            <w:vAlign w:val="center"/>
            <w:hideMark/>
          </w:tcPr>
          <w:p w:rsidR="00F650A4" w:rsidRPr="003408A6" w:rsidRDefault="00F650A4" w:rsidP="00446061">
            <w:pPr>
              <w:pStyle w:val="Tablecolumnheadings"/>
              <w:rPr>
                <w:lang w:val="en-AU"/>
              </w:rPr>
            </w:pPr>
            <w:r w:rsidRPr="003408A6">
              <w:rPr>
                <w:lang w:val="en-AU"/>
              </w:rPr>
              <w:t>More than 12 Months</w:t>
            </w:r>
          </w:p>
        </w:tc>
      </w:tr>
      <w:tr w:rsidR="00F650A4" w:rsidRPr="003408A6" w:rsidTr="00446061">
        <w:trPr>
          <w:trHeight w:val="300"/>
        </w:trPr>
        <w:tc>
          <w:tcPr>
            <w:tcW w:w="1586"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446061">
            <w:pPr>
              <w:pStyle w:val="Tablecolumnheadings"/>
              <w:rPr>
                <w:lang w:val="en-AU"/>
              </w:rPr>
            </w:pP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c>
          <w:tcPr>
            <w:tcW w:w="1131" w:type="dxa"/>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n</w:t>
            </w:r>
          </w:p>
        </w:tc>
        <w:tc>
          <w:tcPr>
            <w:tcW w:w="1132" w:type="dxa"/>
            <w:gridSpan w:val="2"/>
            <w:tcBorders>
              <w:top w:val="nil"/>
              <w:left w:val="nil"/>
              <w:bottom w:val="single" w:sz="4" w:space="0" w:color="auto"/>
              <w:right w:val="single" w:sz="4" w:space="0" w:color="auto"/>
            </w:tcBorders>
            <w:vAlign w:val="center"/>
            <w:hideMark/>
          </w:tcPr>
          <w:p w:rsidR="00F650A4" w:rsidRPr="003408A6" w:rsidRDefault="00F650A4" w:rsidP="00446061">
            <w:pPr>
              <w:pStyle w:val="Tablecolumnheadings"/>
              <w:rPr>
                <w:lang w:val="en-AU"/>
              </w:rPr>
            </w:pPr>
            <w:r w:rsidRPr="003408A6">
              <w:rPr>
                <w:lang w:val="en-AU"/>
              </w:rPr>
              <w:t>%</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ACT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1,614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0.7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1,561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96.7</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42</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2.6</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NSW</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31,008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9,439</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30.4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20,932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67.5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637</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2.1</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NT</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1,162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86</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841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72.4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235</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20.2</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QLD</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22,214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2,238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10.1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18,127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81.6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1,849</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8.3</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SA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7,493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2,732</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36.5</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4,258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56.8</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503</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6.7</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TAS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2,076</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603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29.0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1,333</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64.2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140</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6.7</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VIC</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25,284</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7,125</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28.2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17,198</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68.0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961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3.8</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lang w:val="en-AU"/>
              </w:rPr>
            </w:pPr>
            <w:r w:rsidRPr="003408A6">
              <w:rPr>
                <w:lang w:val="en-AU"/>
              </w:rPr>
              <w:t>WA</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11,592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467</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4.0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10,561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91.1</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lang w:val="en-AU"/>
              </w:rPr>
            </w:pPr>
            <w:r w:rsidRPr="003408A6">
              <w:rPr>
                <w:lang w:val="en-AU"/>
              </w:rPr>
              <w:t>564</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lang w:val="en-AU"/>
              </w:rPr>
            </w:pPr>
            <w:r w:rsidRPr="003408A6">
              <w:rPr>
                <w:lang w:val="en-AU"/>
              </w:rPr>
              <w:t>4.9</w:t>
            </w:r>
          </w:p>
        </w:tc>
      </w:tr>
      <w:tr w:rsidR="00F650A4" w:rsidRPr="003408A6" w:rsidTr="00446061">
        <w:trPr>
          <w:trHeight w:val="300"/>
        </w:trPr>
        <w:tc>
          <w:tcPr>
            <w:tcW w:w="1586" w:type="dxa"/>
            <w:tcBorders>
              <w:top w:val="nil"/>
              <w:left w:val="single" w:sz="4" w:space="0" w:color="auto"/>
              <w:bottom w:val="single" w:sz="4" w:space="0" w:color="auto"/>
              <w:right w:val="single" w:sz="4" w:space="0" w:color="auto"/>
            </w:tcBorders>
            <w:noWrap/>
            <w:vAlign w:val="center"/>
            <w:hideMark/>
          </w:tcPr>
          <w:p w:rsidR="00F650A4" w:rsidRPr="003408A6" w:rsidRDefault="00F650A4" w:rsidP="00446061">
            <w:pPr>
              <w:pStyle w:val="Tabletext0beforeafter"/>
              <w:rPr>
                <w:b/>
                <w:bCs/>
                <w:lang w:val="en-AU"/>
              </w:rPr>
            </w:pPr>
            <w:r w:rsidRPr="003408A6">
              <w:rPr>
                <w:b/>
                <w:bCs/>
                <w:lang w:val="en-AU"/>
              </w:rPr>
              <w:t>ALL STATES</w:t>
            </w:r>
          </w:p>
        </w:tc>
        <w:tc>
          <w:tcPr>
            <w:tcW w:w="3532"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102,443</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22,701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22.2</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74,811</w:t>
            </w:r>
          </w:p>
        </w:tc>
        <w:tc>
          <w:tcPr>
            <w:tcW w:w="1131" w:type="dxa"/>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73.0</w:t>
            </w:r>
          </w:p>
        </w:tc>
        <w:tc>
          <w:tcPr>
            <w:tcW w:w="1131" w:type="dxa"/>
            <w:tcBorders>
              <w:top w:val="nil"/>
              <w:left w:val="nil"/>
              <w:bottom w:val="single" w:sz="4" w:space="0" w:color="auto"/>
              <w:right w:val="single" w:sz="4" w:space="0" w:color="auto"/>
            </w:tcBorders>
            <w:noWrap/>
            <w:vAlign w:val="center"/>
            <w:hideMark/>
          </w:tcPr>
          <w:p w:rsidR="00F650A4" w:rsidRPr="003408A6" w:rsidRDefault="00F650A4" w:rsidP="00446061">
            <w:pPr>
              <w:pStyle w:val="Tabletext0beforeafter-centred"/>
              <w:rPr>
                <w:b/>
                <w:bCs/>
                <w:lang w:val="en-AU"/>
              </w:rPr>
            </w:pPr>
            <w:r w:rsidRPr="003408A6">
              <w:rPr>
                <w:b/>
                <w:bCs/>
                <w:lang w:val="en-AU"/>
              </w:rPr>
              <w:t>4,931</w:t>
            </w:r>
          </w:p>
        </w:tc>
        <w:tc>
          <w:tcPr>
            <w:tcW w:w="1132" w:type="dxa"/>
            <w:gridSpan w:val="2"/>
            <w:tcBorders>
              <w:top w:val="nil"/>
              <w:left w:val="nil"/>
              <w:bottom w:val="single" w:sz="4" w:space="0" w:color="auto"/>
              <w:right w:val="single" w:sz="4" w:space="0" w:color="auto"/>
            </w:tcBorders>
            <w:noWrap/>
            <w:vAlign w:val="center"/>
            <w:hideMark/>
          </w:tcPr>
          <w:p w:rsidR="00F650A4" w:rsidRPr="003408A6" w:rsidRDefault="00446061" w:rsidP="00446061">
            <w:pPr>
              <w:pStyle w:val="Tabletext0beforeafter-centred"/>
              <w:rPr>
                <w:b/>
                <w:bCs/>
                <w:lang w:val="en-AU"/>
              </w:rPr>
            </w:pPr>
            <w:r w:rsidRPr="003408A6">
              <w:rPr>
                <w:b/>
                <w:bCs/>
                <w:lang w:val="en-AU"/>
              </w:rPr>
              <w:t>4.8</w:t>
            </w:r>
          </w:p>
        </w:tc>
      </w:tr>
    </w:tbl>
    <w:p w:rsidR="00446061" w:rsidRPr="003408A6" w:rsidRDefault="00446061">
      <w:r w:rsidRPr="003408A6">
        <w:br w:type="page"/>
      </w:r>
    </w:p>
    <w:tbl>
      <w:tblPr>
        <w:tblW w:w="0" w:type="auto"/>
        <w:tblInd w:w="93" w:type="dxa"/>
        <w:tblLayout w:type="fixed"/>
        <w:tblLook w:val="04A0" w:firstRow="1" w:lastRow="0" w:firstColumn="1" w:lastColumn="0" w:noHBand="0" w:noVBand="1"/>
      </w:tblPr>
      <w:tblGrid>
        <w:gridCol w:w="1450"/>
        <w:gridCol w:w="3668"/>
        <w:gridCol w:w="1134"/>
        <w:gridCol w:w="1134"/>
        <w:gridCol w:w="1134"/>
        <w:gridCol w:w="1134"/>
        <w:gridCol w:w="1134"/>
        <w:gridCol w:w="1134"/>
      </w:tblGrid>
      <w:tr w:rsidR="00DE22A6" w:rsidRPr="003408A6" w:rsidTr="00446061">
        <w:trPr>
          <w:trHeight w:val="300"/>
        </w:trPr>
        <w:tc>
          <w:tcPr>
            <w:tcW w:w="11922" w:type="dxa"/>
            <w:gridSpan w:val="8"/>
            <w:noWrap/>
            <w:vAlign w:val="center"/>
          </w:tcPr>
          <w:p w:rsidR="00DE22A6" w:rsidRPr="003408A6" w:rsidRDefault="00DE22A6" w:rsidP="001D113B">
            <w:pPr>
              <w:pStyle w:val="Tablefigureheadingsnotlisted"/>
              <w:rPr>
                <w:lang w:val="en-AU"/>
              </w:rPr>
            </w:pPr>
            <w:r w:rsidRPr="003408A6">
              <w:rPr>
                <w:lang w:val="en-AU"/>
              </w:rPr>
              <w:t xml:space="preserve">Table 3.8e. </w:t>
            </w:r>
            <w:r w:rsidRPr="003408A6">
              <w:rPr>
                <w:color w:val="DD0806"/>
                <w:lang w:val="en-AU"/>
              </w:rPr>
              <w:t xml:space="preserve">2011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July 2013)</w:t>
            </w:r>
          </w:p>
        </w:tc>
      </w:tr>
      <w:tr w:rsidR="00F650A4" w:rsidRPr="003408A6" w:rsidTr="00446061">
        <w:trPr>
          <w:trHeight w:val="300"/>
        </w:trPr>
        <w:tc>
          <w:tcPr>
            <w:tcW w:w="1450"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2E7F07">
            <w:pPr>
              <w:pStyle w:val="Tablecolumnheading"/>
              <w:rPr>
                <w:lang w:val="en-AU"/>
              </w:rPr>
            </w:pPr>
            <w:r w:rsidRPr="003408A6">
              <w:rPr>
                <w:lang w:val="en-AU"/>
              </w:rPr>
              <w:t>State</w:t>
            </w:r>
          </w:p>
        </w:tc>
        <w:tc>
          <w:tcPr>
            <w:tcW w:w="3668"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 xml:space="preserve">Number of consumers </w:t>
            </w:r>
            <w:r w:rsidR="00446061" w:rsidRPr="003408A6">
              <w:rPr>
                <w:lang w:val="en-AU"/>
              </w:rPr>
              <w:br/>
            </w:r>
            <w:r w:rsidRPr="003408A6">
              <w:rPr>
                <w:lang w:val="en-AU"/>
              </w:rPr>
              <w:t>(completed course)</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Within 6 Months</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6–12 Months</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More than 12 Months</w:t>
            </w:r>
          </w:p>
        </w:tc>
      </w:tr>
      <w:tr w:rsidR="00F650A4" w:rsidRPr="003408A6" w:rsidTr="00446061">
        <w:trPr>
          <w:trHeight w:val="300"/>
        </w:trPr>
        <w:tc>
          <w:tcPr>
            <w:tcW w:w="1450"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668"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2E7F07">
            <w:pPr>
              <w:pStyle w:val="Tablecolumnheadings"/>
              <w:rPr>
                <w:lang w:val="en-AU"/>
              </w:rPr>
            </w:pP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ACT</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1,446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9</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0.6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1,415</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97.9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22</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1.5</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NSW</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29,559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5,665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19.2</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23,741</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80.3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153</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0.5</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NT</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970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388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40.</w:t>
            </w:r>
            <w:r w:rsidR="00DE22A6" w:rsidRPr="003408A6">
              <w:rPr>
                <w:lang w:val="en-AU"/>
              </w:rPr>
              <w:t>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443</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45.7</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139</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14.3</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QLD</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20,285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1,403</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6.9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18,149</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89.5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733</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3.6</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SA</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6,931</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2,336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33.7</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4,372</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63.1</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223</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3.2</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TAS</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1,989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762</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38.3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1,175</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59.1</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52</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2.6</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VIC</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24,938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7,554</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30.3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16,715</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67.0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669</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2.7</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WA</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11,870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507</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4.3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10,895</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91.8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468</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lang w:val="en-AU"/>
              </w:rPr>
            </w:pPr>
            <w:r w:rsidRPr="003408A6">
              <w:rPr>
                <w:lang w:val="en-AU"/>
              </w:rPr>
              <w:t>3.9</w:t>
            </w:r>
          </w:p>
        </w:tc>
      </w:tr>
      <w:tr w:rsidR="00F650A4" w:rsidRPr="003408A6" w:rsidTr="00446061">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b/>
                <w:bCs/>
                <w:lang w:val="en-AU"/>
              </w:rPr>
            </w:pPr>
            <w:r w:rsidRPr="003408A6">
              <w:rPr>
                <w:b/>
                <w:bCs/>
                <w:lang w:val="en-AU"/>
              </w:rPr>
              <w:t>ALL STATES</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97,988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18,624</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b/>
                <w:bCs/>
                <w:lang w:val="en-AU"/>
              </w:rPr>
            </w:pPr>
            <w:r w:rsidRPr="003408A6">
              <w:rPr>
                <w:b/>
                <w:bCs/>
                <w:lang w:val="en-AU"/>
              </w:rPr>
              <w:t>19.0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76,905</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b/>
                <w:bCs/>
                <w:lang w:val="en-AU"/>
              </w:rPr>
            </w:pPr>
            <w:r w:rsidRPr="003408A6">
              <w:rPr>
                <w:b/>
                <w:bCs/>
                <w:lang w:val="en-AU"/>
              </w:rPr>
              <w:t>78.5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2,459</w:t>
            </w:r>
          </w:p>
        </w:tc>
        <w:tc>
          <w:tcPr>
            <w:tcW w:w="1134" w:type="dxa"/>
            <w:tcBorders>
              <w:top w:val="nil"/>
              <w:left w:val="nil"/>
              <w:bottom w:val="single" w:sz="4" w:space="0" w:color="auto"/>
              <w:right w:val="single" w:sz="4" w:space="0" w:color="auto"/>
            </w:tcBorders>
            <w:noWrap/>
            <w:vAlign w:val="center"/>
            <w:hideMark/>
          </w:tcPr>
          <w:p w:rsidR="00F650A4" w:rsidRPr="003408A6" w:rsidRDefault="00DE22A6" w:rsidP="002E7F07">
            <w:pPr>
              <w:pStyle w:val="Tabletext0beforeafter-centred"/>
              <w:rPr>
                <w:b/>
                <w:bCs/>
                <w:lang w:val="en-AU"/>
              </w:rPr>
            </w:pPr>
            <w:r w:rsidRPr="003408A6">
              <w:rPr>
                <w:b/>
                <w:bCs/>
                <w:lang w:val="en-AU"/>
              </w:rPr>
              <w:t>2.5</w:t>
            </w:r>
          </w:p>
        </w:tc>
      </w:tr>
      <w:tr w:rsidR="00446061" w:rsidRPr="003408A6" w:rsidTr="00446061">
        <w:trPr>
          <w:trHeight w:val="300"/>
        </w:trPr>
        <w:tc>
          <w:tcPr>
            <w:tcW w:w="11922" w:type="dxa"/>
            <w:gridSpan w:val="8"/>
            <w:noWrap/>
            <w:vAlign w:val="center"/>
            <w:hideMark/>
          </w:tcPr>
          <w:p w:rsidR="00446061" w:rsidRPr="003408A6" w:rsidRDefault="00446061" w:rsidP="001D113B">
            <w:pPr>
              <w:pStyle w:val="Tablefigureheadingsnotlisted"/>
              <w:rPr>
                <w:lang w:val="en-AU"/>
              </w:rPr>
            </w:pPr>
            <w:r w:rsidRPr="003408A6">
              <w:rPr>
                <w:lang w:val="en-AU"/>
              </w:rPr>
              <w:t xml:space="preserve">Table 3.8f. </w:t>
            </w:r>
            <w:r w:rsidRPr="003408A6">
              <w:rPr>
                <w:color w:val="DD0806"/>
                <w:lang w:val="en-AU"/>
              </w:rPr>
              <w:t xml:space="preserve">2012 </w:t>
            </w:r>
            <w:r w:rsidR="001D113B">
              <w:rPr>
                <w:color w:val="DD0806"/>
                <w:lang w:val="en-AU"/>
              </w:rPr>
              <w:t>c</w:t>
            </w:r>
            <w:r w:rsidRPr="003408A6">
              <w:rPr>
                <w:color w:val="DD0806"/>
                <w:lang w:val="en-AU"/>
              </w:rPr>
              <w:t xml:space="preserve">alendar </w:t>
            </w:r>
            <w:r w:rsidR="002E7F07" w:rsidRPr="003408A6">
              <w:rPr>
                <w:color w:val="DD0806"/>
                <w:lang w:val="en-AU"/>
              </w:rPr>
              <w:t>y</w:t>
            </w:r>
            <w:r w:rsidRPr="003408A6">
              <w:rPr>
                <w:color w:val="DD0806"/>
                <w:lang w:val="en-AU"/>
              </w:rPr>
              <w:t>ear (as held July 2013)</w:t>
            </w:r>
          </w:p>
        </w:tc>
      </w:tr>
      <w:tr w:rsidR="00F650A4" w:rsidRPr="003408A6" w:rsidTr="002E7F07">
        <w:trPr>
          <w:trHeight w:val="300"/>
        </w:trPr>
        <w:tc>
          <w:tcPr>
            <w:tcW w:w="1450" w:type="dxa"/>
            <w:vMerge w:val="restart"/>
            <w:tcBorders>
              <w:top w:val="single" w:sz="4" w:space="0" w:color="auto"/>
              <w:left w:val="single" w:sz="4" w:space="0" w:color="auto"/>
              <w:bottom w:val="single" w:sz="4" w:space="0" w:color="000000"/>
              <w:right w:val="single" w:sz="4" w:space="0" w:color="auto"/>
            </w:tcBorders>
            <w:noWrap/>
            <w:vAlign w:val="center"/>
            <w:hideMark/>
          </w:tcPr>
          <w:p w:rsidR="00F650A4" w:rsidRPr="003408A6" w:rsidRDefault="00F650A4" w:rsidP="002E7F07">
            <w:pPr>
              <w:pStyle w:val="Tablecolumnheading"/>
              <w:rPr>
                <w:lang w:val="en-AU"/>
              </w:rPr>
            </w:pPr>
            <w:r w:rsidRPr="003408A6">
              <w:rPr>
                <w:lang w:val="en-AU"/>
              </w:rPr>
              <w:t>State</w:t>
            </w:r>
          </w:p>
        </w:tc>
        <w:tc>
          <w:tcPr>
            <w:tcW w:w="3668" w:type="dxa"/>
            <w:vMerge w:val="restart"/>
            <w:tcBorders>
              <w:top w:val="single" w:sz="4" w:space="0" w:color="auto"/>
              <w:left w:val="single" w:sz="4" w:space="0" w:color="auto"/>
              <w:bottom w:val="single" w:sz="4" w:space="0" w:color="auto"/>
              <w:right w:val="single" w:sz="4" w:space="0" w:color="auto"/>
            </w:tcBorders>
            <w:vAlign w:val="center"/>
            <w:hideMark/>
          </w:tcPr>
          <w:p w:rsidR="00F650A4" w:rsidRPr="003408A6" w:rsidRDefault="002E7F07" w:rsidP="002E7F07">
            <w:pPr>
              <w:pStyle w:val="Tablecolumnheadings"/>
              <w:rPr>
                <w:lang w:val="en-AU"/>
              </w:rPr>
            </w:pPr>
            <w:r w:rsidRPr="003408A6">
              <w:rPr>
                <w:lang w:val="en-AU"/>
              </w:rPr>
              <w:t>Number of consumers</w:t>
            </w:r>
            <w:r w:rsidRPr="003408A6">
              <w:rPr>
                <w:lang w:val="en-AU"/>
              </w:rPr>
              <w:br/>
            </w:r>
            <w:r w:rsidR="00F650A4" w:rsidRPr="003408A6">
              <w:rPr>
                <w:lang w:val="en-AU"/>
              </w:rPr>
              <w:t>(completed course)</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Within 6 Months</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6–12 Months</w:t>
            </w:r>
          </w:p>
        </w:tc>
        <w:tc>
          <w:tcPr>
            <w:tcW w:w="2268" w:type="dxa"/>
            <w:gridSpan w:val="2"/>
            <w:tcBorders>
              <w:top w:val="single" w:sz="4" w:space="0" w:color="auto"/>
              <w:left w:val="nil"/>
              <w:bottom w:val="single" w:sz="4" w:space="0" w:color="auto"/>
              <w:right w:val="single" w:sz="4" w:space="0" w:color="auto"/>
            </w:tcBorders>
            <w:noWrap/>
            <w:vAlign w:val="center"/>
            <w:hideMark/>
          </w:tcPr>
          <w:p w:rsidR="00F650A4" w:rsidRPr="003408A6" w:rsidRDefault="00F650A4" w:rsidP="002E7F07">
            <w:pPr>
              <w:pStyle w:val="Tablecolumnheadings"/>
              <w:rPr>
                <w:lang w:val="en-AU"/>
              </w:rPr>
            </w:pPr>
            <w:r w:rsidRPr="003408A6">
              <w:rPr>
                <w:lang w:val="en-AU"/>
              </w:rPr>
              <w:t>More than 12 Months</w:t>
            </w:r>
          </w:p>
        </w:tc>
      </w:tr>
      <w:tr w:rsidR="00F650A4" w:rsidRPr="003408A6" w:rsidTr="002E7F07">
        <w:trPr>
          <w:trHeight w:val="300"/>
        </w:trPr>
        <w:tc>
          <w:tcPr>
            <w:tcW w:w="1450" w:type="dxa"/>
            <w:vMerge/>
            <w:tcBorders>
              <w:top w:val="single" w:sz="4" w:space="0" w:color="auto"/>
              <w:left w:val="single" w:sz="4" w:space="0" w:color="auto"/>
              <w:bottom w:val="single" w:sz="4" w:space="0" w:color="000000"/>
              <w:right w:val="single" w:sz="4" w:space="0" w:color="auto"/>
            </w:tcBorders>
            <w:vAlign w:val="center"/>
            <w:hideMark/>
          </w:tcPr>
          <w:p w:rsidR="00F650A4" w:rsidRPr="003408A6" w:rsidRDefault="00F650A4" w:rsidP="00732381">
            <w:pPr>
              <w:rPr>
                <w:rFonts w:cs="Arial"/>
                <w:b/>
                <w:bCs/>
                <w:sz w:val="20"/>
                <w:lang w:eastAsia="en-US"/>
              </w:rPr>
            </w:pPr>
          </w:p>
        </w:tc>
        <w:tc>
          <w:tcPr>
            <w:tcW w:w="3668" w:type="dxa"/>
            <w:vMerge/>
            <w:tcBorders>
              <w:top w:val="single" w:sz="4" w:space="0" w:color="auto"/>
              <w:left w:val="single" w:sz="4" w:space="0" w:color="auto"/>
              <w:bottom w:val="single" w:sz="4" w:space="0" w:color="auto"/>
              <w:right w:val="single" w:sz="4" w:space="0" w:color="auto"/>
            </w:tcBorders>
            <w:vAlign w:val="center"/>
            <w:hideMark/>
          </w:tcPr>
          <w:p w:rsidR="00F650A4" w:rsidRPr="003408A6" w:rsidRDefault="00F650A4" w:rsidP="002E7F07">
            <w:pPr>
              <w:pStyle w:val="Tablecolumnheadings"/>
              <w:rPr>
                <w:lang w:val="en-AU"/>
              </w:rPr>
            </w:pP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w:t>
            </w:r>
          </w:p>
        </w:tc>
        <w:tc>
          <w:tcPr>
            <w:tcW w:w="1134" w:type="dxa"/>
            <w:tcBorders>
              <w:top w:val="nil"/>
              <w:left w:val="nil"/>
              <w:bottom w:val="single" w:sz="4" w:space="0" w:color="auto"/>
              <w:right w:val="single" w:sz="4" w:space="0" w:color="auto"/>
            </w:tcBorders>
            <w:vAlign w:val="center"/>
            <w:hideMark/>
          </w:tcPr>
          <w:p w:rsidR="00F650A4" w:rsidRPr="003408A6" w:rsidRDefault="00F650A4" w:rsidP="002E7F07">
            <w:pPr>
              <w:pStyle w:val="Tablecolumnheadings"/>
              <w:rPr>
                <w:lang w:val="en-AU"/>
              </w:rPr>
            </w:pPr>
            <w:r w:rsidRPr="003408A6">
              <w:rPr>
                <w:lang w:val="en-AU"/>
              </w:rPr>
              <w:t>n</w:t>
            </w:r>
          </w:p>
        </w:tc>
        <w:tc>
          <w:tcPr>
            <w:tcW w:w="1134" w:type="dxa"/>
            <w:tcBorders>
              <w:top w:val="nil"/>
              <w:left w:val="nil"/>
              <w:bottom w:val="single" w:sz="4" w:space="0" w:color="auto"/>
              <w:right w:val="single" w:sz="4" w:space="0" w:color="auto"/>
            </w:tcBorders>
            <w:vAlign w:val="center"/>
            <w:hideMark/>
          </w:tcPr>
          <w:p w:rsidR="00F650A4" w:rsidRPr="003408A6" w:rsidRDefault="00F650A4" w:rsidP="00732381">
            <w:pPr>
              <w:jc w:val="center"/>
              <w:rPr>
                <w:rFonts w:cs="Arial"/>
                <w:b/>
                <w:bCs/>
                <w:sz w:val="20"/>
                <w:lang w:eastAsia="en-US"/>
              </w:rPr>
            </w:pPr>
            <w:r w:rsidRPr="003408A6">
              <w:rPr>
                <w:rFonts w:cs="Arial"/>
                <w:b/>
                <w:bCs/>
                <w:sz w:val="20"/>
                <w:lang w:eastAsia="en-US"/>
              </w:rPr>
              <w:t>%</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ACT</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1,518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7</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0.5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1,494</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98.4</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17</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1.1</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NSW</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32,191</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3,161</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9.8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28,852</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89.6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178</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0.6</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NT</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1,183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573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48.4</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454</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38.4</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156</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13.2</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QLD</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21,338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1,468</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6.9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19,183</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89.9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687</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3.2</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SA</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6,962</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2,129</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30.6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4,576</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65.7</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257</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3.7</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TAS</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1,994</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913</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45.8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1,015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50.9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66</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3.3</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VIC</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26,093</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6,769</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25.9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18,663</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71.5</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661</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2.5</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lang w:val="en-AU"/>
              </w:rPr>
            </w:pPr>
            <w:r w:rsidRPr="003408A6">
              <w:rPr>
                <w:lang w:val="en-AU"/>
              </w:rPr>
              <w:t>WA</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11,480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431</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3.8</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10,748</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93.6</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lang w:val="en-AU"/>
              </w:rPr>
            </w:pPr>
            <w:r w:rsidRPr="003408A6">
              <w:rPr>
                <w:lang w:val="en-AU"/>
              </w:rPr>
              <w:t>301</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lang w:val="en-AU"/>
              </w:rPr>
            </w:pPr>
            <w:r w:rsidRPr="003408A6">
              <w:rPr>
                <w:lang w:val="en-AU"/>
              </w:rPr>
              <w:t>2.6</w:t>
            </w:r>
          </w:p>
        </w:tc>
      </w:tr>
      <w:tr w:rsidR="00F650A4" w:rsidRPr="003408A6" w:rsidTr="002E7F07">
        <w:trPr>
          <w:trHeight w:val="300"/>
        </w:trPr>
        <w:tc>
          <w:tcPr>
            <w:tcW w:w="1450" w:type="dxa"/>
            <w:tcBorders>
              <w:top w:val="nil"/>
              <w:left w:val="single" w:sz="4" w:space="0" w:color="auto"/>
              <w:bottom w:val="single" w:sz="4" w:space="0" w:color="auto"/>
              <w:right w:val="single" w:sz="4" w:space="0" w:color="auto"/>
            </w:tcBorders>
            <w:noWrap/>
            <w:vAlign w:val="center"/>
            <w:hideMark/>
          </w:tcPr>
          <w:p w:rsidR="00F650A4" w:rsidRPr="003408A6" w:rsidRDefault="00F650A4" w:rsidP="002E7F07">
            <w:pPr>
              <w:pStyle w:val="Tabletext0beforeafter"/>
              <w:rPr>
                <w:b/>
                <w:bCs/>
                <w:lang w:val="en-AU"/>
              </w:rPr>
            </w:pPr>
            <w:r w:rsidRPr="003408A6">
              <w:rPr>
                <w:b/>
                <w:bCs/>
                <w:lang w:val="en-AU"/>
              </w:rPr>
              <w:t>ALL STATES</w:t>
            </w:r>
          </w:p>
        </w:tc>
        <w:tc>
          <w:tcPr>
            <w:tcW w:w="3668"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102,759</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15,451</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b/>
                <w:bCs/>
                <w:lang w:val="en-AU"/>
              </w:rPr>
            </w:pPr>
            <w:r w:rsidRPr="003408A6">
              <w:rPr>
                <w:b/>
                <w:bCs/>
                <w:lang w:val="en-AU"/>
              </w:rPr>
              <w:t>15.0</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84,985</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b/>
                <w:bCs/>
                <w:lang w:val="en-AU"/>
              </w:rPr>
            </w:pPr>
            <w:r w:rsidRPr="003408A6">
              <w:rPr>
                <w:b/>
                <w:bCs/>
                <w:lang w:val="en-AU"/>
              </w:rPr>
              <w:t>82.7</w:t>
            </w:r>
          </w:p>
        </w:tc>
        <w:tc>
          <w:tcPr>
            <w:tcW w:w="1134" w:type="dxa"/>
            <w:tcBorders>
              <w:top w:val="nil"/>
              <w:left w:val="nil"/>
              <w:bottom w:val="single" w:sz="4" w:space="0" w:color="auto"/>
              <w:right w:val="single" w:sz="4" w:space="0" w:color="auto"/>
            </w:tcBorders>
            <w:noWrap/>
            <w:vAlign w:val="center"/>
            <w:hideMark/>
          </w:tcPr>
          <w:p w:rsidR="00F650A4" w:rsidRPr="003408A6" w:rsidRDefault="00F650A4" w:rsidP="002E7F07">
            <w:pPr>
              <w:pStyle w:val="Tabletext0beforeafter-centred"/>
              <w:rPr>
                <w:b/>
                <w:bCs/>
                <w:lang w:val="en-AU"/>
              </w:rPr>
            </w:pPr>
            <w:r w:rsidRPr="003408A6">
              <w:rPr>
                <w:b/>
                <w:bCs/>
                <w:lang w:val="en-AU"/>
              </w:rPr>
              <w:t>2,323</w:t>
            </w:r>
          </w:p>
        </w:tc>
        <w:tc>
          <w:tcPr>
            <w:tcW w:w="1134" w:type="dxa"/>
            <w:tcBorders>
              <w:top w:val="nil"/>
              <w:left w:val="nil"/>
              <w:bottom w:val="single" w:sz="4" w:space="0" w:color="auto"/>
              <w:right w:val="single" w:sz="4" w:space="0" w:color="auto"/>
            </w:tcBorders>
            <w:noWrap/>
            <w:vAlign w:val="center"/>
            <w:hideMark/>
          </w:tcPr>
          <w:p w:rsidR="00F650A4" w:rsidRPr="003408A6" w:rsidRDefault="002E7F07" w:rsidP="002E7F07">
            <w:pPr>
              <w:pStyle w:val="Tabletext0beforeafter-centred"/>
              <w:rPr>
                <w:b/>
                <w:bCs/>
                <w:lang w:val="en-AU"/>
              </w:rPr>
            </w:pPr>
            <w:r w:rsidRPr="003408A6">
              <w:rPr>
                <w:b/>
                <w:bCs/>
                <w:lang w:val="en-AU"/>
              </w:rPr>
              <w:t>2.3</w:t>
            </w:r>
          </w:p>
        </w:tc>
      </w:tr>
    </w:tbl>
    <w:p w:rsidR="00F650A4" w:rsidRPr="003408A6" w:rsidRDefault="00F650A4" w:rsidP="00F650A4">
      <w:pPr>
        <w:spacing w:after="200"/>
        <w:rPr>
          <w:rFonts w:eastAsia="Calibri" w:cs="Arial"/>
          <w:sz w:val="20"/>
          <w:lang w:eastAsia="en-US"/>
        </w:rPr>
      </w:pPr>
    </w:p>
    <w:p w:rsidR="00F650A4" w:rsidRPr="003408A6" w:rsidRDefault="00F650A4" w:rsidP="00F650A4">
      <w:pPr>
        <w:spacing w:line="360" w:lineRule="auto"/>
        <w:rPr>
          <w:rFonts w:eastAsia="Calibri" w:cs="Arial"/>
          <w:szCs w:val="22"/>
          <w:lang w:eastAsia="en-US"/>
        </w:rPr>
        <w:sectPr w:rsidR="00F650A4" w:rsidRPr="003408A6" w:rsidSect="00D07C02">
          <w:pgSz w:w="16838" w:h="11906" w:orient="landscape"/>
          <w:pgMar w:top="1440" w:right="1440" w:bottom="1440" w:left="1440" w:header="708" w:footer="708" w:gutter="0"/>
          <w:cols w:space="720"/>
        </w:sectPr>
      </w:pPr>
    </w:p>
    <w:p w:rsidR="00F650A4" w:rsidRPr="003408A6" w:rsidRDefault="00F650A4" w:rsidP="00DD7504">
      <w:pPr>
        <w:pStyle w:val="Heading3"/>
        <w:rPr>
          <w:rFonts w:eastAsia="Calibri"/>
          <w:lang w:eastAsia="en-US"/>
        </w:rPr>
      </w:pPr>
      <w:r w:rsidRPr="003408A6">
        <w:rPr>
          <w:rFonts w:eastAsia="Calibri"/>
          <w:lang w:eastAsia="en-US"/>
        </w:rPr>
        <w:t>Impact of using Medicare enrolments as denominator instead of ABS ERP data</w:t>
      </w:r>
    </w:p>
    <w:p w:rsidR="00F650A4" w:rsidRPr="003408A6" w:rsidRDefault="00F650A4" w:rsidP="00BB3725">
      <w:pPr>
        <w:pStyle w:val="BodyText"/>
        <w:rPr>
          <w:rFonts w:eastAsia="Calibri"/>
          <w:lang w:val="en-AU"/>
        </w:rPr>
      </w:pPr>
      <w:r w:rsidRPr="003408A6">
        <w:rPr>
          <w:rFonts w:eastAsia="Calibri"/>
          <w:lang w:val="en-AU"/>
        </w:rPr>
        <w:t>For 2007, ABS population estimates enumerate 58,245 more females across Australia than Medicare enrolments. By single year of age, the ABS population estimate was higher than the number of Medicare enrolments nationally at every age except in females aged 12, 13 and 14 years, in whom only a small variation of less than 250 females nationally was evident (</w:t>
      </w:r>
      <w:r w:rsidRPr="003408A6">
        <w:rPr>
          <w:rFonts w:eastAsia="Calibri"/>
          <w:b/>
          <w:lang w:val="en-AU"/>
        </w:rPr>
        <w:t>Figure 3.5</w:t>
      </w:r>
      <w:r w:rsidRPr="003408A6">
        <w:rPr>
          <w:rFonts w:eastAsia="Calibri"/>
          <w:lang w:val="en-AU"/>
        </w:rPr>
        <w:t xml:space="preserve">). The impact of using Medicare enrolments as denominator data compared to ABS ERP estimates is shown by dose number and age group (12–17-year-old school cohorts and 18–26-year-old young adults) in </w:t>
      </w:r>
      <w:r w:rsidRPr="003408A6">
        <w:rPr>
          <w:rFonts w:eastAsia="Calibri"/>
          <w:b/>
          <w:lang w:val="en-AU"/>
        </w:rPr>
        <w:t>Table 3.9</w:t>
      </w:r>
      <w:r w:rsidRPr="003408A6">
        <w:rPr>
          <w:rFonts w:eastAsia="Calibri"/>
          <w:lang w:val="en-AU"/>
        </w:rPr>
        <w:t xml:space="preserve">. Use of Medicare enrolment data improves coverage estimates slightly. </w:t>
      </w:r>
    </w:p>
    <w:p w:rsidR="00F650A4" w:rsidRPr="003408A6" w:rsidRDefault="00F650A4" w:rsidP="00DD7504">
      <w:pPr>
        <w:pStyle w:val="Figureheading"/>
        <w:rPr>
          <w:rFonts w:eastAsia="Calibri"/>
        </w:rPr>
      </w:pPr>
      <w:bookmarkStart w:id="140" w:name="_Toc374735979"/>
      <w:bookmarkStart w:id="141" w:name="_Toc396475581"/>
      <w:bookmarkStart w:id="142" w:name="_Toc397000809"/>
      <w:r w:rsidRPr="003408A6">
        <w:rPr>
          <w:rFonts w:eastAsia="Calibri"/>
        </w:rPr>
        <w:t>Figure 3.5.</w:t>
      </w:r>
      <w:r w:rsidR="00D861BD" w:rsidRPr="003408A6">
        <w:rPr>
          <w:rFonts w:eastAsia="Calibri"/>
        </w:rPr>
        <w:tab/>
      </w:r>
      <w:r w:rsidRPr="003408A6">
        <w:rPr>
          <w:rFonts w:eastAsia="Calibri"/>
        </w:rPr>
        <w:t>ABS and Medicare population estimates, females aged 12–26 years, 2007</w:t>
      </w:r>
      <w:bookmarkEnd w:id="140"/>
      <w:bookmarkEnd w:id="141"/>
      <w:bookmarkEnd w:id="142"/>
    </w:p>
    <w:p w:rsidR="00F650A4" w:rsidRPr="003408A6" w:rsidRDefault="00F650A4" w:rsidP="00BB3725">
      <w:pPr>
        <w:pStyle w:val="BodyText"/>
        <w:rPr>
          <w:lang w:val="en-AU"/>
        </w:rPr>
      </w:pPr>
      <w:r w:rsidRPr="003408A6">
        <w:rPr>
          <w:noProof/>
          <w:lang w:val="en-AU" w:eastAsia="en-AU"/>
        </w:rPr>
        <w:drawing>
          <wp:inline distT="0" distB="0" distL="0" distR="0" wp14:anchorId="67A84A6B" wp14:editId="3E3BD26C">
            <wp:extent cx="4581525" cy="3105150"/>
            <wp:effectExtent l="0" t="0" r="9525" b="0"/>
            <wp:docPr id="15" name="Picture 296" title="ABS and Medicare population estimates, females aged 12–26 year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1525" cy="3105150"/>
                    </a:xfrm>
                    <a:prstGeom prst="rect">
                      <a:avLst/>
                    </a:prstGeom>
                    <a:noFill/>
                    <a:ln>
                      <a:noFill/>
                    </a:ln>
                  </pic:spPr>
                </pic:pic>
              </a:graphicData>
            </a:graphic>
          </wp:inline>
        </w:drawing>
      </w:r>
    </w:p>
    <w:p w:rsidR="00F650A4" w:rsidRPr="006F2496" w:rsidRDefault="00F650A4" w:rsidP="00BB3725">
      <w:pPr>
        <w:pStyle w:val="BodyText"/>
        <w:rPr>
          <w:rFonts w:eastAsia="Calibri"/>
          <w:lang w:val="en-AU"/>
        </w:rPr>
      </w:pPr>
    </w:p>
    <w:p w:rsidR="00F650A4" w:rsidRPr="003408A6" w:rsidRDefault="00D861BD" w:rsidP="002E2DF6">
      <w:pPr>
        <w:pStyle w:val="Tableheading"/>
        <w:rPr>
          <w:rFonts w:eastAsia="Calibri"/>
          <w:lang w:val="en-AU"/>
        </w:rPr>
      </w:pPr>
      <w:bookmarkStart w:id="143" w:name="_Toc396475545"/>
      <w:bookmarkStart w:id="144" w:name="_Toc397000773"/>
      <w:bookmarkStart w:id="145" w:name="_Toc374735941"/>
      <w:r w:rsidRPr="003408A6">
        <w:rPr>
          <w:rFonts w:eastAsia="Calibri"/>
          <w:lang w:val="en-AU"/>
        </w:rPr>
        <w:t>Table 3.9.</w:t>
      </w:r>
      <w:r w:rsidRPr="003408A6">
        <w:rPr>
          <w:rFonts w:eastAsia="Calibri"/>
          <w:lang w:val="en-AU"/>
        </w:rPr>
        <w:tab/>
      </w:r>
      <w:r w:rsidR="00F650A4" w:rsidRPr="003408A6">
        <w:rPr>
          <w:rFonts w:eastAsia="Calibri"/>
          <w:lang w:val="en-AU"/>
        </w:rPr>
        <w:t>Comparative vaccin</w:t>
      </w:r>
      <w:r w:rsidR="00204397">
        <w:rPr>
          <w:rFonts w:eastAsia="Calibri"/>
          <w:lang w:val="en-AU"/>
        </w:rPr>
        <w:t>ation</w:t>
      </w:r>
      <w:r w:rsidR="00F650A4" w:rsidRPr="003408A6">
        <w:rPr>
          <w:rFonts w:eastAsia="Calibri"/>
          <w:lang w:val="en-AU"/>
        </w:rPr>
        <w:t xml:space="preserve"> coverage estimates</w:t>
      </w:r>
      <w:r w:rsidR="001D113B">
        <w:rPr>
          <w:rFonts w:eastAsia="Calibri"/>
          <w:lang w:val="en-AU"/>
        </w:rPr>
        <w:t>,</w:t>
      </w:r>
      <w:r w:rsidR="00F650A4" w:rsidRPr="003408A6">
        <w:rPr>
          <w:rFonts w:eastAsia="Calibri"/>
          <w:lang w:val="en-AU"/>
        </w:rPr>
        <w:t xml:space="preserve"> by dose number and age group in 2007, Australia</w:t>
      </w:r>
      <w:r w:rsidR="002E2DF6" w:rsidRPr="003408A6">
        <w:rPr>
          <w:rFonts w:eastAsia="Calibri"/>
          <w:lang w:val="en-AU"/>
        </w:rPr>
        <w:t>*</w:t>
      </w:r>
      <w:bookmarkEnd w:id="143"/>
      <w:bookmarkEnd w:id="144"/>
      <w:r w:rsidR="00F650A4" w:rsidRPr="003408A6">
        <w:rPr>
          <w:rFonts w:eastAsia="Calibri"/>
          <w:lang w:val="en-AU"/>
        </w:rPr>
        <w:t xml:space="preserve"> </w:t>
      </w:r>
      <w:bookmarkEnd w:id="145"/>
    </w:p>
    <w:tbl>
      <w:tblPr>
        <w:tblW w:w="0" w:type="auto"/>
        <w:tblInd w:w="93" w:type="dxa"/>
        <w:tblLayout w:type="fixed"/>
        <w:tblLook w:val="04A0" w:firstRow="1" w:lastRow="0" w:firstColumn="1" w:lastColumn="0" w:noHBand="0" w:noVBand="1"/>
      </w:tblPr>
      <w:tblGrid>
        <w:gridCol w:w="1149"/>
        <w:gridCol w:w="1169"/>
        <w:gridCol w:w="1170"/>
        <w:gridCol w:w="1169"/>
        <w:gridCol w:w="1170"/>
      </w:tblGrid>
      <w:tr w:rsidR="00F650A4" w:rsidRPr="003408A6" w:rsidTr="00BB3725">
        <w:trPr>
          <w:trHeight w:val="255"/>
        </w:trPr>
        <w:tc>
          <w:tcPr>
            <w:tcW w:w="1149" w:type="dxa"/>
            <w:tcBorders>
              <w:top w:val="single" w:sz="4" w:space="0" w:color="auto"/>
              <w:left w:val="nil"/>
              <w:bottom w:val="nil"/>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 </w:t>
            </w:r>
          </w:p>
        </w:tc>
        <w:tc>
          <w:tcPr>
            <w:tcW w:w="2339" w:type="dxa"/>
            <w:gridSpan w:val="2"/>
            <w:tcBorders>
              <w:top w:val="single" w:sz="4" w:space="0" w:color="auto"/>
              <w:left w:val="nil"/>
              <w:bottom w:val="nil"/>
              <w:right w:val="single" w:sz="4" w:space="0" w:color="000000"/>
            </w:tcBorders>
            <w:noWrap/>
            <w:vAlign w:val="bottom"/>
            <w:hideMark/>
          </w:tcPr>
          <w:p w:rsidR="00F650A4" w:rsidRPr="003408A6" w:rsidRDefault="00F650A4" w:rsidP="00BB3725">
            <w:pPr>
              <w:pStyle w:val="Tablecolumnheadings"/>
              <w:rPr>
                <w:lang w:val="en-AU"/>
              </w:rPr>
            </w:pPr>
            <w:r w:rsidRPr="003408A6">
              <w:rPr>
                <w:lang w:val="en-AU"/>
              </w:rPr>
              <w:t>12–17 years</w:t>
            </w:r>
          </w:p>
        </w:tc>
        <w:tc>
          <w:tcPr>
            <w:tcW w:w="2339" w:type="dxa"/>
            <w:gridSpan w:val="2"/>
            <w:tcBorders>
              <w:top w:val="single" w:sz="4" w:space="0" w:color="auto"/>
              <w:left w:val="nil"/>
              <w:bottom w:val="nil"/>
              <w:right w:val="nil"/>
            </w:tcBorders>
            <w:noWrap/>
            <w:vAlign w:val="bottom"/>
            <w:hideMark/>
          </w:tcPr>
          <w:p w:rsidR="00F650A4" w:rsidRPr="003408A6" w:rsidRDefault="00F650A4" w:rsidP="00BB3725">
            <w:pPr>
              <w:pStyle w:val="Tablecolumnheadings"/>
              <w:rPr>
                <w:lang w:val="en-AU"/>
              </w:rPr>
            </w:pPr>
            <w:r w:rsidRPr="003408A6">
              <w:rPr>
                <w:lang w:val="en-AU"/>
              </w:rPr>
              <w:t>18–26 years</w:t>
            </w:r>
          </w:p>
        </w:tc>
      </w:tr>
      <w:tr w:rsidR="00F650A4" w:rsidRPr="003408A6" w:rsidTr="00BB3725">
        <w:trPr>
          <w:trHeight w:val="255"/>
        </w:trPr>
        <w:tc>
          <w:tcPr>
            <w:tcW w:w="1149"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 </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ABS</w:t>
            </w:r>
          </w:p>
        </w:tc>
        <w:tc>
          <w:tcPr>
            <w:tcW w:w="1170"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Medicare</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ABS</w:t>
            </w:r>
          </w:p>
        </w:tc>
        <w:tc>
          <w:tcPr>
            <w:tcW w:w="1170"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Medicare</w:t>
            </w:r>
          </w:p>
        </w:tc>
      </w:tr>
      <w:tr w:rsidR="00F650A4" w:rsidRPr="003408A6" w:rsidTr="00BB3725">
        <w:trPr>
          <w:trHeight w:val="255"/>
        </w:trPr>
        <w:tc>
          <w:tcPr>
            <w:tcW w:w="1149"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Dose 1</w:t>
            </w:r>
          </w:p>
        </w:tc>
        <w:tc>
          <w:tcPr>
            <w:tcW w:w="1169" w:type="dxa"/>
            <w:noWrap/>
            <w:vAlign w:val="bottom"/>
            <w:hideMark/>
          </w:tcPr>
          <w:p w:rsidR="00F650A4" w:rsidRPr="003408A6" w:rsidRDefault="00F650A4" w:rsidP="00BB3725">
            <w:pPr>
              <w:pStyle w:val="Tabletext"/>
              <w:rPr>
                <w:lang w:val="en-AU"/>
              </w:rPr>
            </w:pPr>
            <w:r w:rsidRPr="003408A6">
              <w:rPr>
                <w:lang w:val="en-AU"/>
              </w:rPr>
              <w:t>82.9%</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i/>
                <w:lang w:val="en-AU"/>
              </w:rPr>
            </w:pPr>
            <w:r w:rsidRPr="003408A6">
              <w:rPr>
                <w:i/>
                <w:lang w:val="en-AU"/>
              </w:rPr>
              <w:t>83.3%</w:t>
            </w:r>
          </w:p>
        </w:tc>
        <w:tc>
          <w:tcPr>
            <w:tcW w:w="1169" w:type="dxa"/>
            <w:noWrap/>
            <w:vAlign w:val="bottom"/>
            <w:hideMark/>
          </w:tcPr>
          <w:p w:rsidR="00F650A4" w:rsidRPr="003408A6" w:rsidRDefault="00F650A4" w:rsidP="00BB3725">
            <w:pPr>
              <w:pStyle w:val="Tabletext"/>
              <w:rPr>
                <w:lang w:val="en-AU"/>
              </w:rPr>
            </w:pPr>
            <w:r w:rsidRPr="003408A6">
              <w:rPr>
                <w:lang w:val="en-AU"/>
              </w:rPr>
              <w:t>55.2%</w:t>
            </w:r>
          </w:p>
        </w:tc>
        <w:tc>
          <w:tcPr>
            <w:tcW w:w="1170" w:type="dxa"/>
            <w:noWrap/>
            <w:vAlign w:val="bottom"/>
            <w:hideMark/>
          </w:tcPr>
          <w:p w:rsidR="00F650A4" w:rsidRPr="003408A6" w:rsidRDefault="00F650A4" w:rsidP="00BB3725">
            <w:pPr>
              <w:pStyle w:val="Tabletext"/>
              <w:rPr>
                <w:i/>
                <w:lang w:val="en-AU"/>
              </w:rPr>
            </w:pPr>
            <w:r w:rsidRPr="003408A6">
              <w:rPr>
                <w:i/>
                <w:lang w:val="en-AU"/>
              </w:rPr>
              <w:t>57.5%</w:t>
            </w:r>
          </w:p>
        </w:tc>
      </w:tr>
      <w:tr w:rsidR="00F650A4" w:rsidRPr="003408A6" w:rsidTr="00BB3725">
        <w:trPr>
          <w:trHeight w:val="255"/>
        </w:trPr>
        <w:tc>
          <w:tcPr>
            <w:tcW w:w="1149"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Dose 2</w:t>
            </w:r>
          </w:p>
        </w:tc>
        <w:tc>
          <w:tcPr>
            <w:tcW w:w="1169" w:type="dxa"/>
            <w:noWrap/>
            <w:vAlign w:val="bottom"/>
            <w:hideMark/>
          </w:tcPr>
          <w:p w:rsidR="00F650A4" w:rsidRPr="003408A6" w:rsidRDefault="00F650A4" w:rsidP="00BB3725">
            <w:pPr>
              <w:pStyle w:val="Tabletext"/>
              <w:rPr>
                <w:lang w:val="en-AU"/>
              </w:rPr>
            </w:pPr>
            <w:r w:rsidRPr="003408A6">
              <w:rPr>
                <w:lang w:val="en-AU"/>
              </w:rPr>
              <w:t>78.2%</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i/>
                <w:lang w:val="en-AU"/>
              </w:rPr>
            </w:pPr>
            <w:r w:rsidRPr="003408A6">
              <w:rPr>
                <w:i/>
                <w:lang w:val="en-AU"/>
              </w:rPr>
              <w:t>78.7%</w:t>
            </w:r>
          </w:p>
        </w:tc>
        <w:tc>
          <w:tcPr>
            <w:tcW w:w="1169" w:type="dxa"/>
            <w:noWrap/>
            <w:vAlign w:val="bottom"/>
            <w:hideMark/>
          </w:tcPr>
          <w:p w:rsidR="00F650A4" w:rsidRPr="003408A6" w:rsidRDefault="00F650A4" w:rsidP="00BB3725">
            <w:pPr>
              <w:pStyle w:val="Tabletext"/>
              <w:rPr>
                <w:lang w:val="en-AU"/>
              </w:rPr>
            </w:pPr>
            <w:r w:rsidRPr="003408A6">
              <w:rPr>
                <w:lang w:val="en-AU"/>
              </w:rPr>
              <w:t>45.0%</w:t>
            </w:r>
          </w:p>
        </w:tc>
        <w:tc>
          <w:tcPr>
            <w:tcW w:w="1170" w:type="dxa"/>
            <w:noWrap/>
            <w:vAlign w:val="bottom"/>
            <w:hideMark/>
          </w:tcPr>
          <w:p w:rsidR="00F650A4" w:rsidRPr="003408A6" w:rsidRDefault="00F650A4" w:rsidP="00BB3725">
            <w:pPr>
              <w:pStyle w:val="Tabletext"/>
              <w:rPr>
                <w:i/>
                <w:lang w:val="en-AU"/>
              </w:rPr>
            </w:pPr>
            <w:r w:rsidRPr="003408A6">
              <w:rPr>
                <w:i/>
                <w:lang w:val="en-AU"/>
              </w:rPr>
              <w:t>46.9%</w:t>
            </w:r>
          </w:p>
        </w:tc>
      </w:tr>
      <w:tr w:rsidR="00F650A4" w:rsidRPr="003408A6" w:rsidTr="00BB3725">
        <w:trPr>
          <w:trHeight w:val="255"/>
        </w:trPr>
        <w:tc>
          <w:tcPr>
            <w:tcW w:w="1149"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textbold"/>
              <w:rPr>
                <w:lang w:val="en-AU"/>
              </w:rPr>
            </w:pPr>
            <w:r w:rsidRPr="003408A6">
              <w:rPr>
                <w:lang w:val="en-AU"/>
              </w:rPr>
              <w:t>Dose 3</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text"/>
              <w:rPr>
                <w:lang w:val="en-AU"/>
              </w:rPr>
            </w:pPr>
            <w:r w:rsidRPr="003408A6">
              <w:rPr>
                <w:lang w:val="en-AU"/>
              </w:rPr>
              <w:t>70.4%</w:t>
            </w:r>
          </w:p>
        </w:tc>
        <w:tc>
          <w:tcPr>
            <w:tcW w:w="1170"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text"/>
              <w:rPr>
                <w:i/>
                <w:lang w:val="en-AU"/>
              </w:rPr>
            </w:pPr>
            <w:r w:rsidRPr="003408A6">
              <w:rPr>
                <w:i/>
                <w:lang w:val="en-AU"/>
              </w:rPr>
              <w:t>70.8%</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text"/>
              <w:rPr>
                <w:lang w:val="en-AU"/>
              </w:rPr>
            </w:pPr>
            <w:r w:rsidRPr="003408A6">
              <w:rPr>
                <w:lang w:val="en-AU"/>
              </w:rPr>
              <w:t>31.9%</w:t>
            </w:r>
          </w:p>
        </w:tc>
        <w:tc>
          <w:tcPr>
            <w:tcW w:w="1170" w:type="dxa"/>
            <w:tcBorders>
              <w:top w:val="nil"/>
              <w:left w:val="nil"/>
              <w:bottom w:val="single" w:sz="4" w:space="0" w:color="auto"/>
              <w:right w:val="nil"/>
            </w:tcBorders>
            <w:noWrap/>
            <w:vAlign w:val="bottom"/>
            <w:hideMark/>
          </w:tcPr>
          <w:p w:rsidR="00F650A4" w:rsidRPr="003408A6" w:rsidRDefault="00F650A4" w:rsidP="00BB3725">
            <w:pPr>
              <w:pStyle w:val="Tabletext"/>
              <w:rPr>
                <w:i/>
                <w:lang w:val="en-AU"/>
              </w:rPr>
            </w:pPr>
            <w:r w:rsidRPr="003408A6">
              <w:rPr>
                <w:i/>
                <w:lang w:val="en-AU"/>
              </w:rPr>
              <w:t>33.3%</w:t>
            </w:r>
          </w:p>
        </w:tc>
      </w:tr>
    </w:tbl>
    <w:p w:rsidR="00F650A4" w:rsidRPr="003408A6" w:rsidRDefault="002E2DF6" w:rsidP="00BB3725">
      <w:pPr>
        <w:pStyle w:val="Tablefootnote"/>
        <w:rPr>
          <w:rFonts w:eastAsia="Calibri"/>
          <w:lang w:eastAsia="en-US"/>
        </w:rPr>
      </w:pPr>
      <w:r w:rsidRPr="003408A6">
        <w:rPr>
          <w:rFonts w:eastAsia="Calibri"/>
          <w:lang w:eastAsia="en-US"/>
        </w:rPr>
        <w:t>*</w:t>
      </w:r>
      <w:r w:rsidR="00BB3725" w:rsidRPr="003408A6">
        <w:rPr>
          <w:rFonts w:eastAsia="Calibri"/>
          <w:lang w:eastAsia="en-US"/>
        </w:rPr>
        <w:tab/>
      </w:r>
      <w:r w:rsidRPr="003408A6">
        <w:rPr>
          <w:rFonts w:eastAsia="Calibri"/>
          <w:lang w:eastAsia="en-US"/>
        </w:rPr>
        <w:t>Data as held at November 2011. Higher estimate in italics. All differences are statistically significant.</w:t>
      </w:r>
    </w:p>
    <w:p w:rsidR="00F650A4" w:rsidRPr="003408A6" w:rsidRDefault="00F650A4" w:rsidP="00BB3725">
      <w:pPr>
        <w:pStyle w:val="BodyText"/>
        <w:rPr>
          <w:rFonts w:eastAsia="Calibri"/>
          <w:lang w:val="en-AU"/>
        </w:rPr>
      </w:pPr>
      <w:r w:rsidRPr="003408A6">
        <w:rPr>
          <w:rFonts w:eastAsia="Calibri"/>
          <w:lang w:val="en-AU"/>
        </w:rPr>
        <w:t xml:space="preserve">For the 12–17-year-old school-age cohort, ABS population estimates were higher than Medicare enrolments for all states </w:t>
      </w:r>
      <w:r w:rsidR="001D113B">
        <w:rPr>
          <w:rFonts w:eastAsia="Calibri"/>
          <w:lang w:val="en-AU"/>
        </w:rPr>
        <w:t>except</w:t>
      </w:r>
      <w:r w:rsidRPr="003408A6">
        <w:rPr>
          <w:rFonts w:eastAsia="Calibri"/>
          <w:lang w:val="en-AU"/>
        </w:rPr>
        <w:t xml:space="preserve"> the </w:t>
      </w:r>
      <w:r w:rsidRPr="003408A6">
        <w:rPr>
          <w:lang w:val="en-AU"/>
        </w:rPr>
        <w:t>Australian Capital Territory</w:t>
      </w:r>
      <w:r w:rsidRPr="003408A6">
        <w:rPr>
          <w:rFonts w:eastAsia="Calibri"/>
          <w:lang w:val="en-AU"/>
        </w:rPr>
        <w:t xml:space="preserve"> </w:t>
      </w:r>
      <w:r w:rsidR="001D113B">
        <w:rPr>
          <w:rFonts w:eastAsia="Calibri"/>
          <w:lang w:val="en-AU"/>
        </w:rPr>
        <w:t>and the</w:t>
      </w:r>
      <w:r w:rsidRPr="003408A6">
        <w:rPr>
          <w:rFonts w:eastAsia="Calibri"/>
          <w:lang w:val="en-AU"/>
        </w:rPr>
        <w:t xml:space="preserve"> Northern Territory, the jurisdictions with the lowest populations. For females aged 18–26 years, ABS estimates were higher in all jurisdictions except Tasmania.</w:t>
      </w:r>
      <w:r w:rsidRPr="003408A6">
        <w:rPr>
          <w:rFonts w:eastAsia="Calibri"/>
          <w:color w:val="1F497D"/>
          <w:lang w:val="en-AU"/>
        </w:rPr>
        <w:t xml:space="preserve"> </w:t>
      </w:r>
      <w:r w:rsidRPr="003408A6">
        <w:rPr>
          <w:rFonts w:eastAsia="Calibri"/>
          <w:lang w:val="en-AU"/>
        </w:rPr>
        <w:t>When results of using the ABS population estimates and Medicare enrolment data were compared by area according to remoteness classification, differences in coverage estimates varied by classification and age group (</w:t>
      </w:r>
      <w:r w:rsidRPr="003408A6">
        <w:rPr>
          <w:rFonts w:eastAsia="Calibri"/>
          <w:b/>
          <w:lang w:val="en-AU"/>
        </w:rPr>
        <w:t>Table 3.10</w:t>
      </w:r>
      <w:r w:rsidRPr="003408A6">
        <w:rPr>
          <w:rFonts w:eastAsia="Calibri"/>
          <w:lang w:val="en-AU"/>
        </w:rPr>
        <w:t>). The biggest difference was in estimates for the 12–17</w:t>
      </w:r>
      <w:r w:rsidR="001D113B">
        <w:rPr>
          <w:rFonts w:eastAsia="Calibri"/>
          <w:lang w:val="en-AU"/>
        </w:rPr>
        <w:t xml:space="preserve"> </w:t>
      </w:r>
      <w:r w:rsidRPr="003408A6">
        <w:rPr>
          <w:rFonts w:eastAsia="Calibri"/>
          <w:lang w:val="en-AU"/>
        </w:rPr>
        <w:t>years age group in remote Australia, where Medicare has higher numbers and therefore lower coverage, resulting in a 10 percentage point difference in the coverage estimate. The biggest difference in the 18–26 years age group was in very remote Australia, where Medicare has lower numbers and therefore higher relative coverage, resulting in a 9 percentage point difference. In both age groups</w:t>
      </w:r>
      <w:r w:rsidR="001D113B">
        <w:rPr>
          <w:rFonts w:eastAsia="Calibri"/>
          <w:lang w:val="en-AU"/>
        </w:rPr>
        <w:t>,</w:t>
      </w:r>
      <w:r w:rsidRPr="003408A6">
        <w:rPr>
          <w:rFonts w:eastAsia="Calibri"/>
          <w:lang w:val="en-AU"/>
        </w:rPr>
        <w:t xml:space="preserve"> Medicare has lower numbers resulting in higher coverage in major cities. Conversely</w:t>
      </w:r>
      <w:r w:rsidR="001D113B">
        <w:rPr>
          <w:rFonts w:eastAsia="Calibri"/>
          <w:lang w:val="en-AU"/>
        </w:rPr>
        <w:t>,</w:t>
      </w:r>
      <w:r w:rsidRPr="003408A6">
        <w:rPr>
          <w:rFonts w:eastAsia="Calibri"/>
          <w:lang w:val="en-AU"/>
        </w:rPr>
        <w:t xml:space="preserve"> in outer regional and remote Australia, Medicare enrolment data for both age groups has higher numbers than ERP data resulting in lower relative coverage.</w:t>
      </w:r>
    </w:p>
    <w:p w:rsidR="00F650A4" w:rsidRPr="003408A6" w:rsidRDefault="00D861BD" w:rsidP="002E2DF6">
      <w:pPr>
        <w:pStyle w:val="Tableheading"/>
        <w:rPr>
          <w:rFonts w:eastAsia="Calibri"/>
          <w:lang w:val="en-AU"/>
        </w:rPr>
      </w:pPr>
      <w:bookmarkStart w:id="146" w:name="_Toc374735942"/>
      <w:bookmarkStart w:id="147" w:name="_Toc396475546"/>
      <w:bookmarkStart w:id="148" w:name="_Toc397000774"/>
      <w:r w:rsidRPr="003408A6">
        <w:rPr>
          <w:rFonts w:eastAsia="Calibri"/>
          <w:lang w:val="en-AU"/>
        </w:rPr>
        <w:t>Table 3.10.</w:t>
      </w:r>
      <w:r w:rsidRPr="003408A6">
        <w:rPr>
          <w:rFonts w:eastAsia="Calibri"/>
          <w:lang w:val="en-AU"/>
        </w:rPr>
        <w:tab/>
      </w:r>
      <w:r w:rsidR="00F650A4" w:rsidRPr="003408A6">
        <w:rPr>
          <w:rFonts w:eastAsia="Calibri"/>
          <w:lang w:val="en-AU"/>
        </w:rPr>
        <w:t>Comparative vaccin</w:t>
      </w:r>
      <w:r w:rsidR="00204397">
        <w:rPr>
          <w:rFonts w:eastAsia="Calibri"/>
          <w:lang w:val="en-AU"/>
        </w:rPr>
        <w:t>ation</w:t>
      </w:r>
      <w:r w:rsidR="00F650A4" w:rsidRPr="003408A6">
        <w:rPr>
          <w:rFonts w:eastAsia="Calibri"/>
          <w:lang w:val="en-AU"/>
        </w:rPr>
        <w:t xml:space="preserve"> coverage estimates</w:t>
      </w:r>
      <w:r w:rsidR="001D113B">
        <w:rPr>
          <w:rFonts w:eastAsia="Calibri"/>
          <w:lang w:val="en-AU"/>
        </w:rPr>
        <w:t>,</w:t>
      </w:r>
      <w:r w:rsidR="00F650A4" w:rsidRPr="003408A6">
        <w:rPr>
          <w:rFonts w:eastAsia="Calibri"/>
          <w:lang w:val="en-AU"/>
        </w:rPr>
        <w:t xml:space="preserve"> by remoteness classification and age group in 2007, Australia</w:t>
      </w:r>
      <w:bookmarkEnd w:id="146"/>
      <w:r w:rsidR="002E2DF6" w:rsidRPr="003408A6">
        <w:rPr>
          <w:rFonts w:eastAsia="Calibri"/>
          <w:lang w:val="en-AU"/>
        </w:rPr>
        <w:t>*</w:t>
      </w:r>
      <w:bookmarkEnd w:id="147"/>
      <w:bookmarkEnd w:id="148"/>
    </w:p>
    <w:tbl>
      <w:tblPr>
        <w:tblW w:w="0" w:type="auto"/>
        <w:tblLayout w:type="fixed"/>
        <w:tblLook w:val="04A0" w:firstRow="1" w:lastRow="0" w:firstColumn="1" w:lastColumn="0" w:noHBand="0" w:noVBand="1"/>
      </w:tblPr>
      <w:tblGrid>
        <w:gridCol w:w="1951"/>
        <w:gridCol w:w="1169"/>
        <w:gridCol w:w="1170"/>
        <w:gridCol w:w="1169"/>
        <w:gridCol w:w="1170"/>
      </w:tblGrid>
      <w:tr w:rsidR="00F650A4" w:rsidRPr="003408A6" w:rsidTr="00BB3725">
        <w:trPr>
          <w:trHeight w:val="255"/>
        </w:trPr>
        <w:tc>
          <w:tcPr>
            <w:tcW w:w="1951" w:type="dxa"/>
            <w:tcBorders>
              <w:top w:val="single" w:sz="4" w:space="0" w:color="auto"/>
              <w:left w:val="nil"/>
              <w:bottom w:val="nil"/>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 </w:t>
            </w:r>
          </w:p>
        </w:tc>
        <w:tc>
          <w:tcPr>
            <w:tcW w:w="2339" w:type="dxa"/>
            <w:gridSpan w:val="2"/>
            <w:tcBorders>
              <w:top w:val="single" w:sz="4" w:space="0" w:color="auto"/>
              <w:left w:val="nil"/>
              <w:bottom w:val="nil"/>
              <w:right w:val="single" w:sz="4" w:space="0" w:color="000000"/>
            </w:tcBorders>
            <w:noWrap/>
            <w:vAlign w:val="bottom"/>
            <w:hideMark/>
          </w:tcPr>
          <w:p w:rsidR="00F650A4" w:rsidRPr="003408A6" w:rsidRDefault="00F650A4" w:rsidP="00BB3725">
            <w:pPr>
              <w:pStyle w:val="Tablecolumnheadings"/>
              <w:rPr>
                <w:lang w:val="en-AU"/>
              </w:rPr>
            </w:pPr>
            <w:r w:rsidRPr="003408A6">
              <w:rPr>
                <w:lang w:val="en-AU"/>
              </w:rPr>
              <w:t>12–17 years</w:t>
            </w:r>
          </w:p>
        </w:tc>
        <w:tc>
          <w:tcPr>
            <w:tcW w:w="2339" w:type="dxa"/>
            <w:gridSpan w:val="2"/>
            <w:tcBorders>
              <w:top w:val="single" w:sz="4" w:space="0" w:color="auto"/>
              <w:left w:val="nil"/>
              <w:bottom w:val="nil"/>
              <w:right w:val="nil"/>
            </w:tcBorders>
            <w:noWrap/>
            <w:vAlign w:val="bottom"/>
            <w:hideMark/>
          </w:tcPr>
          <w:p w:rsidR="00F650A4" w:rsidRPr="003408A6" w:rsidRDefault="00F650A4" w:rsidP="00BB3725">
            <w:pPr>
              <w:pStyle w:val="Tablecolumnheadings"/>
              <w:rPr>
                <w:lang w:val="en-AU"/>
              </w:rPr>
            </w:pPr>
            <w:r w:rsidRPr="003408A6">
              <w:rPr>
                <w:lang w:val="en-AU"/>
              </w:rPr>
              <w:t>18–26 years</w:t>
            </w:r>
          </w:p>
        </w:tc>
      </w:tr>
      <w:tr w:rsidR="00F650A4" w:rsidRPr="003408A6" w:rsidTr="00BB3725">
        <w:trPr>
          <w:trHeight w:val="255"/>
        </w:trPr>
        <w:tc>
          <w:tcPr>
            <w:tcW w:w="1951"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 </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ABS</w:t>
            </w:r>
          </w:p>
        </w:tc>
        <w:tc>
          <w:tcPr>
            <w:tcW w:w="1170"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columnheadings"/>
              <w:rPr>
                <w:lang w:val="en-AU"/>
              </w:rPr>
            </w:pPr>
            <w:r w:rsidRPr="003408A6">
              <w:rPr>
                <w:lang w:val="en-AU"/>
              </w:rPr>
              <w:t>Medicare</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ABS</w:t>
            </w:r>
          </w:p>
        </w:tc>
        <w:tc>
          <w:tcPr>
            <w:tcW w:w="1170" w:type="dxa"/>
            <w:tcBorders>
              <w:top w:val="nil"/>
              <w:left w:val="nil"/>
              <w:bottom w:val="single" w:sz="4" w:space="0" w:color="auto"/>
              <w:right w:val="nil"/>
            </w:tcBorders>
            <w:noWrap/>
            <w:vAlign w:val="bottom"/>
            <w:hideMark/>
          </w:tcPr>
          <w:p w:rsidR="00F650A4" w:rsidRPr="003408A6" w:rsidRDefault="00F650A4" w:rsidP="00BB3725">
            <w:pPr>
              <w:pStyle w:val="Tablecolumnheadings"/>
              <w:rPr>
                <w:lang w:val="en-AU"/>
              </w:rPr>
            </w:pPr>
            <w:r w:rsidRPr="003408A6">
              <w:rPr>
                <w:lang w:val="en-AU"/>
              </w:rPr>
              <w:t>Medicare</w:t>
            </w:r>
          </w:p>
        </w:tc>
      </w:tr>
      <w:tr w:rsidR="00F650A4" w:rsidRPr="003408A6" w:rsidTr="00BB3725">
        <w:trPr>
          <w:trHeight w:val="255"/>
        </w:trPr>
        <w:tc>
          <w:tcPr>
            <w:tcW w:w="1951"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Major city</w:t>
            </w:r>
          </w:p>
        </w:tc>
        <w:tc>
          <w:tcPr>
            <w:tcW w:w="1169" w:type="dxa"/>
            <w:noWrap/>
            <w:vAlign w:val="bottom"/>
            <w:hideMark/>
          </w:tcPr>
          <w:p w:rsidR="00F650A4" w:rsidRPr="003408A6" w:rsidRDefault="00F650A4" w:rsidP="00BB3725">
            <w:pPr>
              <w:pStyle w:val="Tabletext"/>
              <w:rPr>
                <w:lang w:val="en-AU"/>
              </w:rPr>
            </w:pPr>
            <w:r w:rsidRPr="003408A6">
              <w:rPr>
                <w:lang w:val="en-AU"/>
              </w:rPr>
              <w:t>70.8%</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i/>
                <w:lang w:val="en-AU"/>
              </w:rPr>
            </w:pPr>
            <w:r w:rsidRPr="003408A6">
              <w:rPr>
                <w:i/>
                <w:lang w:val="en-AU"/>
              </w:rPr>
              <w:t>71.4%</w:t>
            </w:r>
          </w:p>
        </w:tc>
        <w:tc>
          <w:tcPr>
            <w:tcW w:w="1169" w:type="dxa"/>
            <w:noWrap/>
            <w:vAlign w:val="bottom"/>
            <w:hideMark/>
          </w:tcPr>
          <w:p w:rsidR="00F650A4" w:rsidRPr="003408A6" w:rsidRDefault="00F650A4" w:rsidP="00BB3725">
            <w:pPr>
              <w:pStyle w:val="Tabletext"/>
              <w:rPr>
                <w:lang w:val="en-AU"/>
              </w:rPr>
            </w:pPr>
            <w:r w:rsidRPr="003408A6">
              <w:rPr>
                <w:lang w:val="en-AU"/>
              </w:rPr>
              <w:t>31.5%</w:t>
            </w:r>
          </w:p>
        </w:tc>
        <w:tc>
          <w:tcPr>
            <w:tcW w:w="1170" w:type="dxa"/>
            <w:noWrap/>
            <w:vAlign w:val="bottom"/>
            <w:hideMark/>
          </w:tcPr>
          <w:p w:rsidR="00F650A4" w:rsidRPr="003408A6" w:rsidRDefault="00F650A4" w:rsidP="00BB3725">
            <w:pPr>
              <w:pStyle w:val="Tabletext"/>
              <w:rPr>
                <w:i/>
                <w:lang w:val="en-AU"/>
              </w:rPr>
            </w:pPr>
            <w:r w:rsidRPr="003408A6">
              <w:rPr>
                <w:i/>
                <w:lang w:val="en-AU"/>
              </w:rPr>
              <w:t>34.2%</w:t>
            </w:r>
          </w:p>
        </w:tc>
      </w:tr>
      <w:tr w:rsidR="00F650A4" w:rsidRPr="003408A6" w:rsidTr="00BB3725">
        <w:trPr>
          <w:trHeight w:val="255"/>
        </w:trPr>
        <w:tc>
          <w:tcPr>
            <w:tcW w:w="1951"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Inner regional</w:t>
            </w:r>
          </w:p>
        </w:tc>
        <w:tc>
          <w:tcPr>
            <w:tcW w:w="1169" w:type="dxa"/>
            <w:noWrap/>
            <w:vAlign w:val="bottom"/>
            <w:hideMark/>
          </w:tcPr>
          <w:p w:rsidR="00F650A4" w:rsidRPr="003408A6" w:rsidRDefault="00F650A4" w:rsidP="00BB3725">
            <w:pPr>
              <w:pStyle w:val="Tabletext"/>
              <w:rPr>
                <w:lang w:val="en-AU"/>
              </w:rPr>
            </w:pPr>
            <w:r w:rsidRPr="003408A6">
              <w:rPr>
                <w:lang w:val="en-AU"/>
              </w:rPr>
              <w:t>69.1%</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i/>
                <w:lang w:val="en-AU"/>
              </w:rPr>
            </w:pPr>
            <w:r w:rsidRPr="003408A6">
              <w:rPr>
                <w:i/>
                <w:lang w:val="en-AU"/>
              </w:rPr>
              <w:t>70.5%</w:t>
            </w:r>
          </w:p>
        </w:tc>
        <w:tc>
          <w:tcPr>
            <w:tcW w:w="1169" w:type="dxa"/>
            <w:noWrap/>
            <w:vAlign w:val="bottom"/>
            <w:hideMark/>
          </w:tcPr>
          <w:p w:rsidR="00F650A4" w:rsidRPr="003408A6" w:rsidRDefault="00F650A4" w:rsidP="00BB3725">
            <w:pPr>
              <w:pStyle w:val="Tabletext"/>
              <w:rPr>
                <w:i/>
                <w:lang w:val="en-AU"/>
              </w:rPr>
            </w:pPr>
            <w:r w:rsidRPr="003408A6">
              <w:rPr>
                <w:i/>
                <w:lang w:val="en-AU"/>
              </w:rPr>
              <w:t>33.8%</w:t>
            </w:r>
          </w:p>
        </w:tc>
        <w:tc>
          <w:tcPr>
            <w:tcW w:w="1170" w:type="dxa"/>
            <w:noWrap/>
            <w:vAlign w:val="bottom"/>
            <w:hideMark/>
          </w:tcPr>
          <w:p w:rsidR="00F650A4" w:rsidRPr="003408A6" w:rsidRDefault="00F650A4" w:rsidP="00BB3725">
            <w:pPr>
              <w:pStyle w:val="Tabletext"/>
              <w:rPr>
                <w:lang w:val="en-AU"/>
              </w:rPr>
            </w:pPr>
            <w:r w:rsidRPr="003408A6">
              <w:rPr>
                <w:lang w:val="en-AU"/>
              </w:rPr>
              <w:t>31.6%</w:t>
            </w:r>
          </w:p>
        </w:tc>
      </w:tr>
      <w:tr w:rsidR="00F650A4" w:rsidRPr="003408A6" w:rsidTr="00BB3725">
        <w:trPr>
          <w:trHeight w:val="255"/>
        </w:trPr>
        <w:tc>
          <w:tcPr>
            <w:tcW w:w="1951"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Outer regional</w:t>
            </w:r>
          </w:p>
        </w:tc>
        <w:tc>
          <w:tcPr>
            <w:tcW w:w="1169" w:type="dxa"/>
            <w:noWrap/>
            <w:vAlign w:val="bottom"/>
            <w:hideMark/>
          </w:tcPr>
          <w:p w:rsidR="00F650A4" w:rsidRPr="003408A6" w:rsidRDefault="00F650A4" w:rsidP="00BB3725">
            <w:pPr>
              <w:pStyle w:val="Tabletext"/>
              <w:rPr>
                <w:i/>
                <w:lang w:val="en-AU"/>
              </w:rPr>
            </w:pPr>
            <w:r w:rsidRPr="003408A6">
              <w:rPr>
                <w:i/>
                <w:lang w:val="en-AU"/>
              </w:rPr>
              <w:t>68.3%</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lang w:val="en-AU"/>
              </w:rPr>
            </w:pPr>
            <w:r w:rsidRPr="003408A6">
              <w:rPr>
                <w:lang w:val="en-AU"/>
              </w:rPr>
              <w:t>67.9%</w:t>
            </w:r>
          </w:p>
        </w:tc>
        <w:tc>
          <w:tcPr>
            <w:tcW w:w="1169" w:type="dxa"/>
            <w:noWrap/>
            <w:vAlign w:val="bottom"/>
            <w:hideMark/>
          </w:tcPr>
          <w:p w:rsidR="00F650A4" w:rsidRPr="003408A6" w:rsidRDefault="00F650A4" w:rsidP="00BB3725">
            <w:pPr>
              <w:pStyle w:val="Tabletext"/>
              <w:rPr>
                <w:i/>
                <w:lang w:val="en-AU"/>
              </w:rPr>
            </w:pPr>
            <w:r w:rsidRPr="003408A6">
              <w:rPr>
                <w:i/>
                <w:lang w:val="en-AU"/>
              </w:rPr>
              <w:t>31.1%</w:t>
            </w:r>
          </w:p>
        </w:tc>
        <w:tc>
          <w:tcPr>
            <w:tcW w:w="1170" w:type="dxa"/>
            <w:noWrap/>
            <w:vAlign w:val="bottom"/>
            <w:hideMark/>
          </w:tcPr>
          <w:p w:rsidR="00F650A4" w:rsidRPr="003408A6" w:rsidRDefault="00F650A4" w:rsidP="00BB3725">
            <w:pPr>
              <w:pStyle w:val="Tabletext"/>
              <w:rPr>
                <w:lang w:val="en-AU"/>
              </w:rPr>
            </w:pPr>
            <w:r w:rsidRPr="003408A6">
              <w:rPr>
                <w:lang w:val="en-AU"/>
              </w:rPr>
              <w:t>28.3%</w:t>
            </w:r>
          </w:p>
        </w:tc>
      </w:tr>
      <w:tr w:rsidR="00F650A4" w:rsidRPr="003408A6" w:rsidTr="00BB3725">
        <w:trPr>
          <w:trHeight w:val="255"/>
        </w:trPr>
        <w:tc>
          <w:tcPr>
            <w:tcW w:w="1951" w:type="dxa"/>
            <w:tcBorders>
              <w:top w:val="nil"/>
              <w:left w:val="nil"/>
              <w:bottom w:val="nil"/>
              <w:right w:val="single" w:sz="4" w:space="0" w:color="auto"/>
            </w:tcBorders>
            <w:noWrap/>
            <w:vAlign w:val="bottom"/>
            <w:hideMark/>
          </w:tcPr>
          <w:p w:rsidR="00F650A4" w:rsidRPr="003408A6" w:rsidRDefault="00F650A4" w:rsidP="00BB3725">
            <w:pPr>
              <w:pStyle w:val="Tabletextbold"/>
              <w:rPr>
                <w:lang w:val="en-AU"/>
              </w:rPr>
            </w:pPr>
            <w:r w:rsidRPr="003408A6">
              <w:rPr>
                <w:lang w:val="en-AU"/>
              </w:rPr>
              <w:t>Remote</w:t>
            </w:r>
          </w:p>
        </w:tc>
        <w:tc>
          <w:tcPr>
            <w:tcW w:w="1169" w:type="dxa"/>
            <w:noWrap/>
            <w:vAlign w:val="bottom"/>
            <w:hideMark/>
          </w:tcPr>
          <w:p w:rsidR="00F650A4" w:rsidRPr="003408A6" w:rsidRDefault="00F650A4" w:rsidP="00BB3725">
            <w:pPr>
              <w:pStyle w:val="Tabletext"/>
              <w:rPr>
                <w:i/>
                <w:lang w:val="en-AU"/>
              </w:rPr>
            </w:pPr>
            <w:r w:rsidRPr="003408A6">
              <w:rPr>
                <w:i/>
                <w:lang w:val="en-AU"/>
              </w:rPr>
              <w:t>70.2%</w:t>
            </w:r>
          </w:p>
        </w:tc>
        <w:tc>
          <w:tcPr>
            <w:tcW w:w="1170" w:type="dxa"/>
            <w:tcBorders>
              <w:top w:val="nil"/>
              <w:left w:val="nil"/>
              <w:bottom w:val="nil"/>
              <w:right w:val="single" w:sz="4" w:space="0" w:color="auto"/>
            </w:tcBorders>
            <w:noWrap/>
            <w:vAlign w:val="bottom"/>
            <w:hideMark/>
          </w:tcPr>
          <w:p w:rsidR="00F650A4" w:rsidRPr="003408A6" w:rsidRDefault="00F650A4" w:rsidP="00BB3725">
            <w:pPr>
              <w:pStyle w:val="Tabletext"/>
              <w:rPr>
                <w:lang w:val="en-AU"/>
              </w:rPr>
            </w:pPr>
            <w:r w:rsidRPr="003408A6">
              <w:rPr>
                <w:lang w:val="en-AU"/>
              </w:rPr>
              <w:t>60.4%</w:t>
            </w:r>
          </w:p>
        </w:tc>
        <w:tc>
          <w:tcPr>
            <w:tcW w:w="1169" w:type="dxa"/>
            <w:noWrap/>
            <w:vAlign w:val="bottom"/>
            <w:hideMark/>
          </w:tcPr>
          <w:p w:rsidR="00F650A4" w:rsidRPr="003408A6" w:rsidRDefault="00F650A4" w:rsidP="00BB3725">
            <w:pPr>
              <w:pStyle w:val="Tabletext"/>
              <w:rPr>
                <w:i/>
                <w:lang w:val="en-AU"/>
              </w:rPr>
            </w:pPr>
            <w:r w:rsidRPr="003408A6">
              <w:rPr>
                <w:i/>
                <w:lang w:val="en-AU"/>
              </w:rPr>
              <w:t>29.4%</w:t>
            </w:r>
          </w:p>
        </w:tc>
        <w:tc>
          <w:tcPr>
            <w:tcW w:w="1170" w:type="dxa"/>
            <w:noWrap/>
            <w:vAlign w:val="bottom"/>
            <w:hideMark/>
          </w:tcPr>
          <w:p w:rsidR="00F650A4" w:rsidRPr="003408A6" w:rsidRDefault="00F650A4" w:rsidP="00BB3725">
            <w:pPr>
              <w:pStyle w:val="Tabletext"/>
              <w:rPr>
                <w:lang w:val="en-AU"/>
              </w:rPr>
            </w:pPr>
            <w:r w:rsidRPr="003408A6">
              <w:rPr>
                <w:lang w:val="en-AU"/>
              </w:rPr>
              <w:t>27.3%</w:t>
            </w:r>
          </w:p>
        </w:tc>
      </w:tr>
      <w:tr w:rsidR="00F650A4" w:rsidRPr="003408A6" w:rsidTr="00BB3725">
        <w:trPr>
          <w:trHeight w:val="255"/>
        </w:trPr>
        <w:tc>
          <w:tcPr>
            <w:tcW w:w="1951"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textbold"/>
              <w:rPr>
                <w:lang w:val="en-AU"/>
              </w:rPr>
            </w:pPr>
            <w:r w:rsidRPr="003408A6">
              <w:rPr>
                <w:lang w:val="en-AU"/>
              </w:rPr>
              <w:t>Very remote</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text"/>
              <w:rPr>
                <w:i/>
                <w:lang w:val="en-AU"/>
              </w:rPr>
            </w:pPr>
            <w:r w:rsidRPr="003408A6">
              <w:rPr>
                <w:i/>
                <w:lang w:val="en-AU"/>
              </w:rPr>
              <w:t>72.9%</w:t>
            </w:r>
          </w:p>
        </w:tc>
        <w:tc>
          <w:tcPr>
            <w:tcW w:w="1170" w:type="dxa"/>
            <w:tcBorders>
              <w:top w:val="nil"/>
              <w:left w:val="nil"/>
              <w:bottom w:val="single" w:sz="4" w:space="0" w:color="auto"/>
              <w:right w:val="single" w:sz="4" w:space="0" w:color="auto"/>
            </w:tcBorders>
            <w:noWrap/>
            <w:vAlign w:val="bottom"/>
            <w:hideMark/>
          </w:tcPr>
          <w:p w:rsidR="00F650A4" w:rsidRPr="003408A6" w:rsidRDefault="00F650A4" w:rsidP="00BB3725">
            <w:pPr>
              <w:pStyle w:val="Tabletext"/>
              <w:rPr>
                <w:lang w:val="en-AU"/>
              </w:rPr>
            </w:pPr>
            <w:r w:rsidRPr="003408A6">
              <w:rPr>
                <w:lang w:val="en-AU"/>
              </w:rPr>
              <w:t>70.8%</w:t>
            </w:r>
          </w:p>
        </w:tc>
        <w:tc>
          <w:tcPr>
            <w:tcW w:w="1169" w:type="dxa"/>
            <w:tcBorders>
              <w:top w:val="nil"/>
              <w:left w:val="nil"/>
              <w:bottom w:val="single" w:sz="4" w:space="0" w:color="auto"/>
              <w:right w:val="nil"/>
            </w:tcBorders>
            <w:noWrap/>
            <w:vAlign w:val="bottom"/>
            <w:hideMark/>
          </w:tcPr>
          <w:p w:rsidR="00F650A4" w:rsidRPr="003408A6" w:rsidRDefault="00F650A4" w:rsidP="00BB3725">
            <w:pPr>
              <w:pStyle w:val="Tabletext"/>
              <w:rPr>
                <w:lang w:val="en-AU"/>
              </w:rPr>
            </w:pPr>
            <w:r w:rsidRPr="003408A6">
              <w:rPr>
                <w:lang w:val="en-AU"/>
              </w:rPr>
              <w:t>34.0%</w:t>
            </w:r>
          </w:p>
        </w:tc>
        <w:tc>
          <w:tcPr>
            <w:tcW w:w="1170" w:type="dxa"/>
            <w:tcBorders>
              <w:top w:val="nil"/>
              <w:left w:val="nil"/>
              <w:bottom w:val="single" w:sz="4" w:space="0" w:color="auto"/>
              <w:right w:val="nil"/>
            </w:tcBorders>
            <w:noWrap/>
            <w:vAlign w:val="bottom"/>
            <w:hideMark/>
          </w:tcPr>
          <w:p w:rsidR="00F650A4" w:rsidRPr="003408A6" w:rsidRDefault="00F650A4" w:rsidP="00BB3725">
            <w:pPr>
              <w:pStyle w:val="Tabletext"/>
              <w:rPr>
                <w:i/>
                <w:lang w:val="en-AU"/>
              </w:rPr>
            </w:pPr>
            <w:r w:rsidRPr="003408A6">
              <w:rPr>
                <w:i/>
                <w:lang w:val="en-AU"/>
              </w:rPr>
              <w:t>42.7%</w:t>
            </w:r>
          </w:p>
        </w:tc>
      </w:tr>
    </w:tbl>
    <w:p w:rsidR="00F650A4" w:rsidRPr="003408A6" w:rsidRDefault="002E2DF6" w:rsidP="00BB3725">
      <w:pPr>
        <w:pStyle w:val="Tablefootnote"/>
        <w:rPr>
          <w:rFonts w:eastAsia="Calibri"/>
          <w:lang w:eastAsia="en-US"/>
        </w:rPr>
      </w:pPr>
      <w:r w:rsidRPr="003408A6">
        <w:rPr>
          <w:rFonts w:eastAsia="Calibri"/>
          <w:lang w:eastAsia="en-US"/>
        </w:rPr>
        <w:t>*</w:t>
      </w:r>
      <w:r w:rsidR="00BB3725" w:rsidRPr="003408A6">
        <w:rPr>
          <w:rFonts w:eastAsia="Calibri"/>
          <w:lang w:eastAsia="en-US"/>
        </w:rPr>
        <w:tab/>
      </w:r>
      <w:r w:rsidRPr="003408A6">
        <w:rPr>
          <w:rFonts w:eastAsia="Calibri"/>
          <w:lang w:eastAsia="en-US"/>
        </w:rPr>
        <w:t>Data as held at November 2011. Higher estimate in italics</w:t>
      </w:r>
      <w:r w:rsidR="001D113B">
        <w:rPr>
          <w:rFonts w:eastAsia="Calibri"/>
          <w:lang w:eastAsia="en-US"/>
        </w:rPr>
        <w:t>.</w:t>
      </w:r>
    </w:p>
    <w:p w:rsidR="00BB3725" w:rsidRPr="003408A6" w:rsidRDefault="00BB3725" w:rsidP="00BB3725">
      <w:pPr>
        <w:pStyle w:val="BodyText"/>
        <w:rPr>
          <w:rFonts w:eastAsia="Calibri"/>
          <w:lang w:val="en-AU"/>
        </w:rPr>
      </w:pPr>
    </w:p>
    <w:p w:rsidR="00F650A4" w:rsidRPr="003408A6" w:rsidRDefault="00B8021E" w:rsidP="00DD7504">
      <w:pPr>
        <w:pStyle w:val="Heading3"/>
        <w:rPr>
          <w:rFonts w:eastAsia="Calibri"/>
          <w:lang w:eastAsia="en-US"/>
        </w:rPr>
      </w:pPr>
      <w:r>
        <w:rPr>
          <w:rFonts w:eastAsia="Calibri"/>
          <w:lang w:eastAsia="en-US"/>
        </w:rPr>
        <w:t>E</w:t>
      </w:r>
      <w:r w:rsidR="00F650A4" w:rsidRPr="003408A6">
        <w:rPr>
          <w:rFonts w:eastAsia="Calibri"/>
          <w:lang w:eastAsia="en-US"/>
        </w:rPr>
        <w:t>ffect of making a ‘third dose assumption’ on HPV</w:t>
      </w:r>
      <w:r>
        <w:rPr>
          <w:rFonts w:eastAsia="Calibri"/>
          <w:lang w:eastAsia="en-US"/>
        </w:rPr>
        <w:t xml:space="preserve"> vaccination</w:t>
      </w:r>
      <w:r w:rsidR="00F650A4" w:rsidRPr="003408A6">
        <w:rPr>
          <w:rFonts w:eastAsia="Calibri"/>
          <w:lang w:eastAsia="en-US"/>
        </w:rPr>
        <w:t xml:space="preserve"> coverage</w:t>
      </w:r>
    </w:p>
    <w:p w:rsidR="00F650A4" w:rsidRPr="003408A6" w:rsidRDefault="00F650A4" w:rsidP="00BB3725">
      <w:pPr>
        <w:pStyle w:val="BodyText"/>
        <w:rPr>
          <w:rFonts w:eastAsia="Calibri"/>
          <w:lang w:val="en-AU"/>
        </w:rPr>
      </w:pPr>
      <w:r w:rsidRPr="003408A6">
        <w:rPr>
          <w:rFonts w:eastAsia="Calibri"/>
          <w:b/>
          <w:lang w:val="en-AU"/>
        </w:rPr>
        <w:t>Figure 3.6</w:t>
      </w:r>
      <w:r w:rsidRPr="003408A6">
        <w:rPr>
          <w:rFonts w:eastAsia="Calibri"/>
          <w:lang w:val="en-AU"/>
        </w:rPr>
        <w:t xml:space="preserve"> summarises the difference between coverage calculated using confirmed doses held by the Register and coverage calculated using provider</w:t>
      </w:r>
      <w:r w:rsidR="001D113B">
        <w:rPr>
          <w:rFonts w:eastAsia="Calibri"/>
          <w:lang w:val="en-AU"/>
        </w:rPr>
        <w:t>-</w:t>
      </w:r>
      <w:r w:rsidRPr="003408A6">
        <w:rPr>
          <w:rFonts w:eastAsia="Calibri"/>
          <w:lang w:val="en-AU"/>
        </w:rPr>
        <w:t>reported third doses (third dose assumption), by single year of age for the catch-up cohorts</w:t>
      </w:r>
      <w:r w:rsidR="00413B61" w:rsidRPr="003408A6">
        <w:rPr>
          <w:rFonts w:eastAsia="Calibri"/>
          <w:lang w:val="en-AU"/>
        </w:rPr>
        <w:t>.</w:t>
      </w:r>
      <w:hyperlink w:anchor="_ENREF_43" w:tooltip="Brotherton, 2014 #1356" w:history="1">
        <w:r w:rsidR="00F27F90" w:rsidRPr="003408A6">
          <w:rPr>
            <w:rFonts w:eastAsia="Calibri"/>
            <w:lang w:val="en-AU"/>
          </w:rPr>
          <w:fldChar w:fldCharType="begin"/>
        </w:r>
        <w:r w:rsidR="00F27F90">
          <w:rPr>
            <w:rFonts w:eastAsia="Calibri"/>
            <w:lang w:val="en-AU"/>
          </w:rPr>
          <w:instrText xml:space="preserve"> ADDIN EN.CITE &lt;EndNote&gt;&lt;Cite&gt;&lt;Author&gt;Brotherton&lt;/Author&gt;&lt;Year&gt;2014&lt;/Year&gt;&lt;RecNum&gt;1356&lt;/RecNum&gt;&lt;DisplayText&gt;&lt;style face="superscript"&gt;43&lt;/style&gt;&lt;/DisplayText&gt;&lt;record&gt;&lt;rec-number&gt;1356&lt;/rec-number&gt;&lt;foreign-keys&gt;&lt;key app="EN" db-id="dda0wweazfww9besetpx2r5pt0asp9ztvs95"&gt;1356&lt;/key&gt;&lt;/foreign-keys&gt;&lt;ref-type name="Journal Article"&gt;17&lt;/ref-type&gt;&lt;contributors&gt;&lt;authors&gt;&lt;author&gt;Brotherton, J.M.L.&lt;/author&gt;&lt;author&gt;Winch, K.&lt;/author&gt;&lt;/authors&gt;&lt;/contributors&gt;&lt;titles&gt;&lt;title&gt;What is the effect of making a ‘third dose assumption’ on HPV vaccination coverage estimates?&lt;/title&gt;&lt;secondary-title&gt;Manuscript in preparation&lt;/secondary-title&gt;&lt;/titles&gt;&lt;periodical&gt;&lt;full-title&gt;Manuscript in preparation&lt;/full-title&gt;&lt;/periodical&gt;&lt;dates&gt;&lt;year&gt;2014&lt;/year&gt;&lt;/dates&gt;&lt;urls&gt;&lt;/urls&gt;&lt;/record&gt;&lt;/Cite&gt;&lt;/EndNote&gt;</w:instrText>
        </w:r>
        <w:r w:rsidR="00F27F90" w:rsidRPr="003408A6">
          <w:rPr>
            <w:rFonts w:eastAsia="Calibri"/>
            <w:lang w:val="en-AU"/>
          </w:rPr>
          <w:fldChar w:fldCharType="separate"/>
        </w:r>
        <w:r w:rsidR="00F27F90" w:rsidRPr="003408A6">
          <w:rPr>
            <w:rFonts w:eastAsia="Calibri"/>
            <w:noProof/>
            <w:vertAlign w:val="superscript"/>
            <w:lang w:val="en-AU"/>
          </w:rPr>
          <w:t>43</w:t>
        </w:r>
        <w:r w:rsidR="00F27F90" w:rsidRPr="003408A6">
          <w:rPr>
            <w:rFonts w:eastAsia="Calibri"/>
            <w:lang w:val="en-AU"/>
          </w:rPr>
          <w:fldChar w:fldCharType="end"/>
        </w:r>
      </w:hyperlink>
      <w:r w:rsidRPr="003408A6">
        <w:rPr>
          <w:rFonts w:eastAsia="Calibri"/>
          <w:lang w:val="en-AU"/>
        </w:rPr>
        <w:t xml:space="preserve"> At every age, coverage is higher using the third dose assumption. At ages 12–16 years the difference is only 1–2%, rising to 3% in 17-year olds and around 5% for adult females. Overall, however, accepting provider dose numbering for the 12–26-year-old cohort, and not reassigning duplicate doses to other dose numbers, results in a fall in dose 1 and 2 coverage from 66% to 58% and 58% to 55%, respectively. Dose 3 coverage rises from 47</w:t>
      </w:r>
      <w:r w:rsidR="001D113B">
        <w:rPr>
          <w:rFonts w:eastAsia="Calibri"/>
          <w:lang w:val="en-AU"/>
        </w:rPr>
        <w:t>%</w:t>
      </w:r>
      <w:r w:rsidRPr="003408A6">
        <w:rPr>
          <w:rFonts w:eastAsia="Calibri"/>
          <w:lang w:val="en-AU"/>
        </w:rPr>
        <w:t xml:space="preserve"> to 51%.</w:t>
      </w:r>
    </w:p>
    <w:p w:rsidR="00F650A4" w:rsidRPr="003408A6" w:rsidRDefault="00F650A4" w:rsidP="00F650A4">
      <w:pPr>
        <w:rPr>
          <w:rFonts w:eastAsia="Calibri" w:cs="Arial"/>
          <w:szCs w:val="22"/>
          <w:lang w:eastAsia="en-US"/>
        </w:rPr>
      </w:pPr>
      <w:r w:rsidRPr="003408A6">
        <w:rPr>
          <w:rFonts w:eastAsia="Calibri" w:cs="Arial"/>
          <w:szCs w:val="22"/>
          <w:lang w:eastAsia="en-US"/>
        </w:rPr>
        <w:br w:type="page"/>
      </w:r>
    </w:p>
    <w:p w:rsidR="00F650A4" w:rsidRPr="003408A6" w:rsidRDefault="002B7A0C" w:rsidP="00DD7504">
      <w:pPr>
        <w:pStyle w:val="Figureheading"/>
        <w:rPr>
          <w:rFonts w:eastAsia="Calibri"/>
        </w:rPr>
      </w:pPr>
      <w:bookmarkStart w:id="149" w:name="_Toc396475582"/>
      <w:bookmarkStart w:id="150" w:name="_Toc397000810"/>
      <w:bookmarkStart w:id="151" w:name="_Toc374735980"/>
      <w:r w:rsidRPr="003408A6">
        <w:rPr>
          <w:rFonts w:eastAsia="Calibri"/>
        </w:rPr>
        <w:t>Figure 3.6.</w:t>
      </w:r>
      <w:r w:rsidRPr="003408A6">
        <w:rPr>
          <w:rFonts w:eastAsia="Calibri"/>
        </w:rPr>
        <w:tab/>
      </w:r>
      <w:r w:rsidR="00F650A4" w:rsidRPr="003408A6">
        <w:rPr>
          <w:rFonts w:eastAsia="Calibri"/>
        </w:rPr>
        <w:t>Implied versus reported dose 3 coverage, females aged 12–26 years in 2007, Australia*</w:t>
      </w:r>
      <w:bookmarkEnd w:id="149"/>
      <w:bookmarkEnd w:id="150"/>
      <w:r w:rsidR="00F650A4" w:rsidRPr="003408A6">
        <w:rPr>
          <w:rFonts w:eastAsia="Calibri"/>
        </w:rPr>
        <w:t xml:space="preserve"> </w:t>
      </w:r>
      <w:bookmarkEnd w:id="151"/>
    </w:p>
    <w:p w:rsidR="00F650A4" w:rsidRPr="003408A6" w:rsidRDefault="00F650A4" w:rsidP="00F650A4">
      <w:pPr>
        <w:spacing w:after="200" w:line="360" w:lineRule="auto"/>
        <w:rPr>
          <w:rStyle w:val="BodyTextChar"/>
          <w:rFonts w:eastAsia="Calibri"/>
          <w:lang w:val="en-AU"/>
        </w:rPr>
      </w:pPr>
      <w:r w:rsidRPr="003408A6">
        <w:rPr>
          <w:rFonts w:eastAsia="Calibri" w:cs="Arial"/>
          <w:noProof/>
          <w:szCs w:val="22"/>
        </w:rPr>
        <w:drawing>
          <wp:inline distT="0" distB="0" distL="0" distR="0" wp14:anchorId="18045420" wp14:editId="791C0FC3">
            <wp:extent cx="4743450" cy="2552700"/>
            <wp:effectExtent l="0" t="0" r="0" b="0"/>
            <wp:docPr id="333" name="Picture 10" title="Implied versus reported dose 3 coverage, females aged 12–26 years in 2007,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2552700"/>
                    </a:xfrm>
                    <a:prstGeom prst="rect">
                      <a:avLst/>
                    </a:prstGeom>
                    <a:noFill/>
                    <a:ln>
                      <a:noFill/>
                    </a:ln>
                  </pic:spPr>
                </pic:pic>
              </a:graphicData>
            </a:graphic>
          </wp:inline>
        </w:drawing>
      </w:r>
    </w:p>
    <w:p w:rsidR="00F650A4" w:rsidRPr="003408A6" w:rsidRDefault="00F650A4" w:rsidP="00BB3725">
      <w:pPr>
        <w:pStyle w:val="Tablefootnote"/>
        <w:rPr>
          <w:rFonts w:eastAsia="Calibri"/>
          <w:lang w:eastAsia="en-US"/>
        </w:rPr>
      </w:pPr>
      <w:r w:rsidRPr="003408A6">
        <w:rPr>
          <w:rFonts w:eastAsia="Calibri"/>
          <w:szCs w:val="22"/>
          <w:lang w:eastAsia="en-US"/>
        </w:rPr>
        <w:t>*</w:t>
      </w:r>
      <w:r w:rsidR="00BB3725" w:rsidRPr="003408A6">
        <w:rPr>
          <w:rFonts w:eastAsia="Calibri"/>
          <w:szCs w:val="22"/>
          <w:lang w:eastAsia="en-US"/>
        </w:rPr>
        <w:tab/>
      </w:r>
      <w:r w:rsidRPr="003408A6">
        <w:rPr>
          <w:rFonts w:eastAsia="Calibri"/>
          <w:lang w:eastAsia="en-US"/>
        </w:rPr>
        <w:t>Data as held at July 2013.</w:t>
      </w:r>
    </w:p>
    <w:p w:rsidR="00BB3725" w:rsidRPr="003408A6" w:rsidRDefault="00BB3725" w:rsidP="00BB3725">
      <w:pPr>
        <w:pStyle w:val="BodyText"/>
        <w:rPr>
          <w:rFonts w:eastAsia="Calibri"/>
          <w:lang w:val="en-AU"/>
        </w:rPr>
      </w:pPr>
    </w:p>
    <w:p w:rsidR="00F650A4" w:rsidRPr="003408A6" w:rsidRDefault="00F650A4" w:rsidP="006D5849">
      <w:pPr>
        <w:pStyle w:val="Heading2"/>
        <w:rPr>
          <w:rFonts w:eastAsia="Calibri"/>
          <w:lang w:eastAsia="en-US"/>
        </w:rPr>
      </w:pPr>
      <w:bookmarkStart w:id="152" w:name="_Toc396926128"/>
      <w:r w:rsidRPr="003408A6">
        <w:rPr>
          <w:rFonts w:eastAsia="Calibri"/>
          <w:lang w:eastAsia="en-US"/>
        </w:rPr>
        <w:t>Discussion</w:t>
      </w:r>
      <w:bookmarkEnd w:id="152"/>
    </w:p>
    <w:p w:rsidR="00F650A4" w:rsidRPr="003408A6" w:rsidRDefault="00F650A4" w:rsidP="00BB3725">
      <w:pPr>
        <w:pStyle w:val="BodyText"/>
        <w:rPr>
          <w:rFonts w:eastAsia="Calibri"/>
          <w:lang w:val="en-AU"/>
        </w:rPr>
      </w:pPr>
      <w:r w:rsidRPr="003408A6">
        <w:rPr>
          <w:rFonts w:eastAsia="Calibri"/>
          <w:lang w:val="en-AU"/>
        </w:rPr>
        <w:t xml:space="preserve">As recorded on the NHVPR, coverage achieved in the female HPV vaccination catch-up program was substantial, with national coverage of 66/58/47% for doses 1/2/3, respectively, in the 12–26-year-old cohort. Actual coverage is undoubtedly higher, given the need for patient consent to record doses on the NHVPR and apparent under-notification of doses from </w:t>
      </w:r>
      <w:r w:rsidR="00964BBF">
        <w:t>general practice</w:t>
      </w:r>
      <w:r w:rsidRPr="003408A6">
        <w:rPr>
          <w:rFonts w:eastAsia="Calibri"/>
          <w:lang w:val="en-AU"/>
        </w:rPr>
        <w:t xml:space="preserve"> and community providers outside of the school program.</w:t>
      </w:r>
      <w:r w:rsidRPr="003408A6">
        <w:rPr>
          <w:rFonts w:eastAsia="Calibri"/>
          <w:lang w:val="en-AU"/>
        </w:rPr>
        <w:fldChar w:fldCharType="begin">
          <w:fldData xml:space="preserve">PEVuZE5vdGU+PENpdGU+PEF1dGhvcj5Ccm90aGVydG9uPC9BdXRob3I+PFllYXI+MjAxMTwvWWVh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</w:fldData>
        </w:fldChar>
      </w:r>
      <w:r w:rsidR="00732381" w:rsidRPr="003408A6">
        <w:rPr>
          <w:rFonts w:eastAsia="Calibri"/>
          <w:lang w:val="en-AU"/>
        </w:rPr>
        <w:instrText xml:space="preserve"> ADDIN EN.CITE </w:instrText>
      </w:r>
      <w:r w:rsidR="00732381" w:rsidRPr="003408A6">
        <w:rPr>
          <w:rFonts w:eastAsia="Calibri"/>
          <w:lang w:val="en-AU"/>
        </w:rPr>
        <w:fldChar w:fldCharType="begin">
          <w:fldData xml:space="preserve">PEVuZE5vdGU+PENpdGU+PEF1dGhvcj5Ccm90aGVydG9uPC9BdXRob3I+PFllYXI+MjAxMTwvWWVh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</w:fldData>
        </w:fldChar>
      </w:r>
      <w:r w:rsidR="00732381" w:rsidRPr="003408A6">
        <w:rPr>
          <w:rFonts w:eastAsia="Calibri"/>
          <w:lang w:val="en-AU"/>
        </w:rPr>
        <w:instrText xml:space="preserve"> ADDIN EN.CITE.DATA </w:instrText>
      </w:r>
      <w:r w:rsidR="00732381" w:rsidRPr="003408A6">
        <w:rPr>
          <w:rFonts w:eastAsia="Calibri"/>
          <w:lang w:val="en-AU"/>
        </w:rPr>
      </w:r>
      <w:r w:rsidR="00732381" w:rsidRPr="003408A6">
        <w:rPr>
          <w:rFonts w:eastAsia="Calibri"/>
          <w:lang w:val="en-AU"/>
        </w:rPr>
        <w:fldChar w:fldCharType="end"/>
      </w:r>
      <w:r w:rsidRPr="003408A6">
        <w:rPr>
          <w:rFonts w:eastAsia="Calibri"/>
          <w:lang w:val="en-AU"/>
        </w:rPr>
      </w:r>
      <w:r w:rsidRPr="003408A6">
        <w:rPr>
          <w:rFonts w:eastAsia="Calibri"/>
          <w:lang w:val="en-AU"/>
        </w:rPr>
        <w:fldChar w:fldCharType="separate"/>
      </w:r>
      <w:hyperlink w:anchor="_ENREF_38" w:tooltip="Brotherton, 2011 #1269" w:history="1">
        <w:r w:rsidR="00F27F90" w:rsidRPr="003408A6">
          <w:rPr>
            <w:rFonts w:eastAsia="Calibri"/>
            <w:noProof/>
            <w:vertAlign w:val="superscript"/>
            <w:lang w:val="en-AU"/>
          </w:rPr>
          <w:t>38</w:t>
        </w:r>
      </w:hyperlink>
      <w:r w:rsidR="00732381" w:rsidRPr="003408A6">
        <w:rPr>
          <w:rFonts w:eastAsia="Calibri"/>
          <w:noProof/>
          <w:vertAlign w:val="superscript"/>
          <w:lang w:val="en-AU"/>
        </w:rPr>
        <w:t>,</w:t>
      </w:r>
      <w:hyperlink w:anchor="_ENREF_44" w:tooltip="Brotherton, 2012 #1237" w:history="1">
        <w:r w:rsidR="00F27F90" w:rsidRPr="003408A6">
          <w:rPr>
            <w:rFonts w:eastAsia="Calibri"/>
            <w:noProof/>
            <w:vertAlign w:val="superscript"/>
            <w:lang w:val="en-AU"/>
          </w:rPr>
          <w:t>44-46</w:t>
        </w:r>
      </w:hyperlink>
      <w:r w:rsidRPr="003408A6">
        <w:rPr>
          <w:rFonts w:eastAsia="Calibri"/>
          <w:lang w:val="en-AU"/>
        </w:rPr>
        <w:fldChar w:fldCharType="end"/>
      </w:r>
      <w:r w:rsidRPr="003408A6">
        <w:rPr>
          <w:rFonts w:eastAsia="Calibri"/>
          <w:lang w:val="en-AU"/>
        </w:rPr>
        <w:t xml:space="preserve"> A population-based mobile phone survey of eligible women (aged 18–26 years in 2007) found self-reported coverage to be 10/15/20% higher for doses 1/2/3, respectively, than that reported on the Register, with a validation substudy able to verify 86% of self-reported doses.</w:t>
      </w:r>
      <w:hyperlink w:anchor="_ENREF_45" w:tooltip="Brotherton, 2014 #1301" w:history="1">
        <w:r w:rsidR="00F27F90" w:rsidRPr="004B2444">
          <w:rPr>
            <w:rFonts w:eastAsia="Calibri"/>
            <w:vertAlign w:val="superscript"/>
          </w:rPr>
          <w:fldChar w:fldCharType="begin"/>
        </w:r>
        <w:r w:rsidR="00F27F90" w:rsidRPr="004B2444">
          <w:rPr>
            <w:rFonts w:eastAsia="Calibri"/>
            <w:vertAlign w:val="superscript"/>
          </w:rPr>
          <w:instrText xml:space="preserve"> ADDIN EN.CITE &lt;EndNote&gt;&lt;Cite&gt;&lt;Author&gt;Brotherton&lt;/Author&gt;&lt;Year&gt;2014&lt;/Year&gt;&lt;RecNum&gt;1301&lt;/RecNum&gt;&lt;DisplayText&gt;&lt;style face="superscript"&gt;45&lt;/style&gt;&lt;/DisplayText&gt;&lt;record&gt;&lt;rec-number&gt;1301&lt;/rec-number&gt;&lt;foreign-keys&gt;&lt;key app="EN" db-id="dda0wweazfww9besetpx2r5pt0asp9ztvs95"&gt;1301&lt;/key&gt;&lt;/foreign-keys&gt;&lt;ref-type name="Journal Article"&gt;17&lt;/ref-type&gt;&lt;contributors&gt;&lt;authors&gt;&lt;author&gt;Brotherton, J.M.L.&lt;/author&gt;&lt;author&gt;Liu, B.&lt;/author&gt;&lt;author&gt;Donovan, B.&lt;/author&gt;&lt;author&gt;Kaldor, J.M.&lt;/author&gt;&lt;author&gt;Saville, M.&lt;/author&gt;&lt;/authors&gt;&lt;/contributors&gt;&lt;titles&gt;&lt;title&gt;Human papillomavirus (HPV) vaccination coverage in young Australian women is higher than previously estimated: independent estimates from a nationally representative mobile phone survey&lt;/title&gt;&lt;secondary-title&gt;Vaccine&lt;/secondary-title&gt;&lt;/titles&gt;&lt;periodical&gt;&lt;full-title&gt;Vaccine&lt;/full-title&gt;&lt;abbr-1&gt;Vaccine&lt;/abbr-1&gt;&lt;abbr-2&gt;Vaccine&lt;/abbr-2&gt;&lt;/periodical&gt;&lt;pages&gt;592-597&lt;/pages&gt;&lt;volume&gt;32&lt;/volume&gt;&lt;dates&gt;&lt;year&gt;2014&lt;/year&gt;&lt;/dates&gt;&lt;urls&gt;&lt;/urls&gt;&lt;electronic-resource-num&gt;http://dx.doi.org/10.1016/j.vaccine.2013.11.075&lt;/electronic-resource-num&gt;&lt;/record&gt;&lt;/Cite&gt;&lt;/EndNote&gt;</w:instrText>
        </w:r>
        <w:r w:rsidR="00F27F90" w:rsidRPr="004B2444">
          <w:rPr>
            <w:rFonts w:eastAsia="Calibri"/>
            <w:vertAlign w:val="superscript"/>
          </w:rPr>
          <w:fldChar w:fldCharType="separate"/>
        </w:r>
        <w:r w:rsidR="00F27F90" w:rsidRPr="004B2444">
          <w:rPr>
            <w:rFonts w:eastAsia="Calibri"/>
            <w:vertAlign w:val="superscript"/>
          </w:rPr>
          <w:t>45</w:t>
        </w:r>
        <w:r w:rsidR="00F27F90" w:rsidRPr="004B2444">
          <w:rPr>
            <w:rFonts w:eastAsia="Calibri"/>
            <w:vertAlign w:val="superscript"/>
          </w:rPr>
          <w:fldChar w:fldCharType="end"/>
        </w:r>
      </w:hyperlink>
      <w:r w:rsidRPr="003408A6">
        <w:rPr>
          <w:rFonts w:eastAsia="Calibri"/>
          <w:lang w:val="en-AU"/>
        </w:rPr>
        <w:t xml:space="preserve"> </w:t>
      </w:r>
    </w:p>
    <w:p w:rsidR="00F650A4" w:rsidRPr="003408A6" w:rsidRDefault="00F650A4" w:rsidP="00BB3725">
      <w:pPr>
        <w:pStyle w:val="BodyText"/>
        <w:rPr>
          <w:rFonts w:eastAsia="Calibri"/>
          <w:lang w:val="en-AU"/>
        </w:rPr>
      </w:pPr>
      <w:r w:rsidRPr="003408A6">
        <w:rPr>
          <w:rFonts w:eastAsia="Calibri"/>
          <w:lang w:val="en-AU"/>
        </w:rPr>
        <w:t>Within the school cohorts, coverage for 12–17-year olds (2007) was 83/78/70% for doses 1/2/3, respectively. Monitoring of coverage in the 15-year-old cohorts over time suggests relatively stable coverage since the female catch-up program. There was and is some variation in coverage achieved by jurisdiction suggesting more effective delivery in some states/territories than others. Also notable is the difference between dose 1 and dose 3 coverage, suggesting that there are barriers to completing the course. Available research suggests that these barriers are largely logistical rather than due to perceived side effects or withdrawal of consent.</w:t>
      </w:r>
      <w:r w:rsidRPr="003408A6">
        <w:rPr>
          <w:rFonts w:eastAsia="Calibri"/>
          <w:lang w:val="en-AU"/>
        </w:rPr>
        <w:fldChar w:fldCharType="begin">
          <w:fldData xml:space="preserve">PEVuZE5vdGU+PENpdGU+PEF1dGhvcj5Ccm90aGVydG9uPC9BdXRob3I+PFllYXI+MjAxMzwvWWVh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</w:fldData>
        </w:fldChar>
      </w:r>
      <w:r w:rsidR="00B539AD">
        <w:rPr>
          <w:rFonts w:eastAsia="Calibri"/>
          <w:lang w:val="en-AU"/>
        </w:rPr>
        <w:instrText xml:space="preserve"> ADDIN EN.CITE </w:instrText>
      </w:r>
      <w:r w:rsidR="00B539AD">
        <w:rPr>
          <w:rFonts w:eastAsia="Calibri"/>
          <w:lang w:val="en-AU"/>
        </w:rPr>
        <w:fldChar w:fldCharType="begin">
          <w:fldData xml:space="preserve">PEVuZE5vdGU+PENpdGU+PEF1dGhvcj5Ccm90aGVydG9uPC9BdXRob3I+PFllYXI+MjAxMzwvWWVh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</w:fldData>
        </w:fldChar>
      </w:r>
      <w:r w:rsidR="00B539AD">
        <w:rPr>
          <w:rFonts w:eastAsia="Calibri"/>
          <w:lang w:val="en-AU"/>
        </w:rPr>
        <w:instrText xml:space="preserve"> ADDIN EN.CITE.DATA </w:instrText>
      </w:r>
      <w:r w:rsidR="00B539AD">
        <w:rPr>
          <w:rFonts w:eastAsia="Calibri"/>
          <w:lang w:val="en-AU"/>
        </w:rPr>
      </w:r>
      <w:r w:rsidR="00B539AD">
        <w:rPr>
          <w:rFonts w:eastAsia="Calibri"/>
          <w:lang w:val="en-AU"/>
        </w:rPr>
        <w:fldChar w:fldCharType="end"/>
      </w:r>
      <w:r w:rsidRPr="003408A6">
        <w:rPr>
          <w:rFonts w:eastAsia="Calibri"/>
          <w:lang w:val="en-AU"/>
        </w:rPr>
      </w:r>
      <w:r w:rsidRPr="003408A6">
        <w:rPr>
          <w:rFonts w:eastAsia="Calibri"/>
          <w:lang w:val="en-AU"/>
        </w:rPr>
        <w:fldChar w:fldCharType="separate"/>
      </w:r>
      <w:hyperlink w:anchor="_ENREF_41" w:tooltip="Brotherton, 2013 #1297" w:history="1">
        <w:r w:rsidR="00F27F90" w:rsidRPr="003408A6">
          <w:rPr>
            <w:rFonts w:eastAsia="Calibri"/>
            <w:noProof/>
            <w:vertAlign w:val="superscript"/>
            <w:lang w:val="en-AU"/>
          </w:rPr>
          <w:t>41</w:t>
        </w:r>
      </w:hyperlink>
      <w:r w:rsidR="00732381" w:rsidRPr="003408A6">
        <w:rPr>
          <w:rFonts w:eastAsia="Calibri"/>
          <w:noProof/>
          <w:vertAlign w:val="superscript"/>
          <w:lang w:val="en-AU"/>
        </w:rPr>
        <w:t>,</w:t>
      </w:r>
      <w:hyperlink w:anchor="_ENREF_47" w:tooltip="Watson, 2014 #1302" w:history="1">
        <w:r w:rsidR="00F27F90" w:rsidRPr="003408A6">
          <w:rPr>
            <w:rFonts w:eastAsia="Calibri"/>
            <w:noProof/>
            <w:vertAlign w:val="superscript"/>
            <w:lang w:val="en-AU"/>
          </w:rPr>
          <w:t>47</w:t>
        </w:r>
      </w:hyperlink>
      <w:r w:rsidRPr="003408A6">
        <w:rPr>
          <w:rFonts w:eastAsia="Calibri"/>
          <w:lang w:val="en-AU"/>
        </w:rPr>
        <w:fldChar w:fldCharType="end"/>
      </w:r>
      <w:r w:rsidRPr="003408A6">
        <w:rPr>
          <w:rFonts w:eastAsia="Calibri"/>
          <w:lang w:val="en-AU"/>
        </w:rPr>
        <w:t xml:space="preserve"> Similarly</w:t>
      </w:r>
      <w:r w:rsidR="001D113B">
        <w:rPr>
          <w:rFonts w:eastAsia="Calibri"/>
          <w:lang w:val="en-AU"/>
        </w:rPr>
        <w:t>,</w:t>
      </w:r>
      <w:r w:rsidRPr="003408A6">
        <w:rPr>
          <w:rFonts w:eastAsia="Calibri"/>
          <w:lang w:val="en-AU"/>
        </w:rPr>
        <w:t xml:space="preserve"> an important reason for failure to commence the vaccine course when it is offered through the school</w:t>
      </w:r>
      <w:r w:rsidRPr="003408A6">
        <w:rPr>
          <w:lang w:val="en-AU"/>
        </w:rPr>
        <w:t>-based</w:t>
      </w:r>
      <w:r w:rsidRPr="003408A6">
        <w:rPr>
          <w:rFonts w:eastAsia="Calibri"/>
          <w:lang w:val="en-AU"/>
        </w:rPr>
        <w:t xml:space="preserve"> program may relate to difficulties with effective contact and communication with parents. Generally consent forms and information are provided to parents via the child bringing them home from school. Significant efforts to review and streamline such processes, and in so doing to optimise school-based vaccination programs, are occurring in every state/territory. The experience in Scotland suggests that higher HPV vaccination coverage can be achieved and maintained in school-based programs through a systematic project management approach to implementation and with strong supporting information systems.</w:t>
      </w:r>
      <w:hyperlink w:anchor="_ENREF_48" w:tooltip="Potts, 2013 #1303" w:history="1">
        <w:r w:rsidR="00F27F90" w:rsidRPr="004B2444">
          <w:rPr>
            <w:rFonts w:eastAsia="Calibri"/>
            <w:vertAlign w:val="superscript"/>
          </w:rPr>
          <w:fldChar w:fldCharType="begin"/>
        </w:r>
        <w:r w:rsidR="00F27F90" w:rsidRPr="004B2444">
          <w:rPr>
            <w:rFonts w:eastAsia="Calibri"/>
            <w:vertAlign w:val="superscript"/>
          </w:rPr>
          <w:instrText xml:space="preserve"> ADDIN EN.CITE &lt;EndNote&gt;&lt;Cite&gt;&lt;Author&gt;Potts&lt;/Author&gt;&lt;Year&gt;2013&lt;/Year&gt;&lt;RecNum&gt;1303&lt;/RecNum&gt;&lt;DisplayText&gt;&lt;style face="superscript"&gt;48&lt;/style&gt;&lt;/DisplayText&gt;&lt;record&gt;&lt;rec-number&gt;1303&lt;/rec-number&gt;&lt;foreign-keys&gt;&lt;key app="EN" db-id="dda0wweazfww9besetpx2r5pt0asp9ztvs95"&gt;1303&lt;/key&gt;&lt;/foreign-keys&gt;&lt;ref-type name="Journal Article"&gt;17&lt;/ref-type&gt;&lt;contributors&gt;&lt;authors&gt;&lt;author&gt;Potts, A.&lt;/author&gt;&lt;author&gt;Sinka, K.&lt;/author&gt;&lt;author&gt;Love, J.&lt;/author&gt;&lt;author&gt;Gordon, R.&lt;/author&gt;&lt;author&gt;McLean, S.&lt;/author&gt;&lt;author&gt;Malcolm, W.&lt;/author&gt;&lt;author&gt;Ross, D.&lt;/author&gt;&lt;author&gt;Donaghy, M.&lt;/author&gt;&lt;/authors&gt;&lt;/contributors&gt;&lt;titles&gt;&lt;title&gt;High uptake of HPV immunisation in Scotland – perspectives on maximising uptake.&lt;/title&gt;&lt;secondary-title&gt;Euro Surveillance&lt;/secondary-title&gt;&lt;/titles&gt;&lt;periodical&gt;&lt;full-title&gt;Euro Surveillance&lt;/full-title&gt;&lt;abbr-1&gt;Euro Surveill.&lt;/abbr-1&gt;&lt;abbr-2&gt;Euro Surveill&lt;/abbr-2&gt;&lt;/periodical&gt;&lt;pages&gt;pii=20593&lt;/pages&gt;&lt;volume&gt;18&lt;/volume&gt;&lt;number&gt;39&lt;/number&gt;&lt;dates&gt;&lt;year&gt;2013&lt;/year&gt;&lt;/dates&gt;&lt;urls&gt;&lt;related-urls&gt;&lt;url&gt;http://www.eurosurveillance.org/ViewArticle.aspx?ArticleId=20593&lt;/url&gt;&lt;/related-urls&gt;&lt;/urls&gt;&lt;/record&gt;&lt;/Cite&gt;&lt;/EndNote&gt;</w:instrText>
        </w:r>
        <w:r w:rsidR="00F27F90" w:rsidRPr="004B2444">
          <w:rPr>
            <w:rFonts w:eastAsia="Calibri"/>
            <w:vertAlign w:val="superscript"/>
          </w:rPr>
          <w:fldChar w:fldCharType="separate"/>
        </w:r>
        <w:r w:rsidR="00F27F90" w:rsidRPr="004B2444">
          <w:rPr>
            <w:rFonts w:eastAsia="Calibri"/>
            <w:vertAlign w:val="superscript"/>
          </w:rPr>
          <w:t>48</w:t>
        </w:r>
        <w:r w:rsidR="00F27F90" w:rsidRPr="004B2444">
          <w:rPr>
            <w:rFonts w:eastAsia="Calibri"/>
            <w:vertAlign w:val="superscript"/>
          </w:rPr>
          <w:fldChar w:fldCharType="end"/>
        </w:r>
      </w:hyperlink>
      <w:r w:rsidRPr="003408A6">
        <w:rPr>
          <w:rFonts w:eastAsia="Calibri"/>
          <w:lang w:val="en-AU"/>
        </w:rPr>
        <w:t xml:space="preserve"> There are significant issues around information sharing between the education and health sectors to be resolved in Australia before school-based vaccination can operate most effectively and achieve the highest possible coverage. </w:t>
      </w:r>
    </w:p>
    <w:p w:rsidR="00F650A4" w:rsidRPr="003408A6" w:rsidRDefault="00F650A4" w:rsidP="00BB3725">
      <w:pPr>
        <w:pStyle w:val="BodyText"/>
        <w:rPr>
          <w:rFonts w:eastAsia="Calibri"/>
          <w:lang w:val="en-AU"/>
        </w:rPr>
      </w:pPr>
      <w:r w:rsidRPr="003408A6">
        <w:rPr>
          <w:rFonts w:eastAsia="Calibri"/>
          <w:lang w:val="en-AU"/>
        </w:rPr>
        <w:t>The school-based delivery of HPV vaccination appears to be achieving more equal uptake by socioeconomic status than cervical screening in adult women does. There is only a 4.1% difference between 3-dose coverage in areas of lowest and highest SES (and a &lt;1% difference for 1-dose coverage). While the national analysis presented here only focuses on 12–13-year olds, an analysis across the age groups of the catch-up program for females resident in Victoria demonstrated similarly quite equal uptake across the socioeconomic strata in both 18–26-year olds and 12–17-year olds.</w:t>
      </w:r>
      <w:hyperlink w:anchor="_ENREF_49" w:tooltip="Barbaro, 2012 #1343" w:history="1">
        <w:r w:rsidR="00F27F90" w:rsidRPr="004B2444">
          <w:rPr>
            <w:rFonts w:eastAsia="Calibri"/>
            <w:vertAlign w:val="superscript"/>
          </w:rPr>
          <w:fldChar w:fldCharType="begin"/>
        </w:r>
        <w:r w:rsidR="00F27F90" w:rsidRPr="004B2444">
          <w:rPr>
            <w:rFonts w:eastAsia="Calibri"/>
            <w:vertAlign w:val="superscript"/>
          </w:rPr>
          <w:instrText xml:space="preserve"> ADDIN EN.CITE &lt;EndNote&gt;&lt;Cite&gt;&lt;Author&gt;Barbaro&lt;/Author&gt;&lt;Year&gt;2012&lt;/Year&gt;&lt;RecNum&gt;1343&lt;/RecNum&gt;&lt;DisplayText&gt;&lt;style face="superscript"&gt;49&lt;/style&gt;&lt;/DisplayText&gt;&lt;record&gt;&lt;rec-number&gt;1343&lt;/rec-number&gt;&lt;foreign-keys&gt;&lt;key app="EN" db-id="dda0wweazfww9besetpx2r5pt0asp9ztvs95"&gt;1343&lt;/key&gt;&lt;/foreign-keys&gt;&lt;ref-type name="Journal Article"&gt;17&lt;/ref-type&gt;&lt;contributors&gt;&lt;authors&gt;&lt;author&gt;Barbaro, B.&lt;/author&gt;&lt;author&gt;Brotherton, J.M.L.&lt;/author&gt;&lt;author&gt;Gertig, D.&lt;/author&gt;&lt;/authors&gt;&lt;/contributors&gt;&lt;titles&gt;&lt;title&gt;Human papillomavirus vaccination and cervical cancer screening by socioeconomic status, Victoria.&lt;/title&gt;&lt;secondary-title&gt;Medical Journal of Australia&lt;/secondary-title&gt;&lt;/titles&gt;&lt;periodical&gt;&lt;full-title&gt;Medical Journal of Australia&lt;/full-title&gt;&lt;abbr-1&gt;Med. J. Aust.&lt;/abbr-1&gt;&lt;abbr-2&gt;Med J Aust&lt;/abbr-2&gt;&lt;/periodical&gt;&lt;pages&gt;445&lt;/pages&gt;&lt;volume&gt;196&lt;/volume&gt;&lt;number&gt;7&lt;/number&gt;&lt;dates&gt;&lt;year&gt;2012&lt;/year&gt;&lt;/dates&gt;&lt;urls&gt;&lt;/urls&gt;&lt;/record&gt;&lt;/Cite&gt;&lt;/EndNote&gt;</w:instrText>
        </w:r>
        <w:r w:rsidR="00F27F90" w:rsidRPr="004B2444">
          <w:rPr>
            <w:rFonts w:eastAsia="Calibri"/>
            <w:vertAlign w:val="superscript"/>
          </w:rPr>
          <w:fldChar w:fldCharType="separate"/>
        </w:r>
        <w:r w:rsidR="00F27F90" w:rsidRPr="004B2444">
          <w:rPr>
            <w:rFonts w:eastAsia="Calibri"/>
            <w:vertAlign w:val="superscript"/>
          </w:rPr>
          <w:t>49</w:t>
        </w:r>
        <w:r w:rsidR="00F27F90" w:rsidRPr="004B2444">
          <w:rPr>
            <w:rFonts w:eastAsia="Calibri"/>
            <w:vertAlign w:val="superscript"/>
          </w:rPr>
          <w:fldChar w:fldCharType="end"/>
        </w:r>
      </w:hyperlink>
      <w:r w:rsidRPr="003408A6">
        <w:rPr>
          <w:rFonts w:eastAsia="Calibri"/>
          <w:lang w:val="en-AU"/>
        </w:rPr>
        <w:t xml:space="preserve"> Similarly, coverage is relatively equal by area of residence, although interestingly 1-dose coverage is highest in very remote areas, probably reflecting the active and dedicated efforts to provide vaccine in these communities. Although data interpretation is somewhat limited due to uncertainty surrounding denominator estimates particularly, Indigenous coverage in the Northern Territory and in Queensland suggests a lower coverage rate in the school</w:t>
      </w:r>
      <w:r w:rsidR="001D113B">
        <w:rPr>
          <w:rFonts w:eastAsia="Calibri"/>
          <w:lang w:val="en-AU"/>
        </w:rPr>
        <w:t>-</w:t>
      </w:r>
      <w:r w:rsidRPr="003408A6">
        <w:rPr>
          <w:rFonts w:eastAsia="Calibri"/>
          <w:lang w:val="en-AU"/>
        </w:rPr>
        <w:t>age catch-up cohorts (widening per dose in Queensland by around 5/10/15% for dose 1/2/3, respectively, but relatively steady in the Northern Territory at around 15%). Interestingly, in the Northern Territory, coverage in Indigenous women appears higher than in non-Indigenous women. It is disappointing that data quality was not adequate enough to allow estimates of Indigenous coverage from the catch-up program in other jurisdictions. Work is ongoing to improve the reporting of Indigenous status on consent forms in the school-based programs with updated ABS denominator estimates awaited from the 2011 census.</w:t>
      </w:r>
    </w:p>
    <w:p w:rsidR="00F650A4" w:rsidRPr="003408A6" w:rsidRDefault="00F650A4" w:rsidP="00BB3725">
      <w:pPr>
        <w:pStyle w:val="BodyText"/>
        <w:rPr>
          <w:rFonts w:eastAsia="Calibri"/>
          <w:lang w:val="en-AU"/>
        </w:rPr>
      </w:pPr>
      <w:r w:rsidRPr="003408A6">
        <w:rPr>
          <w:rFonts w:eastAsia="Calibri"/>
          <w:lang w:val="en-AU"/>
        </w:rPr>
        <w:t xml:space="preserve">These analyses also suggest that timeliness may be an issue for Indigenous and/or remote area populations for completing HPV vaccine courses. The </w:t>
      </w:r>
      <w:r w:rsidRPr="003408A6">
        <w:rPr>
          <w:rFonts w:eastAsia="Calibri"/>
          <w:color w:val="000000"/>
          <w:lang w:val="en-AU"/>
        </w:rPr>
        <w:t>Northern Territory</w:t>
      </w:r>
      <w:r w:rsidRPr="003408A6">
        <w:rPr>
          <w:rFonts w:eastAsia="Calibri"/>
          <w:lang w:val="en-AU"/>
        </w:rPr>
        <w:t>, with the highest proportion of the population being Indigenous or residing in remote areas, consistently has the highest proportion of completed courses taking over 12 months to complete. In the school</w:t>
      </w:r>
      <w:r w:rsidRPr="003408A6">
        <w:rPr>
          <w:lang w:val="en-AU"/>
        </w:rPr>
        <w:t>-based</w:t>
      </w:r>
      <w:r w:rsidRPr="003408A6">
        <w:rPr>
          <w:rFonts w:eastAsia="Calibri"/>
          <w:lang w:val="en-AU"/>
        </w:rPr>
        <w:t xml:space="preserve"> program the majority of vaccine courses (83% in 2012) are completed within the recommended timeframe of 6 to 12 months from the first dose. In 2007 only, the overwhelming majority of courses (94%) were completed in under 6 months, reflecting the successful use of the accelerated 0, 1, 4 month schedule in that year to enable the course to be completed by the end of the year given the April program launch date. A similar pattern of change since the catch-up program was seen in the proportion of </w:t>
      </w:r>
      <w:r w:rsidR="00964BBF">
        <w:t>general practice</w:t>
      </w:r>
      <w:r w:rsidRPr="003408A6">
        <w:rPr>
          <w:rFonts w:eastAsia="Calibri"/>
          <w:lang w:val="en-AU"/>
        </w:rPr>
        <w:t xml:space="preserve"> providers over time. This proportion peaked in 2009 at 57.2%, in the final year of the catch-up program. Currently only 4.5% of notified doses (2012) are administered in general practice nationally and only in Tasmania does this proportion exceed 10%. </w:t>
      </w:r>
    </w:p>
    <w:p w:rsidR="00F650A4" w:rsidRPr="003408A6" w:rsidRDefault="00F650A4" w:rsidP="00BB3725">
      <w:pPr>
        <w:pStyle w:val="BodyText"/>
        <w:rPr>
          <w:rFonts w:eastAsia="Calibri"/>
          <w:lang w:val="en-AU"/>
        </w:rPr>
      </w:pPr>
      <w:r w:rsidRPr="003408A6">
        <w:rPr>
          <w:rFonts w:eastAsia="Calibri"/>
          <w:lang w:val="en-AU"/>
        </w:rPr>
        <w:t>Assessment of the impact on coverage estimates from the catch-up program of using Medicare enrolment data instead of ABS ERP estimates found that, overall, a small increase in 3-dose coverage would result (about 0.4% in school-age cohorts and 1.5% in adult females). Enrolment data is likely to more closely reflect the HPV vaccine eligible population although, as administrative data, its currency is dependent on individuals updating their details in a timely manner. ABS data are adjusted for migration and deaths on an annual basis. A third dose assumption applied to the catch-up program also improves 3-dose coverage estimates by a small amount (from 47% to 51% for the 12–16-year-old cohort overall.) The corresponding adverse impact on dose 1 and 2 coverage when provider allocated dose numbering is used suggests that provider assessment of dose number is not likely to be significantly more accurate than that assigned to doses in date order by the Register. Some under-reporting of first and second doses during the catch-up program will have occurred but currently there is no validation data, akin to previous ACIR reporting assessment</w:t>
      </w:r>
      <w:r w:rsidR="00413B61" w:rsidRPr="003408A6">
        <w:rPr>
          <w:rFonts w:eastAsia="Calibri"/>
          <w:lang w:val="en-AU"/>
        </w:rPr>
        <w:t>,</w:t>
      </w:r>
      <w:hyperlink w:anchor="_ENREF_50" w:tooltip="Hull, 2003 #1304" w:history="1">
        <w:r w:rsidR="00F27F90" w:rsidRPr="00A44E3F">
          <w:rPr>
            <w:rFonts w:eastAsia="Calibri"/>
            <w:vertAlign w:val="superscript"/>
          </w:rPr>
          <w:fldChar w:fldCharType="begin"/>
        </w:r>
        <w:r w:rsidR="00F27F90" w:rsidRPr="00A44E3F">
          <w:rPr>
            <w:rFonts w:eastAsia="Calibri"/>
            <w:vertAlign w:val="superscript"/>
          </w:rPr>
          <w:instrText xml:space="preserve"> ADDIN EN.CITE &lt;EndNote&gt;&lt;Cite&gt;&lt;Author&gt;Hull&lt;/Author&gt;&lt;Year&gt;2003&lt;/Year&gt;&lt;RecNum&gt;1304&lt;/RecNum&gt;&lt;DisplayText&gt;&lt;style face="superscript"&gt;50&lt;/style&gt;&lt;/DisplayText&gt;&lt;record&gt;&lt;rec-number&gt;1304&lt;/rec-number&gt;&lt;foreign-keys&gt;&lt;key app="EN" db-id="dda0wweazfww9besetpx2r5pt0asp9ztvs95"&gt;1304&lt;/key&gt;&lt;/foreign-keys&gt;&lt;ref-type name="Journal Article"&gt;17&lt;/ref-type&gt;&lt;contributors&gt;&lt;authors&gt;&lt;author&gt;Hull, B.P.&lt;/author&gt;&lt;author&gt;Lawrence, G.L.&lt;/author&gt;&lt;author&gt;MacIntyre, C. R.&lt;/author&gt;&lt;author&gt;McIntyre, P.B.&lt;/author&gt;&lt;/authors&gt;&lt;/contributors&gt;&lt;titles&gt;&lt;title&gt;Estimating immunisation coverage: is the &amp;apos;third dose assumption&amp;apos; still valid?&lt;/title&gt;&lt;secondary-title&gt;Communicable Diseases Intelligence&lt;/secondary-title&gt;&lt;/titles&gt;&lt;periodical&gt;&lt;full-title&gt;Communicable Diseases Intelligence&lt;/full-title&gt;&lt;abbr-1&gt;Commun. Dis. Intell.&lt;/abbr-1&gt;&lt;abbr-2&gt;Commun Dis Intell&lt;/abbr-2&gt;&lt;/periodical&gt;&lt;pages&gt;357-61&lt;/pages&gt;&lt;volume&gt;27&lt;/volume&gt;&lt;number&gt;3&lt;/number&gt;&lt;dates&gt;&lt;year&gt;2003&lt;/year&gt;&lt;/dates&gt;&lt;urls&gt;&lt;/urls&gt;&lt;/record&gt;&lt;/Cite&gt;&lt;/EndNote&gt;</w:instrText>
        </w:r>
        <w:r w:rsidR="00F27F90" w:rsidRPr="00A44E3F">
          <w:rPr>
            <w:rFonts w:eastAsia="Calibri"/>
            <w:vertAlign w:val="superscript"/>
          </w:rPr>
          <w:fldChar w:fldCharType="separate"/>
        </w:r>
        <w:r w:rsidR="00F27F90" w:rsidRPr="00A44E3F">
          <w:rPr>
            <w:rFonts w:eastAsia="Calibri"/>
            <w:vertAlign w:val="superscript"/>
          </w:rPr>
          <w:t>50</w:t>
        </w:r>
        <w:r w:rsidR="00F27F90" w:rsidRPr="00A44E3F">
          <w:rPr>
            <w:rFonts w:eastAsia="Calibri"/>
            <w:vertAlign w:val="superscript"/>
          </w:rPr>
          <w:fldChar w:fldCharType="end"/>
        </w:r>
      </w:hyperlink>
      <w:r w:rsidRPr="003408A6">
        <w:rPr>
          <w:rFonts w:eastAsia="Calibri"/>
          <w:lang w:val="en-AU"/>
        </w:rPr>
        <w:t xml:space="preserve"> assessing the overall validity of provider reporting of third doses. </w:t>
      </w:r>
    </w:p>
    <w:p w:rsidR="00F650A4" w:rsidRPr="003408A6" w:rsidRDefault="00F650A4" w:rsidP="00BB3725">
      <w:pPr>
        <w:pStyle w:val="BodyText"/>
        <w:rPr>
          <w:rFonts w:eastAsia="Calibri"/>
          <w:lang w:val="en-AU"/>
        </w:rPr>
      </w:pPr>
      <w:r w:rsidRPr="003408A6">
        <w:rPr>
          <w:rFonts w:eastAsia="Calibri"/>
          <w:lang w:val="en-AU"/>
        </w:rPr>
        <w:t xml:space="preserve">Coverage measured at age 15 between 2007 and 2012 indicates that stable coverage is being achieved over time. Routinely measuring and comparing coverage as an indicator of program performance across jurisdictions at age 15 is problematic, however, given the lag time between routine vaccination and this age. However, at present there is no practical alternative, given the varying ages of administration across the country as indicated clearly in </w:t>
      </w:r>
      <w:r w:rsidRPr="003408A6">
        <w:rPr>
          <w:rFonts w:eastAsia="Calibri"/>
          <w:b/>
          <w:lang w:val="en-AU"/>
        </w:rPr>
        <w:t xml:space="preserve">Figure </w:t>
      </w:r>
      <w:r w:rsidR="001D113B">
        <w:rPr>
          <w:rFonts w:eastAsia="Calibri"/>
          <w:b/>
          <w:lang w:val="en-AU"/>
        </w:rPr>
        <w:t>3</w:t>
      </w:r>
      <w:r w:rsidRPr="003408A6">
        <w:rPr>
          <w:rFonts w:eastAsia="Calibri"/>
          <w:b/>
          <w:lang w:val="en-AU"/>
        </w:rPr>
        <w:t>.3</w:t>
      </w:r>
      <w:r w:rsidRPr="003408A6">
        <w:rPr>
          <w:rFonts w:eastAsia="Calibri"/>
          <w:lang w:val="en-AU"/>
        </w:rPr>
        <w:t xml:space="preserve">. The solution would be to compare coverage achieved in the school cohort vaccinated in each jurisdiction annually by using school enrolment data for the appropriate population in each state or territory. This could be done in the following calendar year or sooner if jurisdictions provide timely data. However, this is not possible at present due to an inability to obtain timely school enrolment information from education departments or schools for the purpose of implementing school vaccination programs and assessing vaccination coverage. </w:t>
      </w:r>
    </w:p>
    <w:p w:rsidR="00F650A4" w:rsidRPr="003408A6" w:rsidRDefault="00F650A4" w:rsidP="00BB3725">
      <w:pPr>
        <w:pStyle w:val="BodyText"/>
        <w:rPr>
          <w:rFonts w:eastAsia="Calibri"/>
          <w:lang w:val="en-AU"/>
        </w:rPr>
      </w:pPr>
      <w:r w:rsidRPr="003408A6">
        <w:rPr>
          <w:rFonts w:eastAsia="Calibri"/>
          <w:lang w:val="en-AU"/>
        </w:rPr>
        <w:t>In summary, as measured on the NHVPR, HPV vaccination coverage in Australia has reached a substantial level in a short period of time such that more than half of Australia’s young adult women (aged under 30 years) are currently fully vaccinated. The NHVPR is providing an effective way to improve coverage over and above jurisdictional systems, as evidenced by responses to overdue dose reports and vaccination history statements.</w:t>
      </w:r>
      <w:hyperlink w:anchor="_ENREF_51" w:tooltip="Brotherton, 2013 #1305" w:history="1">
        <w:r w:rsidR="00F27F90" w:rsidRPr="00A44E3F">
          <w:rPr>
            <w:rFonts w:eastAsia="Calibri"/>
            <w:vertAlign w:val="superscript"/>
          </w:rPr>
          <w:fldChar w:fldCharType="begin"/>
        </w:r>
        <w:r w:rsidR="00F27F90" w:rsidRPr="00A44E3F">
          <w:rPr>
            <w:rFonts w:eastAsia="Calibri"/>
            <w:vertAlign w:val="superscript"/>
          </w:rPr>
          <w:instrText xml:space="preserve"> ADDIN EN.CITE &lt;EndNote&gt;&lt;Cite&gt;&lt;Author&gt;Brotherton&lt;/Author&gt;&lt;Year&gt;2013&lt;/Year&gt;&lt;RecNum&gt;1305&lt;/RecNum&gt;&lt;DisplayText&gt;&lt;style face="superscript"&gt;51&lt;/style&gt;&lt;/DisplayText&gt;&lt;record&gt;&lt;rec-number&gt;1305&lt;/rec-number&gt;&lt;foreign-keys&gt;&lt;key app="EN" db-id="dda0wweazfww9besetpx2r5pt0asp9ztvs95"&gt;1305&lt;/key&gt;&lt;/foreign-keys&gt;&lt;ref-type name="Journal Article"&gt;17&lt;/ref-type&gt;&lt;contributors&gt;&lt;authors&gt;&lt;author&gt;Brotherton, J.M.L.&lt;/author&gt;&lt;author&gt;Batchelor, M.&lt;/author&gt;&lt;author&gt;Winch, K.&lt;/author&gt;&lt;/authors&gt;&lt;/contributors&gt;&lt;titles&gt;&lt;title&gt;Utility of reports and routine correspondence from the National HPV Vaccination Program Register&lt;/title&gt;&lt;secondary-title&gt;Medical Journal of Australia&lt;/secondary-title&gt;&lt;/titles&gt;&lt;periodical&gt;&lt;full-title&gt;Medical Journal of Australia&lt;/full-title&gt;&lt;abbr-1&gt;Med. J. Aust.&lt;/abbr-1&gt;&lt;abbr-2&gt;Med J Aust&lt;/abbr-2&gt;&lt;/periodical&gt;&lt;pages&gt;463&lt;/pages&gt;&lt;volume&gt;199&lt;/volume&gt;&lt;number&gt;7&lt;/number&gt;&lt;dates&gt;&lt;year&gt;2013&lt;/year&gt;&lt;/dates&gt;&lt;urls&gt;&lt;/urls&gt;&lt;/record&gt;&lt;/Cite&gt;&lt;/EndNote&gt;</w:instrText>
        </w:r>
        <w:r w:rsidR="00F27F90" w:rsidRPr="00A44E3F">
          <w:rPr>
            <w:rFonts w:eastAsia="Calibri"/>
            <w:vertAlign w:val="superscript"/>
          </w:rPr>
          <w:fldChar w:fldCharType="separate"/>
        </w:r>
        <w:r w:rsidR="00F27F90" w:rsidRPr="00A44E3F">
          <w:rPr>
            <w:rFonts w:eastAsia="Calibri"/>
            <w:vertAlign w:val="superscript"/>
          </w:rPr>
          <w:t>51</w:t>
        </w:r>
        <w:r w:rsidR="00F27F90" w:rsidRPr="00A44E3F">
          <w:rPr>
            <w:rFonts w:eastAsia="Calibri"/>
            <w:vertAlign w:val="superscript"/>
          </w:rPr>
          <w:fldChar w:fldCharType="end"/>
        </w:r>
      </w:hyperlink>
      <w:r w:rsidRPr="003408A6">
        <w:rPr>
          <w:rFonts w:eastAsia="Calibri"/>
          <w:lang w:val="en-AU"/>
        </w:rPr>
        <w:t xml:space="preserve"> Key challenges remaining include better measurement of Indigenous coverage, an ability to accurately monitor ongoing coverage by school populations rather than age, closing the gap between dose 1 and dose 3 coverage, ensuring the </w:t>
      </w:r>
      <w:r w:rsidR="00964BBF">
        <w:rPr>
          <w:rFonts w:eastAsia="Calibri"/>
          <w:lang w:val="en-AU"/>
        </w:rPr>
        <w:t xml:space="preserve">doses delivered in </w:t>
      </w:r>
      <w:r w:rsidR="00964BBF">
        <w:t>general practice</w:t>
      </w:r>
      <w:r w:rsidRPr="003408A6">
        <w:rPr>
          <w:rFonts w:eastAsia="Calibri"/>
          <w:lang w:val="en-AU"/>
        </w:rPr>
        <w:t xml:space="preserve"> are notified to the Register and lifting 3-dose coverage. </w:t>
      </w:r>
    </w:p>
    <w:p w:rsidR="00F650A4" w:rsidRPr="003408A6" w:rsidRDefault="00F650A4">
      <w:pPr>
        <w:rPr>
          <w:rFonts w:eastAsia="Calibri" w:cs="Arial"/>
          <w:szCs w:val="22"/>
          <w:lang w:eastAsia="en-US"/>
        </w:rPr>
      </w:pPr>
      <w:bookmarkStart w:id="153" w:name="_Aims"/>
      <w:bookmarkEnd w:id="72"/>
      <w:bookmarkEnd w:id="153"/>
      <w:r w:rsidRPr="003408A6">
        <w:rPr>
          <w:rFonts w:eastAsia="Calibri" w:cs="Arial"/>
          <w:szCs w:val="22"/>
          <w:lang w:eastAsia="en-US"/>
        </w:rPr>
        <w:br w:type="page"/>
      </w:r>
    </w:p>
    <w:p w:rsidR="00FC6A03" w:rsidRPr="003408A6" w:rsidRDefault="00FC6A03" w:rsidP="00FC6A03">
      <w:pPr>
        <w:pStyle w:val="Heading1"/>
      </w:pPr>
      <w:bookmarkStart w:id="154" w:name="_Toc396926129"/>
      <w:bookmarkStart w:id="155" w:name="_Toc374734268"/>
      <w:bookmarkStart w:id="156" w:name="_Toc388864021"/>
      <w:bookmarkStart w:id="157" w:name="_Toc305598733"/>
      <w:r w:rsidRPr="003408A6">
        <w:t>CHAPTER 4. Adverse events following immunisation</w:t>
      </w:r>
      <w:bookmarkEnd w:id="154"/>
    </w:p>
    <w:p w:rsidR="00FC6A03" w:rsidRPr="003408A6" w:rsidRDefault="00FC6A03" w:rsidP="00FC6A03">
      <w:r w:rsidRPr="003408A6">
        <w:br w:type="page"/>
      </w:r>
    </w:p>
    <w:p w:rsidR="00FC6A03" w:rsidRPr="003408A6" w:rsidRDefault="00FC6A03" w:rsidP="00FC6A03">
      <w:pPr>
        <w:pStyle w:val="Heading2"/>
      </w:pPr>
      <w:bookmarkStart w:id="158" w:name="_Toc396926130"/>
      <w:r w:rsidRPr="003408A6">
        <w:t>Introduction</w:t>
      </w:r>
      <w:bookmarkEnd w:id="158"/>
    </w:p>
    <w:p w:rsidR="00FC6A03" w:rsidRPr="003408A6" w:rsidRDefault="00FC6A03" w:rsidP="00BB3725">
      <w:pPr>
        <w:pStyle w:val="BodyText"/>
        <w:rPr>
          <w:lang w:val="en-AU"/>
        </w:rPr>
      </w:pPr>
      <w:r w:rsidRPr="003408A6">
        <w:rPr>
          <w:lang w:val="en-AU"/>
        </w:rPr>
        <w:t xml:space="preserve">An adverse event following immunisation (AEFI) is defined as “any untoward medical occurrence that follows immunisation and does not necessarily have a causal relationship with the usage of the vaccine”. The adverse event may be any unfavourable or unintended sign, abnormal laboratory </w:t>
      </w:r>
      <w:r w:rsidRPr="003408A6">
        <w:rPr>
          <w:rFonts w:eastAsia="Calibri"/>
          <w:lang w:val="en-AU"/>
        </w:rPr>
        <w:t>finding</w:t>
      </w:r>
      <w:r w:rsidRPr="003408A6">
        <w:rPr>
          <w:lang w:val="en-AU"/>
        </w:rPr>
        <w:t>, symptom or disease.</w:t>
      </w:r>
      <w:hyperlink w:anchor="_ENREF_52" w:tooltip="Council for International Organizations of Medical Sciences (CIOMS), 2012 #1331" w:history="1">
        <w:r w:rsidR="00F27F90" w:rsidRPr="003408A6">
          <w:rPr>
            <w:lang w:val="en-AU"/>
          </w:rPr>
          <w:fldChar w:fldCharType="begin"/>
        </w:r>
        <w:r w:rsidR="00F27F90" w:rsidRPr="003408A6">
          <w:rPr>
            <w:lang w:val="en-AU"/>
          </w:rPr>
          <w:instrText xml:space="preserve"> ADDIN EN.CITE &lt;EndNote&gt;&lt;Cite&gt;&lt;Author&gt;Council for International Organizations of Medical Sciences (CIOMS)&lt;/Author&gt;&lt;Year&gt;2012&lt;/Year&gt;&lt;RecNum&gt;1331&lt;/RecNum&gt;&lt;DisplayText&gt;&lt;style face="superscript"&gt;52&lt;/style&gt;&lt;/DisplayText&gt;&lt;record&gt;&lt;rec-number&gt;1331&lt;/rec-number&gt;&lt;foreign-keys&gt;&lt;key app="EN" db-id="dda0wweazfww9besetpx2r5pt0asp9ztvs95"&gt;1331&lt;/key&gt;&lt;/foreign-keys&gt;&lt;ref-type name="Report"&gt;27&lt;/ref-type&gt;&lt;contributors&gt;&lt;authors&gt;&lt;author&gt;Council for International Organizations of Medical Sciences (CIOMS),&lt;/author&gt;&lt;author&gt;World Health Organization,&lt;/author&gt;&lt;/authors&gt;&lt;/contributors&gt;&lt;titles&gt;&lt;title&gt;Definition and application of terms for vaccine pharmacovigilance: report of CIOMS/WHO Working Group on Vaccine Pharmacovigilance&lt;/title&gt;&lt;/titles&gt;&lt;dates&gt;&lt;year&gt;2012&lt;/year&gt;&lt;/dates&gt;&lt;pub-location&gt;Geneva&lt;/pub-location&gt;&lt;publisher&gt;CIOMS&lt;/publisher&gt;&lt;urls&gt;&lt;related-urls&gt;&lt;url&gt;http://whqlibdoc.who.int/publications/2012/9789290360834_eng.pdf&lt;/url&gt;&lt;/related-urls&gt;&lt;/urls&gt;&lt;access-date&gt;5 December 2013&lt;/access-date&gt;&lt;/record&gt;&lt;/Cite&gt;&lt;/EndNote&gt;</w:instrText>
        </w:r>
        <w:r w:rsidR="00F27F90" w:rsidRPr="003408A6">
          <w:rPr>
            <w:lang w:val="en-AU"/>
          </w:rPr>
          <w:fldChar w:fldCharType="separate"/>
        </w:r>
        <w:r w:rsidR="00F27F90" w:rsidRPr="003408A6">
          <w:rPr>
            <w:noProof/>
            <w:vertAlign w:val="superscript"/>
            <w:lang w:val="en-AU"/>
          </w:rPr>
          <w:t>52</w:t>
        </w:r>
        <w:r w:rsidR="00F27F90" w:rsidRPr="003408A6">
          <w:rPr>
            <w:lang w:val="en-AU"/>
          </w:rPr>
          <w:fldChar w:fldCharType="end"/>
        </w:r>
      </w:hyperlink>
      <w:r w:rsidRPr="003408A6">
        <w:rPr>
          <w:lang w:val="en-AU"/>
        </w:rPr>
        <w:t xml:space="preserve"> Such an event may be caused by the vaccine(s) or may occur by chance regardless of vaccination. </w:t>
      </w:r>
    </w:p>
    <w:p w:rsidR="00FC6A03" w:rsidRPr="003408A6" w:rsidRDefault="00FC6A03" w:rsidP="00BB3725">
      <w:pPr>
        <w:pStyle w:val="BodyText"/>
        <w:rPr>
          <w:lang w:val="en-AU"/>
        </w:rPr>
      </w:pPr>
      <w:r w:rsidRPr="003408A6">
        <w:rPr>
          <w:lang w:val="en-AU"/>
        </w:rPr>
        <w:t>Globally, HPV vaccination programs have been implemented in over 40 countries.</w:t>
      </w:r>
      <w:hyperlink w:anchor="_ENREF_53" w:tooltip="Markowitz, 2012 #1352" w:history="1">
        <w:r w:rsidR="00F27F90" w:rsidRPr="003408A6">
          <w:rPr>
            <w:lang w:val="en-AU"/>
          </w:rPr>
          <w:fldChar w:fldCharType="begin"/>
        </w:r>
        <w:r w:rsidR="00F27F90">
          <w:rPr>
            <w:lang w:val="en-AU"/>
          </w:rPr>
          <w:instrText xml:space="preserve"> ADDIN EN.CITE &lt;EndNote&gt;&lt;Cite&gt;&lt;Author&gt;Markowitz&lt;/Author&gt;&lt;Year&gt;2012&lt;/Year&gt;&lt;RecNum&gt;1352&lt;/RecNum&gt;&lt;DisplayText&gt;&lt;style face="superscript"&gt;53&lt;/style&gt;&lt;/DisplayText&gt;&lt;record&gt;&lt;rec-number&gt;1352&lt;/rec-number&gt;&lt;foreign-keys&gt;&lt;key app="EN" db-id="dda0wweazfww9besetpx2r5pt0asp9ztvs95"&gt;1352&lt;/key&gt;&lt;/foreign-keys&gt;&lt;ref-type name="Journal Article"&gt;17&lt;/ref-type&gt;&lt;contributors&gt;&lt;authors&gt;&lt;author&gt;Markowitz, L.E.&lt;/author&gt;&lt;author&gt;Tsu, V.&lt;/author&gt;&lt;author&gt;Deeks, S.L.&lt;/author&gt;&lt;author&gt;Cubie, H.&lt;/author&gt;&lt;author&gt;Wang, S.A.&lt;/author&gt;&lt;author&gt;Vicari, A.S.&lt;/author&gt;&lt;/authors&gt;&lt;/contributors&gt;&lt;titles&gt;&lt;title&gt;Human papillomavirus vaccine introduction—the first five years&lt;/title&gt;&lt;secondary-title&gt;Vaccine&lt;/secondary-title&gt;&lt;/titles&gt;&lt;periodical&gt;&lt;full-title&gt;Vaccine&lt;/full-title&gt;&lt;abbr-1&gt;Vaccine&lt;/abbr-1&gt;&lt;abbr-2&gt;Vaccine&lt;/abbr-2&gt;&lt;/periodical&gt;&lt;pages&gt;F139-48&lt;/pages&gt;&lt;volume&gt;30 Suppl 5&lt;/volume&gt;&lt;dates&gt;&lt;year&gt;2012&lt;/year&gt;&lt;/dates&gt;&lt;urls&gt;&lt;/urls&gt;&lt;/record&gt;&lt;/Cite&gt;&lt;/EndNote&gt;</w:instrText>
        </w:r>
        <w:r w:rsidR="00F27F90" w:rsidRPr="003408A6">
          <w:rPr>
            <w:lang w:val="en-AU"/>
          </w:rPr>
          <w:fldChar w:fldCharType="separate"/>
        </w:r>
        <w:r w:rsidR="00F27F90" w:rsidRPr="003408A6">
          <w:rPr>
            <w:noProof/>
            <w:vertAlign w:val="superscript"/>
            <w:lang w:val="en-AU"/>
          </w:rPr>
          <w:t>53</w:t>
        </w:r>
        <w:r w:rsidR="00F27F90" w:rsidRPr="003408A6">
          <w:rPr>
            <w:lang w:val="en-AU"/>
          </w:rPr>
          <w:fldChar w:fldCharType="end"/>
        </w:r>
      </w:hyperlink>
      <w:r w:rsidRPr="003408A6">
        <w:rPr>
          <w:lang w:val="en-AU"/>
        </w:rPr>
        <w:t xml:space="preserve"> Australia was one of the first countries to license the quadrivalent HPV vaccine Gardasil</w:t>
      </w:r>
      <w:r w:rsidRPr="00A44E3F">
        <w:rPr>
          <w:vertAlign w:val="superscript"/>
          <w:lang w:val="en-AU"/>
        </w:rPr>
        <w:t>®</w:t>
      </w:r>
      <w:r w:rsidRPr="003408A6">
        <w:rPr>
          <w:lang w:val="en-AU"/>
        </w:rPr>
        <w:t xml:space="preserve"> (CSL Biotherapies/Merck &amp; Co. Inc.) in 2006.</w:t>
      </w:r>
      <w:hyperlink w:anchor="_ENREF_20" w:tooltip="Merck Sharp &amp; Dohme Pty Limited, 2011 #1204" w:history="1">
        <w:r w:rsidR="00F27F90" w:rsidRPr="003408A6">
          <w:rPr>
            <w:lang w:val="en-AU"/>
          </w:rPr>
          <w:fldChar w:fldCharType="begin"/>
        </w:r>
        <w:r w:rsidR="00F27F90" w:rsidRPr="003408A6">
          <w:rPr>
            <w:lang w:val="en-AU"/>
          </w:rPr>
          <w:instrText xml:space="preserve"> ADDIN EN.CITE &lt;EndNote&gt;&lt;Cite&gt;&lt;Author&gt;Merck Sharp &amp;amp; Dohme Pty Limited&lt;/Author&gt;&lt;Year&gt;2011&lt;/Year&gt;&lt;RecNum&gt;1204&lt;/RecNum&gt;&lt;DisplayText&gt;&lt;style face="superscript"&gt;20&lt;/style&gt;&lt;/DisplayText&gt;&lt;record&gt;&lt;rec-number&gt;1204&lt;/rec-number&gt;&lt;foreign-keys&gt;&lt;key app="EN" db-id="dda0wweazfww9besetpx2r5pt0asp9ztvs95"&gt;1204&lt;/key&gt;&lt;/foreign-keys&gt;&lt;ref-type name="Pamphlet"&gt;24&lt;/ref-type&gt;&lt;contributors&gt;&lt;authors&gt;&lt;author&gt;Merck Sharp &amp;amp; Dohme Pty Limited,&lt;/author&gt;&lt;/authors&gt;&lt;/contributors&gt;&lt;titles&gt;&lt;title&gt;Gardasil product information (Quadrivalent human papillomavirus (types 6, 11, 16, 18) recombinant vaccine)&lt;/title&gt;&lt;/titles&gt;&lt;dates&gt;&lt;year&gt;2011&lt;/year&gt;&lt;/dates&gt;&lt;urls&gt;&lt;/urls&gt;&lt;/record&gt;&lt;/Cite&gt;&lt;/EndNote&gt;</w:instrText>
        </w:r>
        <w:r w:rsidR="00F27F90" w:rsidRPr="003408A6">
          <w:rPr>
            <w:lang w:val="en-AU"/>
          </w:rPr>
          <w:fldChar w:fldCharType="separate"/>
        </w:r>
        <w:r w:rsidR="00F27F90" w:rsidRPr="003408A6">
          <w:rPr>
            <w:noProof/>
            <w:vertAlign w:val="superscript"/>
            <w:lang w:val="en-AU"/>
          </w:rPr>
          <w:t>20</w:t>
        </w:r>
        <w:r w:rsidR="00F27F90" w:rsidRPr="003408A6">
          <w:rPr>
            <w:lang w:val="en-AU"/>
          </w:rPr>
          <w:fldChar w:fldCharType="end"/>
        </w:r>
      </w:hyperlink>
      <w:r w:rsidRPr="003408A6">
        <w:rPr>
          <w:lang w:val="en-AU"/>
        </w:rPr>
        <w:t xml:space="preserve"> </w:t>
      </w:r>
      <w:r w:rsidR="0069548D">
        <w:rPr>
          <w:lang w:val="en-AU"/>
        </w:rPr>
        <w:t>After introduction of the National HPV Vaccination Program i</w:t>
      </w:r>
      <w:r w:rsidRPr="003408A6">
        <w:rPr>
          <w:lang w:val="en-AU"/>
        </w:rPr>
        <w:t>n 2007, an Australian government funded program of universal vaccination of adolescent females and a catch-up program for young adult females was implemented, first through a school-based program and then in primary care for women up to the age of 26 years.</w:t>
      </w:r>
      <w:hyperlink w:anchor="_ENREF_22" w:tooltip="Abbott, 2006 #1202" w:history="1">
        <w:r w:rsidR="00F27F90">
          <w:rPr>
            <w:lang w:val="en-AU"/>
          </w:rPr>
          <w:fldChar w:fldCharType="begin"/>
        </w:r>
        <w:r w:rsidR="00F27F90">
          <w:rPr>
            <w:lang w:val="en-AU"/>
          </w:rPr>
          <w:instrText xml:space="preserve"> ADDIN EN.CITE &lt;EndNote&gt;&lt;Cite&gt;&lt;Author&gt;Abbott&lt;/Author&gt;&lt;Year&gt;2006&lt;/Year&gt;&lt;RecNum&gt;1202&lt;/RecNum&gt;&lt;DisplayText&gt;&lt;style face="superscript"&gt;22&lt;/style&gt;&lt;/DisplayText&gt;&lt;record&gt;&lt;rec-number&gt;1202&lt;/rec-number&gt;&lt;foreign-keys&gt;&lt;key app="EN" db-id="dda0wweazfww9besetpx2r5pt0asp9ztvs95"&gt;1202&lt;/key&gt;&lt;/foreign-keys&gt;&lt;ref-type name="Web Page"&gt;12&lt;/ref-type&gt;&lt;contributors&gt;&lt;authors&gt;&lt;author&gt;Abbott, T&lt;/author&gt;&lt;/authors&gt;&lt;/contributors&gt;&lt;titles&gt;&lt;title&gt;Media release: Government funds Gardasil&lt;/title&gt;&lt;/titles&gt;&lt;volume&gt;2012&lt;/volume&gt;&lt;number&gt;9 July 2012&lt;/number&gt;&lt;dates&gt;&lt;year&gt;2006&lt;/year&gt;&lt;/dates&gt;&lt;publisher&gt;Australian Government Department of Health and Ageing&lt;/publisher&gt;&lt;urls&gt;&lt;related-urls&gt;&lt;url&gt;http://www.health.gov.au/internet/ministers/publishing.nsf/Content/487014123B6EBBA1CA257234008126EC/$File/abb155.pdf&lt;/url&gt;&lt;/related-urls&gt;&lt;/urls&gt;&lt;/record&gt;&lt;/Cite&gt;&lt;/EndNote&gt;</w:instrText>
        </w:r>
        <w:r w:rsidR="00F27F90">
          <w:rPr>
            <w:lang w:val="en-AU"/>
          </w:rPr>
          <w:fldChar w:fldCharType="separate"/>
        </w:r>
        <w:r w:rsidR="00F27F90" w:rsidRPr="00F07DC6">
          <w:rPr>
            <w:noProof/>
            <w:vertAlign w:val="superscript"/>
            <w:lang w:val="en-AU"/>
          </w:rPr>
          <w:t>22</w:t>
        </w:r>
        <w:r w:rsidR="00F27F90">
          <w:rPr>
            <w:lang w:val="en-AU"/>
          </w:rPr>
          <w:fldChar w:fldCharType="end"/>
        </w:r>
      </w:hyperlink>
      <w:r w:rsidRPr="003408A6">
        <w:rPr>
          <w:lang w:val="en-AU"/>
        </w:rPr>
        <w:t xml:space="preserve"> As expected with any new vaccine, a substantial number of AEFI</w:t>
      </w:r>
      <w:r w:rsidR="0069548D">
        <w:rPr>
          <w:lang w:val="en-AU"/>
        </w:rPr>
        <w:t>s</w:t>
      </w:r>
      <w:r w:rsidRPr="003408A6">
        <w:rPr>
          <w:lang w:val="en-AU"/>
        </w:rPr>
        <w:t xml:space="preserve"> </w:t>
      </w:r>
      <w:r w:rsidR="0069548D">
        <w:rPr>
          <w:lang w:val="en-AU"/>
        </w:rPr>
        <w:t>were</w:t>
      </w:r>
      <w:r w:rsidRPr="003408A6">
        <w:rPr>
          <w:lang w:val="en-AU"/>
        </w:rPr>
        <w:t xml:space="preserve"> reported nationally to the TGA who coordinate and evaluate the safety of drugs and vaccines. Depending on the reporter and location, AEFI</w:t>
      </w:r>
      <w:r w:rsidR="0069548D">
        <w:rPr>
          <w:lang w:val="en-AU"/>
        </w:rPr>
        <w:t>s</w:t>
      </w:r>
      <w:r w:rsidRPr="003408A6">
        <w:rPr>
          <w:lang w:val="en-AU"/>
        </w:rPr>
        <w:t xml:space="preserve"> are notified either directly to the TGA or are notified first to state/territory health departments and then sent on to the TGA.</w:t>
      </w:r>
      <w:hyperlink w:anchor="_ENREF_54" w:tooltip="Mahajan, 2010 #1309" w:history="1">
        <w:r w:rsidR="00F27F90" w:rsidRPr="003408A6">
          <w:rPr>
            <w:lang w:val="en-AU"/>
          </w:rPr>
          <w:fldChar w:fldCharType="begin"/>
        </w:r>
        <w:r w:rsidR="00F27F90" w:rsidRPr="003408A6">
          <w:rPr>
            <w:lang w:val="en-AU"/>
          </w:rPr>
          <w:instrText xml:space="preserve"> ADDIN EN.CITE &lt;EndNote&gt;&lt;Cite&gt;&lt;Author&gt;Mahajan&lt;/Author&gt;&lt;Year&gt;2010&lt;/Year&gt;&lt;RecNum&gt;1309&lt;/RecNum&gt;&lt;DisplayText&gt;&lt;style face="superscript"&gt;54&lt;/style&gt;&lt;/DisplayText&gt;&lt;record&gt;&lt;rec-number&gt;1309&lt;/rec-number&gt;&lt;foreign-keys&gt;&lt;key app="EN" db-id="dda0wweazfww9besetpx2r5pt0asp9ztvs95"&gt;1309&lt;/key&gt;&lt;/foreign-keys&gt;&lt;ref-type name="Journal Article"&gt;17&lt;/ref-type&gt;&lt;contributors&gt;&lt;authors&gt;&lt;author&gt;Mahajan, D. &lt;/author&gt;&lt;author&gt;Roomiani, I.&lt;/author&gt;&lt;author&gt;Gold, M.S.&lt;/author&gt;&lt;author&gt;et, a.l. &lt;/author&gt;&lt;/authors&gt;&lt;/contributors&gt;&lt;titles&gt;&lt;title&gt;Annual report: surveillance of adverse events following immunisation in Australia, 2009&lt;/title&gt;&lt;secondary-title&gt;Communicable Diseases Intelligence&lt;/secondary-title&gt;&lt;/titles&gt;&lt;periodical&gt;&lt;full-title&gt;Communicable Diseases Intelligence&lt;/full-title&gt;&lt;abbr-1&gt;Commun. Dis. Intell.&lt;/abbr-1&gt;&lt;abbr-2&gt;Commun Dis Intell&lt;/abbr-2&gt;&lt;/periodical&gt;&lt;pages&gt;259-76&lt;/pages&gt;&lt;volume&gt;34&lt;/volume&gt;&lt;number&gt;3&lt;/number&gt;&lt;dates&gt;&lt;year&gt;2010&lt;/year&gt;&lt;/dates&gt;&lt;urls&gt;&lt;/urls&gt;&lt;/record&gt;&lt;/Cite&gt;&lt;/EndNote&gt;</w:instrText>
        </w:r>
        <w:r w:rsidR="00F27F90" w:rsidRPr="003408A6">
          <w:rPr>
            <w:lang w:val="en-AU"/>
          </w:rPr>
          <w:fldChar w:fldCharType="separate"/>
        </w:r>
        <w:r w:rsidR="00F27F90" w:rsidRPr="003408A6">
          <w:rPr>
            <w:noProof/>
            <w:vertAlign w:val="superscript"/>
            <w:lang w:val="en-AU"/>
          </w:rPr>
          <w:t>54</w:t>
        </w:r>
        <w:r w:rsidR="00F27F90" w:rsidRPr="003408A6">
          <w:rPr>
            <w:lang w:val="en-AU"/>
          </w:rPr>
          <w:fldChar w:fldCharType="end"/>
        </w:r>
      </w:hyperlink>
    </w:p>
    <w:p w:rsidR="00FC6A03" w:rsidRPr="003408A6" w:rsidRDefault="00FC6A03" w:rsidP="00BB3725">
      <w:pPr>
        <w:pStyle w:val="BodyText"/>
        <w:rPr>
          <w:lang w:val="en-AU"/>
        </w:rPr>
      </w:pPr>
      <w:r w:rsidRPr="003408A6">
        <w:rPr>
          <w:lang w:val="en-AU"/>
        </w:rPr>
        <w:t>The safety profile of HPV vaccination reported from clinical trials was acceptable, with serious AEFIs reported in fewer than 0.1% of vaccine recipients.</w:t>
      </w:r>
      <w:hyperlink w:anchor="_ENREF_55" w:tooltip="Joura, 2007 #594" w:history="1">
        <w:r w:rsidR="00F27F90" w:rsidRPr="003408A6">
          <w:rPr>
            <w:lang w:val="en-AU"/>
          </w:rPr>
          <w:fldChar w:fldCharType="begin">
            <w:fldData xml:space="preserve">PEVuZE5vdGU+PENpdGU+PEF1dGhvcj5Kb3VyYTwvQXV0aG9yPjxZZWFyPjIwMDc8L1llYXI+PFJl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</w:fldData>
          </w:fldChar>
        </w:r>
        <w:r w:rsidR="00F27F90" w:rsidRPr="003408A6">
          <w:rPr>
            <w:lang w:val="en-AU"/>
          </w:rPr>
          <w:instrText xml:space="preserve"> ADDIN EN.CITE </w:instrText>
        </w:r>
        <w:r w:rsidR="00F27F90" w:rsidRPr="003408A6">
          <w:rPr>
            <w:lang w:val="en-AU"/>
          </w:rPr>
          <w:fldChar w:fldCharType="begin">
            <w:fldData xml:space="preserve">PEVuZE5vdGU+PENpdGU+PEF1dGhvcj5Kb3VyYTwvQXV0aG9yPjxZZWFyPjIwMDc8L1llYXI+PFJl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55</w:t>
        </w:r>
        <w:r w:rsidR="00F27F90" w:rsidRPr="003408A6">
          <w:rPr>
            <w:lang w:val="en-AU"/>
          </w:rPr>
          <w:fldChar w:fldCharType="end"/>
        </w:r>
      </w:hyperlink>
      <w:r w:rsidRPr="003408A6">
        <w:rPr>
          <w:lang w:val="en-AU"/>
        </w:rPr>
        <w:t xml:space="preserve"> Passive surveillance has been the only formal mechanism used for eliciting AEFI reports for the quadrivalent HPV vaccine in Australia. </w:t>
      </w:r>
      <w:r w:rsidRPr="003408A6">
        <w:rPr>
          <w:rFonts w:eastAsia="Calibri"/>
          <w:lang w:val="en-AU"/>
        </w:rPr>
        <w:t>There</w:t>
      </w:r>
      <w:r w:rsidRPr="003408A6">
        <w:rPr>
          <w:lang w:val="en-AU"/>
        </w:rPr>
        <w:t xml:space="preserve"> was no active or prospective monitoring system in place during the female HPV program that could identify persons experiencing AEFI in a systematic or population-based way. However, case series of certain AEFIs, including anaphylaxis, multiple sclerosis, mass psychogenic illness and pancreatitis, were reported and published by various clinical groups in Australia.</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dCI+NTYtNjE8L3N0eWxlPjwvRGlzcGxheVRleHQ+PHJlY29yZD48cmVjLW51bWJlcj4xNjwvcmVj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cj5CdXR0ZXJ5PC9BdXRob3I+PFllYXI+MjAwODwvWWVhcj48UmVjTnVtPjI1OTwvUmVjTnVtPjxy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</w:fldData>
          </w:fldChar>
        </w:r>
        <w:r w:rsidR="00F27F90">
          <w:rPr>
            <w:lang w:val="en-AU"/>
          </w:rPr>
          <w:instrText xml:space="preserve"> ADDIN EN.CITE </w:instrText>
        </w:r>
        <w:r w:rsidR="00F27F90">
          <w:rPr>
            <w:lang w:val="en-AU"/>
          </w:rPr>
          <w:fldChar w:fldCharType="begin">
            <w:fldData xml:space="preserve">PEVuZE5vdGU+PENpdGU+PEF1dGhvcj5Ccm90aGVydG9uPC9BdXRob3I+PFllYXI+MjAwODwvWWVh
cj48UmVjTnVtPjE2PC9SZWNOdW0+PERpc3BsYXlUZXh0PjxzdHlsZSBmYWNlPSJzdXBlcnNjcmlw
dCI+NTYtNjE8L3N0eWxlPjwvRGlzcGxheVRleHQ+PHJlY29yZD48cmVjLW51bWJlcj4xNjwvcmVj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cj5CdXR0ZXJ5PC9BdXRob3I+PFllYXI+MjAwODwvWWVhcj48UmVjTnVtPjI1OTwvUmVjTnVtPjxy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56-61</w:t>
        </w:r>
        <w:r w:rsidR="00F27F90" w:rsidRPr="003408A6">
          <w:rPr>
            <w:lang w:val="en-AU"/>
          </w:rPr>
          <w:fldChar w:fldCharType="end"/>
        </w:r>
      </w:hyperlink>
      <w:r w:rsidRPr="003408A6">
        <w:rPr>
          <w:lang w:val="en-AU"/>
        </w:rPr>
        <w:t xml:space="preserve"> The reporting of these adverse events and the responses to them are discussed in more detail below. </w:t>
      </w:r>
    </w:p>
    <w:p w:rsidR="00FC6A03" w:rsidRPr="003408A6" w:rsidRDefault="00FC6A03" w:rsidP="00BB3725">
      <w:pPr>
        <w:pStyle w:val="BodyText"/>
        <w:rPr>
          <w:lang w:val="en-AU"/>
        </w:rPr>
      </w:pPr>
      <w:r w:rsidRPr="003408A6">
        <w:rPr>
          <w:lang w:val="en-AU"/>
        </w:rPr>
        <w:t xml:space="preserve">To support the extension of the National HPV Vaccination Program to include males, the </w:t>
      </w:r>
      <w:r w:rsidR="008E6E49">
        <w:rPr>
          <w:lang w:val="en-AU"/>
        </w:rPr>
        <w:t>Australian Government Department of Health</w:t>
      </w:r>
      <w:r w:rsidRPr="003408A6">
        <w:rPr>
          <w:lang w:val="en-AU"/>
        </w:rPr>
        <w:t xml:space="preserve">, in consultation with jurisdictions, implemented a range of enhanced surveillance activities prior to the rollout of the male program, described in more detail below. The TGA has closely monitored the adverse events reported following HPV vaccination since the program was extended to males in February 2013, particularly noting reports from the enhanced surveillance using rapid reporting from school-based programs. </w:t>
      </w:r>
    </w:p>
    <w:p w:rsidR="00FC6A03" w:rsidRPr="003408A6" w:rsidRDefault="00FC6A03" w:rsidP="00FC6A03">
      <w:pPr>
        <w:pStyle w:val="Heading2"/>
      </w:pPr>
      <w:bookmarkStart w:id="159" w:name="_Toc396926131"/>
      <w:r w:rsidRPr="003408A6">
        <w:t>Aims</w:t>
      </w:r>
      <w:bookmarkEnd w:id="159"/>
      <w:r w:rsidRPr="003408A6">
        <w:t xml:space="preserve"> </w:t>
      </w:r>
    </w:p>
    <w:p w:rsidR="00FC6A03" w:rsidRPr="003408A6" w:rsidRDefault="00FC6A03" w:rsidP="009D694C">
      <w:pPr>
        <w:pStyle w:val="Bodytextlettered"/>
      </w:pPr>
      <w:r w:rsidRPr="003408A6">
        <w:t>To summarise the key events in HPV vaccine safety in Australia from 1 April 2007 to 30 June 2013</w:t>
      </w:r>
    </w:p>
    <w:p w:rsidR="00FC6A03" w:rsidRPr="003408A6" w:rsidRDefault="00FC6A03" w:rsidP="009D694C">
      <w:pPr>
        <w:pStyle w:val="Bodytextlettered"/>
      </w:pPr>
      <w:r w:rsidRPr="003408A6">
        <w:t>To describe Australian passive surveillance AEFI data reported to the TGA following the administration of HPV vaccine to females and more recently to males including:</w:t>
      </w:r>
    </w:p>
    <w:p w:rsidR="00FC6A03" w:rsidRPr="003408A6" w:rsidRDefault="00FC6A03" w:rsidP="009D694C">
      <w:pPr>
        <w:pStyle w:val="Bodytextbullets"/>
        <w:rPr>
          <w:lang w:val="en-AU"/>
        </w:rPr>
      </w:pPr>
      <w:r w:rsidRPr="003408A6">
        <w:rPr>
          <w:lang w:val="en-AU"/>
        </w:rPr>
        <w:t>Australian passive surveillance AEFI data reported to the TGA for HPV vaccine administered to females for the period 1 April 2007 to 30 June 2013, including reporting rates for the period 1 April 2007 to 31 December 2011, for which register-based vaccine coverage data are available for use as a denominator.</w:t>
      </w:r>
    </w:p>
    <w:p w:rsidR="00FC6A03" w:rsidRPr="003408A6" w:rsidRDefault="00FC6A03" w:rsidP="009D694C">
      <w:pPr>
        <w:pStyle w:val="Bodytextbullets"/>
        <w:rPr>
          <w:lang w:val="en-AU"/>
        </w:rPr>
      </w:pPr>
      <w:r w:rsidRPr="003408A6">
        <w:rPr>
          <w:lang w:val="en-AU"/>
        </w:rPr>
        <w:t>Australian passive surveillance data for AEFI reported to the TGA for HPV vaccine administered to males for the period 1 February 2013 to 30 June 2013.</w:t>
      </w:r>
    </w:p>
    <w:p w:rsidR="00FC6A03" w:rsidRPr="003408A6" w:rsidRDefault="00FC6A03" w:rsidP="00FC6A03">
      <w:pPr>
        <w:pStyle w:val="Heading2"/>
      </w:pPr>
      <w:bookmarkStart w:id="160" w:name="_Toc396926132"/>
      <w:r w:rsidRPr="003408A6">
        <w:t>Methods</w:t>
      </w:r>
      <w:bookmarkEnd w:id="160"/>
    </w:p>
    <w:p w:rsidR="00FC6A03" w:rsidRPr="003408A6" w:rsidRDefault="00FC6A03" w:rsidP="00BB3725">
      <w:pPr>
        <w:pStyle w:val="BodyText"/>
        <w:rPr>
          <w:lang w:val="en-AU"/>
        </w:rPr>
      </w:pPr>
      <w:r w:rsidRPr="003408A6">
        <w:rPr>
          <w:lang w:val="en-AU"/>
        </w:rPr>
        <w:t xml:space="preserve"> A literature review was undertaken to assess all available published safety data on the HPV vaccine (Gardasil</w:t>
      </w:r>
      <w:r w:rsidRPr="00A44E3F">
        <w:rPr>
          <w:vertAlign w:val="superscript"/>
          <w:lang w:val="en-AU"/>
        </w:rPr>
        <w:t>®</w:t>
      </w:r>
      <w:r w:rsidRPr="003408A6">
        <w:rPr>
          <w:lang w:val="en-AU"/>
        </w:rPr>
        <w:t xml:space="preserve">), including randomised clinical trials, meta-analyses and data from post-licensure studies. Medline was </w:t>
      </w:r>
      <w:r w:rsidRPr="003408A6">
        <w:rPr>
          <w:rFonts w:eastAsia="Calibri"/>
          <w:lang w:val="en-AU"/>
        </w:rPr>
        <w:t>searched</w:t>
      </w:r>
      <w:r w:rsidRPr="003408A6">
        <w:rPr>
          <w:lang w:val="en-AU"/>
        </w:rPr>
        <w:t xml:space="preserve"> using the keyword terms </w:t>
      </w:r>
      <w:r w:rsidR="0069548D">
        <w:rPr>
          <w:lang w:val="en-AU"/>
        </w:rPr>
        <w:t>‘</w:t>
      </w:r>
      <w:r w:rsidRPr="003408A6">
        <w:rPr>
          <w:lang w:val="en-AU"/>
        </w:rPr>
        <w:t>adverse event</w:t>
      </w:r>
      <w:r w:rsidR="0069548D">
        <w:rPr>
          <w:lang w:val="en-AU"/>
        </w:rPr>
        <w:t>’</w:t>
      </w:r>
      <w:r w:rsidRPr="003408A6">
        <w:rPr>
          <w:lang w:val="en-AU"/>
        </w:rPr>
        <w:t xml:space="preserve"> or </w:t>
      </w:r>
      <w:r w:rsidR="0069548D">
        <w:rPr>
          <w:lang w:val="en-AU"/>
        </w:rPr>
        <w:t>‘</w:t>
      </w:r>
      <w:r w:rsidRPr="003408A6">
        <w:rPr>
          <w:lang w:val="en-AU"/>
        </w:rPr>
        <w:t>adverse effect</w:t>
      </w:r>
      <w:r w:rsidR="0069548D">
        <w:rPr>
          <w:lang w:val="en-AU"/>
        </w:rPr>
        <w:t>’</w:t>
      </w:r>
      <w:r w:rsidRPr="003408A6">
        <w:rPr>
          <w:lang w:val="en-AU"/>
        </w:rPr>
        <w:t xml:space="preserve">, combined with </w:t>
      </w:r>
      <w:r w:rsidR="0069548D">
        <w:rPr>
          <w:lang w:val="en-AU"/>
        </w:rPr>
        <w:t>‘</w:t>
      </w:r>
      <w:r w:rsidRPr="003408A6">
        <w:rPr>
          <w:lang w:val="en-AU"/>
        </w:rPr>
        <w:t>HPV vaccine</w:t>
      </w:r>
      <w:r w:rsidR="0069548D">
        <w:rPr>
          <w:lang w:val="en-AU"/>
        </w:rPr>
        <w:t>’</w:t>
      </w:r>
      <w:r w:rsidRPr="003408A6">
        <w:rPr>
          <w:lang w:val="en-AU"/>
        </w:rPr>
        <w:t xml:space="preserve"> or </w:t>
      </w:r>
      <w:r w:rsidR="0069548D">
        <w:rPr>
          <w:lang w:val="en-AU"/>
        </w:rPr>
        <w:t>‘</w:t>
      </w:r>
      <w:r w:rsidR="009629BC" w:rsidRPr="003408A6">
        <w:rPr>
          <w:lang w:val="en-AU"/>
        </w:rPr>
        <w:t>q</w:t>
      </w:r>
      <w:r w:rsidRPr="003408A6">
        <w:rPr>
          <w:lang w:val="en-AU"/>
        </w:rPr>
        <w:t>uadrivalent HPV vaccine</w:t>
      </w:r>
      <w:r w:rsidR="0069548D">
        <w:rPr>
          <w:lang w:val="en-AU"/>
        </w:rPr>
        <w:t>’</w:t>
      </w:r>
      <w:r w:rsidRPr="003408A6">
        <w:rPr>
          <w:lang w:val="en-AU"/>
        </w:rPr>
        <w:t xml:space="preserve">, and with </w:t>
      </w:r>
      <w:r w:rsidR="0069548D">
        <w:rPr>
          <w:lang w:val="en-AU"/>
        </w:rPr>
        <w:t>‘</w:t>
      </w:r>
      <w:r w:rsidRPr="003408A6">
        <w:rPr>
          <w:lang w:val="en-AU"/>
        </w:rPr>
        <w:t>surveillance or post marketing studies</w:t>
      </w:r>
      <w:r w:rsidR="0069548D">
        <w:rPr>
          <w:lang w:val="en-AU"/>
        </w:rPr>
        <w:t>’</w:t>
      </w:r>
      <w:r w:rsidRPr="003408A6">
        <w:rPr>
          <w:lang w:val="en-AU"/>
        </w:rPr>
        <w:t>. The search identified 1</w:t>
      </w:r>
      <w:r w:rsidR="0069548D">
        <w:rPr>
          <w:lang w:val="en-AU"/>
        </w:rPr>
        <w:t>,</w:t>
      </w:r>
      <w:r w:rsidRPr="003408A6">
        <w:rPr>
          <w:lang w:val="en-AU"/>
        </w:rPr>
        <w:t xml:space="preserve">697 potential references (after removal of duplicates), of which 75 </w:t>
      </w:r>
      <w:r w:rsidR="0069548D" w:rsidRPr="003408A6">
        <w:rPr>
          <w:lang w:val="en-AU"/>
        </w:rPr>
        <w:t>were</w:t>
      </w:r>
      <w:r w:rsidR="0069548D">
        <w:rPr>
          <w:lang w:val="en-AU"/>
        </w:rPr>
        <w:t xml:space="preserve"> selected as</w:t>
      </w:r>
      <w:r w:rsidR="0069548D" w:rsidRPr="003408A6">
        <w:rPr>
          <w:lang w:val="en-AU"/>
        </w:rPr>
        <w:t xml:space="preserve"> relevant </w:t>
      </w:r>
      <w:r w:rsidR="0069548D">
        <w:rPr>
          <w:lang w:val="en-AU"/>
        </w:rPr>
        <w:t>based on</w:t>
      </w:r>
      <w:r w:rsidRPr="003408A6">
        <w:rPr>
          <w:lang w:val="en-AU"/>
        </w:rPr>
        <w:t xml:space="preserve"> the</w:t>
      </w:r>
      <w:r w:rsidR="0069548D">
        <w:rPr>
          <w:lang w:val="en-AU"/>
        </w:rPr>
        <w:t>ir</w:t>
      </w:r>
      <w:r w:rsidRPr="003408A6">
        <w:rPr>
          <w:lang w:val="en-AU"/>
        </w:rPr>
        <w:t xml:space="preserve"> titles and abstracts. The safety profile of the vaccine was assessed extensively in randomised controlled clinical trials conducted prior to licensure and has been further elucidated following licensure from surveillance </w:t>
      </w:r>
      <w:r w:rsidR="0069548D">
        <w:rPr>
          <w:lang w:val="en-AU"/>
        </w:rPr>
        <w:t xml:space="preserve">data </w:t>
      </w:r>
      <w:r w:rsidRPr="003408A6">
        <w:rPr>
          <w:lang w:val="en-AU"/>
        </w:rPr>
        <w:t xml:space="preserve">and specific studies in large populations. </w:t>
      </w:r>
    </w:p>
    <w:p w:rsidR="00FC6A03" w:rsidRPr="003408A6" w:rsidRDefault="00FC6A03" w:rsidP="00BB3725">
      <w:pPr>
        <w:pStyle w:val="BodyText"/>
        <w:rPr>
          <w:lang w:val="en-AU"/>
        </w:rPr>
      </w:pPr>
      <w:r w:rsidRPr="003408A6">
        <w:rPr>
          <w:lang w:val="en-AU"/>
        </w:rPr>
        <w:t xml:space="preserve">De-identified information on all AEFIs reported to the TGA and stored in the Adverse Drug Reaction System (ADRS) database are released to NCIRS twice a year. AEFI records contained in the ADRS database were eligible for inclusion in the analysis if a vaccine was recorded as ‘suspected’ of involvement in the reported adverse event. Vaccines are classified as ‘suspected’ if the report contains sufficient information to be valid and the relationship between reported </w:t>
      </w:r>
      <w:r w:rsidRPr="003408A6">
        <w:rPr>
          <w:rFonts w:eastAsia="Calibri"/>
          <w:lang w:val="en-AU"/>
        </w:rPr>
        <w:t>reactions</w:t>
      </w:r>
      <w:r w:rsidRPr="003408A6">
        <w:rPr>
          <w:lang w:val="en-AU"/>
        </w:rPr>
        <w:t xml:space="preserve"> and the vaccine is deemed to be biologically plausible. The causality ratings of ‘certain’, ‘probable’ and ‘possible’ are assigned to individual AEFI records by the TGA. They describe the likelihood that a suspected vaccine or vaccines was/were causally associated with the reported reaction. Factors that are considered in assigning causality ratings include the timing (minutes, hours, etc.) and the spatial correlation of symptoms and signs in relation to vaccination, and whether one or more vaccines were simultaneously administered.</w:t>
      </w:r>
      <w:r w:rsidRPr="00A44E3F">
        <w:rPr>
          <w:lang w:val="en-AU"/>
        </w:rPr>
        <w:t xml:space="preserve"> </w:t>
      </w:r>
      <w:r w:rsidRPr="003408A6">
        <w:rPr>
          <w:lang w:val="en-AU"/>
        </w:rPr>
        <w:t>However, in many instances a causal association between vaccines administered to an individual and events that subsequently occurred cannot be clearly ruled in or out. In addition, children in particular often receive several vaccines at the same time. Therefore, all co-administered vaccines are usually listed as ‘suspected’ of involvement in a systemic adverse event as it is usually not possible to attribute the AEFI to a single vaccine.</w:t>
      </w:r>
    </w:p>
    <w:p w:rsidR="00FC6A03" w:rsidRPr="003408A6" w:rsidRDefault="00FC6A03" w:rsidP="00BB3725">
      <w:pPr>
        <w:pStyle w:val="BodyText"/>
        <w:rPr>
          <w:lang w:val="en-AU"/>
        </w:rPr>
      </w:pPr>
      <w:r w:rsidRPr="003408A6">
        <w:rPr>
          <w:lang w:val="en-AU"/>
        </w:rPr>
        <w:t>AEFI are defined as ‘serious’ or ‘non-serious’ by the TGA, based on information recorded in the database using criteria similar to those used by the WHO</w:t>
      </w:r>
      <w:hyperlink w:anchor="_ENREF_1" w:tooltip="Uppsala Monitoring Centre, 2009 #10969" w:history="1">
        <w:r w:rsidRPr="003408A6">
          <w:rPr>
            <w:vertAlign w:val="superscript"/>
            <w:lang w:val="en-AU"/>
          </w:rPr>
          <w:t>17</w:t>
        </w:r>
      </w:hyperlink>
      <w:r w:rsidRPr="003408A6">
        <w:rPr>
          <w:lang w:val="en-AU"/>
        </w:rPr>
        <w:t xml:space="preserve"> and the US Vaccine Adverse Events Reporting System (VAERS).</w:t>
      </w:r>
      <w:hyperlink w:anchor="_ENREF_62" w:tooltip="Zhou, 2003 #1334" w:history="1">
        <w:r w:rsidR="00F27F90" w:rsidRPr="003408A6">
          <w:rPr>
            <w:lang w:val="en-AU"/>
          </w:rPr>
          <w:fldChar w:fldCharType="begin"/>
        </w:r>
        <w:r w:rsidR="00F27F90">
          <w:rPr>
            <w:lang w:val="en-AU"/>
          </w:rPr>
          <w:instrText xml:space="preserve"> ADDIN EN.CITE &lt;EndNote&gt;&lt;Cite&gt;&lt;Author&gt;Zhou&lt;/Author&gt;&lt;Year&gt;2003&lt;/Year&gt;&lt;RecNum&gt;1334&lt;/RecNum&gt;&lt;DisplayText&gt;&lt;style face="superscript"&gt;62&lt;/style&gt;&lt;/DisplayText&gt;&lt;record&gt;&lt;rec-number&gt;1334&lt;/rec-number&gt;&lt;foreign-keys&gt;&lt;key app="EN" db-id="dda0wweazfww9besetpx2r5pt0asp9ztvs95"&gt;1334&lt;/key&gt;&lt;/foreign-keys&gt;&lt;ref-type name="Journal Article"&gt;17&lt;/ref-type&gt;&lt;contributors&gt;&lt;authors&gt;&lt;author&gt;Zhou, W.&lt;/author&gt;&lt;author&gt;Pool, V.&lt;/author&gt;&lt;author&gt;Iskander, J.K.&lt;/author&gt;&lt;author&gt;English-Bullard, R.&lt;/author&gt;&lt;author&gt;Ball, R.&lt;/author&gt;&lt;author&gt;Wise, R.P.&lt;/author&gt;&lt;author&gt;Haber, P.&lt;/author&gt;&lt;author&gt;Pless, R.P.&lt;/author&gt;&lt;author&gt;Mootrey, G.&lt;/author&gt;&lt;author&gt;Ellenberg , S.S.&lt;/author&gt;&lt;author&gt;Braun, M.M.&lt;/author&gt;&lt;author&gt;Chen, R.T.&lt;/author&gt;&lt;/authors&gt;&lt;/contributors&gt;&lt;titles&gt;&lt;title&gt;Surveillance for safety after immunization: Vaccine Adverse Event Reporting System (VAERS) - United States, 1991-2001&lt;/title&gt;&lt;secondary-title&gt;MMWR Surveillance Summaries&lt;/secondary-title&gt;&lt;/titles&gt;&lt;periodical&gt;&lt;full-title&gt;MMWR Surveillance Summaries&lt;/full-title&gt;&lt;abbr-1&gt;MMWR Surveill. Summ.&lt;/abbr-1&gt;&lt;abbr-2&gt;MMWR Surveill Summ&lt;/abbr-2&gt;&lt;/periodical&gt;&lt;pages&gt;1-24&lt;/pages&gt;&lt;volume&gt;52(SS-1)&lt;/volume&gt;&lt;dates&gt;&lt;year&gt;2003&lt;/year&gt;&lt;/dates&gt;&lt;urls&gt;&lt;/urls&gt;&lt;/record&gt;&lt;/Cite&gt;&lt;/EndNote&gt;</w:instrText>
        </w:r>
        <w:r w:rsidR="00F27F90" w:rsidRPr="003408A6">
          <w:rPr>
            <w:lang w:val="en-AU"/>
          </w:rPr>
          <w:fldChar w:fldCharType="separate"/>
        </w:r>
        <w:r w:rsidR="00F27F90" w:rsidRPr="003408A6">
          <w:rPr>
            <w:noProof/>
            <w:vertAlign w:val="superscript"/>
            <w:lang w:val="en-AU"/>
          </w:rPr>
          <w:t>62</w:t>
        </w:r>
        <w:r w:rsidR="00F27F90" w:rsidRPr="003408A6">
          <w:rPr>
            <w:lang w:val="en-AU"/>
          </w:rPr>
          <w:fldChar w:fldCharType="end"/>
        </w:r>
      </w:hyperlink>
      <w:r w:rsidRPr="003408A6">
        <w:rPr>
          <w:lang w:val="en-AU"/>
        </w:rPr>
        <w:t xml:space="preserve"> Each AEFI report lists one or more symptoms, signs and/or diagnoses, which are coded by TGA staff from the reporter’s description into standardised terms using the Medical Dictionary for Regulatory Activities (MedDRA</w:t>
      </w:r>
      <w:r w:rsidRPr="003408A6">
        <w:rPr>
          <w:vertAlign w:val="superscript"/>
          <w:lang w:val="en-AU"/>
        </w:rPr>
        <w:t>®</w:t>
      </w:r>
      <w:r w:rsidRPr="003408A6">
        <w:rPr>
          <w:lang w:val="en-AU"/>
        </w:rPr>
        <w:t>).</w:t>
      </w:r>
      <w:hyperlink w:anchor="_ENREF_63" w:tooltip="Brown, 1999 #1335" w:history="1">
        <w:r w:rsidR="00F27F90" w:rsidRPr="003408A6">
          <w:rPr>
            <w:lang w:val="en-AU"/>
          </w:rPr>
          <w:fldChar w:fldCharType="begin"/>
        </w:r>
        <w:r w:rsidR="00F27F90" w:rsidRPr="003408A6">
          <w:rPr>
            <w:lang w:val="en-AU"/>
          </w:rPr>
          <w:instrText xml:space="preserve"> ADDIN EN.CITE &lt;EndNote&gt;&lt;Cite&gt;&lt;Author&gt;Brown&lt;/Author&gt;&lt;Year&gt;1999&lt;/Year&gt;&lt;RecNum&gt;1335&lt;/RecNum&gt;&lt;DisplayText&gt;&lt;style face="superscript"&gt;63&lt;/style&gt;&lt;/DisplayText&gt;&lt;record&gt;&lt;rec-number&gt;1335&lt;/rec-number&gt;&lt;foreign-keys&gt;&lt;key app="EN" db-id="dda0wweazfww9besetpx2r5pt0asp9ztvs95"&gt;1335&lt;/key&gt;&lt;/foreign-keys&gt;&lt;ref-type name="Journal Article"&gt;17&lt;/ref-type&gt;&lt;contributors&gt;&lt;authors&gt;&lt;author&gt;Brown, E.G.&lt;/author&gt;&lt;author&gt;Wood, L.&lt;/author&gt;&lt;author&gt;Wood, S.&lt;/author&gt;&lt;/authors&gt;&lt;/contributors&gt;&lt;titles&gt;&lt;title&gt;The medical dictionary for regulatory activities (MedDRA)&lt;/title&gt;&lt;secondary-title&gt;Drug Safety&lt;/secondary-title&gt;&lt;/titles&gt;&lt;periodical&gt;&lt;full-title&gt;Drug Safety&lt;/full-title&gt;&lt;abbr-1&gt;Drug Saf.&lt;/abbr-1&gt;&lt;abbr-2&gt;Drug Saf&lt;/abbr-2&gt;&lt;/periodical&gt;&lt;pages&gt;109-117&lt;/pages&gt;&lt;volume&gt;20&lt;/volume&gt;&lt;number&gt;2&lt;/number&gt;&lt;dates&gt;&lt;year&gt;1999&lt;/year&gt;&lt;/dates&gt;&lt;urls&gt;&lt;/urls&gt;&lt;/record&gt;&lt;/Cite&gt;&lt;/EndNote&gt;</w:instrText>
        </w:r>
        <w:r w:rsidR="00F27F90" w:rsidRPr="003408A6">
          <w:rPr>
            <w:lang w:val="en-AU"/>
          </w:rPr>
          <w:fldChar w:fldCharType="separate"/>
        </w:r>
        <w:r w:rsidR="00F27F90" w:rsidRPr="003408A6">
          <w:rPr>
            <w:noProof/>
            <w:vertAlign w:val="superscript"/>
            <w:lang w:val="en-AU"/>
          </w:rPr>
          <w:t>63</w:t>
        </w:r>
        <w:r w:rsidR="00F27F90" w:rsidRPr="003408A6">
          <w:rPr>
            <w:lang w:val="en-AU"/>
          </w:rPr>
          <w:fldChar w:fldCharType="end"/>
        </w:r>
      </w:hyperlink>
      <w:r w:rsidRPr="003408A6">
        <w:rPr>
          <w:lang w:val="en-AU"/>
        </w:rPr>
        <w:t xml:space="preserve"> Previously, in order to analyse the data, MedDRA coding terms were grouped to create a set of reaction categories that were </w:t>
      </w:r>
      <w:r w:rsidRPr="003408A6">
        <w:rPr>
          <w:rFonts w:eastAsia="Calibri"/>
          <w:lang w:val="en-AU"/>
        </w:rPr>
        <w:t>analogous</w:t>
      </w:r>
      <w:r w:rsidRPr="003408A6">
        <w:rPr>
          <w:lang w:val="en-AU"/>
        </w:rPr>
        <w:t xml:space="preserve"> to the reactions listed and defined in </w:t>
      </w:r>
      <w:r w:rsidR="0069548D" w:rsidRPr="00A44E3F">
        <w:rPr>
          <w:i/>
          <w:lang w:val="en-AU"/>
        </w:rPr>
        <w:t>T</w:t>
      </w:r>
      <w:r w:rsidRPr="00A44E3F">
        <w:rPr>
          <w:i/>
          <w:lang w:val="en-AU"/>
        </w:rPr>
        <w:t>he Australian Imm</w:t>
      </w:r>
      <w:r w:rsidR="009629BC" w:rsidRPr="00A44E3F">
        <w:rPr>
          <w:i/>
          <w:lang w:val="en-AU"/>
        </w:rPr>
        <w:t>unisation Handbook</w:t>
      </w:r>
      <w:r w:rsidRPr="003408A6">
        <w:rPr>
          <w:lang w:val="en-AU"/>
        </w:rPr>
        <w:t>. However, the methodological framework of reporting of adverse events ha</w:t>
      </w:r>
      <w:r w:rsidR="0069548D">
        <w:rPr>
          <w:lang w:val="en-AU"/>
        </w:rPr>
        <w:t>s</w:t>
      </w:r>
      <w:r w:rsidRPr="003408A6">
        <w:rPr>
          <w:lang w:val="en-AU"/>
        </w:rPr>
        <w:t xml:space="preserve"> been recently reviewed by NCIRS in collaboration with </w:t>
      </w:r>
      <w:r w:rsidR="00B37994">
        <w:rPr>
          <w:lang w:val="en-AU"/>
        </w:rPr>
        <w:t xml:space="preserve">the </w:t>
      </w:r>
      <w:r w:rsidRPr="003408A6">
        <w:rPr>
          <w:lang w:val="en-AU"/>
        </w:rPr>
        <w:t xml:space="preserve">TGA and a revised format for AEFI analyses using MedDRA preferred terms (PTs) </w:t>
      </w:r>
      <w:r w:rsidR="00A44E3F">
        <w:rPr>
          <w:lang w:val="en-AU"/>
        </w:rPr>
        <w:t>has been</w:t>
      </w:r>
      <w:r w:rsidR="0069548D" w:rsidRPr="003408A6">
        <w:rPr>
          <w:lang w:val="en-AU"/>
        </w:rPr>
        <w:t xml:space="preserve"> </w:t>
      </w:r>
      <w:r w:rsidR="00A44E3F">
        <w:rPr>
          <w:lang w:val="en-AU"/>
        </w:rPr>
        <w:t>developed</w:t>
      </w:r>
      <w:r w:rsidRPr="003408A6">
        <w:rPr>
          <w:lang w:val="en-AU"/>
        </w:rPr>
        <w:t xml:space="preserve">. For this report, the new format using MedDRA PTs </w:t>
      </w:r>
      <w:r w:rsidR="0069548D">
        <w:rPr>
          <w:lang w:val="en-AU"/>
        </w:rPr>
        <w:t>was</w:t>
      </w:r>
      <w:r w:rsidRPr="003408A6">
        <w:rPr>
          <w:lang w:val="en-AU"/>
        </w:rPr>
        <w:t xml:space="preserve"> used for data analysis.</w:t>
      </w:r>
    </w:p>
    <w:p w:rsidR="00FC6A03" w:rsidRPr="003408A6" w:rsidRDefault="00FC6A03" w:rsidP="00BB3725">
      <w:pPr>
        <w:pStyle w:val="BodyText"/>
        <w:rPr>
          <w:lang w:val="en-AU"/>
        </w:rPr>
      </w:pPr>
      <w:r w:rsidRPr="003408A6">
        <w:rPr>
          <w:lang w:val="en-AU"/>
        </w:rPr>
        <w:t>All data analyses were performed using SAS software version 9.3</w:t>
      </w:r>
      <w:r w:rsidR="003B1644">
        <w:rPr>
          <w:lang w:val="en-AU"/>
        </w:rPr>
        <w:t xml:space="preserve"> </w:t>
      </w:r>
      <w:r w:rsidR="003B1644" w:rsidRPr="003B1644">
        <w:rPr>
          <w:lang w:val="en-AU"/>
        </w:rPr>
        <w:t xml:space="preserve">(SAS </w:t>
      </w:r>
      <w:r w:rsidR="003B1644">
        <w:rPr>
          <w:lang w:val="en-AU"/>
        </w:rPr>
        <w:t>Institute Inc., Cary, NC, USA).</w:t>
      </w:r>
      <w:r w:rsidRPr="003408A6">
        <w:rPr>
          <w:lang w:val="en-AU"/>
        </w:rPr>
        <w:t xml:space="preserve"> The distribution of AEFI records was analysed by age, gender and jurisdiction. AEFI reporting rates per 100,000 administered doses were estimated </w:t>
      </w:r>
      <w:r w:rsidRPr="003408A6">
        <w:rPr>
          <w:rFonts w:eastAsia="Calibri"/>
          <w:lang w:val="en-AU"/>
        </w:rPr>
        <w:t>using</w:t>
      </w:r>
      <w:r w:rsidRPr="003408A6">
        <w:rPr>
          <w:lang w:val="en-AU"/>
        </w:rPr>
        <w:t xml:space="preserve"> the dose data from the NHVPR, extracted in December 2012 by age, jurisdiction, provider type (</w:t>
      </w:r>
      <w:r w:rsidR="00964BBF">
        <w:t>general practice</w:t>
      </w:r>
      <w:r w:rsidRPr="003408A6">
        <w:rPr>
          <w:lang w:val="en-AU"/>
        </w:rPr>
        <w:t xml:space="preserve"> and non-</w:t>
      </w:r>
      <w:r w:rsidR="00964BBF">
        <w:t>general practice</w:t>
      </w:r>
      <w:r w:rsidRPr="003408A6">
        <w:rPr>
          <w:lang w:val="en-AU"/>
        </w:rPr>
        <w:t>), dose numbers (dose</w:t>
      </w:r>
      <w:r w:rsidR="0069548D">
        <w:rPr>
          <w:lang w:val="en-AU"/>
        </w:rPr>
        <w:t xml:space="preserve"> </w:t>
      </w:r>
      <w:r w:rsidRPr="003408A6">
        <w:rPr>
          <w:lang w:val="en-AU"/>
        </w:rPr>
        <w:t>1</w:t>
      </w:r>
      <w:r w:rsidR="0069548D">
        <w:rPr>
          <w:lang w:val="en-AU"/>
        </w:rPr>
        <w:t xml:space="preserve"> – </w:t>
      </w:r>
      <w:r w:rsidRPr="003408A6">
        <w:rPr>
          <w:lang w:val="en-AU"/>
        </w:rPr>
        <w:t xml:space="preserve">dose 3) and year of vaccination. </w:t>
      </w:r>
    </w:p>
    <w:p w:rsidR="00FC6A03" w:rsidRPr="003408A6" w:rsidRDefault="00FC6A03" w:rsidP="00FC6A03">
      <w:pPr>
        <w:pStyle w:val="Heading2"/>
      </w:pPr>
      <w:bookmarkStart w:id="161" w:name="_Toc396926133"/>
      <w:r w:rsidRPr="003408A6">
        <w:t>Results</w:t>
      </w:r>
      <w:bookmarkEnd w:id="161"/>
      <w:r w:rsidRPr="003408A6">
        <w:t xml:space="preserve"> </w:t>
      </w:r>
    </w:p>
    <w:p w:rsidR="00FC6A03" w:rsidRPr="003408A6" w:rsidRDefault="00FC6A03" w:rsidP="001D498C">
      <w:pPr>
        <w:pStyle w:val="Heading3"/>
      </w:pPr>
      <w:r w:rsidRPr="003408A6">
        <w:t>Key events in HPV vaccine safety in Australia</w:t>
      </w:r>
    </w:p>
    <w:p w:rsidR="00FC6A03" w:rsidRPr="003408A6" w:rsidRDefault="00FC6A03" w:rsidP="00BB3725">
      <w:pPr>
        <w:pStyle w:val="BodyText"/>
        <w:rPr>
          <w:lang w:val="en-AU"/>
        </w:rPr>
      </w:pPr>
      <w:r w:rsidRPr="003408A6">
        <w:rPr>
          <w:lang w:val="en-AU"/>
        </w:rPr>
        <w:t xml:space="preserve">In the pre-licensure clinical trials of </w:t>
      </w:r>
      <w:r w:rsidR="00072887">
        <w:rPr>
          <w:lang w:val="en-AU"/>
        </w:rPr>
        <w:t xml:space="preserve">the </w:t>
      </w:r>
      <w:r w:rsidR="00BD167D" w:rsidRPr="00BD167D">
        <w:rPr>
          <w:lang w:val="en-AU"/>
        </w:rPr>
        <w:t>quadrivalent</w:t>
      </w:r>
      <w:r w:rsidR="00072887">
        <w:rPr>
          <w:lang w:val="en-AU"/>
        </w:rPr>
        <w:t xml:space="preserve"> vaccine</w:t>
      </w:r>
      <w:r w:rsidR="009D476F">
        <w:rPr>
          <w:lang w:val="en-AU"/>
        </w:rPr>
        <w:t xml:space="preserve">, </w:t>
      </w:r>
      <w:r w:rsidRPr="003408A6">
        <w:rPr>
          <w:lang w:val="en-AU"/>
        </w:rPr>
        <w:t>the frequenc</w:t>
      </w:r>
      <w:r w:rsidR="009D476F">
        <w:rPr>
          <w:lang w:val="en-AU"/>
        </w:rPr>
        <w:t>ies</w:t>
      </w:r>
      <w:r w:rsidRPr="003408A6">
        <w:rPr>
          <w:lang w:val="en-AU"/>
        </w:rPr>
        <w:t xml:space="preserve"> of most AEFI following HPV vaccination were not greater than th</w:t>
      </w:r>
      <w:r w:rsidR="009D476F">
        <w:rPr>
          <w:lang w:val="en-AU"/>
        </w:rPr>
        <w:t>ose</w:t>
      </w:r>
      <w:r w:rsidRPr="003408A6">
        <w:rPr>
          <w:lang w:val="en-AU"/>
        </w:rPr>
        <w:t xml:space="preserve"> in the comparator groups (i</w:t>
      </w:r>
      <w:r w:rsidR="009D476F">
        <w:rPr>
          <w:lang w:val="en-AU"/>
        </w:rPr>
        <w:t>.</w:t>
      </w:r>
      <w:r w:rsidRPr="003408A6">
        <w:rPr>
          <w:lang w:val="en-AU"/>
        </w:rPr>
        <w:t>e</w:t>
      </w:r>
      <w:r w:rsidR="009D476F">
        <w:rPr>
          <w:lang w:val="en-AU"/>
        </w:rPr>
        <w:t>.</w:t>
      </w:r>
      <w:r w:rsidRPr="003408A6">
        <w:rPr>
          <w:lang w:val="en-AU"/>
        </w:rPr>
        <w:t xml:space="preserve"> non-HPV vaccine or placebo control).</w:t>
      </w:r>
      <w:hyperlink w:anchor="_ENREF_64" w:tooltip="Reisinger, 2007 #905" w:history="1">
        <w:r w:rsidR="00F27F90" w:rsidRPr="003408A6">
          <w:rPr>
            <w:vertAlign w:val="superscript"/>
            <w:lang w:val="en-AU"/>
          </w:rPr>
          <w:fldChar w:fldCharType="begin">
            <w:fldData xml:space="preserve">PEVuZE5vdGU+PENpdGU+PEF1dGhvcj5SZWlzaW5nZXI8L0F1dGhvcj48WWVhcj4yMDA3PC9ZZWFy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</w:fldData>
          </w:fldChar>
        </w:r>
        <w:r w:rsidR="00F27F90">
          <w:rPr>
            <w:vertAlign w:val="superscript"/>
            <w:lang w:val="en-AU"/>
          </w:rPr>
          <w:instrText xml:space="preserve"> ADDIN EN.CITE </w:instrText>
        </w:r>
        <w:r w:rsidR="00F27F90">
          <w:rPr>
            <w:vertAlign w:val="superscript"/>
            <w:lang w:val="en-AU"/>
          </w:rPr>
          <w:fldChar w:fldCharType="begin">
            <w:fldData xml:space="preserve">PEVuZE5vdGU+PENpdGU+PEF1dGhvcj5SZWlzaW5nZXI8L0F1dGhvcj48WWVhcj4yMDA3PC9ZZWFy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</w:fldData>
          </w:fldChar>
        </w:r>
        <w:r w:rsidR="00F27F90">
          <w:rPr>
            <w:vertAlign w:val="superscript"/>
            <w:lang w:val="en-AU"/>
          </w:rPr>
          <w:instrText xml:space="preserve"> ADDIN EN.CITE.DATA </w:instrText>
        </w:r>
        <w:r w:rsidR="00F27F90">
          <w:rPr>
            <w:vertAlign w:val="superscript"/>
            <w:lang w:val="en-AU"/>
          </w:rPr>
        </w:r>
        <w:r w:rsidR="00F27F90">
          <w:rPr>
            <w:vertAlign w:val="superscript"/>
            <w:lang w:val="en-AU"/>
          </w:rPr>
          <w:fldChar w:fldCharType="end"/>
        </w:r>
        <w:r w:rsidR="00F27F90" w:rsidRPr="003408A6">
          <w:rPr>
            <w:vertAlign w:val="superscript"/>
            <w:lang w:val="en-AU"/>
          </w:rPr>
        </w:r>
        <w:r w:rsidR="00F27F90" w:rsidRPr="003408A6">
          <w:rPr>
            <w:vertAlign w:val="superscript"/>
            <w:lang w:val="en-AU"/>
          </w:rPr>
          <w:fldChar w:fldCharType="separate"/>
        </w:r>
        <w:r w:rsidR="00F27F90">
          <w:rPr>
            <w:noProof/>
            <w:vertAlign w:val="superscript"/>
            <w:lang w:val="en-AU"/>
          </w:rPr>
          <w:t>64</w:t>
        </w:r>
        <w:r w:rsidR="00F27F90" w:rsidRPr="003408A6">
          <w:rPr>
            <w:vertAlign w:val="superscript"/>
            <w:lang w:val="en-AU"/>
          </w:rPr>
          <w:fldChar w:fldCharType="end"/>
        </w:r>
      </w:hyperlink>
      <w:r w:rsidRPr="003408A6">
        <w:rPr>
          <w:lang w:val="en-AU"/>
        </w:rPr>
        <w:t xml:space="preserve"> The most common systemic adverse experiences reported were headache and fever. There was no significant difference between vaccination and placebo groups. </w:t>
      </w:r>
    </w:p>
    <w:p w:rsidR="00FC6A03" w:rsidRPr="003408A6" w:rsidRDefault="00FC6A03" w:rsidP="00BB3725">
      <w:pPr>
        <w:pStyle w:val="BodyText"/>
        <w:rPr>
          <w:lang w:val="en-AU"/>
        </w:rPr>
      </w:pPr>
      <w:r w:rsidRPr="003408A6">
        <w:rPr>
          <w:lang w:val="en-AU"/>
        </w:rPr>
        <w:t xml:space="preserve">Early in the implementation of the National HPV Vaccination Program in Australia, on 7 May 2007, a vaccine safety concern arose at a girls’ school in metropolitan Melbourne where 26 females aged 12–17 years presented to the school’s sick bay within </w:t>
      </w:r>
      <w:r w:rsidR="009D476F">
        <w:rPr>
          <w:lang w:val="en-AU"/>
        </w:rPr>
        <w:t>2</w:t>
      </w:r>
      <w:r w:rsidR="009D476F" w:rsidRPr="003408A6">
        <w:rPr>
          <w:lang w:val="en-AU"/>
        </w:rPr>
        <w:t xml:space="preserve"> </w:t>
      </w:r>
      <w:r w:rsidRPr="003408A6">
        <w:rPr>
          <w:lang w:val="en-AU"/>
        </w:rPr>
        <w:t>hours of the first dose of HPV vaccine with symptoms including dizziness, syncope and neurological complaints. Four girls were transported by ambulance to a nearby paediatric hospital with a range of symptoms, including palpitations, dizziness, syncope or collapse, weakness and aphasia.</w:t>
      </w:r>
      <w:hyperlink w:anchor="_ENREF_57" w:tooltip="Buttery, 2008 #259" w:history="1">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57</w:t>
        </w:r>
        <w:r w:rsidR="00F27F90" w:rsidRPr="003408A6">
          <w:rPr>
            <w:lang w:val="en-AU"/>
          </w:rPr>
          <w:fldChar w:fldCharType="end"/>
        </w:r>
      </w:hyperlink>
      <w:r w:rsidRPr="003408A6">
        <w:rPr>
          <w:lang w:val="en-AU"/>
        </w:rPr>
        <w:t xml:space="preserve"> The event triggered widespread national and international media coverage, but was thoroughly investigated by the Victorian SAEFVIC (Surveillance of Adverse Events Following Vaccination in the </w:t>
      </w:r>
      <w:r w:rsidRPr="003408A6">
        <w:rPr>
          <w:rFonts w:eastAsia="Calibri"/>
          <w:lang w:val="en-AU"/>
        </w:rPr>
        <w:t>Community</w:t>
      </w:r>
      <w:r w:rsidRPr="003408A6">
        <w:rPr>
          <w:lang w:val="en-AU"/>
        </w:rPr>
        <w:t>) and it was concluded that no serious vaccine attributable events had occurred. The episode was characterised in a subsequent publication as fulfilling criteria for a mass psychogenic illness.</w:t>
      </w:r>
      <w:hyperlink w:anchor="_ENREF_57" w:tooltip="Buttery, 2008 #259" w:history="1">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57</w:t>
        </w:r>
        <w:r w:rsidR="00F27F90" w:rsidRPr="003408A6">
          <w:rPr>
            <w:lang w:val="en-AU"/>
          </w:rPr>
          <w:fldChar w:fldCharType="end"/>
        </w:r>
      </w:hyperlink>
      <w:r w:rsidRPr="003408A6">
        <w:rPr>
          <w:lang w:val="en-AU"/>
        </w:rPr>
        <w:t xml:space="preserve"> This event highlighted the importance of a rapid response to AEFI that includes individual case evaluation and risk communication. </w:t>
      </w:r>
    </w:p>
    <w:p w:rsidR="00FC6A03" w:rsidRPr="003408A6" w:rsidRDefault="00FC6A03" w:rsidP="00BB3725">
      <w:pPr>
        <w:pStyle w:val="BodyText"/>
        <w:rPr>
          <w:lang w:val="en-AU"/>
        </w:rPr>
      </w:pPr>
      <w:r w:rsidRPr="003408A6">
        <w:rPr>
          <w:lang w:val="en-AU"/>
        </w:rPr>
        <w:t>Another potential vaccine safety signal (defined as “reported information about a previously unknown or incompletely documented but possible causal adverse event following vaccination”</w:t>
      </w:r>
      <w:hyperlink w:anchor="_ENREF_65" w:tooltip="World Health Organization, 2008 #1332" w:history="1">
        <w:r w:rsidR="00F27F90" w:rsidRPr="003408A6">
          <w:rPr>
            <w:lang w:val="en-AU"/>
          </w:rPr>
          <w:fldChar w:fldCharType="begin"/>
        </w:r>
        <w:r w:rsidR="00F27F90">
          <w:rPr>
            <w:lang w:val="en-AU"/>
          </w:rPr>
          <w:instrText xml:space="preserve"> ADDIN EN.CITE &lt;EndNote&gt;&lt;Cite&gt;&lt;Author&gt;World Health Organization&lt;/Author&gt;&lt;Year&gt;2008&lt;/Year&gt;&lt;RecNum&gt;1332&lt;/RecNum&gt;&lt;DisplayText&gt;&lt;style face="superscript"&gt;65&lt;/style&gt;&lt;/DisplayText&gt;&lt;record&gt;&lt;rec-number&gt;1332&lt;/rec-number&gt;&lt;foreign-keys&gt;&lt;key app="EN" db-id="dda0wweazfww9besetpx2r5pt0asp9ztvs95"&gt;1332&lt;/key&gt;&lt;/foreign-keys&gt;&lt;ref-type name="Web Page"&gt;12&lt;/ref-type&gt;&lt;contributors&gt;&lt;authors&gt;&lt;author&gt;World Health Organization,&lt;/author&gt;&lt;/authors&gt;&lt;/contributors&gt;&lt;titles&gt;&lt;title&gt;Causality assessment of adverse event following immunization (AEFI): user manual for the revised WHO classification&lt;/title&gt;&lt;/titles&gt;&lt;number&gt;13 December 2013&lt;/number&gt;&lt;dates&gt;&lt;year&gt;2008&lt;/year&gt;&lt;/dates&gt;&lt;urls&gt;&lt;related-urls&gt;&lt;url&gt;http://www.who.int/vaccine_safety/publications/aevi_manual.pdf&lt;/url&gt;&lt;/related-urls&gt;&lt;/urls&gt;&lt;/record&gt;&lt;/Cite&gt;&lt;/EndNote&gt;</w:instrText>
        </w:r>
        <w:r w:rsidR="00F27F90" w:rsidRPr="003408A6">
          <w:rPr>
            <w:lang w:val="en-AU"/>
          </w:rPr>
          <w:fldChar w:fldCharType="separate"/>
        </w:r>
        <w:r w:rsidR="00F27F90" w:rsidRPr="00F27F90">
          <w:rPr>
            <w:noProof/>
            <w:vertAlign w:val="superscript"/>
            <w:lang w:val="en-AU"/>
          </w:rPr>
          <w:t>65</w:t>
        </w:r>
        <w:r w:rsidR="00F27F90" w:rsidRPr="003408A6">
          <w:rPr>
            <w:lang w:val="en-AU"/>
          </w:rPr>
          <w:fldChar w:fldCharType="end"/>
        </w:r>
      </w:hyperlink>
      <w:r w:rsidRPr="003408A6">
        <w:rPr>
          <w:lang w:val="en-AU"/>
        </w:rPr>
        <w:t>) was identified in late June 2007 in New South Wales (NSW) where seven cases of anaphylaxis following quadrivalent HPV vaccination were reported.</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NSW Health convened a panel of 13 people with a range of expertise (program delivery, paediatric allergy, surveillance of adverse events after vaccination and public health) to identify and review reports of adverse events following HPV vaccination. Following detailed analysis and review, the rate of anaphylaxis in the 2007 school-based HPV </w:t>
      </w:r>
      <w:r w:rsidR="009D476F">
        <w:rPr>
          <w:lang w:val="en-AU"/>
        </w:rPr>
        <w:t>v</w:t>
      </w:r>
      <w:r w:rsidRPr="003408A6">
        <w:rPr>
          <w:lang w:val="en-AU"/>
        </w:rPr>
        <w:t xml:space="preserve">accination </w:t>
      </w:r>
      <w:r w:rsidR="009D476F">
        <w:rPr>
          <w:lang w:val="en-AU"/>
        </w:rPr>
        <w:t>p</w:t>
      </w:r>
      <w:r w:rsidRPr="003408A6">
        <w:rPr>
          <w:lang w:val="en-AU"/>
        </w:rPr>
        <w:t>rogram was reported to be higher than published rates for other vaccines</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and was comparable only to the rate following administration of vaccines containing bovine gelatin in Japan.</w:t>
      </w:r>
      <w:hyperlink w:anchor="_ENREF_66" w:tooltip="Kuno-Sakai, 2003 #1319" w:history="1">
        <w:r w:rsidR="00F27F90" w:rsidRPr="003408A6">
          <w:rPr>
            <w:lang w:val="en-AU"/>
          </w:rPr>
          <w:fldChar w:fldCharType="begin"/>
        </w:r>
        <w:r w:rsidR="00F27F90">
          <w:rPr>
            <w:lang w:val="en-AU"/>
          </w:rPr>
          <w:instrText xml:space="preserve"> ADDIN EN.CITE &lt;EndNote&gt;&lt;Cite&gt;&lt;Author&gt;Kuno-Sakai&lt;/Author&gt;&lt;Year&gt;2003&lt;/Year&gt;&lt;RecNum&gt;1319&lt;/RecNum&gt;&lt;DisplayText&gt;&lt;style face="superscript"&gt;66&lt;/style&gt;&lt;/DisplayText&gt;&lt;record&gt;&lt;rec-number&gt;1319&lt;/rec-number&gt;&lt;foreign-keys&gt;&lt;key app="EN" db-id="dda0wweazfww9besetpx2r5pt0asp9ztvs95"&gt;1319&lt;/key&gt;&lt;/foreign-keys&gt;&lt;ref-type name="Journal Article"&gt;17&lt;/ref-type&gt;&lt;contributors&gt;&lt;authors&gt;&lt;author&gt;Kuno-Sakai, H.&lt;/author&gt;&lt;author&gt;Kimura, M. &lt;/author&gt;&lt;/authors&gt;&lt;/contributors&gt;&lt;titles&gt;&lt;title&gt;Removal of gelatin from live vaccines and DTaP: an ultimate solution for vaccine-related gelatin allergy&lt;/title&gt;&lt;secondary-title&gt;Biologicals &lt;/secondary-title&gt;&lt;/titles&gt;&lt;periodical&gt;&lt;full-title&gt;Biologicals&lt;/full-title&gt;&lt;abbr-1&gt;Biologicals&lt;/abbr-1&gt;&lt;abbr-2&gt;Biologicals&lt;/abbr-2&gt;&lt;/periodical&gt;&lt;pages&gt;245-9&lt;/pages&gt;&lt;volume&gt;31&lt;/volume&gt;&lt;dates&gt;&lt;year&gt;2003&lt;/year&gt;&lt;/dates&gt;&lt;urls&gt;&lt;/urls&gt;&lt;/record&gt;&lt;/Cite&gt;&lt;/EndNote&gt;</w:instrText>
        </w:r>
        <w:r w:rsidR="00F27F90" w:rsidRPr="003408A6">
          <w:rPr>
            <w:lang w:val="en-AU"/>
          </w:rPr>
          <w:fldChar w:fldCharType="separate"/>
        </w:r>
        <w:r w:rsidR="00F27F90" w:rsidRPr="00F27F90">
          <w:rPr>
            <w:noProof/>
            <w:vertAlign w:val="superscript"/>
            <w:lang w:val="en-AU"/>
          </w:rPr>
          <w:t>66</w:t>
        </w:r>
        <w:r w:rsidR="00F27F90" w:rsidRPr="003408A6">
          <w:rPr>
            <w:lang w:val="en-AU"/>
          </w:rPr>
          <w:fldChar w:fldCharType="end"/>
        </w:r>
      </w:hyperlink>
      <w:r w:rsidRPr="003408A6">
        <w:rPr>
          <w:lang w:val="en-AU"/>
        </w:rPr>
        <w:t xml:space="preserve"> However, the estimated rate was still an order of magnitude less common than the WHO categorisation of ‘very rare’ adverse events after immunisation (&lt;1 in 10,000).</w:t>
      </w:r>
      <w:hyperlink w:anchor="_ENREF_65" w:tooltip="World Health Organization, 2008 #1332" w:history="1">
        <w:r w:rsidR="00F27F90" w:rsidRPr="003408A6">
          <w:rPr>
            <w:lang w:val="en-AU"/>
          </w:rPr>
          <w:fldChar w:fldCharType="begin"/>
        </w:r>
        <w:r w:rsidR="00F27F90">
          <w:rPr>
            <w:lang w:val="en-AU"/>
          </w:rPr>
          <w:instrText xml:space="preserve"> ADDIN EN.CITE &lt;EndNote&gt;&lt;Cite&gt;&lt;Author&gt;World Health Organization&lt;/Author&gt;&lt;Year&gt;2008&lt;/Year&gt;&lt;RecNum&gt;1332&lt;/RecNum&gt;&lt;DisplayText&gt;&lt;style face="superscript"&gt;65&lt;/style&gt;&lt;/DisplayText&gt;&lt;record&gt;&lt;rec-number&gt;1332&lt;/rec-number&gt;&lt;foreign-keys&gt;&lt;key app="EN" db-id="dda0wweazfww9besetpx2r5pt0asp9ztvs95"&gt;1332&lt;/key&gt;&lt;/foreign-keys&gt;&lt;ref-type name="Web Page"&gt;12&lt;/ref-type&gt;&lt;contributors&gt;&lt;authors&gt;&lt;author&gt;World Health Organization,&lt;/author&gt;&lt;/authors&gt;&lt;/contributors&gt;&lt;titles&gt;&lt;title&gt;Causality assessment of adverse event following immunization (AEFI): user manual for the revised WHO classification&lt;/title&gt;&lt;/titles&gt;&lt;number&gt;13 December 2013&lt;/number&gt;&lt;dates&gt;&lt;year&gt;2008&lt;/year&gt;&lt;/dates&gt;&lt;urls&gt;&lt;related-urls&gt;&lt;url&gt;http://www.who.int/vaccine_safety/publications/aevi_manual.pdf&lt;/url&gt;&lt;/related-urls&gt;&lt;/urls&gt;&lt;/record&gt;&lt;/Cite&gt;&lt;/EndNote&gt;</w:instrText>
        </w:r>
        <w:r w:rsidR="00F27F90" w:rsidRPr="003408A6">
          <w:rPr>
            <w:lang w:val="en-AU"/>
          </w:rPr>
          <w:fldChar w:fldCharType="separate"/>
        </w:r>
        <w:r w:rsidR="00F27F90" w:rsidRPr="00F27F90">
          <w:rPr>
            <w:noProof/>
            <w:vertAlign w:val="superscript"/>
            <w:lang w:val="en-AU"/>
          </w:rPr>
          <w:t>65</w:t>
        </w:r>
        <w:r w:rsidR="00F27F90" w:rsidRPr="003408A6">
          <w:rPr>
            <w:lang w:val="en-AU"/>
          </w:rPr>
          <w:fldChar w:fldCharType="end"/>
        </w:r>
      </w:hyperlink>
      <w:r w:rsidRPr="003408A6">
        <w:rPr>
          <w:lang w:val="en-AU"/>
        </w:rPr>
        <w:t xml:space="preserve"> Subsequent to this, the TGA estimated</w:t>
      </w:r>
      <w:r w:rsidR="009D476F">
        <w:rPr>
          <w:lang w:val="en-AU"/>
        </w:rPr>
        <w:t xml:space="preserve"> the</w:t>
      </w:r>
      <w:r w:rsidRPr="003408A6">
        <w:rPr>
          <w:lang w:val="en-AU"/>
        </w:rPr>
        <w:t xml:space="preserve"> rate of anaphylaxis based on doses distributed throughout Australia to be lower, at 2.6 episodes per million.</w:t>
      </w:r>
      <w:hyperlink w:anchor="_ENREF_67" w:tooltip="Australian Government Department of Health, 2010 #1346" w:history="1">
        <w:r w:rsidR="00F27F90" w:rsidRPr="003408A6">
          <w:rPr>
            <w:lang w:val="en-AU"/>
          </w:rPr>
          <w:fldChar w:fldCharType="begin"/>
        </w:r>
        <w:r w:rsidR="00F27F90">
          <w:rPr>
            <w:lang w:val="en-AU"/>
          </w:rPr>
          <w:instrText xml:space="preserve"> ADDIN EN.CITE &lt;EndNote&gt;&lt;Cite&gt;&lt;Author&gt;(TGA)&lt;/Author&gt;&lt;Year&gt;2010&lt;/Year&gt;&lt;RecNum&gt;1346&lt;/RecNum&gt;&lt;DisplayText&gt;&lt;style face="superscript"&gt;67&lt;/style&gt;&lt;/DisplayText&gt;&lt;record&gt;&lt;rec-number&gt;1346&lt;/rec-number&gt;&lt;foreign-keys&gt;&lt;key app="EN" db-id="dda0wweazfww9besetpx2r5pt0asp9ztvs95"&gt;1346&lt;/key&gt;&lt;/foreign-keys&gt;&lt;ref-type name="Web Page"&gt;12&lt;/ref-type&gt;&lt;contributors&gt;&lt;authors&gt;&lt;author&gt;Australian Government Department of Health,&lt;/author&gt;&lt;author&gt;Therapeutic Goods Administration (TGA),&lt;/author&gt;&lt;/authors&gt;&lt;/contributors&gt;&lt;titles&gt;&lt;title&gt;Gardasil (human papillomavirus vaccine)&lt;/title&gt;&lt;/titles&gt;&lt;number&gt;13 December 2013&lt;/number&gt;&lt;dates&gt;&lt;year&gt;2010&lt;/year&gt;&lt;/dates&gt;&lt;urls&gt;&lt;related-urls&gt;&lt;url&gt;http://www.tga.gov.au/safety/alerts-medicine-gardasil-070624.htm&lt;/url&gt;&lt;/related-urls&gt;&lt;/urls&gt;&lt;/record&gt;&lt;/Cite&gt;&lt;/EndNote&gt;</w:instrText>
        </w:r>
        <w:r w:rsidR="00F27F90" w:rsidRPr="003408A6">
          <w:rPr>
            <w:lang w:val="en-AU"/>
          </w:rPr>
          <w:fldChar w:fldCharType="separate"/>
        </w:r>
        <w:r w:rsidR="00F27F90" w:rsidRPr="00F27F90">
          <w:rPr>
            <w:noProof/>
            <w:vertAlign w:val="superscript"/>
            <w:lang w:val="en-AU"/>
          </w:rPr>
          <w:t>67</w:t>
        </w:r>
        <w:r w:rsidR="00F27F90" w:rsidRPr="003408A6">
          <w:rPr>
            <w:lang w:val="en-AU"/>
          </w:rPr>
          <w:fldChar w:fldCharType="end"/>
        </w:r>
      </w:hyperlink>
      <w:r w:rsidRPr="003408A6">
        <w:rPr>
          <w:lang w:val="en-AU"/>
        </w:rPr>
        <w:t xml:space="preserve"> The rates for other vaccines given to children and adolescents range from 0 to 3.5 per million doses in international studies.</w:t>
      </w:r>
      <w:hyperlink w:anchor="_ENREF_68" w:tooltip="Bohlke, 2003 #1347" w:history="1">
        <w:r w:rsidR="00F27F90" w:rsidRPr="003408A6">
          <w:rPr>
            <w:lang w:val="en-AU"/>
          </w:rPr>
          <w:fldChar w:fldCharType="begin"/>
        </w:r>
        <w:r w:rsidR="00F27F90">
          <w:rPr>
            <w:lang w:val="en-AU"/>
          </w:rPr>
          <w:instrText xml:space="preserve"> ADDIN EN.CITE &lt;EndNote&gt;&lt;Cite&gt;&lt;Author&gt;Bohlke&lt;/Author&gt;&lt;Year&gt;2003&lt;/Year&gt;&lt;RecNum&gt;1347&lt;/RecNum&gt;&lt;DisplayText&gt;&lt;style face="superscript"&gt;68&lt;/style&gt;&lt;/DisplayText&gt;&lt;record&gt;&lt;rec-number&gt;1347&lt;/rec-number&gt;&lt;foreign-keys&gt;&lt;key app="EN" db-id="dda0wweazfww9besetpx2r5pt0asp9ztvs95"&gt;1347&lt;/key&gt;&lt;/foreign-keys&gt;&lt;ref-type name="Journal Article"&gt;17&lt;/ref-type&gt;&lt;contributors&gt;&lt;authors&gt;&lt;author&gt;Bohlke, K.&lt;/author&gt;&lt;author&gt;Davis, R.L.&lt;/author&gt;&lt;author&gt;Marcy, S.M.&lt;/author&gt;&lt;author&gt;Braun, M.M.&lt;/author&gt;&lt;author&gt;et al &lt;/author&gt;&lt;/authors&gt;&lt;/contributors&gt;&lt;titles&gt;&lt;title&gt;Risk of anaphylaxis after vaccination of children and adolescents&lt;/title&gt;&lt;secondary-title&gt;Pediatrics in Review&lt;/secondary-title&gt;&lt;/titles&gt;&lt;periodical&gt;&lt;full-title&gt;Pediatrics in Review&lt;/full-title&gt;&lt;abbr-1&gt;Pediatr. Rev.&lt;/abbr-1&gt;&lt;abbr-2&gt;Pediatr Rev&lt;/abbr-2&gt;&lt;/periodical&gt;&lt;pages&gt;815-820&lt;/pages&gt;&lt;volume&gt;112&lt;/volume&gt;&lt;dates&gt;&lt;year&gt;2003&lt;/year&gt;&lt;/dates&gt;&lt;urls&gt;&lt;/urls&gt;&lt;/record&gt;&lt;/Cite&gt;&lt;/EndNote&gt;</w:instrText>
        </w:r>
        <w:r w:rsidR="00F27F90" w:rsidRPr="003408A6">
          <w:rPr>
            <w:lang w:val="en-AU"/>
          </w:rPr>
          <w:fldChar w:fldCharType="separate"/>
        </w:r>
        <w:r w:rsidR="00F27F90" w:rsidRPr="00F27F90">
          <w:rPr>
            <w:noProof/>
            <w:vertAlign w:val="superscript"/>
            <w:lang w:val="en-AU"/>
          </w:rPr>
          <w:t>68</w:t>
        </w:r>
        <w:r w:rsidR="00F27F90" w:rsidRPr="003408A6">
          <w:rPr>
            <w:lang w:val="en-AU"/>
          </w:rPr>
          <w:fldChar w:fldCharType="end"/>
        </w:r>
      </w:hyperlink>
    </w:p>
    <w:p w:rsidR="00FC6A03" w:rsidRPr="003408A6" w:rsidRDefault="00FC6A03" w:rsidP="00BB3725">
      <w:pPr>
        <w:pStyle w:val="BodyText"/>
        <w:rPr>
          <w:lang w:val="en-AU"/>
        </w:rPr>
      </w:pPr>
      <w:r w:rsidRPr="003408A6">
        <w:rPr>
          <w:lang w:val="en-AU"/>
        </w:rPr>
        <w:t xml:space="preserve">The following year, in 2008, there was a case report from NSW of acute pancreatitis in a 26-year-old woman who developed symptoms </w:t>
      </w:r>
      <w:r w:rsidR="009D476F">
        <w:rPr>
          <w:rFonts w:eastAsia="Calibri"/>
          <w:lang w:val="en-AU"/>
        </w:rPr>
        <w:t>4</w:t>
      </w:r>
      <w:r w:rsidR="009D476F" w:rsidRPr="003408A6">
        <w:rPr>
          <w:lang w:val="en-AU"/>
        </w:rPr>
        <w:t xml:space="preserve"> </w:t>
      </w:r>
      <w:r w:rsidRPr="003408A6">
        <w:rPr>
          <w:lang w:val="en-AU"/>
        </w:rPr>
        <w:t>days after the first dose of the quadrivalent HPV vaccine.</w:t>
      </w:r>
      <w:hyperlink w:anchor="_ENREF_58" w:tooltip="Das, 2008 #348" w:history="1">
        <w:r w:rsidR="00F27F90" w:rsidRPr="003408A6">
          <w:rPr>
            <w:lang w:val="en-AU"/>
          </w:rPr>
          <w:fldChar w:fldCharType="begin"/>
        </w:r>
        <w:r w:rsidR="00F27F90" w:rsidRPr="003408A6">
          <w:rPr>
            <w:lang w:val="en-AU"/>
          </w:rPr>
          <w:instrText xml:space="preserve"> ADDIN EN.CITE &lt;EndNote&gt;&lt;Cite&gt;&lt;Author&gt;Das&lt;/Author&gt;&lt;Year&gt;2008&lt;/Year&gt;&lt;RecNum&gt;348&lt;/RecNum&gt;&lt;DisplayText&gt;&lt;style face="superscript"&gt;58&lt;/style&gt;&lt;/DisplayText&gt;&lt;record&gt;&lt;rec-number&gt;348&lt;/rec-number&gt;&lt;foreign-keys&gt;&lt;key app="EN" db-id="dda0wweazfww9besetpx2r5pt0asp9ztvs95"&gt;348&lt;/key&gt;&lt;/foreign-keys&gt;&lt;ref-type name="Journal Article"&gt;17&lt;/ref-type&gt;&lt;contributors&gt;&lt;authors&gt;&lt;author&gt;Das, A.&lt;/author&gt;&lt;author&gt;Chang, D.&lt;/author&gt;&lt;author&gt;Biankin, A. V.&lt;/author&gt;&lt;author&gt;Merrett, N. D.&lt;/author&gt;&lt;/authors&gt;&lt;/contributors&gt;&lt;titles&gt;&lt;title&gt;Pancreatitis following human papillomavirus vaccination&lt;/title&gt;&lt;secondary-title&gt;Medical Journal of Australia&lt;/secondary-title&gt;&lt;/titles&gt;&lt;periodical&gt;&lt;full-title&gt;Medical Journal of Australia&lt;/full-title&gt;&lt;abbr-1&gt;Med. J. Aust.&lt;/abbr-1&gt;&lt;abbr-2&gt;Med J Aust&lt;/abbr-2&gt;&lt;/periodical&gt;&lt;pages&gt;178&lt;/pages&gt;&lt;volume&gt;189&lt;/volume&gt;&lt;number&gt;3&lt;/number&gt;&lt;keywords&gt;&lt;keyword&gt;Adult&lt;/keyword&gt;&lt;keyword&gt;Cholangiopancreatography, Magnetic Resonance&lt;/keyword&gt;&lt;keyword&gt;Diagnosis, Differential&lt;/keyword&gt;&lt;keyword&gt;Female&lt;/keyword&gt;&lt;keyword&gt;Humans&lt;/keyword&gt;&lt;keyword&gt;Hyperamylasemia/di [Diagnosis]&lt;/keyword&gt;&lt;keyword&gt;Hyperamylasemia/et [Etiology]&lt;/keyword&gt;&lt;keyword&gt;Hyperamylasemia/th [Therapy]&lt;/keyword&gt;&lt;keyword&gt;Lipase/bl [Blood]&lt;/keyword&gt;&lt;keyword&gt;Pancreatitis/di [Diagnosis]&lt;/keyword&gt;&lt;keyword&gt;*Pancreatitis/et [Etiology]&lt;/keyword&gt;&lt;keyword&gt;Pancreatitis/th [Therapy]&lt;/keyword&gt;&lt;keyword&gt;*Papillomavirus Vaccines/ae [Adverse Effects]&lt;/keyword&gt;&lt;keyword&gt;Tomography, X-Ray Computed&lt;/keyword&gt;&lt;keyword&gt;Ultrasonography&lt;/keyword&gt;&lt;keyword&gt;*Vaccination/ae [Adverse Effects]&lt;/keyword&gt;&lt;/keywords&gt;&lt;dates&gt;&lt;year&gt;2008&lt;/year&gt;&lt;pub-dates&gt;&lt;date&gt;Aug 4&lt;/date&gt;&lt;/pub-dates&gt;&lt;/dates&gt;&lt;isbn&gt;0025-729X&lt;/isbn&gt;&lt;call-num&gt;18673112&lt;/call-num&gt;&lt;label&gt;PDF&lt;/label&gt;&lt;urls&gt;&lt;pdf-urls&gt;&lt;url&gt;file://G:\DATA\NCIRS &amp;apos;Library&amp;apos;\PDF\PDF final\Human Papillomavirus - HPV\HPV_200806_Vaccine_Das_In Press.pdf&lt;/url&gt;&lt;/pdf-urls&gt;&lt;/urls&gt;&lt;modified-date&gt;Held NCIRS&lt;/modified-date&gt;&lt;/record&gt;&lt;/Cite&gt;&lt;/EndNote&gt;</w:instrText>
        </w:r>
        <w:r w:rsidR="00F27F90" w:rsidRPr="003408A6">
          <w:rPr>
            <w:lang w:val="en-AU"/>
          </w:rPr>
          <w:fldChar w:fldCharType="separate"/>
        </w:r>
        <w:r w:rsidR="00F27F90" w:rsidRPr="003408A6">
          <w:rPr>
            <w:noProof/>
            <w:vertAlign w:val="superscript"/>
            <w:lang w:val="en-AU"/>
          </w:rPr>
          <w:t>58</w:t>
        </w:r>
        <w:r w:rsidR="00F27F90" w:rsidRPr="003408A6">
          <w:rPr>
            <w:lang w:val="en-AU"/>
          </w:rPr>
          <w:fldChar w:fldCharType="end"/>
        </w:r>
      </w:hyperlink>
      <w:r w:rsidRPr="003408A6">
        <w:rPr>
          <w:lang w:val="en-AU"/>
        </w:rPr>
        <w:t xml:space="preserve"> Around the same period, from the USA, 10 cases of pancreatitis were reported to VAERS. However, all these cases had other risk factors and, because of the low numbers of reports, no statistical comparisons were possible.</w:t>
      </w:r>
      <w:hyperlink w:anchor="_ENREF_69" w:tooltip="Slade, 2009 #1017" w:history="1">
        <w:r w:rsidR="00F27F90" w:rsidRPr="003408A6">
          <w:rPr>
            <w:lang w:val="en-AU"/>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lang w:val="en-AU"/>
          </w:rPr>
          <w:instrText xml:space="preserve"> ADDIN EN.CITE </w:instrText>
        </w:r>
        <w:r w:rsidR="00F27F90">
          <w:rPr>
            <w:lang w:val="en-AU"/>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69</w:t>
        </w:r>
        <w:r w:rsidR="00F27F90" w:rsidRPr="003408A6">
          <w:rPr>
            <w:lang w:val="en-AU"/>
          </w:rPr>
          <w:fldChar w:fldCharType="end"/>
        </w:r>
      </w:hyperlink>
      <w:r w:rsidRPr="003408A6">
        <w:rPr>
          <w:lang w:val="en-AU"/>
        </w:rPr>
        <w:t xml:space="preserve"> The likelihood of HPV vaccination being causally</w:t>
      </w:r>
      <w:r w:rsidR="009D476F">
        <w:rPr>
          <w:lang w:val="en-AU"/>
        </w:rPr>
        <w:t xml:space="preserve"> </w:t>
      </w:r>
      <w:r w:rsidRPr="003408A6">
        <w:rPr>
          <w:lang w:val="en-AU"/>
        </w:rPr>
        <w:t>related was considered unlikely.</w:t>
      </w:r>
    </w:p>
    <w:p w:rsidR="00FC6A03" w:rsidRPr="003408A6" w:rsidRDefault="00FC6A03" w:rsidP="00BB3725">
      <w:pPr>
        <w:pStyle w:val="BodyText"/>
        <w:rPr>
          <w:lang w:val="en-AU"/>
        </w:rPr>
      </w:pPr>
      <w:r w:rsidRPr="003408A6">
        <w:rPr>
          <w:lang w:val="en-AU"/>
        </w:rPr>
        <w:t>In September 2008 in NSW, Sutton et al. published a report of five patients presenting with multifocal or atypical demyelinating syndromes described as multiple sclerosis (MS) within 21 days of receiving the quadrivalent HPV vaccine.</w:t>
      </w:r>
      <w:hyperlink w:anchor="_ENREF_61" w:tooltip="Sutton, 2009 #1060" w:history="1">
        <w:r w:rsidR="00F27F90" w:rsidRPr="003408A6">
          <w:rPr>
            <w:lang w:val="en-AU"/>
          </w:rPr>
          <w:fldChar w:fldCharType="begin">
            <w:fldData xml:space="preserve">PEVuZE5vdGU+PENpdGU+PEF1dGhvcj5TdXR0b248L0F1dGhvcj48WWVhcj4yMDA5PC9ZZWFyPjxS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PEVuZE5vdGU+PENpdGU+PEF1dGhvcj5TdXR0b248L0F1dGhvcj48WWVhcj4yMDA5PC9ZZWFyPjxS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61</w:t>
        </w:r>
        <w:r w:rsidR="00F27F90" w:rsidRPr="003408A6">
          <w:rPr>
            <w:lang w:val="en-AU"/>
          </w:rPr>
          <w:fldChar w:fldCharType="end"/>
        </w:r>
      </w:hyperlink>
      <w:r w:rsidRPr="003408A6">
        <w:rPr>
          <w:lang w:val="en-AU"/>
        </w:rPr>
        <w:t xml:space="preserve"> Following these reports the TGA established a Gardasil Expert Panel (GEP), chaired by Nobel Laureate Professor Peter Doherty, to evaluate the safety of HPV vaccine. The Panel found the incidence of demyelinating disorders, including MS, following Gardasil</w:t>
      </w:r>
      <w:r w:rsidRPr="003408A6">
        <w:rPr>
          <w:vertAlign w:val="superscript"/>
          <w:lang w:val="en-AU"/>
        </w:rPr>
        <w:t>®</w:t>
      </w:r>
      <w:r w:rsidRPr="003408A6">
        <w:rPr>
          <w:lang w:val="en-AU"/>
        </w:rPr>
        <w:t xml:space="preserve"> to be no higher than would be expected by chance. The GEP also concluded that the rate of anaphylaxis was similar to that associated with other vaccines.</w:t>
      </w:r>
      <w:hyperlink w:anchor="_ENREF_67" w:tooltip="Australian Government Department of Health, 2010 #1346" w:history="1">
        <w:r w:rsidR="00F27F90" w:rsidRPr="003408A6">
          <w:rPr>
            <w:lang w:val="en-AU"/>
          </w:rPr>
          <w:fldChar w:fldCharType="begin"/>
        </w:r>
        <w:r w:rsidR="00F27F90">
          <w:rPr>
            <w:lang w:val="en-AU"/>
          </w:rPr>
          <w:instrText xml:space="preserve"> ADDIN EN.CITE &lt;EndNote&gt;&lt;Cite&gt;&lt;Author&gt;Australian Government Department of Health&lt;/Author&gt;&lt;Year&gt;2010&lt;/Year&gt;&lt;RecNum&gt;1346&lt;/RecNum&gt;&lt;DisplayText&gt;&lt;style face="superscript"&gt;67&lt;/style&gt;&lt;/DisplayText&gt;&lt;record&gt;&lt;rec-number&gt;1346&lt;/rec-number&gt;&lt;foreign-keys&gt;&lt;key app="EN" db-id="dda0wweazfww9besetpx2r5pt0asp9ztvs95"&gt;1346&lt;/key&gt;&lt;/foreign-keys&gt;&lt;ref-type name="Web Page"&gt;12&lt;/ref-type&gt;&lt;contributors&gt;&lt;authors&gt;&lt;author&gt;Australian Government Department of Health,&lt;/author&gt;&lt;author&gt;Therapeutic Goods Administration (TGA),&lt;/author&gt;&lt;/authors&gt;&lt;/contributors&gt;&lt;titles&gt;&lt;title&gt;Gardasil (human papillomavirus vaccine)&lt;/title&gt;&lt;/titles&gt;&lt;number&gt;13 December 2013&lt;/number&gt;&lt;dates&gt;&lt;year&gt;2010&lt;/year&gt;&lt;/dates&gt;&lt;urls&gt;&lt;related-urls&gt;&lt;url&gt;http://www.tga.gov.au/safety/alerts-medicine-gardasil-070624.htm&lt;/url&gt;&lt;/related-urls&gt;&lt;/urls&gt;&lt;/record&gt;&lt;/Cite&gt;&lt;/EndNote&gt;</w:instrText>
        </w:r>
        <w:r w:rsidR="00F27F90" w:rsidRPr="003408A6">
          <w:rPr>
            <w:lang w:val="en-AU"/>
          </w:rPr>
          <w:fldChar w:fldCharType="separate"/>
        </w:r>
        <w:r w:rsidR="00F27F90" w:rsidRPr="00F27F90">
          <w:rPr>
            <w:noProof/>
            <w:vertAlign w:val="superscript"/>
            <w:lang w:val="en-AU"/>
          </w:rPr>
          <w:t>67</w:t>
        </w:r>
        <w:r w:rsidR="00F27F90" w:rsidRPr="003408A6">
          <w:rPr>
            <w:lang w:val="en-AU"/>
          </w:rPr>
          <w:fldChar w:fldCharType="end"/>
        </w:r>
      </w:hyperlink>
    </w:p>
    <w:p w:rsidR="00FC6A03" w:rsidRPr="003408A6" w:rsidRDefault="00FC6A03" w:rsidP="00BB3725">
      <w:pPr>
        <w:pStyle w:val="BodyText"/>
        <w:rPr>
          <w:lang w:val="en-AU"/>
        </w:rPr>
      </w:pPr>
      <w:r w:rsidRPr="003408A6">
        <w:rPr>
          <w:lang w:val="en-AU"/>
        </w:rPr>
        <w:t>In 2009, two cases of lipoatrophy of the injection site following the quadrivalent HPV vaccine were reported from Victoria.</w:t>
      </w:r>
      <w:hyperlink w:anchor="_ENREF_60" w:tooltip="Ojaimi, 2009 #1313" w:history="1">
        <w:r w:rsidR="00F27F90" w:rsidRPr="003408A6">
          <w:rPr>
            <w:lang w:val="en-AU"/>
          </w:rPr>
          <w:fldChar w:fldCharType="begin"/>
        </w:r>
        <w:r w:rsidR="00F27F90" w:rsidRPr="003408A6">
          <w:rPr>
            <w:lang w:val="en-AU"/>
          </w:rPr>
          <w:instrText xml:space="preserve"> ADDIN EN.CITE &lt;EndNote&gt;&lt;Cite&gt;&lt;Author&gt;Ojaimi&lt;/Author&gt;&lt;Year&gt;2009&lt;/Year&gt;&lt;RecNum&gt;1313&lt;/RecNum&gt;&lt;DisplayText&gt;&lt;style face="superscript"&gt;60&lt;/style&gt;&lt;/DisplayText&gt;&lt;record&gt;&lt;rec-number&gt;1313&lt;/rec-number&gt;&lt;foreign-keys&gt;&lt;key app="EN" db-id="dda0wweazfww9besetpx2r5pt0asp9ztvs95"&gt;1313&lt;/key&gt;&lt;/foreign-keys&gt;&lt;ref-type name="Journal Article"&gt;17&lt;/ref-type&gt;&lt;contributors&gt;&lt;authors&gt;&lt;author&gt;Ojaimi, S.&lt;/author&gt;&lt;author&gt;Buttery, J.P.&lt;/author&gt;&lt;author&gt;Korman, T.M.&lt;/author&gt;&lt;/authors&gt;&lt;/contributors&gt;&lt;titles&gt;&lt;title&gt;Quadrivalent human papillomavirus recombinant vaccine associated lipoatrophy&lt;/title&gt;&lt;secondary-title&gt;Vaccine&lt;/secondary-title&gt;&lt;/titles&gt;&lt;periodical&gt;&lt;full-title&gt;Vaccine&lt;/full-title&gt;&lt;abbr-1&gt;Vaccine&lt;/abbr-1&gt;&lt;abbr-2&gt;Vaccine&lt;/abbr-2&gt;&lt;/periodical&gt;&lt;pages&gt;4876-8&lt;/pages&gt;&lt;volume&gt;27&lt;/volume&gt;&lt;dates&gt;&lt;year&gt;2009&lt;/year&gt;&lt;/dates&gt;&lt;urls&gt;&lt;/urls&gt;&lt;/record&gt;&lt;/Cite&gt;&lt;/EndNote&gt;</w:instrText>
        </w:r>
        <w:r w:rsidR="00F27F90" w:rsidRPr="003408A6">
          <w:rPr>
            <w:lang w:val="en-AU"/>
          </w:rPr>
          <w:fldChar w:fldCharType="separate"/>
        </w:r>
        <w:r w:rsidR="00F27F90" w:rsidRPr="003408A6">
          <w:rPr>
            <w:noProof/>
            <w:vertAlign w:val="superscript"/>
            <w:lang w:val="en-AU"/>
          </w:rPr>
          <w:t>60</w:t>
        </w:r>
        <w:r w:rsidR="00F27F90" w:rsidRPr="003408A6">
          <w:rPr>
            <w:lang w:val="en-AU"/>
          </w:rPr>
          <w:fldChar w:fldCharType="end"/>
        </w:r>
      </w:hyperlink>
      <w:r w:rsidRPr="003408A6">
        <w:rPr>
          <w:lang w:val="en-AU"/>
        </w:rPr>
        <w:t xml:space="preserve"> Lipoatrophy has been previously reported following injections with various medications and vaccines (diphtheria, pertussis and tetanus). In the USA</w:t>
      </w:r>
      <w:r w:rsidRPr="003408A6">
        <w:rPr>
          <w:lang w:val="en-AU"/>
        </w:rPr>
        <w:fldChar w:fldCharType="begin"/>
      </w:r>
      <w:r w:rsidRPr="003408A6">
        <w:rPr>
          <w:lang w:val="en-AU"/>
        </w:rPr>
        <w:instrText xml:space="preserve"> ADDIN EN.CITE &lt;EndNote&gt;&lt;Cite ExcludeAuth="1" ExcludeYear="1" Hidden="1"&gt;&lt;Year&gt;2013&lt;/Year&gt;&lt;RecNum&gt;1333&lt;/RecNum&gt;&lt;record&gt;&lt;rec-number&gt;1333&lt;/rec-number&gt;&lt;foreign-keys&gt;&lt;key app="EN" db-id="dda0wweazfww9besetpx2r5pt0asp9ztvs95"&gt;1333&lt;/key&gt;&lt;/foreign-keys&gt;&lt;ref-type name="Web Page"&gt;12&lt;/ref-type&gt;&lt;contributors&gt;&lt;/contributors&gt;&lt;titles&gt;&lt;title&gt;Vaccine Adverse Event Reporting System (VAERS)&lt;/title&gt;&lt;/titles&gt;&lt;number&gt;5 December 2013&lt;/number&gt;&lt;dates&gt;&lt;year&gt;2013&lt;/year&gt;&lt;/dates&gt;&lt;urls&gt;&lt;related-urls&gt;&lt;url&gt;https://vaers.hhs.gov/index&lt;/url&gt;&lt;/related-urls&gt;&lt;/urls&gt;&lt;/record&gt;&lt;/Cite&gt;&lt;/EndNote&gt;</w:instrText>
      </w:r>
      <w:r w:rsidRPr="003408A6">
        <w:rPr>
          <w:lang w:val="en-AU"/>
        </w:rPr>
        <w:fldChar w:fldCharType="end"/>
      </w:r>
      <w:r w:rsidRPr="003408A6">
        <w:rPr>
          <w:lang w:val="en-AU"/>
        </w:rPr>
        <w:t xml:space="preserve"> there have been no reports of lipoatrophy secondary to HPV vaccination found in the VAERS database</w:t>
      </w:r>
      <w:r w:rsidRPr="003408A6">
        <w:rPr>
          <w:lang w:val="en-AU"/>
        </w:rPr>
        <w:fldChar w:fldCharType="begin"/>
      </w:r>
      <w:r w:rsidRPr="003408A6">
        <w:rPr>
          <w:lang w:val="en-AU"/>
        </w:rPr>
        <w:instrText xml:space="preserve"> ADDIN EN.CITE &lt;EndNote&gt;&lt;Cite ExcludeAuth="1" ExcludeYear="1" Hidden="1"&gt;&lt;Year&gt;2013&lt;/Year&gt;&lt;RecNum&gt;1333&lt;/RecNum&gt;&lt;record&gt;&lt;rec-number&gt;1333&lt;/rec-number&gt;&lt;foreign-keys&gt;&lt;key app="EN" db-id="dda0wweazfww9besetpx2r5pt0asp9ztvs95"&gt;1333&lt;/key&gt;&lt;/foreign-keys&gt;&lt;ref-type name="Web Page"&gt;12&lt;/ref-type&gt;&lt;contributors&gt;&lt;/contributors&gt;&lt;titles&gt;&lt;title&gt;Vaccine Adverse Event Reporting System (VAERS)&lt;/title&gt;&lt;/titles&gt;&lt;number&gt;5 December 2013&lt;/number&gt;&lt;dates&gt;&lt;year&gt;2013&lt;/year&gt;&lt;/dates&gt;&lt;urls&gt;&lt;related-urls&gt;&lt;url&gt;https://vaers.hhs.gov/index&lt;/url&gt;&lt;/related-urls&gt;&lt;/urls&gt;&lt;/record&gt;&lt;/Cite&gt;&lt;Cite ExcludeAuth="1"&gt;&lt;Year&gt;2013&lt;/Year&gt;&lt;RecNum&gt;1333&lt;/RecNum&gt;&lt;record&gt;&lt;rec-number&gt;1333&lt;/rec-number&gt;&lt;foreign-keys&gt;&lt;key app="EN" db-id="dda0wweazfww9besetpx2r5pt0asp9ztvs95"&gt;1333&lt;/key&gt;&lt;/foreign-keys&gt;&lt;ref-type name="Web Page"&gt;12&lt;/ref-type&gt;&lt;contributors&gt;&lt;/contributors&gt;&lt;titles&gt;&lt;title&gt;Vaccine Adverse Event Reporting System (VAERS)&lt;/title&gt;&lt;/titles&gt;&lt;number&gt;5 December 2013&lt;/number&gt;&lt;dates&gt;&lt;year&gt;2013&lt;/year&gt;&lt;/dates&gt;&lt;urls&gt;&lt;related-urls&gt;&lt;url&gt;https://vaers.hhs.gov/index&lt;/url&gt;&lt;/related-urls&gt;&lt;/urls&gt;&lt;/record&gt;&lt;/Cite&gt;&lt;/EndNote&gt;</w:instrText>
      </w:r>
      <w:r w:rsidRPr="003408A6">
        <w:rPr>
          <w:lang w:val="en-AU"/>
        </w:rPr>
        <w:fldChar w:fldCharType="end"/>
      </w:r>
      <w:r w:rsidRPr="003408A6">
        <w:rPr>
          <w:lang w:val="en-AU"/>
        </w:rPr>
        <w:t>.</w:t>
      </w:r>
      <w:hyperlink w:anchor="_ENREF_56" w:tooltip=", 2013 #1333" w:history="1"/>
      <w:r w:rsidRPr="003408A6">
        <w:rPr>
          <w:lang w:val="en-AU"/>
        </w:rPr>
        <w:t xml:space="preserve"> In a retrospective case series, </w:t>
      </w:r>
      <w:r w:rsidRPr="003408A6">
        <w:rPr>
          <w:rFonts w:eastAsia="Calibri"/>
          <w:lang w:val="en-AU"/>
        </w:rPr>
        <w:t>SAEFVIC</w:t>
      </w:r>
      <w:r w:rsidRPr="003408A6">
        <w:rPr>
          <w:lang w:val="en-AU"/>
        </w:rPr>
        <w:t xml:space="preserve"> identified four cases of complex regional pain syndrome type 1 (CRPS-1) temporally associated with HPV vaccination, reflecting a known complex pain response to a painful stimulus.</w:t>
      </w:r>
      <w:hyperlink w:anchor="_ENREF_71" w:tooltip="Richards, 2012 #1348" w:history="1">
        <w:r w:rsidR="00F27F90" w:rsidRPr="003408A6">
          <w:rPr>
            <w:lang w:val="en-AU"/>
          </w:rPr>
          <w:fldChar w:fldCharType="begin"/>
        </w:r>
        <w:r w:rsidR="00F27F90">
          <w:rPr>
            <w:lang w:val="en-AU"/>
          </w:rPr>
          <w:instrText xml:space="preserve"> ADDIN EN.CITE &lt;EndNote&gt;&lt;Cite&gt;&lt;Author&gt;Richards&lt;/Author&gt;&lt;Year&gt;2012&lt;/Year&gt;&lt;RecNum&gt;1348&lt;/RecNum&gt;&lt;DisplayText&gt;&lt;style face="superscript"&gt;71&lt;/style&gt;&lt;/DisplayText&gt;&lt;record&gt;&lt;rec-number&gt;1348&lt;/rec-number&gt;&lt;foreign-keys&gt;&lt;key app="EN" db-id="dda0wweazfww9besetpx2r5pt0asp9ztvs95"&gt;1348&lt;/key&gt;&lt;/foreign-keys&gt;&lt;ref-type name="Journal Article"&gt;17&lt;/ref-type&gt;&lt;contributors&gt;&lt;authors&gt;&lt;author&gt;Richards, S.&lt;/author&gt;&lt;author&gt;Chalkiadis, G.&lt;/author&gt;&lt;author&gt;Lakshman, R.&lt;/author&gt;&lt;author&gt;Buttery, J.P.&lt;/author&gt;&lt;author&gt;Crawford, N.W. &lt;/author&gt;&lt;/authors&gt;&lt;/contributors&gt;&lt;titles&gt;&lt;title&gt;Complex regional pain syndrome following immunisation&lt;/title&gt;&lt;secondary-title&gt;Archives of Disease in Childhood&lt;/secondary-title&gt;&lt;/titles&gt;&lt;periodical&gt;&lt;full-title&gt;Archives of Disease in Childhood&lt;/full-title&gt;&lt;abbr-1&gt;Arch. Dis. Child.&lt;/abbr-1&gt;&lt;abbr-2&gt;Arch Dis Child&lt;/abbr-2&gt;&lt;/periodical&gt;&lt;pages&gt;913-5&lt;/pages&gt;&lt;volume&gt;97&lt;/volume&gt;&lt;number&gt;10&lt;/number&gt;&lt;edition&gt;doi:10.1136/archdischild-2011-301307&lt;/edition&gt;&lt;dates&gt;&lt;year&gt;2012&lt;/year&gt;&lt;/dates&gt;&lt;urls&gt;&lt;/urls&gt;&lt;/record&gt;&lt;/Cite&gt;&lt;/EndNote&gt;</w:instrText>
        </w:r>
        <w:r w:rsidR="00F27F90" w:rsidRPr="003408A6">
          <w:rPr>
            <w:lang w:val="en-AU"/>
          </w:rPr>
          <w:fldChar w:fldCharType="separate"/>
        </w:r>
        <w:r w:rsidR="00F27F90" w:rsidRPr="00F27F90">
          <w:rPr>
            <w:noProof/>
            <w:vertAlign w:val="superscript"/>
            <w:lang w:val="en-AU"/>
          </w:rPr>
          <w:t>71</w:t>
        </w:r>
        <w:r w:rsidR="00F27F90" w:rsidRPr="003408A6">
          <w:rPr>
            <w:lang w:val="en-AU"/>
          </w:rPr>
          <w:fldChar w:fldCharType="end"/>
        </w:r>
      </w:hyperlink>
      <w:r w:rsidRPr="003408A6">
        <w:rPr>
          <w:lang w:val="en-AU"/>
        </w:rPr>
        <w:t xml:space="preserve"> This condition has been implicated as of sufficient public and media concern following HPV vaccination in Japan that the HPV vaccine is currently not actively recommended in that country.</w:t>
      </w:r>
      <w:hyperlink w:anchor="_ENREF_72" w:tooltip="Gilmour, 2013 #1357" w:history="1">
        <w:r w:rsidR="00F27F90" w:rsidRPr="003408A6">
          <w:rPr>
            <w:lang w:val="en-AU"/>
          </w:rPr>
          <w:fldChar w:fldCharType="begin"/>
        </w:r>
        <w:r w:rsidR="00F27F90">
          <w:rPr>
            <w:lang w:val="en-AU"/>
          </w:rPr>
          <w:instrText xml:space="preserve"> ADDIN EN.CITE &lt;EndNote&gt;&lt;Cite&gt;&lt;Author&gt;Gilmour&lt;/Author&gt;&lt;Year&gt;2013&lt;/Year&gt;&lt;RecNum&gt;1357&lt;/RecNum&gt;&lt;DisplayText&gt;&lt;style face="superscript"&gt;72&lt;/style&gt;&lt;/DisplayText&gt;&lt;record&gt;&lt;rec-number&gt;1357&lt;/rec-number&gt;&lt;foreign-keys&gt;&lt;key app="EN" db-id="dda0wweazfww9besetpx2r5pt0asp9ztvs95"&gt;1357&lt;/key&gt;&lt;/foreign-keys&gt;&lt;ref-type name="Journal Article"&gt;17&lt;/ref-type&gt;&lt;contributors&gt;&lt;authors&gt;&lt;author&gt;Gilmour, S.&lt;/author&gt;&lt;author&gt;Kanda, M.&lt;/author&gt;&lt;author&gt;Kusumi, E.&lt;/author&gt;&lt;author&gt;Tanimoto, T.&lt;/author&gt;&lt;author&gt;Kami, M.&lt;/author&gt;&lt;author&gt;Shibuya, K.&lt;/author&gt;&lt;/authors&gt;&lt;/contributors&gt;&lt;titles&gt;&lt;title&gt;HPV vaccination programme in Japan&lt;/title&gt;&lt;secondary-title&gt;Lancet&lt;/secondary-title&gt;&lt;/titles&gt;&lt;periodical&gt;&lt;full-title&gt;Lancet&lt;/full-title&gt;&lt;abbr-1&gt;Lancet&lt;/abbr-1&gt;&lt;abbr-2&gt;Lancet&lt;/abbr-2&gt;&lt;/periodical&gt;&lt;pages&gt;768&lt;/pages&gt;&lt;volume&gt;382&lt;/volume&gt;&lt;number&gt;9894&lt;/number&gt;&lt;dates&gt;&lt;year&gt;2013&lt;/year&gt;&lt;/dates&gt;&lt;urls&gt;&lt;/urls&gt;&lt;/record&gt;&lt;/Cite&gt;&lt;/EndNote&gt;</w:instrText>
        </w:r>
        <w:r w:rsidR="00F27F90" w:rsidRPr="003408A6">
          <w:rPr>
            <w:lang w:val="en-AU"/>
          </w:rPr>
          <w:fldChar w:fldCharType="separate"/>
        </w:r>
        <w:r w:rsidR="00F27F90" w:rsidRPr="00F27F90">
          <w:rPr>
            <w:noProof/>
            <w:vertAlign w:val="superscript"/>
            <w:lang w:val="en-AU"/>
          </w:rPr>
          <w:t>72</w:t>
        </w:r>
        <w:r w:rsidR="00F27F90" w:rsidRPr="003408A6">
          <w:rPr>
            <w:lang w:val="en-AU"/>
          </w:rPr>
          <w:fldChar w:fldCharType="end"/>
        </w:r>
      </w:hyperlink>
    </w:p>
    <w:p w:rsidR="00FC6A03" w:rsidRPr="009D476F" w:rsidRDefault="00FC6A03" w:rsidP="009D476F">
      <w:pPr>
        <w:pStyle w:val="BodyText"/>
      </w:pPr>
      <w:r w:rsidRPr="009D476F">
        <w:t>In the USA, vasovagal syncope was reported to VAERS at a rate of 8.2 per 100,000 distributed vaccine doses.</w:t>
      </w:r>
      <w:hyperlink w:anchor="_ENREF_69" w:tooltip="Slade, 2009 #1017" w:history="1">
        <w:r w:rsidR="00F27F90" w:rsidRPr="009D476F">
          <w:rPr>
            <w:vertAlign w:val="superscript"/>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vertAlign w:val="superscript"/>
          </w:rPr>
          <w:instrText xml:space="preserve"> ADDIN EN.CITE </w:instrText>
        </w:r>
        <w:r w:rsidR="00F27F90">
          <w:rPr>
            <w:vertAlign w:val="superscript"/>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vertAlign w:val="superscript"/>
          </w:rPr>
          <w:instrText xml:space="preserve"> ADDIN EN.CITE.DATA </w:instrText>
        </w:r>
        <w:r w:rsidR="00F27F90">
          <w:rPr>
            <w:vertAlign w:val="superscript"/>
          </w:rPr>
        </w:r>
        <w:r w:rsidR="00F27F90">
          <w:rPr>
            <w:vertAlign w:val="superscript"/>
          </w:rPr>
          <w:fldChar w:fldCharType="end"/>
        </w:r>
        <w:r w:rsidR="00F27F90" w:rsidRPr="009D476F">
          <w:rPr>
            <w:vertAlign w:val="superscript"/>
          </w:rPr>
        </w:r>
        <w:r w:rsidR="00F27F90" w:rsidRPr="009D476F">
          <w:rPr>
            <w:vertAlign w:val="superscript"/>
          </w:rPr>
          <w:fldChar w:fldCharType="separate"/>
        </w:r>
        <w:r w:rsidR="00F27F90">
          <w:rPr>
            <w:noProof/>
            <w:vertAlign w:val="superscript"/>
          </w:rPr>
          <w:t>69</w:t>
        </w:r>
        <w:r w:rsidR="00F27F90" w:rsidRPr="009D476F">
          <w:rPr>
            <w:vertAlign w:val="superscript"/>
          </w:rPr>
          <w:fldChar w:fldCharType="end"/>
        </w:r>
      </w:hyperlink>
      <w:r w:rsidRPr="009D476F">
        <w:t xml:space="preserve"> This is very similar to the findings of an analysis of Victorian AEFI data which found a reporting rate of syncope after quadrivalent HPV vaccine of 7.8 per 100,000 doses distributed.</w:t>
      </w:r>
      <w:hyperlink w:anchor="_ENREF_73" w:tooltip="Crawford, 2011 #1344" w:history="1">
        <w:r w:rsidR="00F27F90" w:rsidRPr="009D476F">
          <w:rPr>
            <w:vertAlign w:val="superscript"/>
          </w:rPr>
          <w:fldChar w:fldCharType="begin"/>
        </w:r>
        <w:r w:rsidR="00F27F90">
          <w:rPr>
            <w:vertAlign w:val="superscript"/>
          </w:rPr>
          <w:instrText xml:space="preserve"> ADDIN EN.CITE &lt;EndNote&gt;&lt;Cite&gt;&lt;Author&gt;Crawford&lt;/Author&gt;&lt;Year&gt;2011&lt;/Year&gt;&lt;RecNum&gt;1344&lt;/RecNum&gt;&lt;DisplayText&gt;&lt;style face="superscript"&gt;73&lt;/style&gt;&lt;/DisplayText&gt;&lt;record&gt;&lt;rec-number&gt;1344&lt;/rec-number&gt;&lt;foreign-keys&gt;&lt;key app="EN" db-id="dda0wweazfww9besetpx2r5pt0asp9ztvs95"&gt;1344&lt;/key&gt;&lt;/foreign-keys&gt;&lt;ref-type name="Journal Article"&gt;17&lt;/ref-type&gt;&lt;contributors&gt;&lt;authors&gt;&lt;author&gt;Crawford, N.W.&lt;/author&gt;&lt;author&gt;Clothier, H.J.&lt;/author&gt;&lt;author&gt;Elia, S.&lt;/author&gt;&lt;author&gt;Lazzaro, T.&lt;/author&gt;&lt;author&gt;Royle, J.&lt;/author&gt;&lt;author&gt;Buttery, J.P.&lt;/author&gt;&lt;/authors&gt;&lt;/contributors&gt;&lt;titles&gt;&lt;title&gt;Syncope and seizures following human papillomavirus vaccination: a retrospective case series&lt;/title&gt;&lt;secondary-title&gt;Medical Journal of Australia&lt;/secondary-title&gt;&lt;/titles&gt;&lt;periodical&gt;&lt;full-title&gt;Medical Journal of Australia&lt;/full-title&gt;&lt;abbr-1&gt;Med. J. Aust.&lt;/abbr-1&gt;&lt;abbr-2&gt;Med J Aust&lt;/abbr-2&gt;&lt;/periodical&gt;&lt;pages&gt;16-18&lt;/pages&gt;&lt;volume&gt;194&lt;/volume&gt;&lt;number&gt;1&lt;/number&gt;&lt;dates&gt;&lt;year&gt;2011&lt;/year&gt;&lt;/dates&gt;&lt;urls&gt;&lt;/urls&gt;&lt;/record&gt;&lt;/Cite&gt;&lt;/EndNote&gt;</w:instrText>
        </w:r>
        <w:r w:rsidR="00F27F90" w:rsidRPr="009D476F">
          <w:rPr>
            <w:vertAlign w:val="superscript"/>
          </w:rPr>
          <w:fldChar w:fldCharType="separate"/>
        </w:r>
        <w:r w:rsidR="00F27F90">
          <w:rPr>
            <w:noProof/>
            <w:vertAlign w:val="superscript"/>
          </w:rPr>
          <w:t>73</w:t>
        </w:r>
        <w:r w:rsidR="00F27F90" w:rsidRPr="009D476F">
          <w:rPr>
            <w:vertAlign w:val="superscript"/>
          </w:rPr>
          <w:fldChar w:fldCharType="end"/>
        </w:r>
      </w:hyperlink>
      <w:r w:rsidRPr="009D476F">
        <w:t xml:space="preserve"> Nationally the rate was lower at 2.5 per 100,000 doses distributed</w:t>
      </w:r>
      <w:r w:rsidR="0008427B" w:rsidRPr="009D476F">
        <w:t>,</w:t>
      </w:r>
      <w:hyperlink w:anchor="_ENREF_74" w:tooltip="Therapeutic Goods Administration (TGA),  #1345" w:history="1">
        <w:r w:rsidR="00F27F90" w:rsidRPr="009D476F">
          <w:rPr>
            <w:vertAlign w:val="superscript"/>
          </w:rPr>
          <w:fldChar w:fldCharType="begin"/>
        </w:r>
        <w:r w:rsidR="00F27F90">
          <w:rPr>
            <w:vertAlign w:val="superscript"/>
          </w:rPr>
          <w:instrText xml:space="preserve"> ADDIN EN.CITE &lt;EndNote&gt;&lt;Cite ExcludeYear="1"&gt;&lt;Author&gt;Therapeutic Goods Administration (TGA)&lt;/Author&gt;&lt;RecNum&gt;1345&lt;/RecNum&gt;&lt;DisplayText&gt;&lt;style face="superscript"&gt;74&lt;/style&gt;&lt;/DisplayText&gt;&lt;record&gt;&lt;rec-number&gt;1345&lt;/rec-number&gt;&lt;foreign-keys&gt;&lt;key app="EN" db-id="dda0wweazfww9besetpx2r5pt0asp9ztvs95"&gt;1345&lt;/key&gt;&lt;/foreign-keys&gt;&lt;ref-type name="Web Page"&gt;12&lt;/ref-type&gt;&lt;contributors&gt;&lt;authors&gt;&lt;author&gt;Therapeutic Goods Administration (TGA),&lt;/author&gt;&lt;/authors&gt;&lt;/contributors&gt;&lt;titles&gt;&lt;title&gt;Human papillomavirus vaccine (GARDASIL). Advice from the TGA&lt;/title&gt;&lt;/titles&gt;&lt;number&gt;13 December 2013&lt;/number&gt;&lt;dates&gt;&lt;/dates&gt;&lt;urls&gt;&lt;related-urls&gt;&lt;url&gt;http://www.pbs.gov.au/info/news/2006/11/aust-govt-funds-gardasil&lt;/url&gt;&lt;/related-urls&gt;&lt;/urls&gt;&lt;/record&gt;&lt;/Cite&gt;&lt;/EndNote&gt;</w:instrText>
        </w:r>
        <w:r w:rsidR="00F27F90" w:rsidRPr="009D476F">
          <w:rPr>
            <w:vertAlign w:val="superscript"/>
          </w:rPr>
          <w:fldChar w:fldCharType="separate"/>
        </w:r>
        <w:r w:rsidR="00F27F90">
          <w:rPr>
            <w:noProof/>
            <w:vertAlign w:val="superscript"/>
          </w:rPr>
          <w:t>74</w:t>
        </w:r>
        <w:r w:rsidR="00F27F90" w:rsidRPr="009D476F">
          <w:rPr>
            <w:vertAlign w:val="superscript"/>
          </w:rPr>
          <w:fldChar w:fldCharType="end"/>
        </w:r>
      </w:hyperlink>
      <w:r w:rsidRPr="009D476F">
        <w:t xml:space="preserve"> which may reflect the differing state-based AEFI reporting and clinical review systems within Australia.</w:t>
      </w:r>
    </w:p>
    <w:p w:rsidR="00FC6A03" w:rsidRPr="003408A6" w:rsidRDefault="00FC6A03" w:rsidP="00BB3725">
      <w:pPr>
        <w:pStyle w:val="BodyText"/>
        <w:rPr>
          <w:lang w:val="en-AU"/>
        </w:rPr>
      </w:pPr>
      <w:r w:rsidRPr="003408A6">
        <w:rPr>
          <w:lang w:val="en-AU"/>
        </w:rPr>
        <w:t xml:space="preserve">In February 2013, the National HPV Vaccination Program was extended to males aged 12–13 years through the school-based </w:t>
      </w:r>
      <w:r w:rsidRPr="003408A6">
        <w:rPr>
          <w:rFonts w:eastAsia="Calibri"/>
          <w:lang w:val="en-AU"/>
        </w:rPr>
        <w:t>program</w:t>
      </w:r>
      <w:r w:rsidRPr="003408A6">
        <w:rPr>
          <w:lang w:val="en-AU"/>
        </w:rPr>
        <w:t>, including a 2</w:t>
      </w:r>
      <w:r w:rsidR="009D476F">
        <w:rPr>
          <w:lang w:val="en-AU"/>
        </w:rPr>
        <w:t>-</w:t>
      </w:r>
      <w:r w:rsidRPr="003408A6">
        <w:rPr>
          <w:lang w:val="en-AU"/>
        </w:rPr>
        <w:t>year catch</w:t>
      </w:r>
      <w:r w:rsidR="00EE26E6">
        <w:rPr>
          <w:lang w:val="en-AU"/>
        </w:rPr>
        <w:t>-</w:t>
      </w:r>
      <w:r w:rsidRPr="003408A6">
        <w:rPr>
          <w:lang w:val="en-AU"/>
        </w:rPr>
        <w:t>up program for males aged 14</w:t>
      </w:r>
      <w:r w:rsidR="00EE26E6">
        <w:rPr>
          <w:lang w:val="en-AU"/>
        </w:rPr>
        <w:t>–</w:t>
      </w:r>
      <w:r w:rsidRPr="003408A6">
        <w:rPr>
          <w:lang w:val="en-AU"/>
        </w:rPr>
        <w:t xml:space="preserve">15 years until the end of 2014. To support the extension of the National HPV Vaccination Program to males, in October 2012 the </w:t>
      </w:r>
      <w:r w:rsidR="008E6E49">
        <w:rPr>
          <w:lang w:val="en-AU"/>
        </w:rPr>
        <w:t>Australian Government Department of Health</w:t>
      </w:r>
      <w:r w:rsidRPr="003408A6">
        <w:rPr>
          <w:lang w:val="en-AU"/>
        </w:rPr>
        <w:t xml:space="preserve"> established the HPV Implementation Working Group as a time-limited Working Group of ATAGI, to consider the need for enhanced monitoring of AEFI following HPV vaccination of males and females. The Working Group proposed a number of enhancements to the existing AEFI surveillance system which were subsequently implemented by the </w:t>
      </w:r>
      <w:r w:rsidR="008E6E49">
        <w:rPr>
          <w:lang w:val="en-AU"/>
        </w:rPr>
        <w:t>Australian Government Department of Health</w:t>
      </w:r>
      <w:r w:rsidRPr="003408A6">
        <w:rPr>
          <w:lang w:val="en-AU"/>
        </w:rPr>
        <w:t xml:space="preserve">. These include: </w:t>
      </w:r>
    </w:p>
    <w:p w:rsidR="00FC6A03" w:rsidRPr="003408A6" w:rsidRDefault="00FC6A03" w:rsidP="00BB3725">
      <w:pPr>
        <w:pStyle w:val="Bodytextbullets"/>
        <w:rPr>
          <w:lang w:val="en-AU"/>
        </w:rPr>
      </w:pPr>
      <w:r w:rsidRPr="003408A6">
        <w:rPr>
          <w:lang w:val="en-AU"/>
        </w:rPr>
        <w:t>Communication activities targeted at immunisation providers, the public and media on the safety of the HPV vaccine and the importance of timely reporting of AEFI.</w:t>
      </w:r>
    </w:p>
    <w:p w:rsidR="00FC6A03" w:rsidRPr="003408A6" w:rsidRDefault="00FC6A03" w:rsidP="00BB3725">
      <w:pPr>
        <w:pStyle w:val="Bodytextbullets"/>
        <w:rPr>
          <w:lang w:val="en-AU"/>
        </w:rPr>
      </w:pPr>
      <w:r w:rsidRPr="003408A6">
        <w:rPr>
          <w:lang w:val="en-AU"/>
        </w:rPr>
        <w:t>Rapid school-based reporting of four acute significant AEFI following HPV vaccination to the TGA in all jurisdictions (applicable to first dose only). The four conditions were: anaphylaxis; generalised allergic reaction; loss of consciousness (simple faints, faints with injury, faints with convulsion); and any condition requiring emergency department attendance or hospitalisation.</w:t>
      </w:r>
    </w:p>
    <w:p w:rsidR="00FC6A03" w:rsidRPr="003408A6" w:rsidRDefault="00FC6A03" w:rsidP="00BB3725">
      <w:pPr>
        <w:pStyle w:val="Bodytextbullets"/>
        <w:rPr>
          <w:lang w:val="en-AU"/>
        </w:rPr>
      </w:pPr>
      <w:r w:rsidRPr="003408A6">
        <w:rPr>
          <w:lang w:val="en-AU"/>
        </w:rPr>
        <w:t>A regular teleconference between members of the TGA, the Office of Health Protection (OHP) and Jurisdictional Immunisation Coordinators (JIC) to discuss HPV AEFI reports during administration of dose 1.</w:t>
      </w:r>
    </w:p>
    <w:p w:rsidR="00FC6A03" w:rsidRPr="003408A6" w:rsidRDefault="00FC6A03" w:rsidP="00BB3725">
      <w:pPr>
        <w:pStyle w:val="Bodytextbullets"/>
        <w:rPr>
          <w:lang w:val="en-AU"/>
        </w:rPr>
      </w:pPr>
      <w:r w:rsidRPr="003408A6">
        <w:rPr>
          <w:lang w:val="en-AU"/>
        </w:rPr>
        <w:t xml:space="preserve">Active surveillance of presentations to emergency departments following HPV vaccination (in </w:t>
      </w:r>
      <w:r w:rsidR="009D476F">
        <w:rPr>
          <w:lang w:val="en-AU"/>
        </w:rPr>
        <w:t>NSW</w:t>
      </w:r>
      <w:r w:rsidRPr="003408A6">
        <w:rPr>
          <w:lang w:val="en-AU"/>
        </w:rPr>
        <w:t xml:space="preserve"> only).</w:t>
      </w:r>
    </w:p>
    <w:p w:rsidR="00FC6A03" w:rsidRPr="003408A6" w:rsidRDefault="00FC6A03" w:rsidP="00BB3725">
      <w:pPr>
        <w:pStyle w:val="Bodytextbullets"/>
        <w:rPr>
          <w:lang w:val="en-AU"/>
        </w:rPr>
      </w:pPr>
      <w:r w:rsidRPr="003408A6">
        <w:rPr>
          <w:lang w:val="en-AU"/>
        </w:rPr>
        <w:t>Development of a Protocol for National HPV Vaccination Program Action and Communication to ensure a nationally consistent program response to a potential or confirmed safety signal after HPV vaccination.</w:t>
      </w:r>
    </w:p>
    <w:p w:rsidR="00FC6A03" w:rsidRPr="003408A6" w:rsidRDefault="00FC6A03" w:rsidP="00BB3725">
      <w:pPr>
        <w:pStyle w:val="Bodytextbullets"/>
        <w:rPr>
          <w:lang w:val="en-AU"/>
        </w:rPr>
      </w:pPr>
      <w:r w:rsidRPr="003408A6">
        <w:rPr>
          <w:lang w:val="en-AU"/>
        </w:rPr>
        <w:t xml:space="preserve">The Adverse Events Following Immunisation – Clinical Assessment Network (AEFI–CAN) HPV Pilot, a pilot project aimed at increasing collaboration and linkage between vaccine safety clinics across Australia to facilitate provision of more standardised information on significant/unexpected AEFI following the expansion of the National HPV Vaccination Program to males. </w:t>
      </w:r>
    </w:p>
    <w:p w:rsidR="00FC6A03" w:rsidRPr="003408A6" w:rsidRDefault="00FC6A03" w:rsidP="00BB3725">
      <w:pPr>
        <w:pStyle w:val="BodyText"/>
        <w:rPr>
          <w:lang w:val="en-AU"/>
        </w:rPr>
      </w:pPr>
      <w:r w:rsidRPr="003408A6">
        <w:rPr>
          <w:lang w:val="en-AU"/>
        </w:rPr>
        <w:t xml:space="preserve">As discussed in more detail below, no new or serious safety concerns have been identified in males or females. </w:t>
      </w:r>
    </w:p>
    <w:p w:rsidR="009629BC" w:rsidRPr="003408A6" w:rsidRDefault="009629BC">
      <w:pPr>
        <w:rPr>
          <w:rFonts w:eastAsia="Calibri" w:cs="Arial"/>
          <w:b/>
          <w:bCs/>
          <w:szCs w:val="22"/>
          <w:lang w:eastAsia="en-US"/>
        </w:rPr>
      </w:pPr>
      <w:r w:rsidRPr="003408A6">
        <w:br w:type="page"/>
      </w:r>
    </w:p>
    <w:p w:rsidR="00FC6A03" w:rsidRPr="003408A6" w:rsidRDefault="00FC6A03" w:rsidP="00FC6A03">
      <w:pPr>
        <w:pStyle w:val="Tableheading"/>
        <w:rPr>
          <w:lang w:val="en-AU"/>
        </w:rPr>
      </w:pPr>
      <w:bookmarkStart w:id="162" w:name="_Toc396475547"/>
      <w:bookmarkStart w:id="163" w:name="_Toc397000775"/>
      <w:r w:rsidRPr="003408A6">
        <w:rPr>
          <w:lang w:val="en-AU"/>
        </w:rPr>
        <w:t>Table 4.</w:t>
      </w:r>
      <w:r w:rsidRPr="003408A6">
        <w:rPr>
          <w:lang w:val="en-AU"/>
        </w:rPr>
        <w:fldChar w:fldCharType="begin"/>
      </w:r>
      <w:r w:rsidRPr="003408A6">
        <w:rPr>
          <w:lang w:val="en-AU"/>
        </w:rPr>
        <w:instrText xml:space="preserve"> SEQ Table \* ARABIC </w:instrText>
      </w:r>
      <w:r w:rsidRPr="003408A6">
        <w:rPr>
          <w:lang w:val="en-AU"/>
        </w:rPr>
        <w:fldChar w:fldCharType="separate"/>
      </w:r>
      <w:r w:rsidR="003D0CAF">
        <w:rPr>
          <w:noProof/>
          <w:lang w:val="en-AU"/>
        </w:rPr>
        <w:t>1</w:t>
      </w:r>
      <w:r w:rsidRPr="003408A6">
        <w:rPr>
          <w:noProof/>
          <w:lang w:val="en-AU"/>
        </w:rPr>
        <w:fldChar w:fldCharType="end"/>
      </w:r>
      <w:r w:rsidRPr="003408A6">
        <w:rPr>
          <w:noProof/>
          <w:lang w:val="en-AU"/>
        </w:rPr>
        <w:t>.</w:t>
      </w:r>
      <w:r w:rsidR="00D861BD" w:rsidRPr="003408A6">
        <w:rPr>
          <w:lang w:val="en-AU"/>
        </w:rPr>
        <w:tab/>
      </w:r>
      <w:r w:rsidRPr="003408A6">
        <w:rPr>
          <w:lang w:val="en-AU"/>
        </w:rPr>
        <w:t>Chronology of significant safety concerns associated with HPV vaccination in Australia</w:t>
      </w:r>
      <w:r w:rsidR="00204397">
        <w:rPr>
          <w:lang w:val="en-AU"/>
        </w:rPr>
        <w:t>,</w:t>
      </w:r>
      <w:r w:rsidRPr="003408A6">
        <w:rPr>
          <w:lang w:val="en-AU"/>
        </w:rPr>
        <w:t xml:space="preserve"> April 2007 to June 2013</w:t>
      </w:r>
      <w:bookmarkEnd w:id="162"/>
      <w:bookmarkEnd w:id="163"/>
    </w:p>
    <w:tbl>
      <w:tblPr>
        <w:tblW w:w="4737" w:type="pct"/>
        <w:tblLayout w:type="fixed"/>
        <w:tblLook w:val="04A0" w:firstRow="1" w:lastRow="0" w:firstColumn="1" w:lastColumn="0" w:noHBand="0" w:noVBand="1"/>
      </w:tblPr>
      <w:tblGrid>
        <w:gridCol w:w="725"/>
        <w:gridCol w:w="1007"/>
        <w:gridCol w:w="3196"/>
        <w:gridCol w:w="3828"/>
      </w:tblGrid>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A03" w:rsidRPr="003408A6" w:rsidRDefault="00FC6A03" w:rsidP="00C419B8">
            <w:pPr>
              <w:pStyle w:val="Tablecolumnheading"/>
              <w:rPr>
                <w:lang w:val="en-AU"/>
              </w:rPr>
            </w:pPr>
            <w:r w:rsidRPr="003408A6">
              <w:rPr>
                <w:lang w:val="en-AU"/>
              </w:rPr>
              <w:t>Year</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C6A03" w:rsidRPr="003408A6" w:rsidRDefault="00FC6A03" w:rsidP="00C419B8">
            <w:pPr>
              <w:pStyle w:val="Tablecolumnheading"/>
              <w:rPr>
                <w:lang w:val="en-AU"/>
              </w:rPr>
            </w:pPr>
            <w:r w:rsidRPr="003408A6">
              <w:rPr>
                <w:lang w:val="en-AU"/>
              </w:rPr>
              <w:t>Month</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tcPr>
          <w:p w:rsidR="00FC6A03" w:rsidRPr="003408A6" w:rsidRDefault="00FC6A03" w:rsidP="00C419B8">
            <w:pPr>
              <w:pStyle w:val="Tablecolumnheading"/>
              <w:rPr>
                <w:color w:val="000000"/>
                <w:lang w:val="en-AU"/>
              </w:rPr>
            </w:pPr>
            <w:r w:rsidRPr="003408A6">
              <w:rPr>
                <w:lang w:val="en-AU"/>
              </w:rPr>
              <w:t>Vaccine safety event</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rsidR="00FC6A03" w:rsidRPr="003408A6" w:rsidRDefault="00FC6A03" w:rsidP="00C419B8">
            <w:pPr>
              <w:pStyle w:val="Tablecolumnheading"/>
              <w:rPr>
                <w:lang w:val="en-AU"/>
              </w:rPr>
            </w:pPr>
            <w:r w:rsidRPr="003408A6">
              <w:rPr>
                <w:lang w:val="en-AU"/>
              </w:rPr>
              <w:t>Response</w:t>
            </w:r>
          </w:p>
        </w:tc>
      </w:tr>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A03" w:rsidRPr="003408A6" w:rsidRDefault="00FC6A03" w:rsidP="00BB3725">
            <w:pPr>
              <w:pStyle w:val="Tabletext"/>
              <w:rPr>
                <w:lang w:val="en-AU"/>
              </w:rPr>
            </w:pPr>
            <w:r w:rsidRPr="003408A6">
              <w:rPr>
                <w:lang w:val="en-AU"/>
              </w:rPr>
              <w:t>2007</w:t>
            </w:r>
          </w:p>
        </w:tc>
        <w:tc>
          <w:tcPr>
            <w:tcW w:w="575" w:type="pct"/>
            <w:tcBorders>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May</w:t>
            </w:r>
          </w:p>
        </w:tc>
        <w:tc>
          <w:tcPr>
            <w:tcW w:w="1825" w:type="pct"/>
            <w:tcBorders>
              <w:top w:val="single" w:sz="4" w:space="0" w:color="auto"/>
              <w:left w:val="single" w:sz="4" w:space="0" w:color="auto"/>
              <w:bottom w:val="single" w:sz="4" w:space="0" w:color="auto"/>
              <w:right w:val="single" w:sz="4" w:space="0" w:color="auto"/>
            </w:tcBorders>
            <w:shd w:val="clear" w:color="auto" w:fill="FFFFFF"/>
            <w:noWrap/>
            <w:hideMark/>
          </w:tcPr>
          <w:p w:rsidR="00FC6A03" w:rsidRPr="003408A6" w:rsidRDefault="00FC6A03" w:rsidP="00F27F90">
            <w:pPr>
              <w:pStyle w:val="Tabletext"/>
              <w:rPr>
                <w:sz w:val="18"/>
                <w:lang w:val="en-AU"/>
              </w:rPr>
            </w:pPr>
            <w:r w:rsidRPr="003408A6">
              <w:rPr>
                <w:sz w:val="18"/>
                <w:lang w:val="en-AU"/>
              </w:rPr>
              <w:t>Episode of mass psychogenic illness at girls’ school in Melbourne Victoria.</w:t>
            </w:r>
            <w:hyperlink w:anchor="_ENREF_57" w:tooltip="Buttery, 2008 #259" w:history="1">
              <w:r w:rsidR="00F27F90" w:rsidRPr="003408A6">
                <w:rPr>
                  <w:sz w:val="18"/>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sz w:val="18"/>
                  <w:lang w:val="en-AU"/>
                </w:rPr>
                <w:instrText xml:space="preserve"> ADDIN EN.CITE </w:instrText>
              </w:r>
              <w:r w:rsidR="00F27F90" w:rsidRPr="003408A6">
                <w:rPr>
                  <w:sz w:val="18"/>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sz w:val="18"/>
                  <w:lang w:val="en-AU"/>
                </w:rPr>
                <w:instrText xml:space="preserve"> ADDIN EN.CITE.DATA </w:instrText>
              </w:r>
              <w:r w:rsidR="00F27F90" w:rsidRPr="003408A6">
                <w:rPr>
                  <w:sz w:val="18"/>
                  <w:lang w:val="en-AU"/>
                </w:rPr>
              </w:r>
              <w:r w:rsidR="00F27F90" w:rsidRPr="003408A6">
                <w:rPr>
                  <w:sz w:val="18"/>
                  <w:lang w:val="en-AU"/>
                </w:rPr>
                <w:fldChar w:fldCharType="end"/>
              </w:r>
              <w:r w:rsidR="00F27F90" w:rsidRPr="003408A6">
                <w:rPr>
                  <w:sz w:val="18"/>
                  <w:lang w:val="en-AU"/>
                </w:rPr>
              </w:r>
              <w:r w:rsidR="00F27F90" w:rsidRPr="003408A6">
                <w:rPr>
                  <w:sz w:val="18"/>
                  <w:lang w:val="en-AU"/>
                </w:rPr>
                <w:fldChar w:fldCharType="separate"/>
              </w:r>
              <w:r w:rsidR="00F27F90" w:rsidRPr="003408A6">
                <w:rPr>
                  <w:noProof/>
                  <w:sz w:val="18"/>
                  <w:vertAlign w:val="superscript"/>
                  <w:lang w:val="en-AU"/>
                </w:rPr>
                <w:t>57</w:t>
              </w:r>
              <w:r w:rsidR="00F27F90" w:rsidRPr="003408A6">
                <w:rPr>
                  <w:sz w:val="18"/>
                  <w:lang w:val="en-AU"/>
                </w:rPr>
                <w:fldChar w:fldCharType="end"/>
              </w:r>
            </w:hyperlink>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p>
        </w:tc>
      </w:tr>
      <w:tr w:rsidR="00FC6A03" w:rsidRPr="003408A6" w:rsidTr="005C6C14">
        <w:trPr>
          <w:trHeight w:val="360"/>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6A03" w:rsidRPr="003408A6" w:rsidRDefault="00FC6A03" w:rsidP="00BB3725">
            <w:pPr>
              <w:pStyle w:val="Tabletext"/>
              <w:rPr>
                <w:lang w:val="en-AU"/>
              </w:rPr>
            </w:pPr>
            <w:r w:rsidRPr="003408A6">
              <w:rPr>
                <w:lang w:val="en-AU"/>
              </w:rPr>
              <w:t>2007</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June</w:t>
            </w:r>
          </w:p>
        </w:tc>
        <w:tc>
          <w:tcPr>
            <w:tcW w:w="1825" w:type="pct"/>
            <w:tcBorders>
              <w:top w:val="single" w:sz="4" w:space="0" w:color="auto"/>
              <w:left w:val="single" w:sz="4" w:space="0" w:color="auto"/>
              <w:bottom w:val="single" w:sz="4" w:space="0" w:color="auto"/>
              <w:right w:val="single" w:sz="4" w:space="0" w:color="auto"/>
            </w:tcBorders>
            <w:shd w:val="clear" w:color="auto" w:fill="FFFFFF"/>
            <w:noWrap/>
            <w:hideMark/>
          </w:tcPr>
          <w:p w:rsidR="00FC6A03" w:rsidRPr="003408A6" w:rsidRDefault="00FC6A03" w:rsidP="008130B6">
            <w:pPr>
              <w:pStyle w:val="Tabletext"/>
              <w:rPr>
                <w:sz w:val="18"/>
                <w:lang w:val="en-AU"/>
              </w:rPr>
            </w:pPr>
            <w:r w:rsidRPr="003408A6">
              <w:rPr>
                <w:sz w:val="18"/>
                <w:lang w:val="en-AU"/>
              </w:rPr>
              <w:t>A potential vaccine safety signal was identified in NSW with 7 cases of anaphylaxis following quadrivalent HPV vaccination.</w:t>
            </w:r>
          </w:p>
          <w:p w:rsidR="00FC6A03" w:rsidRPr="003408A6" w:rsidRDefault="00FC6A03" w:rsidP="008130B6">
            <w:pPr>
              <w:pStyle w:val="Tabletext"/>
              <w:rPr>
                <w:sz w:val="18"/>
                <w:lang w:val="en-AU"/>
              </w:rPr>
            </w:pPr>
            <w:r w:rsidRPr="003408A6">
              <w:rPr>
                <w:sz w:val="18"/>
                <w:lang w:val="en-AU"/>
              </w:rPr>
              <w:t>In addition, 13 cases of possible allergic reactions were also notified.</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r w:rsidRPr="003408A6">
              <w:rPr>
                <w:sz w:val="18"/>
                <w:lang w:val="en-AU"/>
              </w:rPr>
              <w:t>An expert panel was convened by NSW Health and an investigation was initiated.</w:t>
            </w:r>
          </w:p>
          <w:p w:rsidR="00FC6A03" w:rsidRPr="003408A6" w:rsidRDefault="00FC6A03" w:rsidP="00BB3725">
            <w:pPr>
              <w:pStyle w:val="Tabletext"/>
              <w:rPr>
                <w:sz w:val="18"/>
                <w:lang w:val="en-AU"/>
              </w:rPr>
            </w:pPr>
            <w:r w:rsidRPr="003408A6">
              <w:rPr>
                <w:sz w:val="18"/>
                <w:lang w:val="en-AU"/>
              </w:rPr>
              <w:t>The rate of anaphylaxis in the 2007 school-based HPV Vaccination Program was found to be higher than reported rates for other vaccines</w:t>
            </w:r>
            <w:hyperlink w:anchor="_ENREF_56" w:tooltip="Brotherton, 2008 #16" w:history="1">
              <w:r w:rsidR="00F27F90" w:rsidRPr="003408A6">
                <w:rPr>
                  <w:sz w:val="18"/>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sz w:val="18"/>
                  <w:lang w:val="en-AU"/>
                </w:rPr>
                <w:instrText xml:space="preserve"> ADDIN EN.CITE </w:instrText>
              </w:r>
              <w:r w:rsidR="00F27F90" w:rsidRPr="003408A6">
                <w:rPr>
                  <w:sz w:val="18"/>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sz w:val="18"/>
                  <w:lang w:val="en-AU"/>
                </w:rPr>
                <w:instrText xml:space="preserve"> ADDIN EN.CITE.DATA </w:instrText>
              </w:r>
              <w:r w:rsidR="00F27F90" w:rsidRPr="003408A6">
                <w:rPr>
                  <w:sz w:val="18"/>
                  <w:lang w:val="en-AU"/>
                </w:rPr>
              </w:r>
              <w:r w:rsidR="00F27F90" w:rsidRPr="003408A6">
                <w:rPr>
                  <w:sz w:val="18"/>
                  <w:lang w:val="en-AU"/>
                </w:rPr>
                <w:fldChar w:fldCharType="end"/>
              </w:r>
              <w:r w:rsidR="00F27F90" w:rsidRPr="003408A6">
                <w:rPr>
                  <w:sz w:val="18"/>
                  <w:lang w:val="en-AU"/>
                </w:rPr>
              </w:r>
              <w:r w:rsidR="00F27F90" w:rsidRPr="003408A6">
                <w:rPr>
                  <w:sz w:val="18"/>
                  <w:lang w:val="en-AU"/>
                </w:rPr>
                <w:fldChar w:fldCharType="separate"/>
              </w:r>
              <w:r w:rsidR="00F27F90" w:rsidRPr="003408A6">
                <w:rPr>
                  <w:noProof/>
                  <w:sz w:val="18"/>
                  <w:vertAlign w:val="superscript"/>
                  <w:lang w:val="en-AU"/>
                </w:rPr>
                <w:t>56</w:t>
              </w:r>
              <w:r w:rsidR="00F27F90" w:rsidRPr="003408A6">
                <w:rPr>
                  <w:sz w:val="18"/>
                  <w:lang w:val="en-AU"/>
                </w:rPr>
                <w:fldChar w:fldCharType="end"/>
              </w:r>
            </w:hyperlink>
            <w:r w:rsidRPr="003408A6">
              <w:rPr>
                <w:sz w:val="18"/>
                <w:lang w:val="en-AU"/>
              </w:rPr>
              <w:t xml:space="preserve"> but still lower than the WHO categorisation of adverse events after immunisation that are ‘very rare’ (&lt;1 in 10,000).</w:t>
            </w:r>
            <w:hyperlink w:anchor="_ENREF_65" w:tooltip="World Health Organization, 2008 #1332" w:history="1">
              <w:r w:rsidR="00F27F90" w:rsidRPr="003408A6">
                <w:rPr>
                  <w:sz w:val="18"/>
                  <w:lang w:val="en-AU"/>
                </w:rPr>
                <w:fldChar w:fldCharType="begin"/>
              </w:r>
              <w:r w:rsidR="00F27F90">
                <w:rPr>
                  <w:sz w:val="18"/>
                  <w:lang w:val="en-AU"/>
                </w:rPr>
                <w:instrText xml:space="preserve"> ADDIN EN.CITE &lt;EndNote&gt;&lt;Cite&gt;&lt;Author&gt;World Health Organization&lt;/Author&gt;&lt;Year&gt;2008&lt;/Year&gt;&lt;RecNum&gt;1332&lt;/RecNum&gt;&lt;DisplayText&gt;&lt;style face="superscript"&gt;65&lt;/style&gt;&lt;/DisplayText&gt;&lt;record&gt;&lt;rec-number&gt;1332&lt;/rec-number&gt;&lt;foreign-keys&gt;&lt;key app="EN" db-id="dda0wweazfww9besetpx2r5pt0asp9ztvs95"&gt;1332&lt;/key&gt;&lt;/foreign-keys&gt;&lt;ref-type name="Web Page"&gt;12&lt;/ref-type&gt;&lt;contributors&gt;&lt;authors&gt;&lt;author&gt;World Health Organization,&lt;/author&gt;&lt;/authors&gt;&lt;/contributors&gt;&lt;titles&gt;&lt;title&gt;Causality assessment of adverse event following immunization (AEFI): user manual for the revised WHO classification&lt;/title&gt;&lt;/titles&gt;&lt;number&gt;13 December 2013&lt;/number&gt;&lt;dates&gt;&lt;year&gt;2008&lt;/year&gt;&lt;/dates&gt;&lt;urls&gt;&lt;related-urls&gt;&lt;url&gt;http://www.who.int/vaccine_safety/publications/aevi_manual.pdf&lt;/url&gt;&lt;/related-urls&gt;&lt;/urls&gt;&lt;/record&gt;&lt;/Cite&gt;&lt;/EndNote&gt;</w:instrText>
              </w:r>
              <w:r w:rsidR="00F27F90" w:rsidRPr="003408A6">
                <w:rPr>
                  <w:sz w:val="18"/>
                  <w:lang w:val="en-AU"/>
                </w:rPr>
                <w:fldChar w:fldCharType="separate"/>
              </w:r>
              <w:r w:rsidR="00F27F90" w:rsidRPr="00F27F90">
                <w:rPr>
                  <w:noProof/>
                  <w:sz w:val="18"/>
                  <w:vertAlign w:val="superscript"/>
                  <w:lang w:val="en-AU"/>
                </w:rPr>
                <w:t>65</w:t>
              </w:r>
              <w:r w:rsidR="00F27F90" w:rsidRPr="003408A6">
                <w:rPr>
                  <w:sz w:val="18"/>
                  <w:lang w:val="en-AU"/>
                </w:rPr>
                <w:fldChar w:fldCharType="end"/>
              </w:r>
            </w:hyperlink>
          </w:p>
          <w:p w:rsidR="00FC6A03" w:rsidRPr="003408A6" w:rsidRDefault="00FC6A03" w:rsidP="00BB3725">
            <w:pPr>
              <w:pStyle w:val="Tabletext"/>
              <w:rPr>
                <w:sz w:val="18"/>
                <w:lang w:val="en-AU"/>
              </w:rPr>
            </w:pPr>
            <w:r w:rsidRPr="003408A6">
              <w:rPr>
                <w:sz w:val="18"/>
                <w:lang w:val="en-AU"/>
              </w:rPr>
              <w:t>Communication to schools/providers to raise awareness of and promote correct management of AEFI, including anaphylaxis.</w:t>
            </w:r>
          </w:p>
          <w:p w:rsidR="00FC6A03" w:rsidRPr="003408A6" w:rsidRDefault="00FC6A03" w:rsidP="00F27F90">
            <w:pPr>
              <w:pStyle w:val="Tabletext"/>
              <w:rPr>
                <w:sz w:val="18"/>
                <w:lang w:val="en-AU"/>
              </w:rPr>
            </w:pPr>
            <w:r w:rsidRPr="003408A6">
              <w:rPr>
                <w:sz w:val="18"/>
                <w:lang w:val="en-AU"/>
              </w:rPr>
              <w:t>The estimated rate of anaphylaxis based on doses distributed in Australia is 2.6 per million.</w:t>
            </w:r>
            <w:hyperlink w:anchor="_ENREF_67" w:tooltip="Australian Government Department of Health, 2010 #1346" w:history="1">
              <w:r w:rsidR="00F27F90" w:rsidRPr="003408A6">
                <w:rPr>
                  <w:sz w:val="18"/>
                  <w:lang w:val="en-AU"/>
                </w:rPr>
                <w:fldChar w:fldCharType="begin"/>
              </w:r>
              <w:r w:rsidR="00F27F90">
                <w:rPr>
                  <w:sz w:val="18"/>
                  <w:lang w:val="en-AU"/>
                </w:rPr>
                <w:instrText xml:space="preserve"> ADDIN EN.CITE &lt;EndNote&gt;&lt;Cite&gt;&lt;Author&gt;(TGA)&lt;/Author&gt;&lt;Year&gt;2010&lt;/Year&gt;&lt;RecNum&gt;1346&lt;/RecNum&gt;&lt;DisplayText&gt;&lt;style face="superscript"&gt;67&lt;/style&gt;&lt;/DisplayText&gt;&lt;record&gt;&lt;rec-number&gt;1346&lt;/rec-number&gt;&lt;foreign-keys&gt;&lt;key app="EN" db-id="dda0wweazfww9besetpx2r5pt0asp9ztvs95"&gt;1346&lt;/key&gt;&lt;/foreign-keys&gt;&lt;ref-type name="Web Page"&gt;12&lt;/ref-type&gt;&lt;contributors&gt;&lt;authors&gt;&lt;author&gt;Australian Government Department of Health,&lt;/author&gt;&lt;author&gt;Therapeutic Goods Administration (TGA),&lt;/author&gt;&lt;/authors&gt;&lt;/contributors&gt;&lt;titles&gt;&lt;title&gt;Gardasil (human papillomavirus vaccine)&lt;/title&gt;&lt;/titles&gt;&lt;number&gt;13 December 2013&lt;/number&gt;&lt;dates&gt;&lt;year&gt;2010&lt;/year&gt;&lt;/dates&gt;&lt;urls&gt;&lt;related-urls&gt;&lt;url&gt;http://www.tga.gov.au/safety/alerts-medicine-gardasil-070624.htm&lt;/url&gt;&lt;/related-urls&gt;&lt;/urls&gt;&lt;/record&gt;&lt;/Cite&gt;&lt;/EndNote&gt;</w:instrText>
              </w:r>
              <w:r w:rsidR="00F27F90" w:rsidRPr="003408A6">
                <w:rPr>
                  <w:sz w:val="18"/>
                  <w:lang w:val="en-AU"/>
                </w:rPr>
                <w:fldChar w:fldCharType="separate"/>
              </w:r>
              <w:r w:rsidR="00F27F90" w:rsidRPr="00F27F90">
                <w:rPr>
                  <w:noProof/>
                  <w:sz w:val="18"/>
                  <w:vertAlign w:val="superscript"/>
                  <w:lang w:val="en-AU"/>
                </w:rPr>
                <w:t>67</w:t>
              </w:r>
              <w:r w:rsidR="00F27F90" w:rsidRPr="003408A6">
                <w:rPr>
                  <w:sz w:val="18"/>
                  <w:lang w:val="en-AU"/>
                </w:rPr>
                <w:fldChar w:fldCharType="end"/>
              </w:r>
            </w:hyperlink>
            <w:r w:rsidRPr="003408A6">
              <w:rPr>
                <w:sz w:val="18"/>
                <w:lang w:val="en-AU"/>
              </w:rPr>
              <w:t xml:space="preserve"> The rates for other vaccines given to children and adolescents range from 0 to 3.5 per million doses in international studies.</w:t>
            </w:r>
            <w:hyperlink w:anchor="_ENREF_68" w:tooltip="Bohlke, 2003 #1347" w:history="1">
              <w:r w:rsidR="00F27F90" w:rsidRPr="003408A6">
                <w:rPr>
                  <w:sz w:val="18"/>
                  <w:lang w:val="en-AU"/>
                </w:rPr>
                <w:fldChar w:fldCharType="begin"/>
              </w:r>
              <w:r w:rsidR="00F27F90">
                <w:rPr>
                  <w:sz w:val="18"/>
                  <w:lang w:val="en-AU"/>
                </w:rPr>
                <w:instrText xml:space="preserve"> ADDIN EN.CITE &lt;EndNote&gt;&lt;Cite&gt;&lt;Author&gt;Bohlke&lt;/Author&gt;&lt;Year&gt;2003&lt;/Year&gt;&lt;RecNum&gt;1347&lt;/RecNum&gt;&lt;DisplayText&gt;&lt;style face="superscript"&gt;68&lt;/style&gt;&lt;/DisplayText&gt;&lt;record&gt;&lt;rec-number&gt;1347&lt;/rec-number&gt;&lt;foreign-keys&gt;&lt;key app="EN" db-id="dda0wweazfww9besetpx2r5pt0asp9ztvs95"&gt;1347&lt;/key&gt;&lt;/foreign-keys&gt;&lt;ref-type name="Journal Article"&gt;17&lt;/ref-type&gt;&lt;contributors&gt;&lt;authors&gt;&lt;author&gt;Bohlke, K.&lt;/author&gt;&lt;author&gt;Davis, R.L.&lt;/author&gt;&lt;author&gt;Marcy, S.M.&lt;/author&gt;&lt;author&gt;Braun, M.M.&lt;/author&gt;&lt;author&gt;et al &lt;/author&gt;&lt;/authors&gt;&lt;/contributors&gt;&lt;titles&gt;&lt;title&gt;Risk of anaphylaxis after vaccination of children and adolescents&lt;/title&gt;&lt;secondary-title&gt;Pediatrics in Review&lt;/secondary-title&gt;&lt;/titles&gt;&lt;periodical&gt;&lt;full-title&gt;Pediatrics in Review&lt;/full-title&gt;&lt;abbr-1&gt;Pediatr. Rev.&lt;/abbr-1&gt;&lt;abbr-2&gt;Pediatr Rev&lt;/abbr-2&gt;&lt;/periodical&gt;&lt;pages&gt;815-820&lt;/pages&gt;&lt;volume&gt;112&lt;/volume&gt;&lt;dates&gt;&lt;year&gt;2003&lt;/year&gt;&lt;/dates&gt;&lt;urls&gt;&lt;/urls&gt;&lt;/record&gt;&lt;/Cite&gt;&lt;/EndNote&gt;</w:instrText>
              </w:r>
              <w:r w:rsidR="00F27F90" w:rsidRPr="003408A6">
                <w:rPr>
                  <w:sz w:val="18"/>
                  <w:lang w:val="en-AU"/>
                </w:rPr>
                <w:fldChar w:fldCharType="separate"/>
              </w:r>
              <w:r w:rsidR="00F27F90" w:rsidRPr="00F27F90">
                <w:rPr>
                  <w:noProof/>
                  <w:sz w:val="18"/>
                  <w:vertAlign w:val="superscript"/>
                  <w:lang w:val="en-AU"/>
                </w:rPr>
                <w:t>68</w:t>
              </w:r>
              <w:r w:rsidR="00F27F90" w:rsidRPr="003408A6">
                <w:rPr>
                  <w:sz w:val="18"/>
                  <w:lang w:val="en-AU"/>
                </w:rPr>
                <w:fldChar w:fldCharType="end"/>
              </w:r>
            </w:hyperlink>
          </w:p>
        </w:tc>
      </w:tr>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6A03" w:rsidRPr="003408A6" w:rsidRDefault="00FC6A03" w:rsidP="00BB3725">
            <w:pPr>
              <w:pStyle w:val="Tabletext"/>
              <w:rPr>
                <w:lang w:val="en-AU"/>
              </w:rPr>
            </w:pPr>
            <w:r w:rsidRPr="003408A6">
              <w:rPr>
                <w:lang w:val="en-AU"/>
              </w:rPr>
              <w:t>2009</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January</w:t>
            </w:r>
          </w:p>
        </w:tc>
        <w:tc>
          <w:tcPr>
            <w:tcW w:w="1825" w:type="pct"/>
            <w:tcBorders>
              <w:top w:val="single" w:sz="4" w:space="0" w:color="auto"/>
              <w:left w:val="single" w:sz="4" w:space="0" w:color="auto"/>
              <w:bottom w:val="single" w:sz="4" w:space="0" w:color="auto"/>
              <w:right w:val="single" w:sz="4" w:space="0" w:color="auto"/>
            </w:tcBorders>
            <w:shd w:val="clear" w:color="auto" w:fill="FFFFFF"/>
            <w:noWrap/>
          </w:tcPr>
          <w:p w:rsidR="00FC6A03" w:rsidRPr="003408A6" w:rsidRDefault="00FC6A03" w:rsidP="008130B6">
            <w:pPr>
              <w:pStyle w:val="Tabletext"/>
              <w:rPr>
                <w:sz w:val="18"/>
                <w:lang w:val="en-AU"/>
              </w:rPr>
            </w:pPr>
            <w:r w:rsidRPr="003408A6">
              <w:rPr>
                <w:sz w:val="18"/>
                <w:lang w:val="en-AU"/>
              </w:rPr>
              <w:t>Sutton et al. reported five NSW patients presenting with multifocal or atypical demyelinating syndromes within 21 days of receiving the quadrivalent HPV vaccine.</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r w:rsidRPr="003408A6">
              <w:rPr>
                <w:sz w:val="18"/>
                <w:lang w:val="en-AU"/>
              </w:rPr>
              <w:t>Following these reports the TGA established a Gardasil Expert Panel, chaired by Nobel Laureate Professor Peter Doherty, to evaluate the safety of Gardasil</w:t>
            </w:r>
            <w:r w:rsidR="00413B61" w:rsidRPr="003408A6">
              <w:rPr>
                <w:vertAlign w:val="superscript"/>
                <w:lang w:val="en-AU"/>
              </w:rPr>
              <w:t>®</w:t>
            </w:r>
            <w:r w:rsidRPr="003408A6">
              <w:rPr>
                <w:sz w:val="18"/>
                <w:lang w:val="en-AU"/>
              </w:rPr>
              <w:t xml:space="preserve"> vaccine. </w:t>
            </w:r>
          </w:p>
          <w:p w:rsidR="00FC6A03" w:rsidRPr="003408A6" w:rsidRDefault="00FC6A03" w:rsidP="00BB3725">
            <w:pPr>
              <w:pStyle w:val="Tabletext"/>
              <w:rPr>
                <w:sz w:val="18"/>
                <w:lang w:val="en-AU"/>
              </w:rPr>
            </w:pPr>
            <w:r w:rsidRPr="003408A6">
              <w:rPr>
                <w:sz w:val="18"/>
                <w:lang w:val="en-AU"/>
              </w:rPr>
              <w:t>The panel found the incidence of demyelinating disorders, including MS, following Gardasil</w:t>
            </w:r>
            <w:r w:rsidRPr="003408A6">
              <w:rPr>
                <w:sz w:val="18"/>
                <w:vertAlign w:val="superscript"/>
                <w:lang w:val="en-AU"/>
              </w:rPr>
              <w:t>®</w:t>
            </w:r>
            <w:r w:rsidRPr="003408A6">
              <w:rPr>
                <w:sz w:val="18"/>
                <w:lang w:val="en-AU"/>
              </w:rPr>
              <w:t xml:space="preserve"> to be no higher than would be expected by chance. The GEP also concluded that the rate of anaphylaxis was similar to that associated with other vaccines.</w:t>
            </w:r>
          </w:p>
        </w:tc>
      </w:tr>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6A03" w:rsidRPr="003408A6" w:rsidRDefault="00FC6A03" w:rsidP="00BB3725">
            <w:pPr>
              <w:pStyle w:val="Tabletext"/>
              <w:rPr>
                <w:lang w:val="en-AU"/>
              </w:rPr>
            </w:pPr>
            <w:r w:rsidRPr="003408A6">
              <w:rPr>
                <w:lang w:val="en-AU"/>
              </w:rPr>
              <w:t>2009</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413B61">
            <w:pPr>
              <w:pStyle w:val="Tabletext"/>
              <w:rPr>
                <w:sz w:val="18"/>
                <w:lang w:val="en-AU"/>
              </w:rPr>
            </w:pPr>
            <w:r w:rsidRPr="003408A6">
              <w:rPr>
                <w:sz w:val="18"/>
                <w:lang w:val="en-AU"/>
              </w:rPr>
              <w:t>June</w:t>
            </w:r>
          </w:p>
        </w:tc>
        <w:tc>
          <w:tcPr>
            <w:tcW w:w="1825" w:type="pct"/>
            <w:tcBorders>
              <w:top w:val="single" w:sz="4" w:space="0" w:color="auto"/>
              <w:left w:val="single" w:sz="4" w:space="0" w:color="auto"/>
              <w:bottom w:val="single" w:sz="4" w:space="0" w:color="auto"/>
              <w:right w:val="single" w:sz="4" w:space="0" w:color="auto"/>
            </w:tcBorders>
            <w:shd w:val="clear" w:color="auto" w:fill="FFFFFF"/>
            <w:noWrap/>
          </w:tcPr>
          <w:p w:rsidR="00FC6A03" w:rsidRPr="003408A6" w:rsidRDefault="00FC6A03" w:rsidP="008130B6">
            <w:pPr>
              <w:pStyle w:val="Tabletext"/>
              <w:rPr>
                <w:sz w:val="18"/>
                <w:lang w:val="en-AU"/>
              </w:rPr>
            </w:pPr>
            <w:r w:rsidRPr="003408A6">
              <w:rPr>
                <w:sz w:val="18"/>
                <w:lang w:val="en-AU"/>
              </w:rPr>
              <w:t>Two cases of lipoatrophy following the quadrivalent HPV vaccine have been reported from Victoria by Ojaimi et al.</w:t>
            </w:r>
            <w:hyperlink w:anchor="_ENREF_60" w:tooltip="Ojaimi, 2009 #1313" w:history="1">
              <w:r w:rsidR="00F27F90">
                <w:rPr>
                  <w:sz w:val="18"/>
                  <w:lang w:val="en-AU"/>
                </w:rPr>
                <w:fldChar w:fldCharType="begin"/>
              </w:r>
              <w:r w:rsidR="00F27F90">
                <w:rPr>
                  <w:sz w:val="18"/>
                  <w:lang w:val="en-AU"/>
                </w:rPr>
                <w:instrText xml:space="preserve"> ADDIN EN.CITE &lt;EndNote&gt;&lt;Cite&gt;&lt;Author&gt;Ojaimi&lt;/Author&gt;&lt;Year&gt;2009&lt;/Year&gt;&lt;RecNum&gt;1313&lt;/RecNum&gt;&lt;DisplayText&gt;&lt;style face="superscript"&gt;60&lt;/style&gt;&lt;/DisplayText&gt;&lt;record&gt;&lt;rec-number&gt;1313&lt;/rec-number&gt;&lt;foreign-keys&gt;&lt;key app="EN" db-id="dda0wweazfww9besetpx2r5pt0asp9ztvs95"&gt;1313&lt;/key&gt;&lt;/foreign-keys&gt;&lt;ref-type name="Journal Article"&gt;17&lt;/ref-type&gt;&lt;contributors&gt;&lt;authors&gt;&lt;author&gt;Ojaimi, S.&lt;/author&gt;&lt;author&gt;Buttery, J.P.&lt;/author&gt;&lt;author&gt;Korman, T.M.&lt;/author&gt;&lt;/authors&gt;&lt;/contributors&gt;&lt;titles&gt;&lt;title&gt;Quadrivalent human papillomavirus recombinant vaccine associated lipoatrophy&lt;/title&gt;&lt;secondary-title&gt;Vaccine&lt;/secondary-title&gt;&lt;/titles&gt;&lt;periodical&gt;&lt;full-title&gt;Vaccine&lt;/full-title&gt;&lt;abbr-1&gt;Vaccine&lt;/abbr-1&gt;&lt;abbr-2&gt;Vaccine&lt;/abbr-2&gt;&lt;/periodical&gt;&lt;pages&gt;4876-8&lt;/pages&gt;&lt;volume&gt;27&lt;/volume&gt;&lt;dates&gt;&lt;year&gt;2009&lt;/year&gt;&lt;/dates&gt;&lt;urls&gt;&lt;/urls&gt;&lt;/record&gt;&lt;/Cite&gt;&lt;/EndNote&gt;</w:instrText>
              </w:r>
              <w:r w:rsidR="00F27F90">
                <w:rPr>
                  <w:sz w:val="18"/>
                  <w:lang w:val="en-AU"/>
                </w:rPr>
                <w:fldChar w:fldCharType="separate"/>
              </w:r>
              <w:r w:rsidR="00F27F90" w:rsidRPr="00CE3124">
                <w:rPr>
                  <w:noProof/>
                  <w:sz w:val="18"/>
                  <w:vertAlign w:val="superscript"/>
                  <w:lang w:val="en-AU"/>
                </w:rPr>
                <w:t>60</w:t>
              </w:r>
              <w:r w:rsidR="00F27F90">
                <w:rPr>
                  <w:sz w:val="18"/>
                  <w:lang w:val="en-AU"/>
                </w:rPr>
                <w:fldChar w:fldCharType="end"/>
              </w:r>
            </w:hyperlink>
          </w:p>
          <w:p w:rsidR="00FC6A03" w:rsidRPr="003408A6" w:rsidRDefault="00FC6A03" w:rsidP="008130B6">
            <w:pPr>
              <w:pStyle w:val="Tabletext"/>
              <w:rPr>
                <w:sz w:val="18"/>
                <w:lang w:val="en-AU"/>
              </w:rPr>
            </w:pPr>
            <w:r w:rsidRPr="003408A6">
              <w:rPr>
                <w:sz w:val="18"/>
                <w:lang w:val="en-AU"/>
              </w:rPr>
              <w:t xml:space="preserve">There were 4 cases of complex regional pain syndrome type 1 (CRPS-1) temporally associated with HPV vaccination. </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r w:rsidRPr="003408A6">
              <w:rPr>
                <w:sz w:val="18"/>
                <w:lang w:val="en-AU"/>
              </w:rPr>
              <w:t>CRPS-1 reflects a known complex pain response to a painful stimulus which is one of the reasons Japan has reduced the HPV program.</w:t>
            </w:r>
            <w:hyperlink w:anchor="_ENREF_71" w:tooltip="Richards, 2012 #1348" w:history="1">
              <w:r w:rsidR="00F27F90" w:rsidRPr="003408A6">
                <w:rPr>
                  <w:sz w:val="18"/>
                  <w:lang w:val="en-AU"/>
                </w:rPr>
                <w:fldChar w:fldCharType="begin"/>
              </w:r>
              <w:r w:rsidR="00F27F90">
                <w:rPr>
                  <w:sz w:val="18"/>
                  <w:lang w:val="en-AU"/>
                </w:rPr>
                <w:instrText xml:space="preserve"> ADDIN EN.CITE &lt;EndNote&gt;&lt;Cite&gt;&lt;Author&gt;Richards&lt;/Author&gt;&lt;Year&gt;2012&lt;/Year&gt;&lt;RecNum&gt;1348&lt;/RecNum&gt;&lt;DisplayText&gt;&lt;style face="superscript"&gt;71&lt;/style&gt;&lt;/DisplayText&gt;&lt;record&gt;&lt;rec-number&gt;1348&lt;/rec-number&gt;&lt;foreign-keys&gt;&lt;key app="EN" db-id="dda0wweazfww9besetpx2r5pt0asp9ztvs95"&gt;1348&lt;/key&gt;&lt;/foreign-keys&gt;&lt;ref-type name="Journal Article"&gt;17&lt;/ref-type&gt;&lt;contributors&gt;&lt;authors&gt;&lt;author&gt;Richards, S.&lt;/author&gt;&lt;author&gt;Chalkiadis, G.&lt;/author&gt;&lt;author&gt;Lakshman, R.&lt;/author&gt;&lt;author&gt;Buttery, J.P.&lt;/author&gt;&lt;author&gt;Crawford, N.W. &lt;/author&gt;&lt;/authors&gt;&lt;/contributors&gt;&lt;titles&gt;&lt;title&gt;Complex regional pain syndrome following immunisation&lt;/title&gt;&lt;secondary-title&gt;Archives of Disease in Childhood&lt;/secondary-title&gt;&lt;/titles&gt;&lt;periodical&gt;&lt;full-title&gt;Archives of Disease in Childhood&lt;/full-title&gt;&lt;abbr-1&gt;Arch. Dis. Child.&lt;/abbr-1&gt;&lt;abbr-2&gt;Arch Dis Child&lt;/abbr-2&gt;&lt;/periodical&gt;&lt;pages&gt;913-5&lt;/pages&gt;&lt;volume&gt;97&lt;/volume&gt;&lt;number&gt;10&lt;/number&gt;&lt;edition&gt;doi:10.1136/archdischild-2011-301307&lt;/edition&gt;&lt;dates&gt;&lt;year&gt;2012&lt;/year&gt;&lt;/dates&gt;&lt;urls&gt;&lt;/urls&gt;&lt;/record&gt;&lt;/Cite&gt;&lt;/EndNote&gt;</w:instrText>
              </w:r>
              <w:r w:rsidR="00F27F90" w:rsidRPr="003408A6">
                <w:rPr>
                  <w:sz w:val="18"/>
                  <w:lang w:val="en-AU"/>
                </w:rPr>
                <w:fldChar w:fldCharType="separate"/>
              </w:r>
              <w:r w:rsidR="00F27F90" w:rsidRPr="00F27F90">
                <w:rPr>
                  <w:noProof/>
                  <w:sz w:val="18"/>
                  <w:vertAlign w:val="superscript"/>
                  <w:lang w:val="en-AU"/>
                </w:rPr>
                <w:t>71</w:t>
              </w:r>
              <w:r w:rsidR="00F27F90" w:rsidRPr="003408A6">
                <w:rPr>
                  <w:sz w:val="18"/>
                  <w:lang w:val="en-AU"/>
                </w:rPr>
                <w:fldChar w:fldCharType="end"/>
              </w:r>
            </w:hyperlink>
          </w:p>
          <w:p w:rsidR="00FC6A03" w:rsidRPr="003408A6" w:rsidRDefault="00FC6A03" w:rsidP="00BB3725">
            <w:pPr>
              <w:pStyle w:val="Tabletext"/>
              <w:rPr>
                <w:sz w:val="18"/>
                <w:lang w:val="en-AU"/>
              </w:rPr>
            </w:pPr>
            <w:r w:rsidRPr="003408A6">
              <w:rPr>
                <w:sz w:val="18"/>
                <w:lang w:val="en-AU"/>
              </w:rPr>
              <w:t>Enhanced awareness of this syndrome and its potential to occur following immunisation in the paediatric population is vital to the prompt and effective management of this condition in children and adolescents.</w:t>
            </w:r>
          </w:p>
        </w:tc>
      </w:tr>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6A03" w:rsidRPr="003408A6" w:rsidRDefault="00FC6A03" w:rsidP="00BB3725">
            <w:pPr>
              <w:pStyle w:val="Tabletext"/>
              <w:rPr>
                <w:lang w:val="en-AU"/>
              </w:rPr>
            </w:pPr>
            <w:r w:rsidRPr="003408A6">
              <w:rPr>
                <w:lang w:val="en-AU"/>
              </w:rPr>
              <w:t>2013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June 2012 to February</w:t>
            </w:r>
          </w:p>
        </w:tc>
        <w:tc>
          <w:tcPr>
            <w:tcW w:w="1825" w:type="pct"/>
            <w:tcBorders>
              <w:top w:val="single" w:sz="4" w:space="0" w:color="auto"/>
              <w:left w:val="single" w:sz="4" w:space="0" w:color="auto"/>
              <w:bottom w:val="single" w:sz="4" w:space="0" w:color="auto"/>
              <w:right w:val="single" w:sz="4" w:space="0" w:color="auto"/>
            </w:tcBorders>
            <w:shd w:val="clear" w:color="auto" w:fill="FFFFFF"/>
            <w:noWrap/>
          </w:tcPr>
          <w:p w:rsidR="00FC6A03" w:rsidRPr="003408A6" w:rsidRDefault="00FC6A03" w:rsidP="008130B6">
            <w:pPr>
              <w:pStyle w:val="Tabletext"/>
              <w:rPr>
                <w:sz w:val="18"/>
                <w:lang w:val="en-AU"/>
              </w:rPr>
            </w:pPr>
            <w:r w:rsidRPr="003408A6">
              <w:rPr>
                <w:sz w:val="18"/>
                <w:lang w:val="en-AU"/>
              </w:rPr>
              <w:t>Announcement of/planning for extension of the National HPV Vaccination Program to males as a school-based program for males aged 12–13 years as well as catch-up cohorts for all males aged 14 and 15 years delivered over 2 years until the end of 2014.</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r w:rsidRPr="003408A6">
              <w:rPr>
                <w:sz w:val="18"/>
                <w:lang w:val="en-AU"/>
              </w:rPr>
              <w:t xml:space="preserve">To support the extension of the National HPV Vaccination Program to include males, in October 2012 the </w:t>
            </w:r>
            <w:r w:rsidR="004F3832">
              <w:rPr>
                <w:sz w:val="18"/>
                <w:lang w:val="en-AU"/>
              </w:rPr>
              <w:t>Australian Government Department of Health</w:t>
            </w:r>
            <w:r w:rsidRPr="003408A6">
              <w:rPr>
                <w:sz w:val="18"/>
                <w:lang w:val="en-AU"/>
              </w:rPr>
              <w:t xml:space="preserve"> established the HPV Implementation Working Group as a time-limited Working Group of ATAGI, to consider the need for enhanced monitoring of AEFI following HPV vaccination of males.</w:t>
            </w:r>
          </w:p>
        </w:tc>
      </w:tr>
      <w:tr w:rsidR="00FC6A03" w:rsidRPr="003408A6" w:rsidTr="005C6C14">
        <w:trPr>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6A03" w:rsidRPr="003408A6" w:rsidRDefault="00FC6A03" w:rsidP="00BB3725">
            <w:pPr>
              <w:pStyle w:val="Tabletext"/>
              <w:rPr>
                <w:lang w:val="en-AU"/>
              </w:rPr>
            </w:pPr>
            <w:r w:rsidRPr="003408A6">
              <w:rPr>
                <w:lang w:val="en-AU"/>
              </w:rPr>
              <w:t>2013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February to June</w:t>
            </w:r>
          </w:p>
        </w:tc>
        <w:tc>
          <w:tcPr>
            <w:tcW w:w="1825" w:type="pct"/>
            <w:tcBorders>
              <w:top w:val="single" w:sz="4" w:space="0" w:color="auto"/>
              <w:left w:val="single" w:sz="4" w:space="0" w:color="auto"/>
              <w:bottom w:val="single" w:sz="4" w:space="0" w:color="auto"/>
              <w:right w:val="single" w:sz="4" w:space="0" w:color="auto"/>
            </w:tcBorders>
            <w:shd w:val="clear" w:color="auto" w:fill="FFFFFF"/>
            <w:noWrap/>
          </w:tcPr>
          <w:p w:rsidR="00FC6A03" w:rsidRPr="003408A6" w:rsidRDefault="00FC6A03" w:rsidP="008130B6">
            <w:pPr>
              <w:pStyle w:val="Tabletext"/>
              <w:rPr>
                <w:sz w:val="18"/>
                <w:lang w:val="en-AU"/>
              </w:rPr>
            </w:pPr>
            <w:r w:rsidRPr="003408A6">
              <w:rPr>
                <w:sz w:val="18"/>
                <w:lang w:val="en-AU"/>
              </w:rPr>
              <w:t xml:space="preserve">Enhanced surveillance in males for </w:t>
            </w:r>
            <w:r w:rsidRPr="003408A6">
              <w:rPr>
                <w:bCs/>
                <w:sz w:val="18"/>
                <w:lang w:val="en-AU"/>
              </w:rPr>
              <w:t>anaphylaxis, generalised allergic reaction, loss of consciousness (simple faints, faints with injury, faints with convulsion) and any condition requiring emergency department attendance or hospitalisation.</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r w:rsidRPr="003408A6">
              <w:rPr>
                <w:sz w:val="18"/>
                <w:lang w:val="en-AU"/>
              </w:rPr>
              <w:t xml:space="preserve">No new or serious safety concerns have been identified in males or females. </w:t>
            </w:r>
          </w:p>
          <w:p w:rsidR="00FC6A03" w:rsidRPr="003408A6" w:rsidRDefault="00FC6A03" w:rsidP="00BB3725">
            <w:pPr>
              <w:pStyle w:val="Tabletext"/>
              <w:rPr>
                <w:sz w:val="18"/>
                <w:lang w:val="en-AU"/>
              </w:rPr>
            </w:pPr>
            <w:r w:rsidRPr="003408A6">
              <w:rPr>
                <w:sz w:val="18"/>
                <w:lang w:val="en-AU"/>
              </w:rPr>
              <w:t>No indication that HPV vaccination is associated with any increase in autoimmune, neurological or vascular diseases.</w:t>
            </w:r>
          </w:p>
        </w:tc>
      </w:tr>
      <w:tr w:rsidR="00FC6A03" w:rsidRPr="003408A6" w:rsidTr="005C6C14">
        <w:trPr>
          <w:cantSplit/>
          <w:trHeight w:val="315"/>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6A03" w:rsidRPr="003408A6" w:rsidRDefault="00FC6A03" w:rsidP="00BB3725">
            <w:pPr>
              <w:pStyle w:val="Tabletext"/>
              <w:rPr>
                <w:lang w:val="en-AU"/>
              </w:rPr>
            </w:pPr>
            <w:r w:rsidRPr="003408A6">
              <w:rPr>
                <w:lang w:val="en-AU"/>
              </w:rPr>
              <w:t>2013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FC6A03" w:rsidRPr="003408A6" w:rsidRDefault="00FC6A03" w:rsidP="00BB3725">
            <w:pPr>
              <w:pStyle w:val="Tabletext"/>
              <w:rPr>
                <w:sz w:val="18"/>
                <w:lang w:val="en-AU"/>
              </w:rPr>
            </w:pPr>
            <w:r w:rsidRPr="003408A6">
              <w:rPr>
                <w:sz w:val="18"/>
                <w:lang w:val="en-AU"/>
              </w:rPr>
              <w:t>July</w:t>
            </w:r>
          </w:p>
        </w:tc>
        <w:tc>
          <w:tcPr>
            <w:tcW w:w="1825" w:type="pct"/>
            <w:tcBorders>
              <w:top w:val="single" w:sz="4" w:space="0" w:color="auto"/>
              <w:left w:val="single" w:sz="4" w:space="0" w:color="auto"/>
              <w:bottom w:val="single" w:sz="4" w:space="0" w:color="auto"/>
              <w:right w:val="single" w:sz="4" w:space="0" w:color="auto"/>
            </w:tcBorders>
            <w:shd w:val="clear" w:color="auto" w:fill="FFFFFF"/>
            <w:noWrap/>
          </w:tcPr>
          <w:p w:rsidR="00FC6A03" w:rsidRPr="003408A6" w:rsidRDefault="00FC6A03" w:rsidP="008130B6">
            <w:pPr>
              <w:pStyle w:val="Tabletext"/>
              <w:rPr>
                <w:sz w:val="18"/>
                <w:lang w:val="en-AU"/>
              </w:rPr>
            </w:pPr>
            <w:r w:rsidRPr="003408A6">
              <w:rPr>
                <w:sz w:val="18"/>
                <w:lang w:val="en-AU"/>
              </w:rPr>
              <w:t>Since July 2013, enhanced surveillance is also occurring through the introduction of monthly AEFI teleconferences between the TGA, OHP and JIC.</w:t>
            </w:r>
          </w:p>
        </w:tc>
        <w:tc>
          <w:tcPr>
            <w:tcW w:w="2186" w:type="pct"/>
            <w:tcBorders>
              <w:top w:val="single" w:sz="4" w:space="0" w:color="auto"/>
              <w:left w:val="single" w:sz="4" w:space="0" w:color="auto"/>
              <w:bottom w:val="single" w:sz="4" w:space="0" w:color="auto"/>
              <w:right w:val="single" w:sz="4" w:space="0" w:color="auto"/>
            </w:tcBorders>
            <w:shd w:val="clear" w:color="auto" w:fill="FFFFFF"/>
          </w:tcPr>
          <w:p w:rsidR="00FC6A03" w:rsidRPr="003408A6" w:rsidRDefault="00FC6A03" w:rsidP="00BB3725">
            <w:pPr>
              <w:pStyle w:val="Tabletext"/>
              <w:rPr>
                <w:sz w:val="18"/>
                <w:lang w:val="en-AU"/>
              </w:rPr>
            </w:pPr>
          </w:p>
        </w:tc>
      </w:tr>
    </w:tbl>
    <w:p w:rsidR="00FC6A03" w:rsidRPr="003408A6" w:rsidRDefault="00FC6A03" w:rsidP="00C419B8">
      <w:pPr>
        <w:pStyle w:val="BodyText"/>
        <w:rPr>
          <w:lang w:val="en-AU"/>
        </w:rPr>
      </w:pPr>
    </w:p>
    <w:p w:rsidR="00FC6A03" w:rsidRPr="003408A6" w:rsidRDefault="00FC6A03" w:rsidP="001D498C">
      <w:pPr>
        <w:pStyle w:val="Heading3"/>
      </w:pPr>
      <w:r w:rsidRPr="003408A6">
        <w:t xml:space="preserve">Analysis of AEFI reports </w:t>
      </w:r>
      <w:r w:rsidR="00B8021E">
        <w:t>for</w:t>
      </w:r>
      <w:r w:rsidR="00B8021E" w:rsidRPr="003408A6">
        <w:t xml:space="preserve"> </w:t>
      </w:r>
      <w:r w:rsidRPr="003408A6">
        <w:t>HPV vaccine in the TGA ADRS database</w:t>
      </w:r>
    </w:p>
    <w:p w:rsidR="00FC6A03" w:rsidRPr="003408A6" w:rsidRDefault="00FC6A03" w:rsidP="00C419B8">
      <w:pPr>
        <w:pStyle w:val="BodyText"/>
        <w:rPr>
          <w:lang w:val="en-AU"/>
        </w:rPr>
      </w:pPr>
      <w:r w:rsidRPr="003408A6">
        <w:rPr>
          <w:lang w:val="en-AU"/>
        </w:rPr>
        <w:t xml:space="preserve">The ADRS database included a total of 2,460 AEFIs following vaccination with HPV vaccine during the period 1 April 2007 to 30 June 2013. The </w:t>
      </w:r>
      <w:r w:rsidRPr="003408A6">
        <w:rPr>
          <w:szCs w:val="24"/>
          <w:lang w:val="en-AU"/>
        </w:rPr>
        <w:t xml:space="preserve">highest annual </w:t>
      </w:r>
      <w:r w:rsidRPr="003408A6">
        <w:rPr>
          <w:lang w:val="en-AU"/>
        </w:rPr>
        <w:t>number of cases (n=765</w:t>
      </w:r>
      <w:r w:rsidR="008130B6">
        <w:rPr>
          <w:lang w:val="en-AU"/>
        </w:rPr>
        <w:t xml:space="preserve">; </w:t>
      </w:r>
      <w:r w:rsidR="008130B6" w:rsidRPr="003408A6">
        <w:rPr>
          <w:lang w:val="en-AU"/>
        </w:rPr>
        <w:t>31%</w:t>
      </w:r>
      <w:r w:rsidRPr="003408A6">
        <w:rPr>
          <w:lang w:val="en-AU"/>
        </w:rPr>
        <w:t>) was reported in 2007 with the commencement of the school-based National HPV Vaccination Program and catch-up program for young adult females in April 2007. The number of reported AEFIs substantially reduced in the following years (765 in 2007; 542 in 2008; 159 in 2009; 80 in 2010; 139 in 2011; and 160 in 2012). However, as anticipated, the numbers of reported AEFIs increased in 2013 (n=615) following commencement of HPV vaccination for males in February 2013, which included enhanced surveillance for AEFI for both females and males. Of the 615</w:t>
      </w:r>
      <w:r w:rsidR="008130B6">
        <w:rPr>
          <w:lang w:val="en-AU"/>
        </w:rPr>
        <w:t xml:space="preserve"> reports</w:t>
      </w:r>
      <w:r w:rsidRPr="003408A6">
        <w:rPr>
          <w:lang w:val="en-AU"/>
        </w:rPr>
        <w:t xml:space="preserve"> in the first 6 months of 2013, 341 were reported for males and 273 for females. </w:t>
      </w:r>
    </w:p>
    <w:p w:rsidR="00FC6A03" w:rsidRPr="003408A6" w:rsidRDefault="00FC6A03" w:rsidP="00C419B8">
      <w:pPr>
        <w:pStyle w:val="BodyText"/>
        <w:rPr>
          <w:lang w:val="en-AU"/>
        </w:rPr>
      </w:pPr>
      <w:r w:rsidRPr="003408A6">
        <w:rPr>
          <w:lang w:val="en-AU"/>
        </w:rPr>
        <w:t xml:space="preserve">Denominator data for doses of HPV vaccine administered is available from April 2007 to December 2011 for calculation of reporting rates. </w:t>
      </w:r>
      <w:r w:rsidR="008130B6">
        <w:rPr>
          <w:lang w:val="en-AU"/>
        </w:rPr>
        <w:t>R</w:t>
      </w:r>
      <w:r w:rsidRPr="003408A6">
        <w:rPr>
          <w:lang w:val="en-AU"/>
        </w:rPr>
        <w:t>esults are presented for two time periods: 1) 1 April 2007 to 31 December 2012 (with reporting rates available to December 2011); and 2) 1 January 2013 to 30 June 2013.</w:t>
      </w:r>
    </w:p>
    <w:p w:rsidR="00FC6A03" w:rsidRPr="003408A6" w:rsidRDefault="00FC6A03" w:rsidP="001D498C">
      <w:pPr>
        <w:pStyle w:val="Heading4"/>
      </w:pPr>
      <w:r w:rsidRPr="003408A6">
        <w:t>Adverse events reports following HPV vaccination in females</w:t>
      </w:r>
      <w:r w:rsidR="00D66DDF">
        <w:t>,</w:t>
      </w:r>
      <w:r w:rsidRPr="003408A6">
        <w:t xml:space="preserve"> April 2007 to December 2012</w:t>
      </w:r>
    </w:p>
    <w:p w:rsidR="00FC6A03" w:rsidRPr="003408A6" w:rsidRDefault="00FC6A03" w:rsidP="00C419B8">
      <w:pPr>
        <w:pStyle w:val="BodyText"/>
        <w:rPr>
          <w:lang w:val="en-AU"/>
        </w:rPr>
      </w:pPr>
      <w:r w:rsidRPr="003408A6">
        <w:rPr>
          <w:lang w:val="en-AU"/>
        </w:rPr>
        <w:t xml:space="preserve">There were a total of 1,845 reports of adverse events following receipt of HPV vaccine during the period 1 April 2007 </w:t>
      </w:r>
      <w:r w:rsidRPr="003408A6">
        <w:rPr>
          <w:iCs/>
          <w:lang w:val="en-AU"/>
        </w:rPr>
        <w:t xml:space="preserve">to 31 December </w:t>
      </w:r>
      <w:r w:rsidRPr="003408A6">
        <w:rPr>
          <w:lang w:val="en-AU"/>
        </w:rPr>
        <w:t>2012. All of these reports were for females except for 2 reports for infant males whose mothers were vaccinated in pregnancy. Of the reports in females, 34% (n=635) were aged 12–13 years, 32% (n=590) were aged 14–17 years, 27% (n=506) were aged 18–26 years, and 3% (n=47) were aged &gt;26 years; only 2% (n=39) were aged &lt;12 years (</w:t>
      </w:r>
      <w:r w:rsidRPr="003408A6">
        <w:rPr>
          <w:b/>
          <w:lang w:val="en-AU"/>
        </w:rPr>
        <w:t>Table 4.2</w:t>
      </w:r>
      <w:r w:rsidRPr="003408A6">
        <w:rPr>
          <w:lang w:val="en-AU"/>
        </w:rPr>
        <w:t xml:space="preserve">). A total of 7% (n=129) of records listed outcomes defined as ‘serious’. These included 119 hospital admissions, 6 reports of life-threatening events and 4 cases reported as ‘recovered with sequelae’. All the reports of life-threatening events following vaccination were in females vaccinated with HPV vaccine only and were in the 16–26 years age group. Of the 129 serious records, 86% had </w:t>
      </w:r>
      <w:r w:rsidR="00D66DDF">
        <w:rPr>
          <w:lang w:val="en-AU"/>
        </w:rPr>
        <w:t xml:space="preserve">a </w:t>
      </w:r>
      <w:r w:rsidRPr="003408A6">
        <w:rPr>
          <w:lang w:val="en-AU"/>
        </w:rPr>
        <w:t>causality rating of ‘possible’ while 14% were coded as either ‘certain’ or ‘probable’. HPV vaccine was the only suspected vaccine in 1,505 (82%) AEFI records. Twenty per cent of all records had causality ratings of either ‘certain’ (15%) or ‘probable’ (5%), while 80% were coded as ‘possible’. Of all the reports coded as ‘certain’, 55% were injection site reactions.</w:t>
      </w:r>
    </w:p>
    <w:p w:rsidR="00FC6A03" w:rsidRPr="003408A6" w:rsidRDefault="00FC6A03" w:rsidP="00C419B8">
      <w:pPr>
        <w:pStyle w:val="BodyText"/>
        <w:rPr>
          <w:lang w:val="en-AU"/>
        </w:rPr>
      </w:pPr>
      <w:r w:rsidRPr="003408A6">
        <w:rPr>
          <w:b/>
          <w:lang w:val="en-AU"/>
        </w:rPr>
        <w:t>Figures 4.1</w:t>
      </w:r>
      <w:r w:rsidRPr="003408A6">
        <w:rPr>
          <w:lang w:val="en-AU"/>
        </w:rPr>
        <w:t xml:space="preserve"> and </w:t>
      </w:r>
      <w:r w:rsidRPr="003408A6">
        <w:rPr>
          <w:b/>
          <w:lang w:val="en-AU"/>
        </w:rPr>
        <w:t>4.2</w:t>
      </w:r>
      <w:r w:rsidRPr="003408A6">
        <w:rPr>
          <w:lang w:val="en-AU"/>
        </w:rPr>
        <w:t xml:space="preserve"> show trends over time in the number of AEFI reported following HPV vaccine (</w:t>
      </w:r>
      <w:r w:rsidRPr="003408A6">
        <w:rPr>
          <w:b/>
          <w:lang w:val="en-AU"/>
        </w:rPr>
        <w:t>Figure 4.1</w:t>
      </w:r>
      <w:r w:rsidRPr="003408A6">
        <w:rPr>
          <w:lang w:val="en-AU"/>
        </w:rPr>
        <w:t>) and reporting rates per 100,000 doses (</w:t>
      </w:r>
      <w:r w:rsidRPr="003408A6">
        <w:rPr>
          <w:b/>
          <w:lang w:val="en-AU"/>
        </w:rPr>
        <w:t>Figure 4.2</w:t>
      </w:r>
      <w:r w:rsidRPr="003408A6">
        <w:rPr>
          <w:lang w:val="en-AU"/>
        </w:rPr>
        <w:t>). Rates peaked in the year of the vaccine’s introduction in 2007 for all age groups and declined substantially in the following years except for a slight increase in the 12–13 years age group in 2011 (</w:t>
      </w:r>
      <w:r w:rsidRPr="003408A6">
        <w:rPr>
          <w:b/>
          <w:lang w:val="en-AU"/>
        </w:rPr>
        <w:t>Figure 4.2</w:t>
      </w:r>
      <w:r w:rsidRPr="003408A6">
        <w:rPr>
          <w:lang w:val="en-AU"/>
        </w:rPr>
        <w:t xml:space="preserve">). The overall reporting rate was 34.8 per 100,000 doses administered, and the rate of reports classified as serious was 2.5 per 100,000 doses. Rates fluctuated over time with peaks in 2007 and 2011. The peak in 2007 was expected as it was the first year of inclusion of the HPV vaccine on the NIP. </w:t>
      </w:r>
      <w:r w:rsidR="00D66DDF">
        <w:rPr>
          <w:lang w:val="en-AU"/>
        </w:rPr>
        <w:t>Alt</w:t>
      </w:r>
      <w:r w:rsidRPr="003408A6">
        <w:rPr>
          <w:lang w:val="en-AU"/>
        </w:rPr>
        <w:t>hough an increase was observed in 2011, it was not statistically significant (</w:t>
      </w:r>
      <w:r w:rsidRPr="003408A6">
        <w:rPr>
          <w:b/>
          <w:lang w:val="en-AU"/>
        </w:rPr>
        <w:t>Figure 4.2</w:t>
      </w:r>
      <w:r w:rsidRPr="003408A6">
        <w:rPr>
          <w:lang w:val="en-AU"/>
        </w:rPr>
        <w:t xml:space="preserve">).  </w:t>
      </w:r>
    </w:p>
    <w:p w:rsidR="00FC6A03" w:rsidRPr="003408A6" w:rsidRDefault="00FC6A03" w:rsidP="00FC6A03">
      <w:pPr>
        <w:pStyle w:val="Tableheading"/>
        <w:rPr>
          <w:lang w:val="en-AU"/>
        </w:rPr>
      </w:pPr>
      <w:bookmarkStart w:id="164" w:name="_Toc396475548"/>
      <w:bookmarkStart w:id="165" w:name="_Toc397000776"/>
      <w:r w:rsidRPr="003408A6">
        <w:rPr>
          <w:lang w:val="en-AU"/>
        </w:rPr>
        <w:t>Table 4.2</w:t>
      </w:r>
      <w:r w:rsidR="00D861BD" w:rsidRPr="003408A6">
        <w:rPr>
          <w:lang w:val="en-AU"/>
        </w:rPr>
        <w:t>.</w:t>
      </w:r>
      <w:r w:rsidR="00D861BD" w:rsidRPr="003408A6">
        <w:rPr>
          <w:lang w:val="en-AU"/>
        </w:rPr>
        <w:tab/>
      </w:r>
      <w:r w:rsidRPr="003408A6">
        <w:rPr>
          <w:lang w:val="en-AU"/>
        </w:rPr>
        <w:t>Adverse event reports following HPV vaccination, TGA Adverse Drug Reaction System database, 1 April 2007 to 31 December 2012</w:t>
      </w:r>
      <w:bookmarkEnd w:id="164"/>
      <w:bookmarkEnd w:id="16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8"/>
        <w:gridCol w:w="1134"/>
        <w:gridCol w:w="1276"/>
        <w:gridCol w:w="1276"/>
        <w:gridCol w:w="1559"/>
        <w:gridCol w:w="1276"/>
      </w:tblGrid>
      <w:tr w:rsidR="00C419B8" w:rsidRPr="003408A6" w:rsidTr="00C04EC9">
        <w:trPr>
          <w:trHeight w:val="834"/>
        </w:trPr>
        <w:tc>
          <w:tcPr>
            <w:tcW w:w="2518" w:type="dxa"/>
            <w:vMerge w:val="restart"/>
            <w:shd w:val="clear" w:color="auto" w:fill="auto"/>
            <w:tcMar>
              <w:top w:w="15" w:type="dxa"/>
              <w:left w:w="108" w:type="dxa"/>
              <w:bottom w:w="0" w:type="dxa"/>
              <w:right w:w="108" w:type="dxa"/>
            </w:tcMar>
            <w:vAlign w:val="center"/>
            <w:hideMark/>
          </w:tcPr>
          <w:p w:rsidR="00C419B8" w:rsidRPr="003408A6" w:rsidRDefault="00C419B8" w:rsidP="00C419B8">
            <w:pPr>
              <w:pStyle w:val="Tablecolumnheadings"/>
              <w:jc w:val="left"/>
              <w:rPr>
                <w:lang w:val="en-AU"/>
              </w:rPr>
            </w:pPr>
            <w:r w:rsidRPr="003408A6">
              <w:rPr>
                <w:lang w:val="en-AU"/>
              </w:rPr>
              <w:t>Age group (years)</w:t>
            </w:r>
          </w:p>
        </w:tc>
        <w:tc>
          <w:tcPr>
            <w:tcW w:w="2410" w:type="dxa"/>
            <w:gridSpan w:val="2"/>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AEFI records*</w:t>
            </w:r>
            <w:r w:rsidRPr="003408A6">
              <w:rPr>
                <w:lang w:val="en-AU"/>
              </w:rPr>
              <w:br/>
              <w:t>(n)</w:t>
            </w:r>
          </w:p>
        </w:tc>
        <w:tc>
          <w:tcPr>
            <w:tcW w:w="1276" w:type="dxa"/>
            <w:vMerge w:val="restart"/>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Vaccine doses*</w:t>
            </w:r>
            <w:r w:rsidRPr="003408A6">
              <w:rPr>
                <w:lang w:val="en-AU"/>
              </w:rPr>
              <w:br/>
              <w:t>(n)</w:t>
            </w:r>
          </w:p>
        </w:tc>
        <w:tc>
          <w:tcPr>
            <w:tcW w:w="2835" w:type="dxa"/>
            <w:gridSpan w:val="2"/>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Reporting rate per 100,000 doses (95% CI)</w:t>
            </w:r>
            <w:r w:rsidRPr="00782495">
              <w:rPr>
                <w:vertAlign w:val="superscript"/>
                <w:lang w:val="en-AU"/>
              </w:rPr>
              <w:t>†</w:t>
            </w:r>
          </w:p>
        </w:tc>
      </w:tr>
      <w:tr w:rsidR="00C04EC9" w:rsidRPr="003408A6" w:rsidTr="00C04EC9">
        <w:trPr>
          <w:trHeight w:val="329"/>
        </w:trPr>
        <w:tc>
          <w:tcPr>
            <w:tcW w:w="2518" w:type="dxa"/>
            <w:vMerge/>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p>
        </w:tc>
        <w:tc>
          <w:tcPr>
            <w:tcW w:w="1134" w:type="dxa"/>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Total</w:t>
            </w:r>
          </w:p>
        </w:tc>
        <w:tc>
          <w:tcPr>
            <w:tcW w:w="1276" w:type="dxa"/>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Serious</w:t>
            </w:r>
          </w:p>
        </w:tc>
        <w:tc>
          <w:tcPr>
            <w:tcW w:w="1276" w:type="dxa"/>
            <w:vMerge/>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p>
        </w:tc>
        <w:tc>
          <w:tcPr>
            <w:tcW w:w="1559" w:type="dxa"/>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Total</w:t>
            </w:r>
          </w:p>
        </w:tc>
        <w:tc>
          <w:tcPr>
            <w:tcW w:w="1276" w:type="dxa"/>
            <w:shd w:val="clear" w:color="auto" w:fill="auto"/>
            <w:tcMar>
              <w:top w:w="15" w:type="dxa"/>
              <w:left w:w="108" w:type="dxa"/>
              <w:bottom w:w="0" w:type="dxa"/>
              <w:right w:w="108" w:type="dxa"/>
            </w:tcMar>
            <w:vAlign w:val="center"/>
            <w:hideMark/>
          </w:tcPr>
          <w:p w:rsidR="00C419B8" w:rsidRPr="003408A6" w:rsidRDefault="00C419B8" w:rsidP="00C419B8">
            <w:pPr>
              <w:pStyle w:val="Tablecolumnheadings"/>
              <w:rPr>
                <w:lang w:val="en-AU"/>
              </w:rPr>
            </w:pPr>
            <w:r w:rsidRPr="003408A6">
              <w:rPr>
                <w:lang w:val="en-AU"/>
              </w:rPr>
              <w:t>Serious</w:t>
            </w:r>
          </w:p>
        </w:tc>
      </w:tr>
      <w:tr w:rsidR="00C04EC9" w:rsidRPr="003408A6" w:rsidTr="00C04EC9">
        <w:trPr>
          <w:trHeight w:val="471"/>
        </w:trPr>
        <w:tc>
          <w:tcPr>
            <w:tcW w:w="2518" w:type="dxa"/>
            <w:shd w:val="clear" w:color="auto" w:fill="auto"/>
            <w:tcMar>
              <w:top w:w="15" w:type="dxa"/>
              <w:left w:w="15" w:type="dxa"/>
              <w:bottom w:w="0" w:type="dxa"/>
              <w:right w:w="15" w:type="dxa"/>
            </w:tcMar>
            <w:vAlign w:val="center"/>
            <w:hideMark/>
          </w:tcPr>
          <w:p w:rsidR="00FC6A03" w:rsidRPr="003408A6" w:rsidRDefault="00782495" w:rsidP="009629BC">
            <w:pPr>
              <w:pStyle w:val="BodyText"/>
              <w:spacing w:after="0"/>
              <w:rPr>
                <w:sz w:val="20"/>
                <w:szCs w:val="20"/>
                <w:lang w:val="en-AU"/>
              </w:rPr>
            </w:pPr>
            <w:r>
              <w:rPr>
                <w:b/>
                <w:bCs/>
                <w:sz w:val="20"/>
                <w:szCs w:val="20"/>
                <w:lang w:val="en-AU"/>
              </w:rPr>
              <w:t>&lt;</w:t>
            </w:r>
            <w:r w:rsidR="00FC6A03" w:rsidRPr="003408A6">
              <w:rPr>
                <w:b/>
                <w:bCs/>
                <w:sz w:val="20"/>
                <w:szCs w:val="20"/>
                <w:lang w:val="en-AU"/>
              </w:rPr>
              <w:t>12 years</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39</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79,732</w:t>
            </w:r>
          </w:p>
        </w:tc>
        <w:tc>
          <w:tcPr>
            <w:tcW w:w="1559"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44.1 (28.5</w:t>
            </w:r>
            <w:r w:rsidR="00C419B8" w:rsidRPr="003408A6">
              <w:rPr>
                <w:sz w:val="20"/>
                <w:szCs w:val="20"/>
                <w:lang w:val="en-AU"/>
              </w:rPr>
              <w:t>–</w:t>
            </w:r>
            <w:r w:rsidRPr="003408A6">
              <w:rPr>
                <w:sz w:val="20"/>
                <w:szCs w:val="20"/>
                <w:lang w:val="en-AU"/>
              </w:rPr>
              <w:t>58.1)</w:t>
            </w:r>
          </w:p>
        </w:tc>
        <w:tc>
          <w:tcPr>
            <w:tcW w:w="1276" w:type="dxa"/>
            <w:shd w:val="clear" w:color="auto" w:fill="auto"/>
            <w:tcMar>
              <w:top w:w="15" w:type="dxa"/>
              <w:left w:w="15" w:type="dxa"/>
              <w:bottom w:w="0" w:type="dxa"/>
              <w:right w:w="15" w:type="dxa"/>
            </w:tcMar>
            <w:vAlign w:val="center"/>
            <w:hideMark/>
          </w:tcPr>
          <w:p w:rsidR="00FC6A03" w:rsidRPr="003408A6" w:rsidRDefault="00C419B8" w:rsidP="009629BC">
            <w:pPr>
              <w:pStyle w:val="BodyText"/>
              <w:spacing w:after="0"/>
              <w:jc w:val="center"/>
              <w:rPr>
                <w:sz w:val="20"/>
                <w:szCs w:val="20"/>
                <w:lang w:val="en-AU"/>
              </w:rPr>
            </w:pPr>
            <w:r w:rsidRPr="003408A6">
              <w:rPr>
                <w:sz w:val="20"/>
                <w:szCs w:val="20"/>
                <w:lang w:val="en-AU"/>
              </w:rPr>
              <w:t>1.3 (0.0–</w:t>
            </w:r>
            <w:r w:rsidR="00FC6A03" w:rsidRPr="003408A6">
              <w:rPr>
                <w:sz w:val="20"/>
                <w:szCs w:val="20"/>
                <w:lang w:val="en-AU"/>
              </w:rPr>
              <w:t>7.0)</w:t>
            </w:r>
          </w:p>
        </w:tc>
      </w:tr>
      <w:tr w:rsidR="00C04EC9" w:rsidRPr="003408A6" w:rsidTr="00C04EC9">
        <w:trPr>
          <w:trHeight w:val="421"/>
        </w:trPr>
        <w:tc>
          <w:tcPr>
            <w:tcW w:w="2518" w:type="dxa"/>
            <w:shd w:val="clear" w:color="auto" w:fill="auto"/>
            <w:tcMar>
              <w:top w:w="15" w:type="dxa"/>
              <w:left w:w="15" w:type="dxa"/>
              <w:bottom w:w="0" w:type="dxa"/>
              <w:right w:w="15" w:type="dxa"/>
            </w:tcMar>
            <w:vAlign w:val="center"/>
            <w:hideMark/>
          </w:tcPr>
          <w:p w:rsidR="00C04EC9" w:rsidRDefault="00FC6A03" w:rsidP="009629BC">
            <w:pPr>
              <w:pStyle w:val="BodyText"/>
              <w:spacing w:after="0"/>
              <w:rPr>
                <w:b/>
                <w:bCs/>
                <w:sz w:val="20"/>
                <w:szCs w:val="20"/>
                <w:lang w:val="en-AU"/>
              </w:rPr>
            </w:pPr>
            <w:r w:rsidRPr="003408A6">
              <w:rPr>
                <w:b/>
                <w:bCs/>
                <w:sz w:val="20"/>
                <w:szCs w:val="20"/>
                <w:lang w:val="en-AU"/>
              </w:rPr>
              <w:t xml:space="preserve">12–13 years </w:t>
            </w:r>
          </w:p>
          <w:p w:rsidR="00FC6A03" w:rsidRPr="003408A6" w:rsidRDefault="00FC6A03" w:rsidP="009629BC">
            <w:pPr>
              <w:pStyle w:val="BodyText"/>
              <w:spacing w:after="0"/>
              <w:rPr>
                <w:sz w:val="20"/>
                <w:szCs w:val="20"/>
                <w:lang w:val="en-AU"/>
              </w:rPr>
            </w:pPr>
            <w:r w:rsidRPr="003408A6">
              <w:rPr>
                <w:b/>
                <w:bCs/>
                <w:sz w:val="20"/>
                <w:szCs w:val="20"/>
                <w:lang w:val="en-AU"/>
              </w:rPr>
              <w:t>(School-based program)</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635</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29</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1,425,115</w:t>
            </w:r>
          </w:p>
        </w:tc>
        <w:tc>
          <w:tcPr>
            <w:tcW w:w="1559"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34.4 (31.4</w:t>
            </w:r>
            <w:r w:rsidR="00C419B8" w:rsidRPr="003408A6">
              <w:rPr>
                <w:sz w:val="20"/>
                <w:szCs w:val="20"/>
                <w:lang w:val="en-AU"/>
              </w:rPr>
              <w:t>–</w:t>
            </w:r>
            <w:r w:rsidRPr="003408A6">
              <w:rPr>
                <w:sz w:val="20"/>
                <w:szCs w:val="20"/>
                <w:lang w:val="en-AU"/>
              </w:rPr>
              <w:t>37.6)</w:t>
            </w:r>
          </w:p>
        </w:tc>
        <w:tc>
          <w:tcPr>
            <w:tcW w:w="1276"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1.4 (0.9</w:t>
            </w:r>
            <w:r w:rsidR="00C419B8" w:rsidRPr="003408A6">
              <w:rPr>
                <w:sz w:val="20"/>
                <w:szCs w:val="20"/>
                <w:lang w:val="en-AU"/>
              </w:rPr>
              <w:t>–</w:t>
            </w:r>
            <w:r w:rsidRPr="003408A6">
              <w:rPr>
                <w:sz w:val="20"/>
                <w:szCs w:val="20"/>
                <w:lang w:val="en-AU"/>
              </w:rPr>
              <w:t>2.2)</w:t>
            </w:r>
          </w:p>
        </w:tc>
      </w:tr>
      <w:tr w:rsidR="00C04EC9" w:rsidRPr="003408A6" w:rsidTr="00C04EC9">
        <w:trPr>
          <w:trHeight w:val="427"/>
        </w:trPr>
        <w:tc>
          <w:tcPr>
            <w:tcW w:w="2518" w:type="dxa"/>
            <w:shd w:val="clear" w:color="auto" w:fill="auto"/>
            <w:tcMar>
              <w:top w:w="15" w:type="dxa"/>
              <w:left w:w="15" w:type="dxa"/>
              <w:bottom w:w="0" w:type="dxa"/>
              <w:right w:w="15" w:type="dxa"/>
            </w:tcMar>
            <w:vAlign w:val="center"/>
            <w:hideMark/>
          </w:tcPr>
          <w:p w:rsidR="00C04EC9" w:rsidRDefault="00FC6A03" w:rsidP="009629BC">
            <w:pPr>
              <w:pStyle w:val="BodyText"/>
              <w:spacing w:after="0"/>
              <w:rPr>
                <w:b/>
                <w:bCs/>
                <w:sz w:val="20"/>
                <w:szCs w:val="20"/>
                <w:lang w:val="en-AU"/>
              </w:rPr>
            </w:pPr>
            <w:r w:rsidRPr="003408A6">
              <w:rPr>
                <w:b/>
                <w:bCs/>
                <w:sz w:val="20"/>
                <w:szCs w:val="20"/>
                <w:lang w:val="en-AU"/>
              </w:rPr>
              <w:t xml:space="preserve">14–17 years </w:t>
            </w:r>
          </w:p>
          <w:p w:rsidR="00FC6A03" w:rsidRPr="003408A6" w:rsidRDefault="00FC6A03" w:rsidP="009629BC">
            <w:pPr>
              <w:pStyle w:val="BodyText"/>
              <w:spacing w:after="0"/>
              <w:rPr>
                <w:sz w:val="20"/>
                <w:szCs w:val="20"/>
                <w:lang w:val="en-AU"/>
              </w:rPr>
            </w:pPr>
            <w:r w:rsidRPr="003408A6">
              <w:rPr>
                <w:b/>
                <w:bCs/>
                <w:sz w:val="20"/>
                <w:szCs w:val="20"/>
                <w:lang w:val="en-AU"/>
              </w:rPr>
              <w:t>(Total school catch-up)</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590</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54</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1,496,342</w:t>
            </w:r>
          </w:p>
        </w:tc>
        <w:tc>
          <w:tcPr>
            <w:tcW w:w="1559"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39.1 (36.0</w:t>
            </w:r>
            <w:r w:rsidR="00C419B8" w:rsidRPr="003408A6">
              <w:rPr>
                <w:sz w:val="20"/>
                <w:szCs w:val="20"/>
                <w:lang w:val="en-AU"/>
              </w:rPr>
              <w:t>–</w:t>
            </w:r>
            <w:r w:rsidRPr="003408A6">
              <w:rPr>
                <w:sz w:val="20"/>
                <w:szCs w:val="20"/>
                <w:lang w:val="en-AU"/>
              </w:rPr>
              <w:t>42.4)</w:t>
            </w:r>
          </w:p>
        </w:tc>
        <w:tc>
          <w:tcPr>
            <w:tcW w:w="1276"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3.6 (2.7</w:t>
            </w:r>
            <w:r w:rsidR="00C419B8" w:rsidRPr="003408A6">
              <w:rPr>
                <w:sz w:val="20"/>
                <w:szCs w:val="20"/>
                <w:lang w:val="en-AU"/>
              </w:rPr>
              <w:t>–</w:t>
            </w:r>
            <w:r w:rsidRPr="003408A6">
              <w:rPr>
                <w:sz w:val="20"/>
                <w:szCs w:val="20"/>
                <w:lang w:val="en-AU"/>
              </w:rPr>
              <w:t>4.7)</w:t>
            </w:r>
          </w:p>
        </w:tc>
      </w:tr>
      <w:tr w:rsidR="00C04EC9" w:rsidRPr="003408A6" w:rsidTr="00C04EC9">
        <w:trPr>
          <w:trHeight w:val="434"/>
        </w:trPr>
        <w:tc>
          <w:tcPr>
            <w:tcW w:w="2518" w:type="dxa"/>
            <w:shd w:val="clear" w:color="auto" w:fill="auto"/>
            <w:tcMar>
              <w:top w:w="15" w:type="dxa"/>
              <w:left w:w="15" w:type="dxa"/>
              <w:bottom w:w="0" w:type="dxa"/>
              <w:right w:w="15" w:type="dxa"/>
            </w:tcMar>
            <w:vAlign w:val="center"/>
            <w:hideMark/>
          </w:tcPr>
          <w:p w:rsidR="00C04EC9" w:rsidRDefault="00FC6A03" w:rsidP="00964BBF">
            <w:pPr>
              <w:pStyle w:val="BodyText"/>
              <w:spacing w:after="0"/>
              <w:rPr>
                <w:b/>
                <w:bCs/>
                <w:sz w:val="20"/>
                <w:szCs w:val="20"/>
                <w:lang w:val="en-AU"/>
              </w:rPr>
            </w:pPr>
            <w:r w:rsidRPr="003408A6">
              <w:rPr>
                <w:b/>
                <w:bCs/>
                <w:sz w:val="20"/>
                <w:szCs w:val="20"/>
                <w:lang w:val="en-AU"/>
              </w:rPr>
              <w:t xml:space="preserve">18–26 years </w:t>
            </w:r>
          </w:p>
          <w:p w:rsidR="00FC6A03" w:rsidRPr="003408A6" w:rsidRDefault="00FC6A03" w:rsidP="00964BBF">
            <w:pPr>
              <w:pStyle w:val="BodyText"/>
              <w:spacing w:after="0"/>
              <w:rPr>
                <w:sz w:val="20"/>
                <w:szCs w:val="20"/>
                <w:lang w:val="en-AU"/>
              </w:rPr>
            </w:pPr>
            <w:r w:rsidRPr="003408A6">
              <w:rPr>
                <w:b/>
                <w:bCs/>
                <w:sz w:val="20"/>
                <w:szCs w:val="20"/>
                <w:lang w:val="en-AU"/>
              </w:rPr>
              <w:t xml:space="preserve">(Total </w:t>
            </w:r>
            <w:r w:rsidR="00C04EC9">
              <w:rPr>
                <w:b/>
                <w:bCs/>
                <w:sz w:val="20"/>
                <w:szCs w:val="20"/>
                <w:lang w:val="en-AU"/>
              </w:rPr>
              <w:t xml:space="preserve">general </w:t>
            </w:r>
            <w:r w:rsidR="00964BBF" w:rsidRPr="00964BBF">
              <w:rPr>
                <w:b/>
                <w:bCs/>
                <w:sz w:val="20"/>
                <w:szCs w:val="20"/>
                <w:lang w:val="en-AU"/>
              </w:rPr>
              <w:t>practice</w:t>
            </w:r>
            <w:r w:rsidRPr="003408A6">
              <w:rPr>
                <w:b/>
                <w:bCs/>
                <w:sz w:val="20"/>
                <w:szCs w:val="20"/>
                <w:lang w:val="en-AU"/>
              </w:rPr>
              <w:t>/</w:t>
            </w:r>
            <w:r w:rsidR="00C04EC9">
              <w:rPr>
                <w:b/>
                <w:bCs/>
                <w:sz w:val="20"/>
                <w:szCs w:val="20"/>
                <w:lang w:val="en-AU"/>
              </w:rPr>
              <w:t xml:space="preserve"> </w:t>
            </w:r>
            <w:r w:rsidRPr="003408A6">
              <w:rPr>
                <w:b/>
                <w:bCs/>
                <w:sz w:val="20"/>
                <w:szCs w:val="20"/>
                <w:lang w:val="en-AU"/>
              </w:rPr>
              <w:t>community catch-up)</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506</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41</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1,775,874</w:t>
            </w:r>
          </w:p>
        </w:tc>
        <w:tc>
          <w:tcPr>
            <w:tcW w:w="1559" w:type="dxa"/>
            <w:shd w:val="clear" w:color="auto" w:fill="auto"/>
            <w:tcMar>
              <w:top w:w="15" w:type="dxa"/>
              <w:left w:w="15" w:type="dxa"/>
              <w:bottom w:w="0" w:type="dxa"/>
              <w:right w:w="15" w:type="dxa"/>
            </w:tcMar>
            <w:vAlign w:val="center"/>
            <w:hideMark/>
          </w:tcPr>
          <w:p w:rsidR="00FC6A03" w:rsidRPr="003408A6" w:rsidRDefault="00C419B8" w:rsidP="009629BC">
            <w:pPr>
              <w:pStyle w:val="BodyText"/>
              <w:spacing w:after="0"/>
              <w:jc w:val="center"/>
              <w:rPr>
                <w:sz w:val="20"/>
                <w:szCs w:val="20"/>
                <w:lang w:val="en-AU"/>
              </w:rPr>
            </w:pPr>
            <w:r w:rsidRPr="003408A6">
              <w:rPr>
                <w:sz w:val="20"/>
                <w:szCs w:val="20"/>
                <w:lang w:val="en-AU"/>
              </w:rPr>
              <w:t>28.4 (26.0–</w:t>
            </w:r>
            <w:r w:rsidR="00FC6A03" w:rsidRPr="003408A6">
              <w:rPr>
                <w:sz w:val="20"/>
                <w:szCs w:val="20"/>
                <w:lang w:val="en-AU"/>
              </w:rPr>
              <w:t>31.0)</w:t>
            </w:r>
          </w:p>
        </w:tc>
        <w:tc>
          <w:tcPr>
            <w:tcW w:w="1276"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2.3 (1.6</w:t>
            </w:r>
            <w:r w:rsidR="00C419B8" w:rsidRPr="003408A6">
              <w:rPr>
                <w:sz w:val="20"/>
                <w:szCs w:val="20"/>
                <w:lang w:val="en-AU"/>
              </w:rPr>
              <w:t>–</w:t>
            </w:r>
            <w:r w:rsidRPr="003408A6">
              <w:rPr>
                <w:sz w:val="20"/>
                <w:szCs w:val="20"/>
                <w:lang w:val="en-AU"/>
              </w:rPr>
              <w:t>3.1)</w:t>
            </w:r>
          </w:p>
        </w:tc>
      </w:tr>
      <w:tr w:rsidR="00C04EC9" w:rsidRPr="003408A6" w:rsidTr="00C04EC9">
        <w:trPr>
          <w:trHeight w:val="418"/>
        </w:trPr>
        <w:tc>
          <w:tcPr>
            <w:tcW w:w="2518"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rPr>
                <w:sz w:val="20"/>
                <w:szCs w:val="20"/>
                <w:lang w:val="en-AU"/>
              </w:rPr>
            </w:pPr>
            <w:r w:rsidRPr="003408A6">
              <w:rPr>
                <w:b/>
                <w:bCs/>
                <w:sz w:val="20"/>
                <w:szCs w:val="20"/>
                <w:lang w:val="en-AU"/>
              </w:rPr>
              <w:t>&gt;26 years</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47</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4</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68,542</w:t>
            </w:r>
          </w:p>
        </w:tc>
        <w:tc>
          <w:tcPr>
            <w:tcW w:w="1559"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64.2 (46.5</w:t>
            </w:r>
            <w:r w:rsidR="00C419B8" w:rsidRPr="003408A6">
              <w:rPr>
                <w:sz w:val="20"/>
                <w:szCs w:val="20"/>
                <w:lang w:val="en-AU"/>
              </w:rPr>
              <w:t>–</w:t>
            </w:r>
            <w:r w:rsidRPr="003408A6">
              <w:rPr>
                <w:sz w:val="20"/>
                <w:szCs w:val="20"/>
                <w:lang w:val="en-AU"/>
              </w:rPr>
              <w:t>86.2)</w:t>
            </w:r>
          </w:p>
        </w:tc>
        <w:tc>
          <w:tcPr>
            <w:tcW w:w="1276"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2.9 (0.3</w:t>
            </w:r>
            <w:r w:rsidR="00C419B8" w:rsidRPr="003408A6">
              <w:rPr>
                <w:sz w:val="20"/>
                <w:szCs w:val="20"/>
                <w:lang w:val="en-AU"/>
              </w:rPr>
              <w:t>–</w:t>
            </w:r>
            <w:r w:rsidRPr="003408A6">
              <w:rPr>
                <w:sz w:val="20"/>
                <w:szCs w:val="20"/>
                <w:lang w:val="en-AU"/>
              </w:rPr>
              <w:t>10.5)</w:t>
            </w:r>
          </w:p>
        </w:tc>
      </w:tr>
      <w:tr w:rsidR="00C04EC9" w:rsidRPr="003408A6" w:rsidTr="00C04EC9">
        <w:trPr>
          <w:trHeight w:val="561"/>
        </w:trPr>
        <w:tc>
          <w:tcPr>
            <w:tcW w:w="2518"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rPr>
                <w:sz w:val="20"/>
                <w:szCs w:val="20"/>
                <w:lang w:val="en-AU"/>
              </w:rPr>
            </w:pPr>
            <w:r w:rsidRPr="003408A6">
              <w:rPr>
                <w:b/>
                <w:bCs/>
                <w:sz w:val="20"/>
                <w:szCs w:val="20"/>
                <w:lang w:val="en-AU"/>
              </w:rPr>
              <w:t>Total</w:t>
            </w:r>
          </w:p>
        </w:tc>
        <w:tc>
          <w:tcPr>
            <w:tcW w:w="1134"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1,845</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129</w:t>
            </w:r>
          </w:p>
        </w:tc>
        <w:tc>
          <w:tcPr>
            <w:tcW w:w="1276" w:type="dxa"/>
            <w:shd w:val="clear" w:color="auto" w:fill="auto"/>
            <w:tcMar>
              <w:top w:w="15" w:type="dxa"/>
              <w:left w:w="15" w:type="dxa"/>
              <w:bottom w:w="0" w:type="dxa"/>
              <w:right w:w="15" w:type="dxa"/>
            </w:tcMar>
            <w:vAlign w:val="center"/>
            <w:hideMark/>
          </w:tcPr>
          <w:p w:rsidR="00FC6A03" w:rsidRPr="003408A6" w:rsidRDefault="00FC6A03" w:rsidP="009629BC">
            <w:pPr>
              <w:pStyle w:val="BodyText"/>
              <w:spacing w:after="0"/>
              <w:jc w:val="center"/>
              <w:rPr>
                <w:sz w:val="20"/>
                <w:szCs w:val="20"/>
                <w:lang w:val="en-AU"/>
              </w:rPr>
            </w:pPr>
            <w:r w:rsidRPr="003408A6">
              <w:rPr>
                <w:sz w:val="20"/>
                <w:szCs w:val="20"/>
                <w:lang w:val="en-AU"/>
              </w:rPr>
              <w:t>4,845,605</w:t>
            </w:r>
          </w:p>
        </w:tc>
        <w:tc>
          <w:tcPr>
            <w:tcW w:w="1559"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34.8 (33.1</w:t>
            </w:r>
            <w:r w:rsidR="00C419B8" w:rsidRPr="003408A6">
              <w:rPr>
                <w:sz w:val="20"/>
                <w:szCs w:val="20"/>
                <w:lang w:val="en-AU"/>
              </w:rPr>
              <w:t>–</w:t>
            </w:r>
            <w:r w:rsidRPr="003408A6">
              <w:rPr>
                <w:sz w:val="20"/>
                <w:szCs w:val="20"/>
                <w:lang w:val="en-AU"/>
              </w:rPr>
              <w:t>36.5)</w:t>
            </w:r>
          </w:p>
        </w:tc>
        <w:tc>
          <w:tcPr>
            <w:tcW w:w="1276" w:type="dxa"/>
            <w:shd w:val="clear" w:color="auto" w:fill="auto"/>
            <w:tcMar>
              <w:top w:w="15" w:type="dxa"/>
              <w:left w:w="15" w:type="dxa"/>
              <w:bottom w:w="0" w:type="dxa"/>
              <w:right w:w="15" w:type="dxa"/>
            </w:tcMar>
            <w:vAlign w:val="center"/>
            <w:hideMark/>
          </w:tcPr>
          <w:p w:rsidR="00FC6A03" w:rsidRPr="003408A6" w:rsidRDefault="00FC6A03" w:rsidP="00C419B8">
            <w:pPr>
              <w:pStyle w:val="BodyText"/>
              <w:spacing w:after="0"/>
              <w:jc w:val="center"/>
              <w:rPr>
                <w:sz w:val="20"/>
                <w:szCs w:val="20"/>
                <w:lang w:val="en-AU"/>
              </w:rPr>
            </w:pPr>
            <w:r w:rsidRPr="003408A6">
              <w:rPr>
                <w:sz w:val="20"/>
                <w:szCs w:val="20"/>
                <w:lang w:val="en-AU"/>
              </w:rPr>
              <w:t>2.5 (2.0</w:t>
            </w:r>
            <w:r w:rsidR="00C419B8" w:rsidRPr="003408A6">
              <w:rPr>
                <w:sz w:val="20"/>
                <w:szCs w:val="20"/>
                <w:lang w:val="en-AU"/>
              </w:rPr>
              <w:t>–</w:t>
            </w:r>
            <w:r w:rsidRPr="003408A6">
              <w:rPr>
                <w:sz w:val="20"/>
                <w:szCs w:val="20"/>
                <w:lang w:val="en-AU"/>
              </w:rPr>
              <w:t>2.9)</w:t>
            </w:r>
          </w:p>
        </w:tc>
      </w:tr>
    </w:tbl>
    <w:p w:rsidR="00FC6A03" w:rsidRPr="003408A6" w:rsidRDefault="00FC6A03" w:rsidP="00C419B8">
      <w:pPr>
        <w:pStyle w:val="Tablefootnote"/>
      </w:pPr>
      <w:r w:rsidRPr="003408A6">
        <w:rPr>
          <w:b/>
          <w:bCs/>
        </w:rPr>
        <w:t>*</w:t>
      </w:r>
      <w:r w:rsidR="00C419B8" w:rsidRPr="003408A6">
        <w:rPr>
          <w:b/>
          <w:bCs/>
        </w:rPr>
        <w:tab/>
      </w:r>
      <w:r w:rsidRPr="003408A6">
        <w:t>An AEFI record may list more than one vaccine.</w:t>
      </w:r>
      <w:r w:rsidR="00782495" w:rsidRPr="00782495">
        <w:t xml:space="preserve"> AEFI records are not shown if both age and date of birth were not reported</w:t>
      </w:r>
    </w:p>
    <w:p w:rsidR="00FC6A03" w:rsidRPr="003408A6" w:rsidRDefault="00C419B8" w:rsidP="00C419B8">
      <w:pPr>
        <w:pStyle w:val="Tablefootnote"/>
        <w:rPr>
          <w:bCs/>
        </w:rPr>
      </w:pPr>
      <w:r w:rsidRPr="003408A6">
        <w:rPr>
          <w:bCs/>
        </w:rPr>
        <w:t>†</w:t>
      </w:r>
      <w:r w:rsidRPr="003408A6">
        <w:rPr>
          <w:b/>
          <w:bCs/>
        </w:rPr>
        <w:tab/>
      </w:r>
      <w:r w:rsidR="00FC6A03" w:rsidRPr="003408A6">
        <w:rPr>
          <w:bCs/>
        </w:rPr>
        <w:t>Reporting rate per 100,000 doses are calculated from 1 April 2007 to 31 December 2011.</w:t>
      </w:r>
    </w:p>
    <w:p w:rsidR="00FC6A03" w:rsidRPr="003408A6" w:rsidRDefault="00FC6A03" w:rsidP="00FC6A03">
      <w:pPr>
        <w:rPr>
          <w:rFonts w:cs="Arial"/>
          <w:szCs w:val="22"/>
        </w:rPr>
      </w:pPr>
      <w:r w:rsidRPr="003408A6">
        <w:rPr>
          <w:rFonts w:cs="Arial"/>
          <w:szCs w:val="22"/>
        </w:rPr>
        <w:br w:type="page"/>
      </w:r>
    </w:p>
    <w:p w:rsidR="00FC6A03" w:rsidRDefault="00FC6A03" w:rsidP="00FC6A03">
      <w:pPr>
        <w:pStyle w:val="Figureheading"/>
      </w:pPr>
      <w:bookmarkStart w:id="166" w:name="_Toc396475583"/>
      <w:bookmarkStart w:id="167" w:name="_Toc397000811"/>
      <w:r w:rsidRPr="003408A6">
        <w:t>Figure 4.1.</w:t>
      </w:r>
      <w:r w:rsidR="002B7A0C" w:rsidRPr="003408A6">
        <w:tab/>
      </w:r>
      <w:r w:rsidRPr="003408A6">
        <w:t>Number of reports of adverse events following HPV vaccination for females aged 12–13 years, 14–17 years and 18–26 years, TGA Adverse Drug Reaction System database, 1 April 2007 to 30 June 2013, by year of vaccination</w:t>
      </w:r>
      <w:bookmarkEnd w:id="166"/>
      <w:bookmarkEnd w:id="167"/>
      <w:r w:rsidRPr="003408A6">
        <w:t xml:space="preserve"> </w:t>
      </w:r>
    </w:p>
    <w:p w:rsidR="00003706" w:rsidRDefault="00003706" w:rsidP="00003706">
      <w:pPr>
        <w:pStyle w:val="BodyText"/>
        <w:rPr>
          <w:lang w:val="en-AU"/>
        </w:rPr>
      </w:pPr>
    </w:p>
    <w:p w:rsidR="00AA7F97" w:rsidRPr="00AA7F97" w:rsidRDefault="00003706" w:rsidP="00AA7F97">
      <w:pPr>
        <w:pStyle w:val="BodyText"/>
        <w:rPr>
          <w:lang w:val="en-AU"/>
        </w:rPr>
      </w:pPr>
      <w:r>
        <w:rPr>
          <w:noProof/>
          <w:lang w:val="en-AU" w:eastAsia="en-AU"/>
        </w:rPr>
        <w:drawing>
          <wp:inline distT="0" distB="0" distL="0" distR="0" wp14:anchorId="44959843" wp14:editId="39FF15E3">
            <wp:extent cx="5731510" cy="3740178"/>
            <wp:effectExtent l="0" t="0" r="2540" b="0"/>
            <wp:docPr id="1" name="Picture 1" descr="First arrow on the figure points to the commencement of the National HPV Immunisation program in April 2007&#10;&#10;Second arrow on the figure points to the cessation of the National HPV school-based catch-up program in December 2008&#10;&#10;Third arrow on the figure points to the ceassation of the National HPV community/GP- catch-up program in December 2009&#10;&#10;Fourth arrow on the figure points to the commencement of the National HPV Immunisation program for males &#10;in February 2013" title="Number of reports of adverse events following HPV vaccination for females aged 12–13 years, 14–17 years and 18–26 years, TGA Adverse Drug Reaction System database, 1 April 2007 to 30 June 2013, by year of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740178"/>
                    </a:xfrm>
                    <a:prstGeom prst="rect">
                      <a:avLst/>
                    </a:prstGeom>
                  </pic:spPr>
                </pic:pic>
              </a:graphicData>
            </a:graphic>
          </wp:inline>
        </w:drawing>
      </w:r>
    </w:p>
    <w:p w:rsidR="00FC6A03" w:rsidRPr="003408A6" w:rsidRDefault="00FC6A03" w:rsidP="00FC6A03">
      <w:pPr>
        <w:pStyle w:val="BodyText"/>
        <w:rPr>
          <w:lang w:val="en-AU"/>
        </w:rPr>
      </w:pPr>
    </w:p>
    <w:p w:rsidR="00FC6A03" w:rsidRPr="003408A6" w:rsidRDefault="00FC6A03" w:rsidP="00C419B8">
      <w:pPr>
        <w:pStyle w:val="BodyText"/>
        <w:rPr>
          <w:lang w:val="en-AU"/>
        </w:rPr>
      </w:pPr>
    </w:p>
    <w:p w:rsidR="00FC6A03" w:rsidRPr="003408A6" w:rsidRDefault="00FC6A03" w:rsidP="00C419B8">
      <w:pPr>
        <w:pStyle w:val="BodyText"/>
        <w:rPr>
          <w:b/>
          <w:lang w:val="en-AU"/>
        </w:rPr>
      </w:pPr>
      <w:r w:rsidRPr="003408A6">
        <w:rPr>
          <w:b/>
          <w:lang w:val="en-AU"/>
        </w:rPr>
        <w:br w:type="page"/>
      </w:r>
    </w:p>
    <w:p w:rsidR="00FC6A03" w:rsidRDefault="00FC6A03" w:rsidP="00FC6A03">
      <w:pPr>
        <w:pStyle w:val="Figureheading"/>
      </w:pPr>
      <w:bookmarkStart w:id="168" w:name="_Toc396475584"/>
      <w:bookmarkStart w:id="169" w:name="_Toc397000812"/>
      <w:r w:rsidRPr="003408A6">
        <w:t>Figure 4.2.</w:t>
      </w:r>
      <w:r w:rsidR="002B7A0C" w:rsidRPr="003408A6">
        <w:tab/>
      </w:r>
      <w:r w:rsidRPr="003408A6">
        <w:t>Reporting rates of adverse events per 100,000 doses following HPV vaccination in females aged 12–13 years, 14–17 years and 18–26 years, TGA Adverse Drug Reaction System database, 1 April 2007 to 31 December 2011*, by year of vaccination</w:t>
      </w:r>
      <w:bookmarkEnd w:id="168"/>
      <w:bookmarkEnd w:id="169"/>
    </w:p>
    <w:p w:rsidR="00003706" w:rsidRPr="00003706" w:rsidRDefault="00003706" w:rsidP="00003706">
      <w:pPr>
        <w:pStyle w:val="BodyText"/>
        <w:rPr>
          <w:lang w:val="en-AU"/>
        </w:rPr>
      </w:pPr>
      <w:r>
        <w:rPr>
          <w:noProof/>
          <w:lang w:val="en-AU" w:eastAsia="en-AU"/>
        </w:rPr>
        <w:drawing>
          <wp:inline distT="0" distB="0" distL="0" distR="0" wp14:anchorId="09F76D40" wp14:editId="7426E42C">
            <wp:extent cx="5731510" cy="4684407"/>
            <wp:effectExtent l="0" t="0" r="2540" b="1905"/>
            <wp:docPr id="16" name="Picture 16" descr="First arrow on the figure points to the commencement of the National HPV Immunisation program in April 2007&#10;&#10;The second arrow points to the ceasation of the National HPV school based catch-up program in December 2008.&#10;&#10;The Third arrow points to the cesation of the National HPV community/GP catch-up program in December 2009." title="Reporting rates of adverse events per 100,000 doses following HPV vaccination in females aged 12–13 years, 14–17 years and 18–26 years, TGA Adverse Drug Reaction System database, 1 April 2007 to 31 December 2011*, by year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684407"/>
                    </a:xfrm>
                    <a:prstGeom prst="rect">
                      <a:avLst/>
                    </a:prstGeom>
                  </pic:spPr>
                </pic:pic>
              </a:graphicData>
            </a:graphic>
          </wp:inline>
        </w:drawing>
      </w:r>
    </w:p>
    <w:p w:rsidR="00FC6A03" w:rsidRPr="003408A6" w:rsidRDefault="00FC6A03" w:rsidP="00FC6A03">
      <w:pPr>
        <w:pStyle w:val="BodyText"/>
        <w:rPr>
          <w:lang w:val="en-AU"/>
        </w:rPr>
      </w:pPr>
    </w:p>
    <w:p w:rsidR="00FC6A03" w:rsidRPr="003408A6" w:rsidRDefault="00FC6A03" w:rsidP="00C419B8">
      <w:pPr>
        <w:pStyle w:val="Tablefootnote"/>
      </w:pPr>
      <w:r w:rsidRPr="003408A6">
        <w:t>*</w:t>
      </w:r>
      <w:r w:rsidR="00C419B8" w:rsidRPr="003408A6">
        <w:tab/>
      </w:r>
      <w:r w:rsidRPr="003408A6">
        <w:t>AEFI reporting rates could not be calculated for 18–26-year olds for the year</w:t>
      </w:r>
      <w:r w:rsidR="00D66DDF">
        <w:t>s</w:t>
      </w:r>
      <w:r w:rsidRPr="003408A6">
        <w:t xml:space="preserve"> 2010 and 2011 because there was no dosage data </w:t>
      </w:r>
      <w:r w:rsidR="00D66DDF">
        <w:t>after</w:t>
      </w:r>
      <w:r w:rsidR="00D66DDF" w:rsidRPr="003408A6">
        <w:t xml:space="preserve"> </w:t>
      </w:r>
      <w:r w:rsidRPr="003408A6">
        <w:t>the National HPV community/</w:t>
      </w:r>
      <w:r w:rsidR="00964BBF">
        <w:t>general practice</w:t>
      </w:r>
      <w:r w:rsidRPr="003408A6">
        <w:t xml:space="preserve"> catch-up program ceased in December 2009. Reporting rates could not be calculated for January 2012 to June 2013 because of the non-availability of the denominator doses data for this period.</w:t>
      </w:r>
    </w:p>
    <w:p w:rsidR="00FC6A03" w:rsidRPr="003408A6" w:rsidRDefault="00FC6A03" w:rsidP="00C419B8">
      <w:pPr>
        <w:pStyle w:val="Bodytextaftertable"/>
        <w:rPr>
          <w:b/>
          <w:lang w:val="en-AU"/>
        </w:rPr>
      </w:pPr>
      <w:r w:rsidRPr="00782495">
        <w:rPr>
          <w:b/>
          <w:lang w:val="en-AU"/>
        </w:rPr>
        <w:t>Table 4.3</w:t>
      </w:r>
      <w:r w:rsidRPr="003408A6">
        <w:rPr>
          <w:lang w:val="en-AU"/>
        </w:rPr>
        <w:t xml:space="preserve"> shows the </w:t>
      </w:r>
      <w:r w:rsidR="00D66DDF" w:rsidRPr="003408A6">
        <w:rPr>
          <w:lang w:val="en-AU"/>
        </w:rPr>
        <w:t xml:space="preserve">total </w:t>
      </w:r>
      <w:r w:rsidRPr="003408A6">
        <w:rPr>
          <w:lang w:val="en-AU"/>
        </w:rPr>
        <w:t xml:space="preserve">number of adverse events as well as reporting rates per 100,000 doses following HPV vaccination in females by jurisdiction, for 1 April 2007 to 31 December 2011. Overall, the majority of the cases (29%; n=485) were reported from New South Wales, followed by Victoria (22%; n=367), Queensland (17%; n=292) and South Australia (14%; n=235). In terms of reporting rates, </w:t>
      </w:r>
      <w:r w:rsidR="00D66DDF">
        <w:rPr>
          <w:lang w:val="en-AU"/>
        </w:rPr>
        <w:t xml:space="preserve">the </w:t>
      </w:r>
      <w:r w:rsidRPr="003408A6">
        <w:rPr>
          <w:lang w:val="en-AU"/>
        </w:rPr>
        <w:t>A</w:t>
      </w:r>
      <w:r w:rsidR="00D66DDF">
        <w:rPr>
          <w:lang w:val="en-AU"/>
        </w:rPr>
        <w:t xml:space="preserve">ustralian </w:t>
      </w:r>
      <w:r w:rsidRPr="003408A6">
        <w:rPr>
          <w:lang w:val="en-AU"/>
        </w:rPr>
        <w:t>C</w:t>
      </w:r>
      <w:r w:rsidR="00D66DDF">
        <w:rPr>
          <w:lang w:val="en-AU"/>
        </w:rPr>
        <w:t xml:space="preserve">apital </w:t>
      </w:r>
      <w:r w:rsidRPr="003408A6">
        <w:rPr>
          <w:lang w:val="en-AU"/>
        </w:rPr>
        <w:t>T</w:t>
      </w:r>
      <w:r w:rsidR="00D66DDF">
        <w:rPr>
          <w:lang w:val="en-AU"/>
        </w:rPr>
        <w:t>erritory</w:t>
      </w:r>
      <w:r w:rsidRPr="003408A6">
        <w:rPr>
          <w:lang w:val="en-AU"/>
        </w:rPr>
        <w:t xml:space="preserve"> and S</w:t>
      </w:r>
      <w:r w:rsidR="00D66DDF">
        <w:rPr>
          <w:lang w:val="en-AU"/>
        </w:rPr>
        <w:t xml:space="preserve">outh </w:t>
      </w:r>
      <w:r w:rsidRPr="003408A6">
        <w:rPr>
          <w:lang w:val="en-AU"/>
        </w:rPr>
        <w:t>A</w:t>
      </w:r>
      <w:r w:rsidR="00782495">
        <w:rPr>
          <w:lang w:val="en-AU"/>
        </w:rPr>
        <w:t>ustralia</w:t>
      </w:r>
      <w:r w:rsidRPr="003408A6">
        <w:rPr>
          <w:lang w:val="en-AU"/>
        </w:rPr>
        <w:t xml:space="preserve"> have shown higher reporting rates per 100,000 doses than</w:t>
      </w:r>
      <w:r w:rsidR="00D66DDF">
        <w:rPr>
          <w:lang w:val="en-AU"/>
        </w:rPr>
        <w:t xml:space="preserve"> the</w:t>
      </w:r>
      <w:r w:rsidRPr="003408A6">
        <w:rPr>
          <w:lang w:val="en-AU"/>
        </w:rPr>
        <w:t xml:space="preserve"> national average, while Tasmania </w:t>
      </w:r>
      <w:r w:rsidR="00D66DDF">
        <w:rPr>
          <w:lang w:val="en-AU"/>
        </w:rPr>
        <w:t>has</w:t>
      </w:r>
      <w:r w:rsidRPr="003408A6">
        <w:rPr>
          <w:lang w:val="en-AU"/>
        </w:rPr>
        <w:t xml:space="preserve"> the lowest</w:t>
      </w:r>
      <w:r w:rsidR="00D66DDF">
        <w:rPr>
          <w:lang w:val="en-AU"/>
        </w:rPr>
        <w:t xml:space="preserve"> rate</w:t>
      </w:r>
      <w:r w:rsidRPr="003408A6">
        <w:rPr>
          <w:lang w:val="en-AU"/>
        </w:rPr>
        <w:t xml:space="preserve">, given direct reporting from Tasmania to </w:t>
      </w:r>
      <w:r w:rsidR="00D66DDF">
        <w:rPr>
          <w:lang w:val="en-AU"/>
        </w:rPr>
        <w:t xml:space="preserve">the </w:t>
      </w:r>
      <w:r w:rsidRPr="003408A6">
        <w:rPr>
          <w:lang w:val="en-AU"/>
        </w:rPr>
        <w:t>TGA.</w:t>
      </w:r>
    </w:p>
    <w:p w:rsidR="00FC6A03" w:rsidRPr="003408A6" w:rsidRDefault="00FC6A03" w:rsidP="00FC6A03">
      <w:pPr>
        <w:pStyle w:val="BodyText"/>
        <w:rPr>
          <w:lang w:val="en-AU"/>
        </w:rPr>
        <w:sectPr w:rsidR="00FC6A03" w:rsidRPr="003408A6" w:rsidSect="00D07C02">
          <w:headerReference w:type="even" r:id="rId37"/>
          <w:headerReference w:type="default" r:id="rId38"/>
          <w:footerReference w:type="default" r:id="rId39"/>
          <w:headerReference w:type="first" r:id="rId40"/>
          <w:pgSz w:w="11906" w:h="16838"/>
          <w:pgMar w:top="1440" w:right="1440" w:bottom="1440" w:left="1440" w:header="709" w:footer="709" w:gutter="0"/>
          <w:cols w:space="708"/>
          <w:docGrid w:linePitch="360"/>
        </w:sectPr>
      </w:pPr>
    </w:p>
    <w:p w:rsidR="00FC6A03" w:rsidRPr="003408A6" w:rsidRDefault="00FC6A03" w:rsidP="00FC6A03">
      <w:pPr>
        <w:pStyle w:val="Tableheading"/>
        <w:rPr>
          <w:lang w:val="en-AU"/>
        </w:rPr>
      </w:pPr>
      <w:bookmarkStart w:id="170" w:name="_Toc396475549"/>
      <w:bookmarkStart w:id="171" w:name="_Toc397000777"/>
      <w:r w:rsidRPr="003408A6">
        <w:rPr>
          <w:lang w:val="en-AU"/>
        </w:rPr>
        <w:t>Table 4.3.</w:t>
      </w:r>
      <w:r w:rsidR="00D861BD" w:rsidRPr="003408A6">
        <w:rPr>
          <w:lang w:val="en-AU"/>
        </w:rPr>
        <w:tab/>
      </w:r>
      <w:r w:rsidRPr="003408A6">
        <w:rPr>
          <w:lang w:val="en-AU"/>
        </w:rPr>
        <w:t>Number of reports and reporting rates of adverse events following HPV vaccination in females, by jurisdiction, TGA Adverse Drug Reaction System database, 1 April 2007 to 31 December 2011</w:t>
      </w:r>
      <w:bookmarkEnd w:id="170"/>
      <w:bookmarkEnd w:id="171"/>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706"/>
        <w:gridCol w:w="1430"/>
        <w:gridCol w:w="705"/>
        <w:gridCol w:w="1453"/>
        <w:gridCol w:w="784"/>
        <w:gridCol w:w="1350"/>
        <w:gridCol w:w="706"/>
        <w:gridCol w:w="1511"/>
        <w:gridCol w:w="744"/>
        <w:gridCol w:w="1390"/>
        <w:gridCol w:w="726"/>
        <w:gridCol w:w="1409"/>
      </w:tblGrid>
      <w:tr w:rsidR="00FC6A03" w:rsidRPr="003408A6" w:rsidTr="00BF3766">
        <w:trPr>
          <w:cantSplit/>
          <w:trHeight w:val="399"/>
        </w:trPr>
        <w:tc>
          <w:tcPr>
            <w:tcW w:w="1983" w:type="dxa"/>
            <w:vMerge w:val="restart"/>
            <w:tcBorders>
              <w:top w:val="single" w:sz="4" w:space="0" w:color="auto"/>
              <w:left w:val="single" w:sz="4" w:space="0" w:color="auto"/>
              <w:bottom w:val="single" w:sz="4" w:space="0" w:color="auto"/>
              <w:right w:val="single" w:sz="4" w:space="0" w:color="auto"/>
            </w:tcBorders>
            <w:vAlign w:val="center"/>
          </w:tcPr>
          <w:p w:rsidR="00FC6A03" w:rsidRPr="003408A6" w:rsidRDefault="00C419B8" w:rsidP="00C419B8">
            <w:pPr>
              <w:pStyle w:val="Tablecolumnheading"/>
              <w:rPr>
                <w:lang w:val="en-AU"/>
              </w:rPr>
            </w:pPr>
            <w:r w:rsidRPr="003408A6">
              <w:rPr>
                <w:lang w:val="en-AU"/>
              </w:rPr>
              <w:t>Jurisdiction</w:t>
            </w:r>
          </w:p>
        </w:tc>
        <w:tc>
          <w:tcPr>
            <w:tcW w:w="12901" w:type="dxa"/>
            <w:gridSpan w:val="12"/>
            <w:tcBorders>
              <w:top w:val="single" w:sz="4" w:space="0" w:color="auto"/>
              <w:left w:val="single" w:sz="4" w:space="0" w:color="auto"/>
              <w:bottom w:val="single" w:sz="4" w:space="0" w:color="auto"/>
              <w:right w:val="single" w:sz="4" w:space="0" w:color="auto"/>
            </w:tcBorders>
            <w:vAlign w:val="bottom"/>
          </w:tcPr>
          <w:p w:rsidR="00FC6A03" w:rsidRPr="003408A6" w:rsidRDefault="00FC6A03" w:rsidP="00BF3766">
            <w:pPr>
              <w:pStyle w:val="Tablecolumnheadings"/>
              <w:rPr>
                <w:lang w:val="en-AU"/>
              </w:rPr>
            </w:pPr>
            <w:r w:rsidRPr="003408A6">
              <w:rPr>
                <w:lang w:val="en-AU"/>
              </w:rPr>
              <w:t>Number of reported AEFIs and reporting rates per 100,000 doses (95% CI)</w:t>
            </w:r>
          </w:p>
        </w:tc>
      </w:tr>
      <w:tr w:rsidR="00FC6A03" w:rsidRPr="003408A6" w:rsidTr="00BF3766">
        <w:trPr>
          <w:cantSplit/>
          <w:trHeight w:val="405"/>
        </w:trPr>
        <w:tc>
          <w:tcPr>
            <w:tcW w:w="1983" w:type="dxa"/>
            <w:vMerge/>
          </w:tcPr>
          <w:p w:rsidR="00FC6A03" w:rsidRPr="003408A6" w:rsidRDefault="00FC6A03" w:rsidP="009629BC">
            <w:pPr>
              <w:pStyle w:val="Tabletextbold"/>
              <w:spacing w:after="0"/>
              <w:rPr>
                <w:rFonts w:cs="Arial"/>
                <w:lang w:val="en-AU"/>
              </w:rPr>
            </w:pPr>
          </w:p>
        </w:tc>
        <w:tc>
          <w:tcPr>
            <w:tcW w:w="2147" w:type="dxa"/>
            <w:gridSpan w:val="2"/>
            <w:shd w:val="clear" w:color="auto" w:fill="auto"/>
            <w:vAlign w:val="bottom"/>
          </w:tcPr>
          <w:p w:rsidR="00FC6A03" w:rsidRPr="003408A6" w:rsidRDefault="00FC6A03" w:rsidP="00C419B8">
            <w:pPr>
              <w:pStyle w:val="Tablecolumnheadings"/>
              <w:rPr>
                <w:lang w:val="en-AU"/>
              </w:rPr>
            </w:pPr>
            <w:r w:rsidRPr="003408A6">
              <w:rPr>
                <w:lang w:val="en-AU"/>
              </w:rPr>
              <w:t>2007</w:t>
            </w:r>
          </w:p>
        </w:tc>
        <w:tc>
          <w:tcPr>
            <w:tcW w:w="2170" w:type="dxa"/>
            <w:gridSpan w:val="2"/>
            <w:shd w:val="clear" w:color="auto" w:fill="auto"/>
            <w:vAlign w:val="bottom"/>
          </w:tcPr>
          <w:p w:rsidR="00FC6A03" w:rsidRPr="003408A6" w:rsidRDefault="00FC6A03" w:rsidP="00C419B8">
            <w:pPr>
              <w:pStyle w:val="Tablecolumnheadings"/>
              <w:rPr>
                <w:lang w:val="en-AU"/>
              </w:rPr>
            </w:pPr>
            <w:r w:rsidRPr="003408A6">
              <w:rPr>
                <w:lang w:val="en-AU"/>
              </w:rPr>
              <w:t>2008</w:t>
            </w:r>
          </w:p>
        </w:tc>
        <w:tc>
          <w:tcPr>
            <w:tcW w:w="2146" w:type="dxa"/>
            <w:gridSpan w:val="2"/>
            <w:shd w:val="clear" w:color="auto" w:fill="auto"/>
            <w:vAlign w:val="bottom"/>
          </w:tcPr>
          <w:p w:rsidR="00FC6A03" w:rsidRPr="003408A6" w:rsidRDefault="00FC6A03" w:rsidP="00C419B8">
            <w:pPr>
              <w:pStyle w:val="Tablecolumnheadings"/>
              <w:rPr>
                <w:lang w:val="en-AU"/>
              </w:rPr>
            </w:pPr>
            <w:r w:rsidRPr="003408A6">
              <w:rPr>
                <w:lang w:val="en-AU"/>
              </w:rPr>
              <w:t>2009</w:t>
            </w:r>
          </w:p>
        </w:tc>
        <w:tc>
          <w:tcPr>
            <w:tcW w:w="2146" w:type="dxa"/>
            <w:gridSpan w:val="2"/>
            <w:shd w:val="clear" w:color="auto" w:fill="auto"/>
            <w:vAlign w:val="bottom"/>
          </w:tcPr>
          <w:p w:rsidR="00FC6A03" w:rsidRPr="003408A6" w:rsidRDefault="00FC6A03" w:rsidP="00C419B8">
            <w:pPr>
              <w:pStyle w:val="Tablecolumnheadings"/>
              <w:rPr>
                <w:lang w:val="en-AU"/>
              </w:rPr>
            </w:pPr>
            <w:r w:rsidRPr="003408A6">
              <w:rPr>
                <w:lang w:val="en-AU"/>
              </w:rPr>
              <w:t>2010</w:t>
            </w:r>
          </w:p>
        </w:tc>
        <w:tc>
          <w:tcPr>
            <w:tcW w:w="2146" w:type="dxa"/>
            <w:gridSpan w:val="2"/>
            <w:shd w:val="clear" w:color="auto" w:fill="auto"/>
            <w:vAlign w:val="bottom"/>
          </w:tcPr>
          <w:p w:rsidR="00FC6A03" w:rsidRPr="003408A6" w:rsidRDefault="00FC6A03" w:rsidP="00C419B8">
            <w:pPr>
              <w:pStyle w:val="Tablecolumnheadings"/>
              <w:rPr>
                <w:lang w:val="en-AU"/>
              </w:rPr>
            </w:pPr>
            <w:r w:rsidRPr="003408A6">
              <w:rPr>
                <w:lang w:val="en-AU"/>
              </w:rPr>
              <w:t>2011</w:t>
            </w:r>
          </w:p>
        </w:tc>
        <w:tc>
          <w:tcPr>
            <w:tcW w:w="2146" w:type="dxa"/>
            <w:gridSpan w:val="2"/>
          </w:tcPr>
          <w:p w:rsidR="00FC6A03" w:rsidRPr="003408A6" w:rsidRDefault="00FC6A03" w:rsidP="00C419B8">
            <w:pPr>
              <w:pStyle w:val="Tablecolumnheadings"/>
              <w:rPr>
                <w:lang w:val="en-AU"/>
              </w:rPr>
            </w:pPr>
            <w:r w:rsidRPr="003408A6">
              <w:rPr>
                <w:lang w:val="en-AU"/>
              </w:rPr>
              <w:t>Total</w:t>
            </w:r>
          </w:p>
        </w:tc>
      </w:tr>
      <w:tr w:rsidR="00BF3766" w:rsidRPr="003408A6" w:rsidTr="00BF3766">
        <w:trPr>
          <w:cantSplit/>
          <w:trHeight w:val="285"/>
        </w:trPr>
        <w:tc>
          <w:tcPr>
            <w:tcW w:w="1983" w:type="dxa"/>
            <w:vMerge/>
          </w:tcPr>
          <w:p w:rsidR="00FC6A03" w:rsidRPr="003408A6" w:rsidRDefault="00FC6A03" w:rsidP="009629BC">
            <w:pPr>
              <w:pStyle w:val="Tabletextbold"/>
              <w:spacing w:after="0"/>
              <w:rPr>
                <w:rFonts w:cs="Arial"/>
                <w:lang w:val="en-AU"/>
              </w:rPr>
            </w:pPr>
          </w:p>
        </w:tc>
        <w:tc>
          <w:tcPr>
            <w:tcW w:w="709" w:type="dxa"/>
            <w:vAlign w:val="bottom"/>
          </w:tcPr>
          <w:p w:rsidR="00FC6A03" w:rsidRPr="003408A6" w:rsidRDefault="00D66DDF" w:rsidP="00D66DDF">
            <w:pPr>
              <w:pStyle w:val="Tablecolumnheadings"/>
              <w:rPr>
                <w:lang w:val="en-AU"/>
              </w:rPr>
            </w:pPr>
            <w:r>
              <w:rPr>
                <w:lang w:val="en-AU"/>
              </w:rPr>
              <w:t>n</w:t>
            </w:r>
          </w:p>
        </w:tc>
        <w:tc>
          <w:tcPr>
            <w:tcW w:w="1438" w:type="dxa"/>
            <w:vAlign w:val="bottom"/>
          </w:tcPr>
          <w:p w:rsidR="00FC6A03" w:rsidRPr="003408A6" w:rsidRDefault="00FC6A03" w:rsidP="00C419B8">
            <w:pPr>
              <w:pStyle w:val="Tablecolumnheadings"/>
              <w:rPr>
                <w:lang w:val="en-AU"/>
              </w:rPr>
            </w:pPr>
            <w:r w:rsidRPr="003408A6">
              <w:rPr>
                <w:lang w:val="en-AU"/>
              </w:rPr>
              <w:t>Rate (CI)</w:t>
            </w:r>
          </w:p>
        </w:tc>
        <w:tc>
          <w:tcPr>
            <w:tcW w:w="708" w:type="dxa"/>
            <w:vAlign w:val="bottom"/>
          </w:tcPr>
          <w:p w:rsidR="00FC6A03" w:rsidRPr="003408A6" w:rsidRDefault="00D66DDF" w:rsidP="00D66DDF">
            <w:pPr>
              <w:pStyle w:val="Tablecolumnheadings"/>
              <w:rPr>
                <w:lang w:val="en-AU"/>
              </w:rPr>
            </w:pPr>
            <w:r>
              <w:rPr>
                <w:lang w:val="en-AU"/>
              </w:rPr>
              <w:t>n</w:t>
            </w:r>
          </w:p>
        </w:tc>
        <w:tc>
          <w:tcPr>
            <w:tcW w:w="1462" w:type="dxa"/>
            <w:vAlign w:val="bottom"/>
          </w:tcPr>
          <w:p w:rsidR="00FC6A03" w:rsidRPr="003408A6" w:rsidRDefault="00FC6A03" w:rsidP="00C419B8">
            <w:pPr>
              <w:pStyle w:val="Tablecolumnheadings"/>
              <w:rPr>
                <w:lang w:val="en-AU"/>
              </w:rPr>
            </w:pPr>
            <w:r w:rsidRPr="003408A6">
              <w:rPr>
                <w:lang w:val="en-AU"/>
              </w:rPr>
              <w:t>Rate (CI)</w:t>
            </w:r>
          </w:p>
        </w:tc>
        <w:tc>
          <w:tcPr>
            <w:tcW w:w="788" w:type="dxa"/>
            <w:vAlign w:val="bottom"/>
          </w:tcPr>
          <w:p w:rsidR="00FC6A03" w:rsidRPr="003408A6" w:rsidRDefault="00D66DDF" w:rsidP="00D66DDF">
            <w:pPr>
              <w:pStyle w:val="Tablecolumnheadings"/>
              <w:rPr>
                <w:lang w:val="en-AU"/>
              </w:rPr>
            </w:pPr>
            <w:r>
              <w:rPr>
                <w:lang w:val="en-AU"/>
              </w:rPr>
              <w:t>n</w:t>
            </w:r>
          </w:p>
        </w:tc>
        <w:tc>
          <w:tcPr>
            <w:tcW w:w="1358" w:type="dxa"/>
            <w:vAlign w:val="bottom"/>
          </w:tcPr>
          <w:p w:rsidR="00FC6A03" w:rsidRPr="003408A6" w:rsidRDefault="00FC6A03" w:rsidP="00C419B8">
            <w:pPr>
              <w:pStyle w:val="Tablecolumnheadings"/>
              <w:rPr>
                <w:lang w:val="en-AU"/>
              </w:rPr>
            </w:pPr>
            <w:r w:rsidRPr="003408A6">
              <w:rPr>
                <w:lang w:val="en-AU"/>
              </w:rPr>
              <w:t>Rate (CI)</w:t>
            </w:r>
          </w:p>
        </w:tc>
        <w:tc>
          <w:tcPr>
            <w:tcW w:w="709" w:type="dxa"/>
            <w:vAlign w:val="bottom"/>
          </w:tcPr>
          <w:p w:rsidR="00FC6A03" w:rsidRPr="003408A6" w:rsidRDefault="00D66DDF" w:rsidP="00D66DDF">
            <w:pPr>
              <w:pStyle w:val="Tablecolumnheadings"/>
              <w:rPr>
                <w:lang w:val="en-AU"/>
              </w:rPr>
            </w:pPr>
            <w:r>
              <w:rPr>
                <w:lang w:val="en-AU"/>
              </w:rPr>
              <w:t>n</w:t>
            </w:r>
          </w:p>
        </w:tc>
        <w:tc>
          <w:tcPr>
            <w:tcW w:w="1520" w:type="dxa"/>
            <w:vAlign w:val="bottom"/>
          </w:tcPr>
          <w:p w:rsidR="00FC6A03" w:rsidRPr="003408A6" w:rsidRDefault="00FC6A03" w:rsidP="00C419B8">
            <w:pPr>
              <w:pStyle w:val="Tablecolumnheadings"/>
              <w:rPr>
                <w:lang w:val="en-AU"/>
              </w:rPr>
            </w:pPr>
            <w:r w:rsidRPr="003408A6">
              <w:rPr>
                <w:lang w:val="en-AU"/>
              </w:rPr>
              <w:t>Rate (CI)</w:t>
            </w:r>
          </w:p>
        </w:tc>
        <w:tc>
          <w:tcPr>
            <w:tcW w:w="748" w:type="dxa"/>
            <w:vAlign w:val="bottom"/>
          </w:tcPr>
          <w:p w:rsidR="00FC6A03" w:rsidRPr="003408A6" w:rsidRDefault="00D66DDF" w:rsidP="00D66DDF">
            <w:pPr>
              <w:pStyle w:val="Tablecolumnheadings"/>
              <w:rPr>
                <w:lang w:val="en-AU"/>
              </w:rPr>
            </w:pPr>
            <w:r>
              <w:rPr>
                <w:lang w:val="en-AU"/>
              </w:rPr>
              <w:t>n</w:t>
            </w:r>
          </w:p>
        </w:tc>
        <w:tc>
          <w:tcPr>
            <w:tcW w:w="1398" w:type="dxa"/>
            <w:vAlign w:val="bottom"/>
          </w:tcPr>
          <w:p w:rsidR="00FC6A03" w:rsidRPr="003408A6" w:rsidRDefault="00FC6A03" w:rsidP="00C419B8">
            <w:pPr>
              <w:pStyle w:val="Tablecolumnheadings"/>
              <w:rPr>
                <w:lang w:val="en-AU"/>
              </w:rPr>
            </w:pPr>
            <w:r w:rsidRPr="003408A6">
              <w:rPr>
                <w:lang w:val="en-AU"/>
              </w:rPr>
              <w:t>Rate (CI)</w:t>
            </w:r>
          </w:p>
        </w:tc>
        <w:tc>
          <w:tcPr>
            <w:tcW w:w="729" w:type="dxa"/>
            <w:vAlign w:val="bottom"/>
          </w:tcPr>
          <w:p w:rsidR="00FC6A03" w:rsidRPr="003408A6" w:rsidRDefault="00D66DDF" w:rsidP="00D66DDF">
            <w:pPr>
              <w:pStyle w:val="Tablecolumnheadings"/>
              <w:rPr>
                <w:lang w:val="en-AU"/>
              </w:rPr>
            </w:pPr>
            <w:r>
              <w:rPr>
                <w:lang w:val="en-AU"/>
              </w:rPr>
              <w:t>n</w:t>
            </w:r>
          </w:p>
        </w:tc>
        <w:tc>
          <w:tcPr>
            <w:tcW w:w="1417" w:type="dxa"/>
            <w:vAlign w:val="bottom"/>
          </w:tcPr>
          <w:p w:rsidR="00FC6A03" w:rsidRPr="003408A6" w:rsidRDefault="00FC6A03" w:rsidP="00C419B8">
            <w:pPr>
              <w:pStyle w:val="Tablecolumnheadings"/>
              <w:rPr>
                <w:lang w:val="en-AU"/>
              </w:rPr>
            </w:pPr>
            <w:r w:rsidRPr="003408A6">
              <w:rPr>
                <w:lang w:val="en-AU"/>
              </w:rPr>
              <w:t>Rate (CI)</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Australian Capital Territory</w:t>
            </w:r>
          </w:p>
        </w:tc>
        <w:tc>
          <w:tcPr>
            <w:tcW w:w="709" w:type="dxa"/>
            <w:vAlign w:val="bottom"/>
          </w:tcPr>
          <w:p w:rsidR="00FC6A03" w:rsidRPr="003408A6" w:rsidRDefault="00FC6A03" w:rsidP="00C419B8">
            <w:pPr>
              <w:pStyle w:val="Tabletextcentred"/>
              <w:rPr>
                <w:lang w:val="en-AU"/>
              </w:rPr>
            </w:pPr>
            <w:r w:rsidRPr="003408A6">
              <w:rPr>
                <w:lang w:val="en-AU"/>
              </w:rPr>
              <w:t>37</w:t>
            </w:r>
          </w:p>
        </w:tc>
        <w:tc>
          <w:tcPr>
            <w:tcW w:w="1438" w:type="dxa"/>
            <w:vAlign w:val="bottom"/>
          </w:tcPr>
          <w:p w:rsidR="00FC6A03" w:rsidRPr="003408A6" w:rsidRDefault="00FC6A03" w:rsidP="00C419B8">
            <w:pPr>
              <w:pStyle w:val="Tabletextcentred"/>
              <w:rPr>
                <w:lang w:val="en-AU"/>
              </w:rPr>
            </w:pPr>
            <w:r w:rsidRPr="003408A6">
              <w:rPr>
                <w:lang w:val="en-AU"/>
              </w:rPr>
              <w:t>110 (78</w:t>
            </w:r>
            <w:r w:rsidR="00C419B8" w:rsidRPr="003408A6">
              <w:rPr>
                <w:lang w:val="en-AU"/>
              </w:rPr>
              <w:t>–</w:t>
            </w:r>
            <w:r w:rsidRPr="003408A6">
              <w:rPr>
                <w:lang w:val="en-AU"/>
              </w:rPr>
              <w:t>152)</w:t>
            </w:r>
          </w:p>
        </w:tc>
        <w:tc>
          <w:tcPr>
            <w:tcW w:w="708" w:type="dxa"/>
            <w:vAlign w:val="bottom"/>
          </w:tcPr>
          <w:p w:rsidR="00FC6A03" w:rsidRPr="003408A6" w:rsidRDefault="00FC6A03" w:rsidP="00C419B8">
            <w:pPr>
              <w:pStyle w:val="Tabletextcentred"/>
              <w:rPr>
                <w:lang w:val="en-AU"/>
              </w:rPr>
            </w:pPr>
            <w:r w:rsidRPr="003408A6">
              <w:rPr>
                <w:lang w:val="en-AU"/>
              </w:rPr>
              <w:t>23</w:t>
            </w:r>
          </w:p>
        </w:tc>
        <w:tc>
          <w:tcPr>
            <w:tcW w:w="1462" w:type="dxa"/>
            <w:vAlign w:val="bottom"/>
          </w:tcPr>
          <w:p w:rsidR="00FC6A03" w:rsidRPr="003408A6" w:rsidRDefault="00FC6A03" w:rsidP="00C419B8">
            <w:pPr>
              <w:pStyle w:val="Tabletextcentred"/>
              <w:rPr>
                <w:lang w:val="en-AU"/>
              </w:rPr>
            </w:pPr>
            <w:r w:rsidRPr="003408A6">
              <w:rPr>
                <w:lang w:val="en-AU"/>
              </w:rPr>
              <w:t>67 (42</w:t>
            </w:r>
            <w:r w:rsidR="00C419B8" w:rsidRPr="003408A6">
              <w:rPr>
                <w:lang w:val="en-AU"/>
              </w:rPr>
              <w:t>–</w:t>
            </w:r>
            <w:r w:rsidRPr="003408A6">
              <w:rPr>
                <w:lang w:val="en-AU"/>
              </w:rPr>
              <w:t>100)</w:t>
            </w:r>
          </w:p>
        </w:tc>
        <w:tc>
          <w:tcPr>
            <w:tcW w:w="788" w:type="dxa"/>
            <w:vAlign w:val="bottom"/>
          </w:tcPr>
          <w:p w:rsidR="00FC6A03" w:rsidRPr="003408A6" w:rsidRDefault="00FC6A03" w:rsidP="00C419B8">
            <w:pPr>
              <w:pStyle w:val="Tabletextcentred"/>
              <w:rPr>
                <w:lang w:val="en-AU"/>
              </w:rPr>
            </w:pPr>
            <w:r w:rsidRPr="003408A6">
              <w:rPr>
                <w:lang w:val="en-AU"/>
              </w:rPr>
              <w:t>4</w:t>
            </w:r>
          </w:p>
        </w:tc>
        <w:tc>
          <w:tcPr>
            <w:tcW w:w="1358" w:type="dxa"/>
            <w:vAlign w:val="bottom"/>
          </w:tcPr>
          <w:p w:rsidR="00FC6A03" w:rsidRPr="003408A6" w:rsidRDefault="00FC6A03" w:rsidP="00C419B8">
            <w:pPr>
              <w:pStyle w:val="Tabletextcentred"/>
              <w:rPr>
                <w:lang w:val="en-AU"/>
              </w:rPr>
            </w:pPr>
            <w:r w:rsidRPr="003408A6">
              <w:rPr>
                <w:lang w:val="en-AU"/>
              </w:rPr>
              <w:t>31 (8</w:t>
            </w:r>
            <w:r w:rsidR="00C419B8" w:rsidRPr="003408A6">
              <w:rPr>
                <w:lang w:val="en-AU"/>
              </w:rPr>
              <w:t>–</w:t>
            </w:r>
            <w:r w:rsidRPr="003408A6">
              <w:rPr>
                <w:lang w:val="en-AU"/>
              </w:rPr>
              <w:t>80)</w:t>
            </w:r>
          </w:p>
        </w:tc>
        <w:tc>
          <w:tcPr>
            <w:tcW w:w="709" w:type="dxa"/>
            <w:vAlign w:val="bottom"/>
          </w:tcPr>
          <w:p w:rsidR="00FC6A03" w:rsidRPr="003408A6" w:rsidRDefault="00FC6A03" w:rsidP="00C419B8">
            <w:pPr>
              <w:pStyle w:val="Tabletextcentred"/>
              <w:rPr>
                <w:lang w:val="en-AU"/>
              </w:rPr>
            </w:pPr>
            <w:r w:rsidRPr="003408A6">
              <w:rPr>
                <w:lang w:val="en-AU"/>
              </w:rPr>
              <w:t>2</w:t>
            </w:r>
          </w:p>
        </w:tc>
        <w:tc>
          <w:tcPr>
            <w:tcW w:w="1520" w:type="dxa"/>
            <w:vAlign w:val="bottom"/>
          </w:tcPr>
          <w:p w:rsidR="00FC6A03" w:rsidRPr="003408A6" w:rsidRDefault="00FC6A03" w:rsidP="00BF3766">
            <w:pPr>
              <w:pStyle w:val="Tabletextcentred"/>
              <w:rPr>
                <w:lang w:val="en-AU"/>
              </w:rPr>
            </w:pPr>
            <w:r w:rsidRPr="003408A6">
              <w:rPr>
                <w:lang w:val="en-AU"/>
              </w:rPr>
              <w:t>34 (4</w:t>
            </w:r>
            <w:r w:rsidR="00BF3766" w:rsidRPr="003408A6">
              <w:rPr>
                <w:lang w:val="en-AU"/>
              </w:rPr>
              <w:t>–</w:t>
            </w:r>
            <w:r w:rsidRPr="003408A6">
              <w:rPr>
                <w:lang w:val="en-AU"/>
              </w:rPr>
              <w:t>124)</w:t>
            </w:r>
          </w:p>
        </w:tc>
        <w:tc>
          <w:tcPr>
            <w:tcW w:w="748" w:type="dxa"/>
            <w:vAlign w:val="bottom"/>
          </w:tcPr>
          <w:p w:rsidR="00FC6A03" w:rsidRPr="003408A6" w:rsidRDefault="00FC6A03" w:rsidP="00C419B8">
            <w:pPr>
              <w:pStyle w:val="Tabletextcentred"/>
              <w:rPr>
                <w:lang w:val="en-AU"/>
              </w:rPr>
            </w:pPr>
            <w:r w:rsidRPr="003408A6">
              <w:rPr>
                <w:lang w:val="en-AU"/>
              </w:rPr>
              <w:t>1</w:t>
            </w:r>
          </w:p>
        </w:tc>
        <w:tc>
          <w:tcPr>
            <w:tcW w:w="1398" w:type="dxa"/>
            <w:vAlign w:val="bottom"/>
          </w:tcPr>
          <w:p w:rsidR="00FC6A03" w:rsidRPr="003408A6" w:rsidRDefault="00FC6A03" w:rsidP="00BF3766">
            <w:pPr>
              <w:pStyle w:val="Tabletextcentred"/>
              <w:rPr>
                <w:lang w:val="en-AU"/>
              </w:rPr>
            </w:pPr>
            <w:r w:rsidRPr="003408A6">
              <w:rPr>
                <w:lang w:val="en-AU"/>
              </w:rPr>
              <w:t>17 (1</w:t>
            </w:r>
            <w:r w:rsidR="00BF3766" w:rsidRPr="003408A6">
              <w:rPr>
                <w:lang w:val="en-AU"/>
              </w:rPr>
              <w:t>–</w:t>
            </w:r>
            <w:r w:rsidRPr="003408A6">
              <w:rPr>
                <w:lang w:val="en-AU"/>
              </w:rPr>
              <w:t>97)</w:t>
            </w:r>
          </w:p>
        </w:tc>
        <w:tc>
          <w:tcPr>
            <w:tcW w:w="729" w:type="dxa"/>
          </w:tcPr>
          <w:p w:rsidR="00FC6A03" w:rsidRPr="003408A6" w:rsidRDefault="00FC6A03" w:rsidP="00C419B8">
            <w:pPr>
              <w:pStyle w:val="Tabletextcentred"/>
              <w:rPr>
                <w:lang w:val="en-AU"/>
              </w:rPr>
            </w:pPr>
            <w:r w:rsidRPr="003408A6">
              <w:rPr>
                <w:lang w:val="en-AU"/>
              </w:rPr>
              <w:t>67</w:t>
            </w:r>
          </w:p>
        </w:tc>
        <w:tc>
          <w:tcPr>
            <w:tcW w:w="1417" w:type="dxa"/>
          </w:tcPr>
          <w:p w:rsidR="00FC6A03" w:rsidRPr="003408A6" w:rsidRDefault="00FC6A03" w:rsidP="00BF3766">
            <w:pPr>
              <w:pStyle w:val="Tabletextcentred"/>
              <w:rPr>
                <w:lang w:val="en-AU"/>
              </w:rPr>
            </w:pPr>
            <w:r w:rsidRPr="003408A6">
              <w:rPr>
                <w:lang w:val="en-AU"/>
              </w:rPr>
              <w:t>73 (56</w:t>
            </w:r>
            <w:r w:rsidR="00BF3766" w:rsidRPr="003408A6">
              <w:rPr>
                <w:lang w:val="en-AU"/>
              </w:rPr>
              <w:t>–</w:t>
            </w:r>
            <w:r w:rsidRPr="003408A6">
              <w:rPr>
                <w:lang w:val="en-AU"/>
              </w:rPr>
              <w:t>92)</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New South Wales</w:t>
            </w:r>
          </w:p>
        </w:tc>
        <w:tc>
          <w:tcPr>
            <w:tcW w:w="709" w:type="dxa"/>
            <w:vAlign w:val="bottom"/>
          </w:tcPr>
          <w:p w:rsidR="00FC6A03" w:rsidRPr="003408A6" w:rsidRDefault="00FC6A03" w:rsidP="00C419B8">
            <w:pPr>
              <w:pStyle w:val="Tabletextcentred"/>
              <w:rPr>
                <w:lang w:val="en-AU"/>
              </w:rPr>
            </w:pPr>
            <w:r w:rsidRPr="003408A6">
              <w:rPr>
                <w:lang w:val="en-AU"/>
              </w:rPr>
              <w:t>196</w:t>
            </w:r>
          </w:p>
        </w:tc>
        <w:tc>
          <w:tcPr>
            <w:tcW w:w="1438" w:type="dxa"/>
            <w:vAlign w:val="bottom"/>
          </w:tcPr>
          <w:p w:rsidR="00FC6A03" w:rsidRPr="003408A6" w:rsidRDefault="00FC6A03" w:rsidP="00C419B8">
            <w:pPr>
              <w:pStyle w:val="Tabletextcentred"/>
              <w:rPr>
                <w:lang w:val="en-AU"/>
              </w:rPr>
            </w:pPr>
            <w:r w:rsidRPr="003408A6">
              <w:rPr>
                <w:lang w:val="en-AU"/>
              </w:rPr>
              <w:t>44 (38</w:t>
            </w:r>
            <w:r w:rsidR="00C419B8" w:rsidRPr="003408A6">
              <w:rPr>
                <w:lang w:val="en-AU"/>
              </w:rPr>
              <w:t>–</w:t>
            </w:r>
            <w:r w:rsidRPr="003408A6">
              <w:rPr>
                <w:lang w:val="en-AU"/>
              </w:rPr>
              <w:t>50)</w:t>
            </w:r>
          </w:p>
        </w:tc>
        <w:tc>
          <w:tcPr>
            <w:tcW w:w="708" w:type="dxa"/>
            <w:vAlign w:val="bottom"/>
          </w:tcPr>
          <w:p w:rsidR="00FC6A03" w:rsidRPr="003408A6" w:rsidRDefault="00FC6A03" w:rsidP="00C419B8">
            <w:pPr>
              <w:pStyle w:val="Tabletextcentred"/>
              <w:rPr>
                <w:lang w:val="en-AU"/>
              </w:rPr>
            </w:pPr>
            <w:r w:rsidRPr="003408A6">
              <w:rPr>
                <w:lang w:val="en-AU"/>
              </w:rPr>
              <w:t>194</w:t>
            </w:r>
          </w:p>
        </w:tc>
        <w:tc>
          <w:tcPr>
            <w:tcW w:w="1462" w:type="dxa"/>
            <w:vAlign w:val="bottom"/>
          </w:tcPr>
          <w:p w:rsidR="00FC6A03" w:rsidRPr="003408A6" w:rsidRDefault="00FC6A03" w:rsidP="00C419B8">
            <w:pPr>
              <w:pStyle w:val="Tabletextcentred"/>
              <w:rPr>
                <w:lang w:val="en-AU"/>
              </w:rPr>
            </w:pPr>
            <w:r w:rsidRPr="003408A6">
              <w:rPr>
                <w:lang w:val="en-AU"/>
              </w:rPr>
              <w:t>30 (26</w:t>
            </w:r>
            <w:r w:rsidR="00C419B8" w:rsidRPr="003408A6">
              <w:rPr>
                <w:lang w:val="en-AU"/>
              </w:rPr>
              <w:t>–</w:t>
            </w:r>
            <w:r w:rsidRPr="003408A6">
              <w:rPr>
                <w:lang w:val="en-AU"/>
              </w:rPr>
              <w:t>35)</w:t>
            </w:r>
          </w:p>
        </w:tc>
        <w:tc>
          <w:tcPr>
            <w:tcW w:w="788" w:type="dxa"/>
            <w:vAlign w:val="bottom"/>
          </w:tcPr>
          <w:p w:rsidR="00FC6A03" w:rsidRPr="003408A6" w:rsidRDefault="00FC6A03" w:rsidP="00C419B8">
            <w:pPr>
              <w:pStyle w:val="Tabletextcentred"/>
              <w:rPr>
                <w:lang w:val="en-AU"/>
              </w:rPr>
            </w:pPr>
            <w:r w:rsidRPr="003408A6">
              <w:rPr>
                <w:lang w:val="en-AU"/>
              </w:rPr>
              <w:t>36</w:t>
            </w:r>
          </w:p>
        </w:tc>
        <w:tc>
          <w:tcPr>
            <w:tcW w:w="1358" w:type="dxa"/>
            <w:vAlign w:val="bottom"/>
          </w:tcPr>
          <w:p w:rsidR="00FC6A03" w:rsidRPr="003408A6" w:rsidRDefault="00FC6A03" w:rsidP="00BF3766">
            <w:pPr>
              <w:pStyle w:val="Tabletextcentred"/>
              <w:rPr>
                <w:lang w:val="en-AU"/>
              </w:rPr>
            </w:pPr>
            <w:r w:rsidRPr="003408A6">
              <w:rPr>
                <w:lang w:val="en-AU"/>
              </w:rPr>
              <w:t>18 (12</w:t>
            </w:r>
            <w:r w:rsidR="00BF3766" w:rsidRPr="003408A6">
              <w:rPr>
                <w:lang w:val="en-AU"/>
              </w:rPr>
              <w:t>–</w:t>
            </w:r>
            <w:r w:rsidRPr="003408A6">
              <w:rPr>
                <w:lang w:val="en-AU"/>
              </w:rPr>
              <w:t>24)</w:t>
            </w:r>
          </w:p>
        </w:tc>
        <w:tc>
          <w:tcPr>
            <w:tcW w:w="709" w:type="dxa"/>
            <w:vAlign w:val="bottom"/>
          </w:tcPr>
          <w:p w:rsidR="00FC6A03" w:rsidRPr="003408A6" w:rsidRDefault="00FC6A03" w:rsidP="00C419B8">
            <w:pPr>
              <w:pStyle w:val="Tabletextcentred"/>
              <w:rPr>
                <w:lang w:val="en-AU"/>
              </w:rPr>
            </w:pPr>
            <w:r w:rsidRPr="003408A6">
              <w:rPr>
                <w:lang w:val="en-AU"/>
              </w:rPr>
              <w:t>16</w:t>
            </w:r>
          </w:p>
        </w:tc>
        <w:tc>
          <w:tcPr>
            <w:tcW w:w="1520" w:type="dxa"/>
            <w:vAlign w:val="bottom"/>
          </w:tcPr>
          <w:p w:rsidR="00FC6A03" w:rsidRPr="003408A6" w:rsidRDefault="00FC6A03" w:rsidP="00BF3766">
            <w:pPr>
              <w:pStyle w:val="Tabletextcentred"/>
              <w:rPr>
                <w:lang w:val="en-AU"/>
              </w:rPr>
            </w:pPr>
            <w:r w:rsidRPr="003408A6">
              <w:rPr>
                <w:lang w:val="en-AU"/>
              </w:rPr>
              <w:t>17 (10</w:t>
            </w:r>
            <w:r w:rsidR="00BF3766" w:rsidRPr="003408A6">
              <w:rPr>
                <w:lang w:val="en-AU"/>
              </w:rPr>
              <w:t>–</w:t>
            </w:r>
            <w:r w:rsidRPr="003408A6">
              <w:rPr>
                <w:lang w:val="en-AU"/>
              </w:rPr>
              <w:t>28)</w:t>
            </w:r>
          </w:p>
        </w:tc>
        <w:tc>
          <w:tcPr>
            <w:tcW w:w="748" w:type="dxa"/>
            <w:vAlign w:val="bottom"/>
          </w:tcPr>
          <w:p w:rsidR="00FC6A03" w:rsidRPr="003408A6" w:rsidRDefault="00FC6A03" w:rsidP="00C419B8">
            <w:pPr>
              <w:pStyle w:val="Tabletextcentred"/>
              <w:rPr>
                <w:lang w:val="en-AU"/>
              </w:rPr>
            </w:pPr>
            <w:r w:rsidRPr="003408A6">
              <w:rPr>
                <w:lang w:val="en-AU"/>
              </w:rPr>
              <w:t>43</w:t>
            </w:r>
          </w:p>
        </w:tc>
        <w:tc>
          <w:tcPr>
            <w:tcW w:w="1398" w:type="dxa"/>
            <w:vAlign w:val="bottom"/>
          </w:tcPr>
          <w:p w:rsidR="00FC6A03" w:rsidRPr="003408A6" w:rsidRDefault="00BF3766" w:rsidP="00C419B8">
            <w:pPr>
              <w:pStyle w:val="Tabletextcentred"/>
              <w:rPr>
                <w:lang w:val="en-AU"/>
              </w:rPr>
            </w:pPr>
            <w:r w:rsidRPr="003408A6">
              <w:rPr>
                <w:lang w:val="en-AU"/>
              </w:rPr>
              <w:t>46 (33–</w:t>
            </w:r>
            <w:r w:rsidR="00FC6A03" w:rsidRPr="003408A6">
              <w:rPr>
                <w:lang w:val="en-AU"/>
              </w:rPr>
              <w:t>62)</w:t>
            </w:r>
          </w:p>
        </w:tc>
        <w:tc>
          <w:tcPr>
            <w:tcW w:w="729" w:type="dxa"/>
          </w:tcPr>
          <w:p w:rsidR="00FC6A03" w:rsidRPr="003408A6" w:rsidRDefault="00FC6A03" w:rsidP="00C419B8">
            <w:pPr>
              <w:pStyle w:val="Tabletextcentred"/>
              <w:rPr>
                <w:lang w:val="en-AU"/>
              </w:rPr>
            </w:pPr>
            <w:r w:rsidRPr="003408A6">
              <w:rPr>
                <w:lang w:val="en-AU"/>
              </w:rPr>
              <w:t>485</w:t>
            </w:r>
          </w:p>
        </w:tc>
        <w:tc>
          <w:tcPr>
            <w:tcW w:w="1417" w:type="dxa"/>
          </w:tcPr>
          <w:p w:rsidR="00FC6A03" w:rsidRPr="003408A6" w:rsidRDefault="00BF3766" w:rsidP="00C419B8">
            <w:pPr>
              <w:pStyle w:val="Tabletextcentred"/>
              <w:rPr>
                <w:lang w:val="en-AU"/>
              </w:rPr>
            </w:pPr>
            <w:r w:rsidRPr="003408A6">
              <w:rPr>
                <w:lang w:val="en-AU"/>
              </w:rPr>
              <w:t>33 (30–</w:t>
            </w:r>
            <w:r w:rsidR="00FC6A03" w:rsidRPr="003408A6">
              <w:rPr>
                <w:lang w:val="en-AU"/>
              </w:rPr>
              <w:t>36)</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Northern Territory</w:t>
            </w:r>
          </w:p>
        </w:tc>
        <w:tc>
          <w:tcPr>
            <w:tcW w:w="709" w:type="dxa"/>
            <w:vAlign w:val="bottom"/>
          </w:tcPr>
          <w:p w:rsidR="00FC6A03" w:rsidRPr="003408A6" w:rsidRDefault="00FC6A03" w:rsidP="00C419B8">
            <w:pPr>
              <w:pStyle w:val="Tabletextcentred"/>
              <w:rPr>
                <w:lang w:val="en-AU"/>
              </w:rPr>
            </w:pPr>
            <w:r w:rsidRPr="003408A6">
              <w:rPr>
                <w:lang w:val="en-AU"/>
              </w:rPr>
              <w:t>10</w:t>
            </w:r>
          </w:p>
        </w:tc>
        <w:tc>
          <w:tcPr>
            <w:tcW w:w="1438" w:type="dxa"/>
            <w:vAlign w:val="bottom"/>
          </w:tcPr>
          <w:p w:rsidR="00FC6A03" w:rsidRPr="003408A6" w:rsidRDefault="00FC6A03" w:rsidP="00C419B8">
            <w:pPr>
              <w:pStyle w:val="Tabletextcentred"/>
              <w:rPr>
                <w:lang w:val="en-AU"/>
              </w:rPr>
            </w:pPr>
            <w:r w:rsidRPr="003408A6">
              <w:rPr>
                <w:lang w:val="en-AU"/>
              </w:rPr>
              <w:t>53 (25</w:t>
            </w:r>
            <w:r w:rsidR="00C419B8" w:rsidRPr="003408A6">
              <w:rPr>
                <w:lang w:val="en-AU"/>
              </w:rPr>
              <w:t>–</w:t>
            </w:r>
            <w:r w:rsidRPr="003408A6">
              <w:rPr>
                <w:lang w:val="en-AU"/>
              </w:rPr>
              <w:t>97)</w:t>
            </w:r>
          </w:p>
        </w:tc>
        <w:tc>
          <w:tcPr>
            <w:tcW w:w="708" w:type="dxa"/>
            <w:vAlign w:val="bottom"/>
          </w:tcPr>
          <w:p w:rsidR="00FC6A03" w:rsidRPr="003408A6" w:rsidRDefault="00FC6A03" w:rsidP="00C419B8">
            <w:pPr>
              <w:pStyle w:val="Tabletextcentred"/>
              <w:rPr>
                <w:lang w:val="en-AU"/>
              </w:rPr>
            </w:pPr>
            <w:r w:rsidRPr="003408A6">
              <w:rPr>
                <w:lang w:val="en-AU"/>
              </w:rPr>
              <w:t>14</w:t>
            </w:r>
          </w:p>
        </w:tc>
        <w:tc>
          <w:tcPr>
            <w:tcW w:w="1462" w:type="dxa"/>
            <w:vAlign w:val="bottom"/>
          </w:tcPr>
          <w:p w:rsidR="00FC6A03" w:rsidRPr="003408A6" w:rsidRDefault="00FC6A03" w:rsidP="00C419B8">
            <w:pPr>
              <w:pStyle w:val="Tabletextcentred"/>
              <w:rPr>
                <w:lang w:val="en-AU"/>
              </w:rPr>
            </w:pPr>
            <w:r w:rsidRPr="003408A6">
              <w:rPr>
                <w:lang w:val="en-AU"/>
              </w:rPr>
              <w:t>58 (32</w:t>
            </w:r>
            <w:r w:rsidR="00C419B8" w:rsidRPr="003408A6">
              <w:rPr>
                <w:lang w:val="en-AU"/>
              </w:rPr>
              <w:t>–</w:t>
            </w:r>
            <w:r w:rsidRPr="003408A6">
              <w:rPr>
                <w:lang w:val="en-AU"/>
              </w:rPr>
              <w:t>98)</w:t>
            </w:r>
          </w:p>
        </w:tc>
        <w:tc>
          <w:tcPr>
            <w:tcW w:w="788" w:type="dxa"/>
            <w:vAlign w:val="bottom"/>
          </w:tcPr>
          <w:p w:rsidR="00FC6A03" w:rsidRPr="003408A6" w:rsidRDefault="00FC6A03" w:rsidP="00C419B8">
            <w:pPr>
              <w:pStyle w:val="Tabletextcentred"/>
              <w:rPr>
                <w:lang w:val="en-AU"/>
              </w:rPr>
            </w:pPr>
            <w:r w:rsidRPr="003408A6">
              <w:rPr>
                <w:lang w:val="en-AU"/>
              </w:rPr>
              <w:t>5</w:t>
            </w:r>
          </w:p>
        </w:tc>
        <w:tc>
          <w:tcPr>
            <w:tcW w:w="1358" w:type="dxa"/>
            <w:vAlign w:val="bottom"/>
          </w:tcPr>
          <w:p w:rsidR="00FC6A03" w:rsidRPr="003408A6" w:rsidRDefault="00BF3766" w:rsidP="00C419B8">
            <w:pPr>
              <w:pStyle w:val="Tabletextcentred"/>
              <w:rPr>
                <w:lang w:val="en-AU"/>
              </w:rPr>
            </w:pPr>
            <w:r w:rsidRPr="003408A6">
              <w:rPr>
                <w:lang w:val="en-AU"/>
              </w:rPr>
              <w:t>46 (15–</w:t>
            </w:r>
            <w:r w:rsidR="00FC6A03" w:rsidRPr="003408A6">
              <w:rPr>
                <w:lang w:val="en-AU"/>
              </w:rPr>
              <w:t>108)</w:t>
            </w:r>
          </w:p>
        </w:tc>
        <w:tc>
          <w:tcPr>
            <w:tcW w:w="709" w:type="dxa"/>
            <w:vAlign w:val="bottom"/>
          </w:tcPr>
          <w:p w:rsidR="00FC6A03" w:rsidRPr="003408A6" w:rsidRDefault="00FC6A03" w:rsidP="00C419B8">
            <w:pPr>
              <w:pStyle w:val="Tabletextcentred"/>
              <w:rPr>
                <w:lang w:val="en-AU"/>
              </w:rPr>
            </w:pPr>
            <w:r w:rsidRPr="003408A6">
              <w:rPr>
                <w:lang w:val="en-AU"/>
              </w:rPr>
              <w:t>4</w:t>
            </w:r>
          </w:p>
        </w:tc>
        <w:tc>
          <w:tcPr>
            <w:tcW w:w="1520" w:type="dxa"/>
            <w:vAlign w:val="bottom"/>
          </w:tcPr>
          <w:p w:rsidR="00FC6A03" w:rsidRPr="003408A6" w:rsidRDefault="00BF3766" w:rsidP="00C419B8">
            <w:pPr>
              <w:pStyle w:val="Tabletextcentred"/>
              <w:rPr>
                <w:lang w:val="en-AU"/>
              </w:rPr>
            </w:pPr>
            <w:r w:rsidRPr="003408A6">
              <w:rPr>
                <w:lang w:val="en-AU"/>
              </w:rPr>
              <w:t>129 (35–</w:t>
            </w:r>
            <w:r w:rsidR="00FC6A03" w:rsidRPr="003408A6">
              <w:rPr>
                <w:lang w:val="en-AU"/>
              </w:rPr>
              <w:t>330)</w:t>
            </w:r>
          </w:p>
        </w:tc>
        <w:tc>
          <w:tcPr>
            <w:tcW w:w="748" w:type="dxa"/>
            <w:vAlign w:val="bottom"/>
          </w:tcPr>
          <w:p w:rsidR="00FC6A03" w:rsidRPr="003408A6" w:rsidRDefault="00FC6A03" w:rsidP="00C419B8">
            <w:pPr>
              <w:pStyle w:val="Tabletextcentred"/>
              <w:rPr>
                <w:lang w:val="en-AU"/>
              </w:rPr>
            </w:pPr>
            <w:r w:rsidRPr="003408A6">
              <w:rPr>
                <w:lang w:val="en-AU"/>
              </w:rPr>
              <w:t>1</w:t>
            </w:r>
          </w:p>
        </w:tc>
        <w:tc>
          <w:tcPr>
            <w:tcW w:w="1398" w:type="dxa"/>
            <w:vAlign w:val="bottom"/>
          </w:tcPr>
          <w:p w:rsidR="00FC6A03" w:rsidRPr="003408A6" w:rsidRDefault="00BF3766" w:rsidP="00C419B8">
            <w:pPr>
              <w:pStyle w:val="Tabletextcentred"/>
              <w:rPr>
                <w:lang w:val="en-AU"/>
              </w:rPr>
            </w:pPr>
            <w:r w:rsidRPr="003408A6">
              <w:rPr>
                <w:lang w:val="en-AU"/>
              </w:rPr>
              <w:t>30 (1–</w:t>
            </w:r>
            <w:r w:rsidR="00FC6A03" w:rsidRPr="003408A6">
              <w:rPr>
                <w:lang w:val="en-AU"/>
              </w:rPr>
              <w:t>168)</w:t>
            </w:r>
          </w:p>
        </w:tc>
        <w:tc>
          <w:tcPr>
            <w:tcW w:w="729" w:type="dxa"/>
          </w:tcPr>
          <w:p w:rsidR="00FC6A03" w:rsidRPr="003408A6" w:rsidRDefault="00FC6A03" w:rsidP="00C419B8">
            <w:pPr>
              <w:pStyle w:val="Tabletextcentred"/>
              <w:rPr>
                <w:lang w:val="en-AU"/>
              </w:rPr>
            </w:pPr>
            <w:r w:rsidRPr="003408A6">
              <w:rPr>
                <w:lang w:val="en-AU"/>
              </w:rPr>
              <w:t>34</w:t>
            </w:r>
          </w:p>
        </w:tc>
        <w:tc>
          <w:tcPr>
            <w:tcW w:w="1417" w:type="dxa"/>
          </w:tcPr>
          <w:p w:rsidR="00FC6A03" w:rsidRPr="003408A6" w:rsidRDefault="00BF3766" w:rsidP="00C419B8">
            <w:pPr>
              <w:pStyle w:val="Tabletextcentred"/>
              <w:rPr>
                <w:lang w:val="en-AU"/>
              </w:rPr>
            </w:pPr>
            <w:r w:rsidRPr="003408A6">
              <w:rPr>
                <w:lang w:val="en-AU"/>
              </w:rPr>
              <w:t>56 (40–</w:t>
            </w:r>
            <w:r w:rsidR="00FC6A03" w:rsidRPr="003408A6">
              <w:rPr>
                <w:lang w:val="en-AU"/>
              </w:rPr>
              <w:t>79)</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Queensland</w:t>
            </w:r>
          </w:p>
        </w:tc>
        <w:tc>
          <w:tcPr>
            <w:tcW w:w="709" w:type="dxa"/>
            <w:vAlign w:val="bottom"/>
          </w:tcPr>
          <w:p w:rsidR="00FC6A03" w:rsidRPr="003408A6" w:rsidRDefault="00FC6A03" w:rsidP="00C419B8">
            <w:pPr>
              <w:pStyle w:val="Tabletextcentred"/>
              <w:rPr>
                <w:lang w:val="en-AU"/>
              </w:rPr>
            </w:pPr>
            <w:r w:rsidRPr="003408A6">
              <w:rPr>
                <w:lang w:val="en-AU"/>
              </w:rPr>
              <w:t>142</w:t>
            </w:r>
          </w:p>
        </w:tc>
        <w:tc>
          <w:tcPr>
            <w:tcW w:w="1438" w:type="dxa"/>
            <w:vAlign w:val="bottom"/>
          </w:tcPr>
          <w:p w:rsidR="00FC6A03" w:rsidRPr="003408A6" w:rsidRDefault="00FC6A03" w:rsidP="00C419B8">
            <w:pPr>
              <w:pStyle w:val="Tabletextcentred"/>
              <w:rPr>
                <w:lang w:val="en-AU"/>
              </w:rPr>
            </w:pPr>
            <w:r w:rsidRPr="003408A6">
              <w:rPr>
                <w:lang w:val="en-AU"/>
              </w:rPr>
              <w:t>50 (42</w:t>
            </w:r>
            <w:r w:rsidR="00C419B8" w:rsidRPr="003408A6">
              <w:rPr>
                <w:lang w:val="en-AU"/>
              </w:rPr>
              <w:t>–</w:t>
            </w:r>
            <w:r w:rsidRPr="003408A6">
              <w:rPr>
                <w:lang w:val="en-AU"/>
              </w:rPr>
              <w:t>58)</w:t>
            </w:r>
          </w:p>
        </w:tc>
        <w:tc>
          <w:tcPr>
            <w:tcW w:w="708" w:type="dxa"/>
            <w:vAlign w:val="bottom"/>
          </w:tcPr>
          <w:p w:rsidR="00FC6A03" w:rsidRPr="003408A6" w:rsidRDefault="00FC6A03" w:rsidP="00C419B8">
            <w:pPr>
              <w:pStyle w:val="Tabletextcentred"/>
              <w:rPr>
                <w:lang w:val="en-AU"/>
              </w:rPr>
            </w:pPr>
            <w:r w:rsidRPr="003408A6">
              <w:rPr>
                <w:lang w:val="en-AU"/>
              </w:rPr>
              <w:t>81</w:t>
            </w:r>
          </w:p>
        </w:tc>
        <w:tc>
          <w:tcPr>
            <w:tcW w:w="1462" w:type="dxa"/>
            <w:vAlign w:val="bottom"/>
          </w:tcPr>
          <w:p w:rsidR="00FC6A03" w:rsidRPr="003408A6" w:rsidRDefault="00FC6A03" w:rsidP="00C419B8">
            <w:pPr>
              <w:pStyle w:val="Tabletextcentred"/>
              <w:rPr>
                <w:lang w:val="en-AU"/>
              </w:rPr>
            </w:pPr>
            <w:r w:rsidRPr="003408A6">
              <w:rPr>
                <w:lang w:val="en-AU"/>
              </w:rPr>
              <w:t>19 (15</w:t>
            </w:r>
            <w:r w:rsidR="00C419B8" w:rsidRPr="003408A6">
              <w:rPr>
                <w:lang w:val="en-AU"/>
              </w:rPr>
              <w:t>–</w:t>
            </w:r>
            <w:r w:rsidRPr="003408A6">
              <w:rPr>
                <w:lang w:val="en-AU"/>
              </w:rPr>
              <w:t>24)</w:t>
            </w:r>
          </w:p>
        </w:tc>
        <w:tc>
          <w:tcPr>
            <w:tcW w:w="788" w:type="dxa"/>
            <w:vAlign w:val="bottom"/>
          </w:tcPr>
          <w:p w:rsidR="00FC6A03" w:rsidRPr="003408A6" w:rsidRDefault="00FC6A03" w:rsidP="00C419B8">
            <w:pPr>
              <w:pStyle w:val="Tabletextcentred"/>
              <w:rPr>
                <w:lang w:val="en-AU"/>
              </w:rPr>
            </w:pPr>
            <w:r w:rsidRPr="003408A6">
              <w:rPr>
                <w:lang w:val="en-AU"/>
              </w:rPr>
              <w:t>24</w:t>
            </w:r>
          </w:p>
        </w:tc>
        <w:tc>
          <w:tcPr>
            <w:tcW w:w="1358" w:type="dxa"/>
            <w:vAlign w:val="bottom"/>
          </w:tcPr>
          <w:p w:rsidR="00FC6A03" w:rsidRPr="003408A6" w:rsidRDefault="00FC6A03" w:rsidP="00BF3766">
            <w:pPr>
              <w:pStyle w:val="Tabletextcentred"/>
              <w:rPr>
                <w:lang w:val="en-AU"/>
              </w:rPr>
            </w:pPr>
            <w:r w:rsidRPr="003408A6">
              <w:rPr>
                <w:lang w:val="en-AU"/>
              </w:rPr>
              <w:t>13 (8</w:t>
            </w:r>
            <w:r w:rsidR="00BF3766" w:rsidRPr="003408A6">
              <w:rPr>
                <w:lang w:val="en-AU"/>
              </w:rPr>
              <w:t>–</w:t>
            </w:r>
            <w:r w:rsidRPr="003408A6">
              <w:rPr>
                <w:lang w:val="en-AU"/>
              </w:rPr>
              <w:t>19)</w:t>
            </w:r>
          </w:p>
        </w:tc>
        <w:tc>
          <w:tcPr>
            <w:tcW w:w="709" w:type="dxa"/>
            <w:vAlign w:val="bottom"/>
          </w:tcPr>
          <w:p w:rsidR="00FC6A03" w:rsidRPr="003408A6" w:rsidRDefault="00FC6A03" w:rsidP="00C419B8">
            <w:pPr>
              <w:pStyle w:val="Tabletextcentred"/>
              <w:rPr>
                <w:lang w:val="en-AU"/>
              </w:rPr>
            </w:pPr>
            <w:r w:rsidRPr="003408A6">
              <w:rPr>
                <w:lang w:val="en-AU"/>
              </w:rPr>
              <w:t>14</w:t>
            </w:r>
          </w:p>
        </w:tc>
        <w:tc>
          <w:tcPr>
            <w:tcW w:w="1520" w:type="dxa"/>
            <w:vAlign w:val="bottom"/>
          </w:tcPr>
          <w:p w:rsidR="00FC6A03" w:rsidRPr="003408A6" w:rsidRDefault="00BF3766" w:rsidP="00C419B8">
            <w:pPr>
              <w:pStyle w:val="Tabletextcentred"/>
              <w:rPr>
                <w:lang w:val="en-AU"/>
              </w:rPr>
            </w:pPr>
            <w:r w:rsidRPr="003408A6">
              <w:rPr>
                <w:lang w:val="en-AU"/>
              </w:rPr>
              <w:t>22 (12–</w:t>
            </w:r>
            <w:r w:rsidR="00FC6A03" w:rsidRPr="003408A6">
              <w:rPr>
                <w:lang w:val="en-AU"/>
              </w:rPr>
              <w:t>37)</w:t>
            </w:r>
          </w:p>
        </w:tc>
        <w:tc>
          <w:tcPr>
            <w:tcW w:w="748" w:type="dxa"/>
            <w:vAlign w:val="bottom"/>
          </w:tcPr>
          <w:p w:rsidR="00FC6A03" w:rsidRPr="003408A6" w:rsidRDefault="00FC6A03" w:rsidP="00C419B8">
            <w:pPr>
              <w:pStyle w:val="Tabletextcentred"/>
              <w:rPr>
                <w:lang w:val="en-AU"/>
              </w:rPr>
            </w:pPr>
            <w:r w:rsidRPr="003408A6">
              <w:rPr>
                <w:lang w:val="en-AU"/>
              </w:rPr>
              <w:t>31</w:t>
            </w:r>
          </w:p>
        </w:tc>
        <w:tc>
          <w:tcPr>
            <w:tcW w:w="1398" w:type="dxa"/>
            <w:vAlign w:val="bottom"/>
          </w:tcPr>
          <w:p w:rsidR="00FC6A03" w:rsidRPr="003408A6" w:rsidRDefault="00FC6A03" w:rsidP="00BF3766">
            <w:pPr>
              <w:pStyle w:val="Tabletextcentred"/>
              <w:rPr>
                <w:lang w:val="en-AU"/>
              </w:rPr>
            </w:pPr>
            <w:r w:rsidRPr="003408A6">
              <w:rPr>
                <w:lang w:val="en-AU"/>
              </w:rPr>
              <w:t>47 (32</w:t>
            </w:r>
            <w:r w:rsidR="00BF3766" w:rsidRPr="003408A6">
              <w:rPr>
                <w:lang w:val="en-AU"/>
              </w:rPr>
              <w:t>–</w:t>
            </w:r>
            <w:r w:rsidRPr="003408A6">
              <w:rPr>
                <w:lang w:val="en-AU"/>
              </w:rPr>
              <w:t>67)</w:t>
            </w:r>
          </w:p>
        </w:tc>
        <w:tc>
          <w:tcPr>
            <w:tcW w:w="729" w:type="dxa"/>
          </w:tcPr>
          <w:p w:rsidR="00FC6A03" w:rsidRPr="003408A6" w:rsidRDefault="00FC6A03" w:rsidP="00C419B8">
            <w:pPr>
              <w:pStyle w:val="Tabletextcentred"/>
              <w:rPr>
                <w:lang w:val="en-AU"/>
              </w:rPr>
            </w:pPr>
            <w:r w:rsidRPr="003408A6">
              <w:rPr>
                <w:lang w:val="en-AU"/>
              </w:rPr>
              <w:t>292</w:t>
            </w:r>
          </w:p>
        </w:tc>
        <w:tc>
          <w:tcPr>
            <w:tcW w:w="1417" w:type="dxa"/>
          </w:tcPr>
          <w:p w:rsidR="00FC6A03" w:rsidRPr="003408A6" w:rsidRDefault="00BF3766" w:rsidP="00C419B8">
            <w:pPr>
              <w:pStyle w:val="Tabletextcentred"/>
              <w:rPr>
                <w:lang w:val="en-AU"/>
              </w:rPr>
            </w:pPr>
            <w:r w:rsidRPr="003408A6">
              <w:rPr>
                <w:lang w:val="en-AU"/>
              </w:rPr>
              <w:t>29 (25–</w:t>
            </w:r>
            <w:r w:rsidR="00FC6A03" w:rsidRPr="003408A6">
              <w:rPr>
                <w:lang w:val="en-AU"/>
              </w:rPr>
              <w:t>32)</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South Australia</w:t>
            </w:r>
          </w:p>
        </w:tc>
        <w:tc>
          <w:tcPr>
            <w:tcW w:w="709" w:type="dxa"/>
            <w:vAlign w:val="bottom"/>
          </w:tcPr>
          <w:p w:rsidR="00FC6A03" w:rsidRPr="003408A6" w:rsidRDefault="00FC6A03" w:rsidP="00C419B8">
            <w:pPr>
              <w:pStyle w:val="Tabletextcentred"/>
              <w:rPr>
                <w:lang w:val="en-AU"/>
              </w:rPr>
            </w:pPr>
            <w:r w:rsidRPr="003408A6">
              <w:rPr>
                <w:lang w:val="en-AU"/>
              </w:rPr>
              <w:t>143</w:t>
            </w:r>
          </w:p>
        </w:tc>
        <w:tc>
          <w:tcPr>
            <w:tcW w:w="1438" w:type="dxa"/>
            <w:vAlign w:val="bottom"/>
          </w:tcPr>
          <w:p w:rsidR="00FC6A03" w:rsidRPr="003408A6" w:rsidRDefault="00FC6A03" w:rsidP="00C419B8">
            <w:pPr>
              <w:pStyle w:val="Tabletextcentred"/>
              <w:rPr>
                <w:lang w:val="en-AU"/>
              </w:rPr>
            </w:pPr>
            <w:r w:rsidRPr="003408A6">
              <w:rPr>
                <w:lang w:val="en-AU"/>
              </w:rPr>
              <w:t>97 (82</w:t>
            </w:r>
            <w:r w:rsidR="00C419B8" w:rsidRPr="003408A6">
              <w:rPr>
                <w:lang w:val="en-AU"/>
              </w:rPr>
              <w:t>–</w:t>
            </w:r>
            <w:r w:rsidRPr="003408A6">
              <w:rPr>
                <w:lang w:val="en-AU"/>
              </w:rPr>
              <w:t>114)</w:t>
            </w:r>
          </w:p>
        </w:tc>
        <w:tc>
          <w:tcPr>
            <w:tcW w:w="708" w:type="dxa"/>
            <w:vAlign w:val="bottom"/>
          </w:tcPr>
          <w:p w:rsidR="00FC6A03" w:rsidRPr="003408A6" w:rsidRDefault="00FC6A03" w:rsidP="00C419B8">
            <w:pPr>
              <w:pStyle w:val="Tabletextcentred"/>
              <w:rPr>
                <w:lang w:val="en-AU"/>
              </w:rPr>
            </w:pPr>
            <w:r w:rsidRPr="003408A6">
              <w:rPr>
                <w:lang w:val="en-AU"/>
              </w:rPr>
              <w:t>53</w:t>
            </w:r>
          </w:p>
        </w:tc>
        <w:tc>
          <w:tcPr>
            <w:tcW w:w="1462" w:type="dxa"/>
            <w:vAlign w:val="bottom"/>
          </w:tcPr>
          <w:p w:rsidR="00FC6A03" w:rsidRPr="003408A6" w:rsidRDefault="00FC6A03" w:rsidP="00C419B8">
            <w:pPr>
              <w:pStyle w:val="Tabletextcentred"/>
              <w:rPr>
                <w:lang w:val="en-AU"/>
              </w:rPr>
            </w:pPr>
            <w:r w:rsidRPr="003408A6">
              <w:rPr>
                <w:lang w:val="en-AU"/>
              </w:rPr>
              <w:t>59 (44</w:t>
            </w:r>
            <w:r w:rsidR="00C419B8" w:rsidRPr="003408A6">
              <w:rPr>
                <w:lang w:val="en-AU"/>
              </w:rPr>
              <w:t>–</w:t>
            </w:r>
            <w:r w:rsidRPr="003408A6">
              <w:rPr>
                <w:lang w:val="en-AU"/>
              </w:rPr>
              <w:t>77)</w:t>
            </w:r>
          </w:p>
        </w:tc>
        <w:tc>
          <w:tcPr>
            <w:tcW w:w="788" w:type="dxa"/>
            <w:vAlign w:val="bottom"/>
          </w:tcPr>
          <w:p w:rsidR="00FC6A03" w:rsidRPr="003408A6" w:rsidRDefault="00FC6A03" w:rsidP="00C419B8">
            <w:pPr>
              <w:pStyle w:val="Tabletextcentred"/>
              <w:rPr>
                <w:lang w:val="en-AU"/>
              </w:rPr>
            </w:pPr>
            <w:r w:rsidRPr="003408A6">
              <w:rPr>
                <w:lang w:val="en-AU"/>
              </w:rPr>
              <w:t>21</w:t>
            </w:r>
          </w:p>
        </w:tc>
        <w:tc>
          <w:tcPr>
            <w:tcW w:w="1358" w:type="dxa"/>
            <w:vAlign w:val="bottom"/>
          </w:tcPr>
          <w:p w:rsidR="00FC6A03" w:rsidRPr="003408A6" w:rsidRDefault="00BF3766" w:rsidP="00C419B8">
            <w:pPr>
              <w:pStyle w:val="Tabletextcentred"/>
              <w:rPr>
                <w:lang w:val="en-AU"/>
              </w:rPr>
            </w:pPr>
            <w:r w:rsidRPr="003408A6">
              <w:rPr>
                <w:lang w:val="en-AU"/>
              </w:rPr>
              <w:t>37 (23–</w:t>
            </w:r>
            <w:r w:rsidR="00FC6A03" w:rsidRPr="003408A6">
              <w:rPr>
                <w:lang w:val="en-AU"/>
              </w:rPr>
              <w:t>57)</w:t>
            </w:r>
          </w:p>
        </w:tc>
        <w:tc>
          <w:tcPr>
            <w:tcW w:w="709" w:type="dxa"/>
            <w:vAlign w:val="bottom"/>
          </w:tcPr>
          <w:p w:rsidR="00FC6A03" w:rsidRPr="003408A6" w:rsidRDefault="00FC6A03" w:rsidP="00C419B8">
            <w:pPr>
              <w:pStyle w:val="Tabletextcentred"/>
              <w:rPr>
                <w:lang w:val="en-AU"/>
              </w:rPr>
            </w:pPr>
            <w:r w:rsidRPr="003408A6">
              <w:rPr>
                <w:lang w:val="en-AU"/>
              </w:rPr>
              <w:t>9</w:t>
            </w:r>
          </w:p>
        </w:tc>
        <w:tc>
          <w:tcPr>
            <w:tcW w:w="1520" w:type="dxa"/>
            <w:vAlign w:val="bottom"/>
          </w:tcPr>
          <w:p w:rsidR="00FC6A03" w:rsidRPr="003408A6" w:rsidRDefault="00BF3766" w:rsidP="00C419B8">
            <w:pPr>
              <w:pStyle w:val="Tabletextcentred"/>
              <w:rPr>
                <w:lang w:val="en-AU"/>
              </w:rPr>
            </w:pPr>
            <w:r w:rsidRPr="003408A6">
              <w:rPr>
                <w:lang w:val="en-AU"/>
              </w:rPr>
              <w:t>41 (19–</w:t>
            </w:r>
            <w:r w:rsidR="00FC6A03" w:rsidRPr="003408A6">
              <w:rPr>
                <w:lang w:val="en-AU"/>
              </w:rPr>
              <w:t>77)</w:t>
            </w:r>
          </w:p>
        </w:tc>
        <w:tc>
          <w:tcPr>
            <w:tcW w:w="748" w:type="dxa"/>
            <w:vAlign w:val="bottom"/>
          </w:tcPr>
          <w:p w:rsidR="00FC6A03" w:rsidRPr="003408A6" w:rsidRDefault="00FC6A03" w:rsidP="00C419B8">
            <w:pPr>
              <w:pStyle w:val="Tabletextcentred"/>
              <w:rPr>
                <w:lang w:val="en-AU"/>
              </w:rPr>
            </w:pPr>
            <w:r w:rsidRPr="003408A6">
              <w:rPr>
                <w:lang w:val="en-AU"/>
              </w:rPr>
              <w:t>9</w:t>
            </w:r>
          </w:p>
        </w:tc>
        <w:tc>
          <w:tcPr>
            <w:tcW w:w="1398" w:type="dxa"/>
            <w:vAlign w:val="bottom"/>
          </w:tcPr>
          <w:p w:rsidR="00FC6A03" w:rsidRPr="003408A6" w:rsidRDefault="00BF3766" w:rsidP="00C419B8">
            <w:pPr>
              <w:pStyle w:val="Tabletextcentred"/>
              <w:rPr>
                <w:lang w:val="en-AU"/>
              </w:rPr>
            </w:pPr>
            <w:r w:rsidRPr="003408A6">
              <w:rPr>
                <w:lang w:val="en-AU"/>
              </w:rPr>
              <w:t>41 (19–</w:t>
            </w:r>
            <w:r w:rsidR="00FC6A03" w:rsidRPr="003408A6">
              <w:rPr>
                <w:lang w:val="en-AU"/>
              </w:rPr>
              <w:t>77)</w:t>
            </w:r>
          </w:p>
        </w:tc>
        <w:tc>
          <w:tcPr>
            <w:tcW w:w="729" w:type="dxa"/>
          </w:tcPr>
          <w:p w:rsidR="00FC6A03" w:rsidRPr="003408A6" w:rsidRDefault="00FC6A03" w:rsidP="00C419B8">
            <w:pPr>
              <w:pStyle w:val="Tabletextcentred"/>
              <w:rPr>
                <w:lang w:val="en-AU"/>
              </w:rPr>
            </w:pPr>
            <w:r w:rsidRPr="003408A6">
              <w:rPr>
                <w:lang w:val="en-AU"/>
              </w:rPr>
              <w:t>235</w:t>
            </w:r>
          </w:p>
        </w:tc>
        <w:tc>
          <w:tcPr>
            <w:tcW w:w="1417" w:type="dxa"/>
          </w:tcPr>
          <w:p w:rsidR="00FC6A03" w:rsidRPr="003408A6" w:rsidRDefault="00BF3766" w:rsidP="00C419B8">
            <w:pPr>
              <w:pStyle w:val="Tabletextcentred"/>
              <w:rPr>
                <w:lang w:val="en-AU"/>
              </w:rPr>
            </w:pPr>
            <w:r w:rsidRPr="003408A6">
              <w:rPr>
                <w:lang w:val="en-AU"/>
              </w:rPr>
              <w:t>70 (61–</w:t>
            </w:r>
            <w:r w:rsidR="00FC6A03" w:rsidRPr="003408A6">
              <w:rPr>
                <w:lang w:val="en-AU"/>
              </w:rPr>
              <w:t>79)</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Tasmania</w:t>
            </w:r>
          </w:p>
        </w:tc>
        <w:tc>
          <w:tcPr>
            <w:tcW w:w="709" w:type="dxa"/>
            <w:vAlign w:val="bottom"/>
          </w:tcPr>
          <w:p w:rsidR="00FC6A03" w:rsidRPr="003408A6" w:rsidRDefault="00FC6A03" w:rsidP="00C419B8">
            <w:pPr>
              <w:pStyle w:val="Tabletextcentred"/>
              <w:rPr>
                <w:lang w:val="en-AU"/>
              </w:rPr>
            </w:pPr>
            <w:r w:rsidRPr="003408A6">
              <w:rPr>
                <w:lang w:val="en-AU"/>
              </w:rPr>
              <w:t>14</w:t>
            </w:r>
          </w:p>
        </w:tc>
        <w:tc>
          <w:tcPr>
            <w:tcW w:w="1438" w:type="dxa"/>
            <w:vAlign w:val="bottom"/>
          </w:tcPr>
          <w:p w:rsidR="00FC6A03" w:rsidRPr="003408A6" w:rsidRDefault="00FC6A03" w:rsidP="00C419B8">
            <w:pPr>
              <w:pStyle w:val="Tabletextcentred"/>
              <w:rPr>
                <w:lang w:val="en-AU"/>
              </w:rPr>
            </w:pPr>
            <w:r w:rsidRPr="003408A6">
              <w:rPr>
                <w:lang w:val="en-AU"/>
              </w:rPr>
              <w:t>31 (17</w:t>
            </w:r>
            <w:r w:rsidR="00C419B8" w:rsidRPr="003408A6">
              <w:rPr>
                <w:lang w:val="en-AU"/>
              </w:rPr>
              <w:t>–</w:t>
            </w:r>
            <w:r w:rsidRPr="003408A6">
              <w:rPr>
                <w:lang w:val="en-AU"/>
              </w:rPr>
              <w:t>53)</w:t>
            </w:r>
          </w:p>
        </w:tc>
        <w:tc>
          <w:tcPr>
            <w:tcW w:w="708" w:type="dxa"/>
            <w:vAlign w:val="bottom"/>
          </w:tcPr>
          <w:p w:rsidR="00FC6A03" w:rsidRPr="003408A6" w:rsidRDefault="00FC6A03" w:rsidP="00C419B8">
            <w:pPr>
              <w:pStyle w:val="Tabletextcentred"/>
              <w:rPr>
                <w:lang w:val="en-AU"/>
              </w:rPr>
            </w:pPr>
            <w:r w:rsidRPr="003408A6">
              <w:rPr>
                <w:lang w:val="en-AU"/>
              </w:rPr>
              <w:t>5</w:t>
            </w:r>
          </w:p>
        </w:tc>
        <w:tc>
          <w:tcPr>
            <w:tcW w:w="1462" w:type="dxa"/>
            <w:vAlign w:val="bottom"/>
          </w:tcPr>
          <w:p w:rsidR="00FC6A03" w:rsidRPr="003408A6" w:rsidRDefault="00FC6A03" w:rsidP="00C419B8">
            <w:pPr>
              <w:pStyle w:val="Tabletextcentred"/>
              <w:rPr>
                <w:lang w:val="en-AU"/>
              </w:rPr>
            </w:pPr>
            <w:r w:rsidRPr="003408A6">
              <w:rPr>
                <w:lang w:val="en-AU"/>
              </w:rPr>
              <w:t>15 (5</w:t>
            </w:r>
            <w:r w:rsidR="00C419B8" w:rsidRPr="003408A6">
              <w:rPr>
                <w:lang w:val="en-AU"/>
              </w:rPr>
              <w:t>–</w:t>
            </w:r>
            <w:r w:rsidRPr="003408A6">
              <w:rPr>
                <w:lang w:val="en-AU"/>
              </w:rPr>
              <w:t>35)</w:t>
            </w:r>
          </w:p>
        </w:tc>
        <w:tc>
          <w:tcPr>
            <w:tcW w:w="788" w:type="dxa"/>
            <w:vAlign w:val="bottom"/>
          </w:tcPr>
          <w:p w:rsidR="00FC6A03" w:rsidRPr="003408A6" w:rsidRDefault="00FC6A03" w:rsidP="00C419B8">
            <w:pPr>
              <w:pStyle w:val="Tabletextcentred"/>
              <w:rPr>
                <w:lang w:val="en-AU"/>
              </w:rPr>
            </w:pPr>
            <w:r w:rsidRPr="003408A6">
              <w:rPr>
                <w:lang w:val="en-AU"/>
              </w:rPr>
              <w:t>1</w:t>
            </w:r>
          </w:p>
        </w:tc>
        <w:tc>
          <w:tcPr>
            <w:tcW w:w="1358" w:type="dxa"/>
            <w:vAlign w:val="bottom"/>
          </w:tcPr>
          <w:p w:rsidR="00FC6A03" w:rsidRPr="003408A6" w:rsidRDefault="00BF3766" w:rsidP="00C419B8">
            <w:pPr>
              <w:pStyle w:val="Tabletextcentred"/>
              <w:rPr>
                <w:lang w:val="en-AU"/>
              </w:rPr>
            </w:pPr>
            <w:r w:rsidRPr="003408A6">
              <w:rPr>
                <w:lang w:val="en-AU"/>
              </w:rPr>
              <w:t>6 (0–</w:t>
            </w:r>
            <w:r w:rsidR="00FC6A03" w:rsidRPr="003408A6">
              <w:rPr>
                <w:lang w:val="en-AU"/>
              </w:rPr>
              <w:t>33)</w:t>
            </w:r>
          </w:p>
        </w:tc>
        <w:tc>
          <w:tcPr>
            <w:tcW w:w="709" w:type="dxa"/>
            <w:vAlign w:val="bottom"/>
          </w:tcPr>
          <w:p w:rsidR="00FC6A03" w:rsidRPr="003408A6" w:rsidRDefault="00FC6A03" w:rsidP="00C419B8">
            <w:pPr>
              <w:pStyle w:val="Tabletextcentred"/>
              <w:rPr>
                <w:lang w:val="en-AU"/>
              </w:rPr>
            </w:pPr>
            <w:r w:rsidRPr="003408A6">
              <w:rPr>
                <w:lang w:val="en-AU"/>
              </w:rPr>
              <w:t>0</w:t>
            </w:r>
          </w:p>
        </w:tc>
        <w:tc>
          <w:tcPr>
            <w:tcW w:w="1520" w:type="dxa"/>
            <w:vAlign w:val="bottom"/>
          </w:tcPr>
          <w:p w:rsidR="00FC6A03" w:rsidRPr="003408A6" w:rsidRDefault="00BF3766" w:rsidP="00C419B8">
            <w:pPr>
              <w:pStyle w:val="Tabletextcentred"/>
              <w:rPr>
                <w:lang w:val="en-AU"/>
              </w:rPr>
            </w:pPr>
            <w:r w:rsidRPr="003408A6">
              <w:rPr>
                <w:lang w:val="en-AU"/>
              </w:rPr>
              <w:t>–</w:t>
            </w:r>
          </w:p>
        </w:tc>
        <w:tc>
          <w:tcPr>
            <w:tcW w:w="748" w:type="dxa"/>
            <w:vAlign w:val="bottom"/>
          </w:tcPr>
          <w:p w:rsidR="00FC6A03" w:rsidRPr="003408A6" w:rsidRDefault="00FC6A03" w:rsidP="00C419B8">
            <w:pPr>
              <w:pStyle w:val="Tabletextcentred"/>
              <w:rPr>
                <w:lang w:val="en-AU"/>
              </w:rPr>
            </w:pPr>
            <w:r w:rsidRPr="003408A6">
              <w:rPr>
                <w:lang w:val="en-AU"/>
              </w:rPr>
              <w:t>0</w:t>
            </w:r>
          </w:p>
        </w:tc>
        <w:tc>
          <w:tcPr>
            <w:tcW w:w="1398" w:type="dxa"/>
            <w:vAlign w:val="bottom"/>
          </w:tcPr>
          <w:p w:rsidR="00FC6A03" w:rsidRPr="003408A6" w:rsidRDefault="00BF3766" w:rsidP="00C419B8">
            <w:pPr>
              <w:pStyle w:val="Tabletextcentred"/>
              <w:rPr>
                <w:lang w:val="en-AU"/>
              </w:rPr>
            </w:pPr>
            <w:r w:rsidRPr="003408A6">
              <w:rPr>
                <w:lang w:val="en-AU"/>
              </w:rPr>
              <w:t>–</w:t>
            </w:r>
          </w:p>
        </w:tc>
        <w:tc>
          <w:tcPr>
            <w:tcW w:w="729" w:type="dxa"/>
          </w:tcPr>
          <w:p w:rsidR="00FC6A03" w:rsidRPr="003408A6" w:rsidRDefault="00FC6A03" w:rsidP="00C419B8">
            <w:pPr>
              <w:pStyle w:val="Tabletextcentred"/>
              <w:rPr>
                <w:lang w:val="en-AU"/>
              </w:rPr>
            </w:pPr>
            <w:r w:rsidRPr="003408A6">
              <w:rPr>
                <w:lang w:val="en-AU"/>
              </w:rPr>
              <w:t>20</w:t>
            </w:r>
          </w:p>
        </w:tc>
        <w:tc>
          <w:tcPr>
            <w:tcW w:w="1417" w:type="dxa"/>
          </w:tcPr>
          <w:p w:rsidR="00FC6A03" w:rsidRPr="003408A6" w:rsidRDefault="00BF3766" w:rsidP="00C419B8">
            <w:pPr>
              <w:pStyle w:val="Tabletextcentred"/>
              <w:rPr>
                <w:lang w:val="en-AU"/>
              </w:rPr>
            </w:pPr>
            <w:r w:rsidRPr="003408A6">
              <w:rPr>
                <w:lang w:val="en-AU"/>
              </w:rPr>
              <w:t>19 (11–</w:t>
            </w:r>
            <w:r w:rsidR="00FC6A03" w:rsidRPr="003408A6">
              <w:rPr>
                <w:lang w:val="en-AU"/>
              </w:rPr>
              <w:t>29)</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Victoria</w:t>
            </w:r>
          </w:p>
        </w:tc>
        <w:tc>
          <w:tcPr>
            <w:tcW w:w="709" w:type="dxa"/>
            <w:vAlign w:val="bottom"/>
          </w:tcPr>
          <w:p w:rsidR="00FC6A03" w:rsidRPr="003408A6" w:rsidRDefault="00FC6A03" w:rsidP="00C419B8">
            <w:pPr>
              <w:pStyle w:val="Tabletextcentred"/>
              <w:rPr>
                <w:lang w:val="en-AU"/>
              </w:rPr>
            </w:pPr>
            <w:r w:rsidRPr="003408A6">
              <w:rPr>
                <w:lang w:val="en-AU"/>
              </w:rPr>
              <w:t>135</w:t>
            </w:r>
          </w:p>
        </w:tc>
        <w:tc>
          <w:tcPr>
            <w:tcW w:w="1438" w:type="dxa"/>
            <w:vAlign w:val="bottom"/>
          </w:tcPr>
          <w:p w:rsidR="00FC6A03" w:rsidRPr="003408A6" w:rsidRDefault="00FC6A03" w:rsidP="00C419B8">
            <w:pPr>
              <w:pStyle w:val="Tabletextcentred"/>
              <w:rPr>
                <w:lang w:val="en-AU"/>
              </w:rPr>
            </w:pPr>
            <w:r w:rsidRPr="003408A6">
              <w:rPr>
                <w:lang w:val="en-AU"/>
              </w:rPr>
              <w:t>29 (24</w:t>
            </w:r>
            <w:r w:rsidR="00C419B8" w:rsidRPr="003408A6">
              <w:rPr>
                <w:lang w:val="en-AU"/>
              </w:rPr>
              <w:t>–</w:t>
            </w:r>
            <w:r w:rsidRPr="003408A6">
              <w:rPr>
                <w:lang w:val="en-AU"/>
              </w:rPr>
              <w:t>34)</w:t>
            </w:r>
          </w:p>
        </w:tc>
        <w:tc>
          <w:tcPr>
            <w:tcW w:w="708" w:type="dxa"/>
            <w:vAlign w:val="bottom"/>
          </w:tcPr>
          <w:p w:rsidR="00FC6A03" w:rsidRPr="003408A6" w:rsidRDefault="00FC6A03" w:rsidP="00C419B8">
            <w:pPr>
              <w:pStyle w:val="Tabletextcentred"/>
              <w:rPr>
                <w:lang w:val="en-AU"/>
              </w:rPr>
            </w:pPr>
            <w:r w:rsidRPr="003408A6">
              <w:rPr>
                <w:lang w:val="en-AU"/>
              </w:rPr>
              <w:t>122</w:t>
            </w:r>
          </w:p>
        </w:tc>
        <w:tc>
          <w:tcPr>
            <w:tcW w:w="1462" w:type="dxa"/>
            <w:vAlign w:val="bottom"/>
          </w:tcPr>
          <w:p w:rsidR="00FC6A03" w:rsidRPr="003408A6" w:rsidRDefault="00FC6A03" w:rsidP="00C419B8">
            <w:pPr>
              <w:pStyle w:val="Tabletextcentred"/>
              <w:rPr>
                <w:lang w:val="en-AU"/>
              </w:rPr>
            </w:pPr>
            <w:r w:rsidRPr="003408A6">
              <w:rPr>
                <w:lang w:val="en-AU"/>
              </w:rPr>
              <w:t>27 (22</w:t>
            </w:r>
            <w:r w:rsidR="00C419B8" w:rsidRPr="003408A6">
              <w:rPr>
                <w:lang w:val="en-AU"/>
              </w:rPr>
              <w:t>–</w:t>
            </w:r>
            <w:r w:rsidRPr="003408A6">
              <w:rPr>
                <w:lang w:val="en-AU"/>
              </w:rPr>
              <w:t>32)</w:t>
            </w:r>
          </w:p>
        </w:tc>
        <w:tc>
          <w:tcPr>
            <w:tcW w:w="788" w:type="dxa"/>
            <w:vAlign w:val="bottom"/>
          </w:tcPr>
          <w:p w:rsidR="00FC6A03" w:rsidRPr="003408A6" w:rsidRDefault="00FC6A03" w:rsidP="00C419B8">
            <w:pPr>
              <w:pStyle w:val="Tabletextcentred"/>
              <w:rPr>
                <w:lang w:val="en-AU"/>
              </w:rPr>
            </w:pPr>
            <w:r w:rsidRPr="003408A6">
              <w:rPr>
                <w:lang w:val="en-AU"/>
              </w:rPr>
              <w:t>45</w:t>
            </w:r>
          </w:p>
        </w:tc>
        <w:tc>
          <w:tcPr>
            <w:tcW w:w="1358" w:type="dxa"/>
            <w:vAlign w:val="bottom"/>
          </w:tcPr>
          <w:p w:rsidR="00FC6A03" w:rsidRPr="003408A6" w:rsidRDefault="00FC6A03" w:rsidP="00BF3766">
            <w:pPr>
              <w:pStyle w:val="Tabletextcentred"/>
              <w:rPr>
                <w:lang w:val="en-AU"/>
              </w:rPr>
            </w:pPr>
            <w:r w:rsidRPr="003408A6">
              <w:rPr>
                <w:lang w:val="en-AU"/>
              </w:rPr>
              <w:t>25 (18</w:t>
            </w:r>
            <w:r w:rsidR="00BF3766" w:rsidRPr="003408A6">
              <w:rPr>
                <w:lang w:val="en-AU"/>
              </w:rPr>
              <w:t>–</w:t>
            </w:r>
            <w:r w:rsidRPr="003408A6">
              <w:rPr>
                <w:lang w:val="en-AU"/>
              </w:rPr>
              <w:t>33)</w:t>
            </w:r>
          </w:p>
        </w:tc>
        <w:tc>
          <w:tcPr>
            <w:tcW w:w="709" w:type="dxa"/>
            <w:vAlign w:val="bottom"/>
          </w:tcPr>
          <w:p w:rsidR="00FC6A03" w:rsidRPr="003408A6" w:rsidRDefault="00FC6A03" w:rsidP="00C419B8">
            <w:pPr>
              <w:pStyle w:val="Tabletextcentred"/>
              <w:rPr>
                <w:lang w:val="en-AU"/>
              </w:rPr>
            </w:pPr>
            <w:r w:rsidRPr="003408A6">
              <w:rPr>
                <w:lang w:val="en-AU"/>
              </w:rPr>
              <w:t>29</w:t>
            </w:r>
          </w:p>
        </w:tc>
        <w:tc>
          <w:tcPr>
            <w:tcW w:w="1520" w:type="dxa"/>
            <w:vAlign w:val="bottom"/>
          </w:tcPr>
          <w:p w:rsidR="00FC6A03" w:rsidRPr="003408A6" w:rsidRDefault="00FC6A03" w:rsidP="00BF3766">
            <w:pPr>
              <w:pStyle w:val="Tabletextcentred"/>
              <w:rPr>
                <w:lang w:val="en-AU"/>
              </w:rPr>
            </w:pPr>
            <w:r w:rsidRPr="003408A6">
              <w:rPr>
                <w:lang w:val="en-AU"/>
              </w:rPr>
              <w:t>38 (26</w:t>
            </w:r>
            <w:r w:rsidR="00BF3766" w:rsidRPr="003408A6">
              <w:rPr>
                <w:lang w:val="en-AU"/>
              </w:rPr>
              <w:t>–</w:t>
            </w:r>
            <w:r w:rsidRPr="003408A6">
              <w:rPr>
                <w:lang w:val="en-AU"/>
              </w:rPr>
              <w:t>55)</w:t>
            </w:r>
          </w:p>
        </w:tc>
        <w:tc>
          <w:tcPr>
            <w:tcW w:w="748" w:type="dxa"/>
            <w:vAlign w:val="bottom"/>
          </w:tcPr>
          <w:p w:rsidR="00FC6A03" w:rsidRPr="003408A6" w:rsidRDefault="00FC6A03" w:rsidP="00C419B8">
            <w:pPr>
              <w:pStyle w:val="Tabletextcentred"/>
              <w:rPr>
                <w:lang w:val="en-AU"/>
              </w:rPr>
            </w:pPr>
            <w:r w:rsidRPr="003408A6">
              <w:rPr>
                <w:lang w:val="en-AU"/>
              </w:rPr>
              <w:t>36</w:t>
            </w:r>
          </w:p>
        </w:tc>
        <w:tc>
          <w:tcPr>
            <w:tcW w:w="1398" w:type="dxa"/>
            <w:vAlign w:val="bottom"/>
          </w:tcPr>
          <w:p w:rsidR="00FC6A03" w:rsidRPr="003408A6" w:rsidRDefault="00FC6A03" w:rsidP="00BF3766">
            <w:pPr>
              <w:pStyle w:val="Tabletextcentred"/>
              <w:rPr>
                <w:lang w:val="en-AU"/>
              </w:rPr>
            </w:pPr>
            <w:r w:rsidRPr="003408A6">
              <w:rPr>
                <w:lang w:val="en-AU"/>
              </w:rPr>
              <w:t>46 (32</w:t>
            </w:r>
            <w:r w:rsidR="00BF3766" w:rsidRPr="003408A6">
              <w:rPr>
                <w:lang w:val="en-AU"/>
              </w:rPr>
              <w:t>–</w:t>
            </w:r>
            <w:r w:rsidRPr="003408A6">
              <w:rPr>
                <w:lang w:val="en-AU"/>
              </w:rPr>
              <w:t>63)</w:t>
            </w:r>
          </w:p>
        </w:tc>
        <w:tc>
          <w:tcPr>
            <w:tcW w:w="729" w:type="dxa"/>
          </w:tcPr>
          <w:p w:rsidR="00FC6A03" w:rsidRPr="003408A6" w:rsidRDefault="00FC6A03" w:rsidP="00C419B8">
            <w:pPr>
              <w:pStyle w:val="Tabletextcentred"/>
              <w:rPr>
                <w:lang w:val="en-AU"/>
              </w:rPr>
            </w:pPr>
            <w:r w:rsidRPr="003408A6">
              <w:rPr>
                <w:lang w:val="en-AU"/>
              </w:rPr>
              <w:t>367</w:t>
            </w:r>
          </w:p>
        </w:tc>
        <w:tc>
          <w:tcPr>
            <w:tcW w:w="1417" w:type="dxa"/>
          </w:tcPr>
          <w:p w:rsidR="00FC6A03" w:rsidRPr="003408A6" w:rsidRDefault="00BF3766" w:rsidP="00C419B8">
            <w:pPr>
              <w:pStyle w:val="Tabletextcentred"/>
              <w:rPr>
                <w:lang w:val="en-AU"/>
              </w:rPr>
            </w:pPr>
            <w:r w:rsidRPr="003408A6">
              <w:rPr>
                <w:lang w:val="en-AU"/>
              </w:rPr>
              <w:t>29 (26–</w:t>
            </w:r>
            <w:r w:rsidR="00FC6A03" w:rsidRPr="003408A6">
              <w:rPr>
                <w:lang w:val="en-AU"/>
              </w:rPr>
              <w:t>32)</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Western Australia</w:t>
            </w:r>
          </w:p>
        </w:tc>
        <w:tc>
          <w:tcPr>
            <w:tcW w:w="709" w:type="dxa"/>
            <w:vAlign w:val="bottom"/>
          </w:tcPr>
          <w:p w:rsidR="00FC6A03" w:rsidRPr="003408A6" w:rsidRDefault="00FC6A03" w:rsidP="00C419B8">
            <w:pPr>
              <w:pStyle w:val="Tabletextcentred"/>
              <w:rPr>
                <w:lang w:val="en-AU"/>
              </w:rPr>
            </w:pPr>
            <w:r w:rsidRPr="003408A6">
              <w:rPr>
                <w:lang w:val="en-AU"/>
              </w:rPr>
              <w:t>49</w:t>
            </w:r>
          </w:p>
        </w:tc>
        <w:tc>
          <w:tcPr>
            <w:tcW w:w="1438" w:type="dxa"/>
            <w:vAlign w:val="bottom"/>
          </w:tcPr>
          <w:p w:rsidR="00FC6A03" w:rsidRPr="003408A6" w:rsidRDefault="00FC6A03" w:rsidP="00C419B8">
            <w:pPr>
              <w:pStyle w:val="Tabletextcentred"/>
              <w:rPr>
                <w:lang w:val="en-AU"/>
              </w:rPr>
            </w:pPr>
            <w:r w:rsidRPr="003408A6">
              <w:rPr>
                <w:lang w:val="en-AU"/>
              </w:rPr>
              <w:t>36 (26</w:t>
            </w:r>
            <w:r w:rsidR="00C419B8" w:rsidRPr="003408A6">
              <w:rPr>
                <w:lang w:val="en-AU"/>
              </w:rPr>
              <w:t>–</w:t>
            </w:r>
            <w:r w:rsidRPr="003408A6">
              <w:rPr>
                <w:lang w:val="en-AU"/>
              </w:rPr>
              <w:t>47)</w:t>
            </w:r>
          </w:p>
        </w:tc>
        <w:tc>
          <w:tcPr>
            <w:tcW w:w="708" w:type="dxa"/>
            <w:vAlign w:val="bottom"/>
          </w:tcPr>
          <w:p w:rsidR="00FC6A03" w:rsidRPr="003408A6" w:rsidRDefault="00FC6A03" w:rsidP="00C419B8">
            <w:pPr>
              <w:pStyle w:val="Tabletextcentred"/>
              <w:rPr>
                <w:lang w:val="en-AU"/>
              </w:rPr>
            </w:pPr>
            <w:r w:rsidRPr="003408A6">
              <w:rPr>
                <w:lang w:val="en-AU"/>
              </w:rPr>
              <w:t>29</w:t>
            </w:r>
          </w:p>
        </w:tc>
        <w:tc>
          <w:tcPr>
            <w:tcW w:w="1462" w:type="dxa"/>
            <w:vAlign w:val="bottom"/>
          </w:tcPr>
          <w:p w:rsidR="00FC6A03" w:rsidRPr="003408A6" w:rsidRDefault="00FC6A03" w:rsidP="00C419B8">
            <w:pPr>
              <w:pStyle w:val="Tabletextcentred"/>
              <w:rPr>
                <w:lang w:val="en-AU"/>
              </w:rPr>
            </w:pPr>
            <w:r w:rsidRPr="003408A6">
              <w:rPr>
                <w:lang w:val="en-AU"/>
              </w:rPr>
              <w:t>15 (10</w:t>
            </w:r>
            <w:r w:rsidR="00C419B8" w:rsidRPr="003408A6">
              <w:rPr>
                <w:lang w:val="en-AU"/>
              </w:rPr>
              <w:t>–</w:t>
            </w:r>
            <w:r w:rsidRPr="003408A6">
              <w:rPr>
                <w:lang w:val="en-AU"/>
              </w:rPr>
              <w:t>21)</w:t>
            </w:r>
          </w:p>
        </w:tc>
        <w:tc>
          <w:tcPr>
            <w:tcW w:w="788" w:type="dxa"/>
            <w:vAlign w:val="bottom"/>
          </w:tcPr>
          <w:p w:rsidR="00FC6A03" w:rsidRPr="003408A6" w:rsidRDefault="00FC6A03" w:rsidP="00C419B8">
            <w:pPr>
              <w:pStyle w:val="Tabletextcentred"/>
              <w:rPr>
                <w:lang w:val="en-AU"/>
              </w:rPr>
            </w:pPr>
            <w:r w:rsidRPr="003408A6">
              <w:rPr>
                <w:lang w:val="en-AU"/>
              </w:rPr>
              <w:t>9</w:t>
            </w:r>
          </w:p>
        </w:tc>
        <w:tc>
          <w:tcPr>
            <w:tcW w:w="1358" w:type="dxa"/>
            <w:vAlign w:val="bottom"/>
          </w:tcPr>
          <w:p w:rsidR="00FC6A03" w:rsidRPr="003408A6" w:rsidRDefault="00BF3766" w:rsidP="00C419B8">
            <w:pPr>
              <w:pStyle w:val="Tabletextcentred"/>
              <w:rPr>
                <w:lang w:val="en-AU"/>
              </w:rPr>
            </w:pPr>
            <w:r w:rsidRPr="003408A6">
              <w:rPr>
                <w:lang w:val="en-AU"/>
              </w:rPr>
              <w:t>13 (6–</w:t>
            </w:r>
            <w:r w:rsidR="00FC6A03" w:rsidRPr="003408A6">
              <w:rPr>
                <w:lang w:val="en-AU"/>
              </w:rPr>
              <w:t>24)</w:t>
            </w:r>
          </w:p>
        </w:tc>
        <w:tc>
          <w:tcPr>
            <w:tcW w:w="709" w:type="dxa"/>
            <w:vAlign w:val="bottom"/>
          </w:tcPr>
          <w:p w:rsidR="00FC6A03" w:rsidRPr="003408A6" w:rsidRDefault="00FC6A03" w:rsidP="00C419B8">
            <w:pPr>
              <w:pStyle w:val="Tabletextcentred"/>
              <w:rPr>
                <w:lang w:val="en-AU"/>
              </w:rPr>
            </w:pPr>
            <w:r w:rsidRPr="003408A6">
              <w:rPr>
                <w:lang w:val="en-AU"/>
              </w:rPr>
              <w:t>5</w:t>
            </w:r>
          </w:p>
        </w:tc>
        <w:tc>
          <w:tcPr>
            <w:tcW w:w="1520" w:type="dxa"/>
            <w:vAlign w:val="bottom"/>
          </w:tcPr>
          <w:p w:rsidR="00FC6A03" w:rsidRPr="003408A6" w:rsidRDefault="00BF3766" w:rsidP="00C419B8">
            <w:pPr>
              <w:pStyle w:val="Tabletextcentred"/>
              <w:rPr>
                <w:lang w:val="en-AU"/>
              </w:rPr>
            </w:pPr>
            <w:r w:rsidRPr="003408A6">
              <w:rPr>
                <w:lang w:val="en-AU"/>
              </w:rPr>
              <w:t>15 (5–</w:t>
            </w:r>
            <w:r w:rsidR="00FC6A03" w:rsidRPr="003408A6">
              <w:rPr>
                <w:lang w:val="en-AU"/>
              </w:rPr>
              <w:t>35)</w:t>
            </w:r>
          </w:p>
        </w:tc>
        <w:tc>
          <w:tcPr>
            <w:tcW w:w="748" w:type="dxa"/>
            <w:vAlign w:val="bottom"/>
          </w:tcPr>
          <w:p w:rsidR="00FC6A03" w:rsidRPr="003408A6" w:rsidRDefault="00FC6A03" w:rsidP="00C419B8">
            <w:pPr>
              <w:pStyle w:val="Tabletextcentred"/>
              <w:rPr>
                <w:lang w:val="en-AU"/>
              </w:rPr>
            </w:pPr>
            <w:r w:rsidRPr="003408A6">
              <w:rPr>
                <w:lang w:val="en-AU"/>
              </w:rPr>
              <w:t>14</w:t>
            </w:r>
          </w:p>
        </w:tc>
        <w:tc>
          <w:tcPr>
            <w:tcW w:w="1398" w:type="dxa"/>
            <w:vAlign w:val="bottom"/>
          </w:tcPr>
          <w:p w:rsidR="00FC6A03" w:rsidRPr="003408A6" w:rsidRDefault="00BF3766" w:rsidP="00C419B8">
            <w:pPr>
              <w:pStyle w:val="Tabletextcentred"/>
              <w:rPr>
                <w:lang w:val="en-AU"/>
              </w:rPr>
            </w:pPr>
            <w:r w:rsidRPr="003408A6">
              <w:rPr>
                <w:lang w:val="en-AU"/>
              </w:rPr>
              <w:t>38 (21–</w:t>
            </w:r>
            <w:r w:rsidR="00FC6A03" w:rsidRPr="003408A6">
              <w:rPr>
                <w:lang w:val="en-AU"/>
              </w:rPr>
              <w:t>63)</w:t>
            </w:r>
          </w:p>
        </w:tc>
        <w:tc>
          <w:tcPr>
            <w:tcW w:w="729" w:type="dxa"/>
          </w:tcPr>
          <w:p w:rsidR="00FC6A03" w:rsidRPr="003408A6" w:rsidRDefault="00FC6A03" w:rsidP="00C419B8">
            <w:pPr>
              <w:pStyle w:val="Tabletextcentred"/>
              <w:rPr>
                <w:lang w:val="en-AU"/>
              </w:rPr>
            </w:pPr>
            <w:r w:rsidRPr="003408A6">
              <w:rPr>
                <w:lang w:val="en-AU"/>
              </w:rPr>
              <w:t>106</w:t>
            </w:r>
          </w:p>
        </w:tc>
        <w:tc>
          <w:tcPr>
            <w:tcW w:w="1417" w:type="dxa"/>
          </w:tcPr>
          <w:p w:rsidR="00FC6A03" w:rsidRPr="003408A6" w:rsidRDefault="00BF3766" w:rsidP="00C419B8">
            <w:pPr>
              <w:pStyle w:val="Tabletextcentred"/>
              <w:rPr>
                <w:lang w:val="en-AU"/>
              </w:rPr>
            </w:pPr>
            <w:r w:rsidRPr="003408A6">
              <w:rPr>
                <w:lang w:val="en-AU"/>
              </w:rPr>
              <w:t>22 (18–</w:t>
            </w:r>
            <w:r w:rsidR="00FC6A03" w:rsidRPr="003408A6">
              <w:rPr>
                <w:lang w:val="en-AU"/>
              </w:rPr>
              <w:t>27)</w:t>
            </w:r>
          </w:p>
        </w:tc>
      </w:tr>
      <w:tr w:rsidR="00BF3766" w:rsidRPr="003408A6" w:rsidTr="00BF3766">
        <w:trPr>
          <w:cantSplit/>
          <w:trHeight w:val="315"/>
        </w:trPr>
        <w:tc>
          <w:tcPr>
            <w:tcW w:w="1983" w:type="dxa"/>
            <w:tcBorders>
              <w:bottom w:val="nil"/>
            </w:tcBorders>
          </w:tcPr>
          <w:p w:rsidR="00FC6A03" w:rsidRPr="003408A6" w:rsidRDefault="00FC6A03" w:rsidP="00C419B8">
            <w:pPr>
              <w:pStyle w:val="Tabletextbold"/>
              <w:rPr>
                <w:lang w:val="en-AU"/>
              </w:rPr>
            </w:pPr>
            <w:r w:rsidRPr="003408A6">
              <w:rPr>
                <w:lang w:val="en-AU"/>
              </w:rPr>
              <w:t>Other</w:t>
            </w:r>
            <w:r w:rsidR="00BF3766" w:rsidRPr="00DB1F42">
              <w:rPr>
                <w:lang w:val="en-AU"/>
              </w:rPr>
              <w:t>*</w:t>
            </w:r>
          </w:p>
        </w:tc>
        <w:tc>
          <w:tcPr>
            <w:tcW w:w="709" w:type="dxa"/>
            <w:vAlign w:val="bottom"/>
          </w:tcPr>
          <w:p w:rsidR="00FC6A03" w:rsidRPr="003408A6" w:rsidRDefault="00FC6A03" w:rsidP="00C419B8">
            <w:pPr>
              <w:pStyle w:val="Tabletextcentred"/>
              <w:rPr>
                <w:lang w:val="en-AU"/>
              </w:rPr>
            </w:pPr>
            <w:r w:rsidRPr="003408A6">
              <w:rPr>
                <w:lang w:val="en-AU"/>
              </w:rPr>
              <w:t>39</w:t>
            </w:r>
          </w:p>
        </w:tc>
        <w:tc>
          <w:tcPr>
            <w:tcW w:w="1438" w:type="dxa"/>
            <w:vAlign w:val="bottom"/>
          </w:tcPr>
          <w:p w:rsidR="00FC6A03" w:rsidRPr="003408A6" w:rsidRDefault="00C419B8" w:rsidP="00C419B8">
            <w:pPr>
              <w:pStyle w:val="Tabletextcentred"/>
              <w:rPr>
                <w:lang w:val="en-AU"/>
              </w:rPr>
            </w:pPr>
            <w:r w:rsidRPr="003408A6">
              <w:rPr>
                <w:lang w:val="en-AU"/>
              </w:rPr>
              <w:t>na</w:t>
            </w:r>
          </w:p>
        </w:tc>
        <w:tc>
          <w:tcPr>
            <w:tcW w:w="708" w:type="dxa"/>
            <w:vAlign w:val="bottom"/>
          </w:tcPr>
          <w:p w:rsidR="00FC6A03" w:rsidRPr="003408A6" w:rsidRDefault="00FC6A03" w:rsidP="00C419B8">
            <w:pPr>
              <w:pStyle w:val="Tabletextcentred"/>
              <w:rPr>
                <w:lang w:val="en-AU"/>
              </w:rPr>
            </w:pPr>
            <w:r w:rsidRPr="003408A6">
              <w:rPr>
                <w:lang w:val="en-AU"/>
              </w:rPr>
              <w:t>21</w:t>
            </w:r>
          </w:p>
        </w:tc>
        <w:tc>
          <w:tcPr>
            <w:tcW w:w="1462" w:type="dxa"/>
            <w:vAlign w:val="bottom"/>
          </w:tcPr>
          <w:p w:rsidR="00FC6A03" w:rsidRPr="003408A6" w:rsidRDefault="00BF3766" w:rsidP="00C419B8">
            <w:pPr>
              <w:pStyle w:val="Tabletextcentred"/>
              <w:rPr>
                <w:lang w:val="en-AU"/>
              </w:rPr>
            </w:pPr>
            <w:r w:rsidRPr="003408A6">
              <w:rPr>
                <w:lang w:val="en-AU"/>
              </w:rPr>
              <w:t>na</w:t>
            </w:r>
          </w:p>
        </w:tc>
        <w:tc>
          <w:tcPr>
            <w:tcW w:w="788" w:type="dxa"/>
            <w:vAlign w:val="bottom"/>
          </w:tcPr>
          <w:p w:rsidR="00FC6A03" w:rsidRPr="003408A6" w:rsidRDefault="00FC6A03" w:rsidP="00C419B8">
            <w:pPr>
              <w:pStyle w:val="Tabletextcentred"/>
              <w:rPr>
                <w:lang w:val="en-AU"/>
              </w:rPr>
            </w:pPr>
            <w:r w:rsidRPr="003408A6">
              <w:rPr>
                <w:lang w:val="en-AU"/>
              </w:rPr>
              <w:t>14</w:t>
            </w:r>
          </w:p>
        </w:tc>
        <w:tc>
          <w:tcPr>
            <w:tcW w:w="1358" w:type="dxa"/>
            <w:vAlign w:val="bottom"/>
          </w:tcPr>
          <w:p w:rsidR="00FC6A03" w:rsidRPr="003408A6" w:rsidRDefault="00FC6A03" w:rsidP="00C419B8">
            <w:pPr>
              <w:pStyle w:val="Tabletextcentred"/>
              <w:rPr>
                <w:lang w:val="en-AU"/>
              </w:rPr>
            </w:pPr>
            <w:r w:rsidRPr="003408A6">
              <w:rPr>
                <w:lang w:val="en-AU"/>
              </w:rPr>
              <w:t>na</w:t>
            </w:r>
          </w:p>
        </w:tc>
        <w:tc>
          <w:tcPr>
            <w:tcW w:w="709" w:type="dxa"/>
            <w:vAlign w:val="bottom"/>
          </w:tcPr>
          <w:p w:rsidR="00FC6A03" w:rsidRPr="003408A6" w:rsidRDefault="00FC6A03" w:rsidP="00C419B8">
            <w:pPr>
              <w:pStyle w:val="Tabletextcentred"/>
              <w:rPr>
                <w:lang w:val="en-AU"/>
              </w:rPr>
            </w:pPr>
            <w:r w:rsidRPr="003408A6">
              <w:rPr>
                <w:lang w:val="en-AU"/>
              </w:rPr>
              <w:t>1</w:t>
            </w:r>
          </w:p>
        </w:tc>
        <w:tc>
          <w:tcPr>
            <w:tcW w:w="1520" w:type="dxa"/>
            <w:vAlign w:val="bottom"/>
          </w:tcPr>
          <w:p w:rsidR="00FC6A03" w:rsidRPr="003408A6" w:rsidRDefault="00FC6A03" w:rsidP="00C419B8">
            <w:pPr>
              <w:pStyle w:val="Tabletextcentred"/>
              <w:rPr>
                <w:lang w:val="en-AU"/>
              </w:rPr>
            </w:pPr>
            <w:r w:rsidRPr="003408A6">
              <w:rPr>
                <w:lang w:val="en-AU"/>
              </w:rPr>
              <w:t>na</w:t>
            </w:r>
          </w:p>
        </w:tc>
        <w:tc>
          <w:tcPr>
            <w:tcW w:w="748" w:type="dxa"/>
            <w:vAlign w:val="bottom"/>
          </w:tcPr>
          <w:p w:rsidR="00FC6A03" w:rsidRPr="003408A6" w:rsidRDefault="00FC6A03" w:rsidP="00C419B8">
            <w:pPr>
              <w:pStyle w:val="Tabletextcentred"/>
              <w:rPr>
                <w:lang w:val="en-AU"/>
              </w:rPr>
            </w:pPr>
            <w:r w:rsidRPr="003408A6">
              <w:rPr>
                <w:lang w:val="en-AU"/>
              </w:rPr>
              <w:t>4</w:t>
            </w:r>
          </w:p>
        </w:tc>
        <w:tc>
          <w:tcPr>
            <w:tcW w:w="1398" w:type="dxa"/>
            <w:vAlign w:val="bottom"/>
          </w:tcPr>
          <w:p w:rsidR="00FC6A03" w:rsidRPr="003408A6" w:rsidRDefault="00FC6A03" w:rsidP="00C419B8">
            <w:pPr>
              <w:pStyle w:val="Tabletextcentred"/>
              <w:rPr>
                <w:lang w:val="en-AU"/>
              </w:rPr>
            </w:pPr>
            <w:r w:rsidRPr="003408A6">
              <w:rPr>
                <w:lang w:val="en-AU"/>
              </w:rPr>
              <w:t>na</w:t>
            </w:r>
          </w:p>
        </w:tc>
        <w:tc>
          <w:tcPr>
            <w:tcW w:w="729" w:type="dxa"/>
          </w:tcPr>
          <w:p w:rsidR="00FC6A03" w:rsidRPr="003408A6" w:rsidRDefault="00FC6A03" w:rsidP="00C419B8">
            <w:pPr>
              <w:pStyle w:val="Tabletextcentred"/>
              <w:rPr>
                <w:lang w:val="en-AU"/>
              </w:rPr>
            </w:pPr>
            <w:r w:rsidRPr="003408A6">
              <w:rPr>
                <w:lang w:val="en-AU"/>
              </w:rPr>
              <w:t>79</w:t>
            </w:r>
          </w:p>
        </w:tc>
        <w:tc>
          <w:tcPr>
            <w:tcW w:w="1417" w:type="dxa"/>
          </w:tcPr>
          <w:p w:rsidR="00FC6A03" w:rsidRPr="003408A6" w:rsidRDefault="00FC6A03" w:rsidP="00C419B8">
            <w:pPr>
              <w:pStyle w:val="Tabletextcentred"/>
              <w:rPr>
                <w:lang w:val="en-AU"/>
              </w:rPr>
            </w:pPr>
            <w:r w:rsidRPr="003408A6">
              <w:rPr>
                <w:lang w:val="en-AU"/>
              </w:rPr>
              <w:t>na</w:t>
            </w:r>
          </w:p>
        </w:tc>
      </w:tr>
      <w:tr w:rsidR="00BF3766" w:rsidRPr="003408A6" w:rsidTr="00BF3766">
        <w:trPr>
          <w:cantSplit/>
          <w:trHeight w:val="446"/>
        </w:trPr>
        <w:tc>
          <w:tcPr>
            <w:tcW w:w="1983" w:type="dxa"/>
          </w:tcPr>
          <w:p w:rsidR="00FC6A03" w:rsidRPr="003408A6" w:rsidRDefault="00FC6A03" w:rsidP="00C419B8">
            <w:pPr>
              <w:pStyle w:val="Tabletextbold"/>
              <w:rPr>
                <w:lang w:val="en-AU"/>
              </w:rPr>
            </w:pPr>
            <w:r w:rsidRPr="003408A6">
              <w:rPr>
                <w:lang w:val="en-AU"/>
              </w:rPr>
              <w:t>National</w:t>
            </w:r>
          </w:p>
        </w:tc>
        <w:tc>
          <w:tcPr>
            <w:tcW w:w="709" w:type="dxa"/>
          </w:tcPr>
          <w:p w:rsidR="00FC6A03" w:rsidRPr="003408A6" w:rsidRDefault="00FC6A03" w:rsidP="00C419B8">
            <w:pPr>
              <w:pStyle w:val="Tabletextcentred"/>
              <w:rPr>
                <w:lang w:val="en-AU"/>
              </w:rPr>
            </w:pPr>
            <w:r w:rsidRPr="003408A6">
              <w:rPr>
                <w:lang w:val="en-AU"/>
              </w:rPr>
              <w:t>765</w:t>
            </w:r>
          </w:p>
        </w:tc>
        <w:tc>
          <w:tcPr>
            <w:tcW w:w="1438" w:type="dxa"/>
          </w:tcPr>
          <w:p w:rsidR="00FC6A03" w:rsidRPr="003408A6" w:rsidRDefault="00FC6A03" w:rsidP="00C419B8">
            <w:pPr>
              <w:pStyle w:val="Tabletextcentred"/>
              <w:rPr>
                <w:lang w:val="en-AU"/>
              </w:rPr>
            </w:pPr>
            <w:r w:rsidRPr="003408A6">
              <w:rPr>
                <w:lang w:val="en-AU"/>
              </w:rPr>
              <w:t>48 (45</w:t>
            </w:r>
            <w:r w:rsidR="00C419B8" w:rsidRPr="003408A6">
              <w:rPr>
                <w:lang w:val="en-AU"/>
              </w:rPr>
              <w:t>–</w:t>
            </w:r>
            <w:r w:rsidRPr="003408A6">
              <w:rPr>
                <w:lang w:val="en-AU"/>
              </w:rPr>
              <w:t>52)</w:t>
            </w:r>
          </w:p>
        </w:tc>
        <w:tc>
          <w:tcPr>
            <w:tcW w:w="708" w:type="dxa"/>
          </w:tcPr>
          <w:p w:rsidR="00FC6A03" w:rsidRPr="003408A6" w:rsidRDefault="00FC6A03" w:rsidP="00C419B8">
            <w:pPr>
              <w:pStyle w:val="Tabletextcentred"/>
              <w:rPr>
                <w:lang w:val="en-AU"/>
              </w:rPr>
            </w:pPr>
            <w:r w:rsidRPr="003408A6">
              <w:rPr>
                <w:lang w:val="en-AU"/>
              </w:rPr>
              <w:t>542</w:t>
            </w:r>
          </w:p>
        </w:tc>
        <w:tc>
          <w:tcPr>
            <w:tcW w:w="1462" w:type="dxa"/>
          </w:tcPr>
          <w:p w:rsidR="00FC6A03" w:rsidRPr="003408A6" w:rsidRDefault="00FC6A03" w:rsidP="00C419B8">
            <w:pPr>
              <w:pStyle w:val="Tabletextcentred"/>
              <w:rPr>
                <w:lang w:val="en-AU"/>
              </w:rPr>
            </w:pPr>
            <w:r w:rsidRPr="003408A6">
              <w:rPr>
                <w:lang w:val="en-AU"/>
              </w:rPr>
              <w:t>29 (26</w:t>
            </w:r>
            <w:r w:rsidR="00C419B8" w:rsidRPr="003408A6">
              <w:rPr>
                <w:lang w:val="en-AU"/>
              </w:rPr>
              <w:t>–</w:t>
            </w:r>
            <w:r w:rsidRPr="003408A6">
              <w:rPr>
                <w:lang w:val="en-AU"/>
              </w:rPr>
              <w:t>31)</w:t>
            </w:r>
          </w:p>
        </w:tc>
        <w:tc>
          <w:tcPr>
            <w:tcW w:w="788" w:type="dxa"/>
          </w:tcPr>
          <w:p w:rsidR="00FC6A03" w:rsidRPr="003408A6" w:rsidRDefault="00FC6A03" w:rsidP="00C419B8">
            <w:pPr>
              <w:pStyle w:val="Tabletextcentred"/>
              <w:rPr>
                <w:lang w:val="en-AU"/>
              </w:rPr>
            </w:pPr>
            <w:r w:rsidRPr="003408A6">
              <w:rPr>
                <w:lang w:val="en-AU"/>
              </w:rPr>
              <w:t>159</w:t>
            </w:r>
          </w:p>
        </w:tc>
        <w:tc>
          <w:tcPr>
            <w:tcW w:w="1358" w:type="dxa"/>
          </w:tcPr>
          <w:p w:rsidR="00FC6A03" w:rsidRPr="003408A6" w:rsidRDefault="00BF3766" w:rsidP="00C419B8">
            <w:pPr>
              <w:pStyle w:val="Tabletextcentred"/>
              <w:rPr>
                <w:lang w:val="en-AU"/>
              </w:rPr>
            </w:pPr>
            <w:r w:rsidRPr="003408A6">
              <w:rPr>
                <w:lang w:val="en-AU"/>
              </w:rPr>
              <w:t>22 (18–</w:t>
            </w:r>
            <w:r w:rsidR="00FC6A03" w:rsidRPr="003408A6">
              <w:rPr>
                <w:lang w:val="en-AU"/>
              </w:rPr>
              <w:t>25)</w:t>
            </w:r>
          </w:p>
        </w:tc>
        <w:tc>
          <w:tcPr>
            <w:tcW w:w="709" w:type="dxa"/>
          </w:tcPr>
          <w:p w:rsidR="00FC6A03" w:rsidRPr="003408A6" w:rsidRDefault="00FC6A03" w:rsidP="00C419B8">
            <w:pPr>
              <w:pStyle w:val="Tabletextcentred"/>
              <w:rPr>
                <w:lang w:val="en-AU"/>
              </w:rPr>
            </w:pPr>
            <w:r w:rsidRPr="003408A6">
              <w:rPr>
                <w:lang w:val="en-AU"/>
              </w:rPr>
              <w:t>80</w:t>
            </w:r>
          </w:p>
        </w:tc>
        <w:tc>
          <w:tcPr>
            <w:tcW w:w="1520" w:type="dxa"/>
          </w:tcPr>
          <w:p w:rsidR="00FC6A03" w:rsidRPr="003408A6" w:rsidRDefault="00BF3766" w:rsidP="00C419B8">
            <w:pPr>
              <w:pStyle w:val="Tabletextcentred"/>
              <w:rPr>
                <w:lang w:val="en-AU"/>
              </w:rPr>
            </w:pPr>
            <w:r w:rsidRPr="003408A6">
              <w:rPr>
                <w:lang w:val="en-AU"/>
              </w:rPr>
              <w:t>26 (21–</w:t>
            </w:r>
            <w:r w:rsidR="00FC6A03" w:rsidRPr="003408A6">
              <w:rPr>
                <w:lang w:val="en-AU"/>
              </w:rPr>
              <w:t>33)</w:t>
            </w:r>
          </w:p>
        </w:tc>
        <w:tc>
          <w:tcPr>
            <w:tcW w:w="748" w:type="dxa"/>
          </w:tcPr>
          <w:p w:rsidR="00FC6A03" w:rsidRPr="003408A6" w:rsidRDefault="00FC6A03" w:rsidP="00C419B8">
            <w:pPr>
              <w:pStyle w:val="Tabletextcentred"/>
              <w:rPr>
                <w:lang w:val="en-AU"/>
              </w:rPr>
            </w:pPr>
            <w:r w:rsidRPr="003408A6">
              <w:rPr>
                <w:lang w:val="en-AU"/>
              </w:rPr>
              <w:t>139</w:t>
            </w:r>
          </w:p>
        </w:tc>
        <w:tc>
          <w:tcPr>
            <w:tcW w:w="1398" w:type="dxa"/>
          </w:tcPr>
          <w:p w:rsidR="00FC6A03" w:rsidRPr="003408A6" w:rsidRDefault="00BF3766" w:rsidP="00C419B8">
            <w:pPr>
              <w:pStyle w:val="Tabletextcentred"/>
              <w:rPr>
                <w:lang w:val="en-AU"/>
              </w:rPr>
            </w:pPr>
            <w:r w:rsidRPr="003408A6">
              <w:rPr>
                <w:lang w:val="en-AU"/>
              </w:rPr>
              <w:t>44 (37–</w:t>
            </w:r>
            <w:r w:rsidR="00FC6A03" w:rsidRPr="003408A6">
              <w:rPr>
                <w:lang w:val="en-AU"/>
              </w:rPr>
              <w:t>52)</w:t>
            </w:r>
          </w:p>
        </w:tc>
        <w:tc>
          <w:tcPr>
            <w:tcW w:w="729" w:type="dxa"/>
          </w:tcPr>
          <w:p w:rsidR="00FC6A03" w:rsidRPr="003408A6" w:rsidRDefault="00FC6A03" w:rsidP="00C419B8">
            <w:pPr>
              <w:pStyle w:val="Tabletextcentred"/>
              <w:rPr>
                <w:lang w:val="en-AU"/>
              </w:rPr>
            </w:pPr>
            <w:r w:rsidRPr="003408A6">
              <w:rPr>
                <w:lang w:val="en-AU"/>
              </w:rPr>
              <w:t>1,685</w:t>
            </w:r>
          </w:p>
        </w:tc>
        <w:tc>
          <w:tcPr>
            <w:tcW w:w="1417" w:type="dxa"/>
          </w:tcPr>
          <w:p w:rsidR="00FC6A03" w:rsidRPr="003408A6" w:rsidRDefault="00BF3766" w:rsidP="00C419B8">
            <w:pPr>
              <w:pStyle w:val="Tabletextcentred"/>
              <w:rPr>
                <w:lang w:val="en-AU"/>
              </w:rPr>
            </w:pPr>
            <w:r w:rsidRPr="003408A6">
              <w:rPr>
                <w:lang w:val="en-AU"/>
              </w:rPr>
              <w:t>35 (33–</w:t>
            </w:r>
            <w:r w:rsidR="00FC6A03" w:rsidRPr="003408A6">
              <w:rPr>
                <w:lang w:val="en-AU"/>
              </w:rPr>
              <w:t>36)</w:t>
            </w:r>
          </w:p>
        </w:tc>
      </w:tr>
    </w:tbl>
    <w:p w:rsidR="00BF3766" w:rsidRPr="003408A6" w:rsidRDefault="00D66DDF" w:rsidP="0057457E">
      <w:pPr>
        <w:pStyle w:val="Tablefootnote"/>
      </w:pPr>
      <w:r w:rsidRPr="003408A6">
        <w:t>N</w:t>
      </w:r>
      <w:r w:rsidR="00FC6A03" w:rsidRPr="003408A6">
        <w:t>a</w:t>
      </w:r>
      <w:r>
        <w:t xml:space="preserve"> </w:t>
      </w:r>
      <w:r w:rsidR="00FC6A03" w:rsidRPr="003408A6">
        <w:t>= not applicable</w:t>
      </w:r>
    </w:p>
    <w:p w:rsidR="00FC6A03" w:rsidRPr="003408A6" w:rsidRDefault="00BF3766" w:rsidP="0057457E">
      <w:pPr>
        <w:pStyle w:val="Tablefootnote"/>
      </w:pPr>
      <w:r w:rsidRPr="003408A6">
        <w:t>*</w:t>
      </w:r>
      <w:r w:rsidR="00FC6A03" w:rsidRPr="003408A6">
        <w:tab/>
        <w:t xml:space="preserve">Records where the jurisdiction in which the AEFI occurred was not reported or was unclear. </w:t>
      </w:r>
    </w:p>
    <w:p w:rsidR="00FC6A03" w:rsidRPr="003408A6" w:rsidRDefault="00FC6A03" w:rsidP="00FC6A03">
      <w:pPr>
        <w:pStyle w:val="Tableheading"/>
        <w:rPr>
          <w:lang w:val="en-AU"/>
        </w:rPr>
        <w:sectPr w:rsidR="00FC6A03" w:rsidRPr="003408A6" w:rsidSect="00D07C02">
          <w:pgSz w:w="16838" w:h="11906" w:orient="landscape"/>
          <w:pgMar w:top="851" w:right="851" w:bottom="851" w:left="851" w:header="709" w:footer="709" w:gutter="0"/>
          <w:cols w:space="708"/>
          <w:docGrid w:linePitch="360"/>
        </w:sectPr>
      </w:pPr>
    </w:p>
    <w:p w:rsidR="00FC6A03" w:rsidRPr="003408A6" w:rsidRDefault="00FC6A03" w:rsidP="00AC4D7D">
      <w:pPr>
        <w:pStyle w:val="BodyText"/>
        <w:rPr>
          <w:lang w:val="en-AU"/>
        </w:rPr>
      </w:pPr>
      <w:r w:rsidRPr="003408A6">
        <w:rPr>
          <w:b/>
          <w:lang w:val="en-AU"/>
        </w:rPr>
        <w:t>Table 4.4</w:t>
      </w:r>
      <w:r w:rsidRPr="003408A6">
        <w:rPr>
          <w:lang w:val="en-AU"/>
        </w:rPr>
        <w:t xml:space="preserve"> shows the types of AEFI reported by age group. </w:t>
      </w:r>
      <w:r w:rsidRPr="003408A6">
        <w:rPr>
          <w:bCs/>
          <w:lang w:val="en-AU"/>
        </w:rPr>
        <w:t>The majority of AEFI reported for the HPV vaccine were mild transient events.</w:t>
      </w:r>
      <w:r w:rsidRPr="003408A6">
        <w:rPr>
          <w:lang w:val="en-AU"/>
        </w:rPr>
        <w:t xml:space="preserve"> The most commonly reported AEFI were headache (21%; n=381) followed by nausea (16%; n=293), dizziness (15%; n=273), fever (13%; n=231), syncope (11%; n=201) and injection site reactions (10%; n=191). Other reactions reported included pruritus (9%; n=163), urticaria (8%; n=155), myalgia (8%; n=140), rash (8%; n=146), and convulsions (4%; n=70). There were 16 reported cases (1%) of anaphylactic reaction and 8 cases of pancreatitis. </w:t>
      </w:r>
    </w:p>
    <w:p w:rsidR="00FC6A03" w:rsidRPr="003408A6" w:rsidRDefault="00FC6A03" w:rsidP="00AC4D7D">
      <w:pPr>
        <w:pStyle w:val="Tableheading"/>
        <w:rPr>
          <w:lang w:val="en-AU"/>
        </w:rPr>
      </w:pPr>
      <w:bookmarkStart w:id="172" w:name="_Toc396475550"/>
      <w:bookmarkStart w:id="173" w:name="_Toc397000778"/>
      <w:r w:rsidRPr="003408A6">
        <w:rPr>
          <w:lang w:val="en-AU"/>
        </w:rPr>
        <w:t>Table 4.4.</w:t>
      </w:r>
      <w:r w:rsidR="00D861BD" w:rsidRPr="003408A6">
        <w:rPr>
          <w:lang w:val="en-AU"/>
        </w:rPr>
        <w:tab/>
      </w:r>
      <w:r w:rsidRPr="003408A6">
        <w:rPr>
          <w:lang w:val="en-AU"/>
        </w:rPr>
        <w:t>Most common and other selected adverse events following HPV vaccination in females, TGA Adverse Drug Reaction System database, 1 April 2007 to 31 December 2012</w:t>
      </w:r>
      <w:bookmarkEnd w:id="172"/>
      <w:bookmarkEnd w:id="17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660"/>
        <w:gridCol w:w="1701"/>
        <w:gridCol w:w="1134"/>
        <w:gridCol w:w="850"/>
        <w:gridCol w:w="850"/>
        <w:gridCol w:w="851"/>
        <w:gridCol w:w="1701"/>
      </w:tblGrid>
      <w:tr w:rsidR="00AC4D7D" w:rsidRPr="003408A6" w:rsidTr="001413E2">
        <w:trPr>
          <w:trHeight w:val="1170"/>
        </w:trPr>
        <w:tc>
          <w:tcPr>
            <w:tcW w:w="2660" w:type="dxa"/>
            <w:shd w:val="clear" w:color="auto" w:fill="FFFFFF"/>
            <w:vAlign w:val="center"/>
            <w:hideMark/>
          </w:tcPr>
          <w:p w:rsidR="00AC4D7D" w:rsidRPr="003408A6" w:rsidRDefault="00AC4D7D" w:rsidP="001413E2">
            <w:pPr>
              <w:pStyle w:val="Tablecolumnheadings"/>
              <w:jc w:val="left"/>
              <w:rPr>
                <w:color w:val="FFFFFF"/>
                <w:lang w:val="en-AU"/>
              </w:rPr>
            </w:pPr>
            <w:r w:rsidRPr="003408A6">
              <w:rPr>
                <w:lang w:val="en-AU"/>
              </w:rPr>
              <w:t>MedDRA Preferred Terms</w:t>
            </w:r>
          </w:p>
        </w:tc>
        <w:tc>
          <w:tcPr>
            <w:tcW w:w="1701" w:type="dxa"/>
            <w:shd w:val="clear" w:color="auto" w:fill="FFFFFF"/>
            <w:vAlign w:val="center"/>
            <w:hideMark/>
          </w:tcPr>
          <w:p w:rsidR="00AC4D7D" w:rsidRPr="003408A6" w:rsidRDefault="00AC4D7D" w:rsidP="001413E2">
            <w:pPr>
              <w:pStyle w:val="Tablecolumnheadings"/>
              <w:rPr>
                <w:color w:val="FFFFFF"/>
                <w:lang w:val="en-AU"/>
              </w:rPr>
            </w:pPr>
            <w:r w:rsidRPr="003408A6">
              <w:rPr>
                <w:lang w:val="en-AU"/>
              </w:rPr>
              <w:t>AEFI records*</w:t>
            </w:r>
          </w:p>
          <w:p w:rsidR="00AC4D7D" w:rsidRPr="003408A6" w:rsidRDefault="00AC4D7D" w:rsidP="001413E2">
            <w:pPr>
              <w:pStyle w:val="Tablecolumnheadings"/>
              <w:rPr>
                <w:color w:val="FFFFFF"/>
                <w:lang w:val="en-AU"/>
              </w:rPr>
            </w:pPr>
            <w:r w:rsidRPr="003408A6">
              <w:rPr>
                <w:lang w:val="en-AU"/>
              </w:rPr>
              <w:t>n</w:t>
            </w:r>
          </w:p>
          <w:p w:rsidR="00AC4D7D" w:rsidRPr="003408A6" w:rsidRDefault="00AC4D7D" w:rsidP="001413E2">
            <w:pPr>
              <w:pStyle w:val="Tablecolumnheadings"/>
              <w:rPr>
                <w:color w:val="FFFFFF"/>
                <w:lang w:val="en-AU"/>
              </w:rPr>
            </w:pPr>
            <w:r w:rsidRPr="003408A6">
              <w:rPr>
                <w:lang w:val="en-AU"/>
              </w:rPr>
              <w:t>Total (Serious)</w:t>
            </w:r>
          </w:p>
        </w:tc>
        <w:tc>
          <w:tcPr>
            <w:tcW w:w="1134" w:type="dxa"/>
            <w:shd w:val="clear" w:color="auto" w:fill="FFFFFF"/>
            <w:vAlign w:val="center"/>
            <w:hideMark/>
          </w:tcPr>
          <w:p w:rsidR="00AC4D7D" w:rsidRPr="003408A6" w:rsidRDefault="00AC4D7D" w:rsidP="001413E2">
            <w:pPr>
              <w:pStyle w:val="Tablecolumnheadings"/>
              <w:rPr>
                <w:color w:val="FFFFFF"/>
                <w:lang w:val="en-AU"/>
              </w:rPr>
            </w:pPr>
            <w:r w:rsidRPr="003408A6">
              <w:rPr>
                <w:lang w:val="en-AU"/>
              </w:rPr>
              <w:t>Only HPV vaccine received</w:t>
            </w:r>
          </w:p>
          <w:p w:rsidR="00AC4D7D" w:rsidRPr="003408A6" w:rsidRDefault="00AC4D7D" w:rsidP="001413E2">
            <w:pPr>
              <w:pStyle w:val="Tablecolumnheadings"/>
              <w:rPr>
                <w:color w:val="FFFFFF"/>
                <w:lang w:val="en-AU"/>
              </w:rPr>
            </w:pPr>
            <w:r w:rsidRPr="003408A6">
              <w:rPr>
                <w:lang w:val="en-AU"/>
              </w:rPr>
              <w:t>n</w:t>
            </w:r>
          </w:p>
        </w:tc>
        <w:tc>
          <w:tcPr>
            <w:tcW w:w="850" w:type="dxa"/>
            <w:shd w:val="clear" w:color="auto" w:fill="FFFFFF"/>
            <w:vAlign w:val="center"/>
          </w:tcPr>
          <w:p w:rsidR="00AC4D7D" w:rsidRPr="003408A6" w:rsidRDefault="00AC4D7D" w:rsidP="001413E2">
            <w:pPr>
              <w:pStyle w:val="Tablecolumnheadings"/>
              <w:rPr>
                <w:lang w:val="en-AU"/>
              </w:rPr>
            </w:pPr>
            <w:r w:rsidRPr="003408A6">
              <w:rPr>
                <w:lang w:val="en-AU"/>
              </w:rPr>
              <w:t>≤13 years</w:t>
            </w:r>
          </w:p>
        </w:tc>
        <w:tc>
          <w:tcPr>
            <w:tcW w:w="850" w:type="dxa"/>
            <w:shd w:val="clear" w:color="auto" w:fill="FFFFFF"/>
            <w:vAlign w:val="center"/>
          </w:tcPr>
          <w:p w:rsidR="00AC4D7D" w:rsidRPr="003408A6" w:rsidRDefault="00AC4D7D" w:rsidP="001413E2">
            <w:pPr>
              <w:pStyle w:val="Tablecolumnheadings"/>
              <w:rPr>
                <w:lang w:val="en-AU"/>
              </w:rPr>
            </w:pPr>
            <w:r w:rsidRPr="003408A6">
              <w:rPr>
                <w:lang w:val="en-AU"/>
              </w:rPr>
              <w:t>14–17 years</w:t>
            </w:r>
          </w:p>
        </w:tc>
        <w:tc>
          <w:tcPr>
            <w:tcW w:w="851" w:type="dxa"/>
            <w:shd w:val="clear" w:color="auto" w:fill="FFFFFF"/>
            <w:vAlign w:val="center"/>
          </w:tcPr>
          <w:p w:rsidR="00AC4D7D" w:rsidRPr="003408A6" w:rsidRDefault="00AC4D7D" w:rsidP="001413E2">
            <w:pPr>
              <w:pStyle w:val="Tablecolumnheadings"/>
              <w:rPr>
                <w:lang w:val="en-AU"/>
              </w:rPr>
            </w:pPr>
            <w:r w:rsidRPr="003408A6">
              <w:rPr>
                <w:lang w:val="en-AU"/>
              </w:rPr>
              <w:t>≥18 years</w:t>
            </w:r>
          </w:p>
        </w:tc>
        <w:tc>
          <w:tcPr>
            <w:tcW w:w="1701" w:type="dxa"/>
            <w:shd w:val="clear" w:color="auto" w:fill="FFFFFF"/>
            <w:vAlign w:val="center"/>
            <w:hideMark/>
          </w:tcPr>
          <w:p w:rsidR="00AC4D7D" w:rsidRPr="003408A6" w:rsidRDefault="00AC4D7D" w:rsidP="001413E2">
            <w:pPr>
              <w:pStyle w:val="Tablecolumnheadings"/>
              <w:rPr>
                <w:color w:val="FFFFFF"/>
                <w:lang w:val="en-AU"/>
              </w:rPr>
            </w:pPr>
            <w:r w:rsidRPr="003408A6">
              <w:rPr>
                <w:lang w:val="en-AU"/>
              </w:rPr>
              <w:t>Reporting rate per 100,000 doses</w:t>
            </w:r>
            <w:r w:rsidR="001413E2" w:rsidRPr="00DB1F42">
              <w:rPr>
                <w:vertAlign w:val="superscript"/>
                <w:lang w:val="en-AU"/>
              </w:rPr>
              <w:t>†</w:t>
            </w:r>
          </w:p>
          <w:p w:rsidR="00AC4D7D" w:rsidRPr="003408A6" w:rsidRDefault="00AC4D7D" w:rsidP="001413E2">
            <w:pPr>
              <w:pStyle w:val="Tablecolumnheadings"/>
              <w:rPr>
                <w:color w:val="FFFFFF"/>
                <w:lang w:val="en-AU"/>
              </w:rPr>
            </w:pPr>
            <w:r w:rsidRPr="003408A6">
              <w:rPr>
                <w:lang w:val="en-AU"/>
              </w:rPr>
              <w:t>Total (Serious)</w:t>
            </w:r>
          </w:p>
        </w:tc>
      </w:tr>
      <w:tr w:rsidR="00FC6A03" w:rsidRPr="003408A6" w:rsidTr="001413E2">
        <w:trPr>
          <w:trHeight w:val="368"/>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Headache</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381 (19)</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304</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161</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132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82</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7.22 (0.35)</w:t>
            </w:r>
          </w:p>
        </w:tc>
      </w:tr>
      <w:tr w:rsidR="00FC6A03" w:rsidRPr="003408A6" w:rsidTr="001413E2">
        <w:trPr>
          <w:trHeight w:val="386"/>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Nausea</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293 (23)</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232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106</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111</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71</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5.53 (0.41)</w:t>
            </w:r>
          </w:p>
        </w:tc>
      </w:tr>
      <w:tr w:rsidR="00FC6A03" w:rsidRPr="003408A6" w:rsidTr="001413E2">
        <w:trPr>
          <w:trHeight w:val="386"/>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Dizziness</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273 (17)</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204</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126</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93</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51</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4.85 (0.31)</w:t>
            </w:r>
          </w:p>
        </w:tc>
      </w:tr>
      <w:tr w:rsidR="00FC6A03" w:rsidRPr="003408A6" w:rsidTr="001413E2">
        <w:trPr>
          <w:trHeight w:val="386"/>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Fever</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231 (12)</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175</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100</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75</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54</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4.40 (0.25)</w:t>
            </w:r>
          </w:p>
        </w:tc>
      </w:tr>
      <w:tr w:rsidR="00FC6A03" w:rsidRPr="003408A6" w:rsidTr="001413E2">
        <w:trPr>
          <w:trHeight w:val="386"/>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Syncope</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201 (10)</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134</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89</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59</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49</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bCs/>
                <w:kern w:val="24"/>
                <w:lang w:val="en-AU"/>
              </w:rPr>
              <w:t>3.84 (0.14)</w:t>
            </w:r>
          </w:p>
        </w:tc>
      </w:tr>
      <w:tr w:rsidR="00FC6A03" w:rsidRPr="003408A6" w:rsidTr="001413E2">
        <w:trPr>
          <w:trHeight w:val="378"/>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Injection site reaction</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191 (3)</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160</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68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70</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bCs/>
                <w:kern w:val="24"/>
                <w:lang w:val="en-AU"/>
              </w:rPr>
              <w:t>3.55 (0.04)</w:t>
            </w:r>
          </w:p>
        </w:tc>
      </w:tr>
      <w:tr w:rsidR="00FC6A03" w:rsidRPr="003408A6" w:rsidTr="001413E2">
        <w:trPr>
          <w:trHeight w:val="341"/>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Pruritus</w:t>
            </w:r>
            <w:r w:rsidR="001413E2" w:rsidRPr="003408A6">
              <w:rPr>
                <w:b/>
                <w:vertAlign w:val="superscript"/>
                <w:lang w:val="en-AU"/>
              </w:rPr>
              <w:t>‡</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163 (7)</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140</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50</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50</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3.28 (0.14)</w:t>
            </w:r>
          </w:p>
        </w:tc>
      </w:tr>
      <w:tr w:rsidR="00FC6A03" w:rsidRPr="003408A6" w:rsidTr="001413E2">
        <w:trPr>
          <w:trHeight w:val="341"/>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Urticaria</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155 (5)</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128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54</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62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38</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3.10 (0.10)</w:t>
            </w:r>
          </w:p>
        </w:tc>
      </w:tr>
      <w:tr w:rsidR="00FC6A03" w:rsidRPr="003408A6" w:rsidTr="001413E2">
        <w:trPr>
          <w:trHeight w:val="35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Myalgia</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140 (12)</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113</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46</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52</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2.87 (0.25)</w:t>
            </w:r>
          </w:p>
        </w:tc>
      </w:tr>
      <w:tr w:rsidR="00FC6A03" w:rsidRPr="003408A6" w:rsidTr="001413E2">
        <w:trPr>
          <w:trHeight w:val="35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Reduced sensation</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138 (10)</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118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45</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43</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48</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2.85 (0.21)</w:t>
            </w:r>
          </w:p>
        </w:tc>
      </w:tr>
      <w:tr w:rsidR="00FC6A03" w:rsidRPr="003408A6" w:rsidTr="001413E2">
        <w:trPr>
          <w:trHeight w:val="350"/>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Rash</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146 (7)</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118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57</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58</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29</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2.72 (0.12)</w:t>
            </w:r>
          </w:p>
        </w:tc>
      </w:tr>
      <w:tr w:rsidR="00FC6A03" w:rsidRPr="003408A6" w:rsidTr="001413E2">
        <w:trPr>
          <w:trHeight w:val="35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Pain</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122 (9)</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108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35</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48</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39</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2.50 (0.19)</w:t>
            </w:r>
          </w:p>
        </w:tc>
      </w:tr>
      <w:tr w:rsidR="00FC6A03" w:rsidRPr="003408A6" w:rsidTr="001413E2">
        <w:trPr>
          <w:trHeight w:val="34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Neurological/</w:t>
            </w:r>
            <w:r w:rsidR="001413E2" w:rsidRPr="003408A6">
              <w:rPr>
                <w:b/>
                <w:lang w:val="en-AU"/>
              </w:rPr>
              <w:br/>
            </w:r>
            <w:r w:rsidRPr="003408A6">
              <w:rPr>
                <w:b/>
                <w:lang w:val="en-AU"/>
              </w:rPr>
              <w:t>psychological</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98 (11)</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85</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21</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33</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2.02 (0.23)</w:t>
            </w:r>
          </w:p>
        </w:tc>
      </w:tr>
      <w:tr w:rsidR="00FC6A03" w:rsidRPr="003408A6" w:rsidTr="001413E2">
        <w:trPr>
          <w:trHeight w:val="34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Injection site pain</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98 (1)</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89</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26</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28</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44</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1.90 90.02)</w:t>
            </w:r>
          </w:p>
        </w:tc>
      </w:tr>
      <w:tr w:rsidR="00FC6A03" w:rsidRPr="003408A6" w:rsidTr="001413E2">
        <w:trPr>
          <w:trHeight w:val="340"/>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Abdominal pain</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96 (14)</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83</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38</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16</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1.84 (0.27)</w:t>
            </w:r>
          </w:p>
        </w:tc>
      </w:tr>
      <w:tr w:rsidR="00FC6A03" w:rsidRPr="003408A6" w:rsidTr="001413E2">
        <w:trPr>
          <w:trHeight w:val="340"/>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Convulsion</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70 (12)</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56</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20</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21</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1.36 (0.21)</w:t>
            </w:r>
          </w:p>
        </w:tc>
      </w:tr>
      <w:tr w:rsidR="00FC6A03" w:rsidRPr="003408A6" w:rsidTr="001413E2">
        <w:trPr>
          <w:trHeight w:val="317"/>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Vision impaired</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56 (6)</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47</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15</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1.11 (0.12)</w:t>
            </w:r>
          </w:p>
        </w:tc>
      </w:tr>
      <w:tr w:rsidR="00FC6A03" w:rsidRPr="003408A6" w:rsidTr="001413E2">
        <w:trPr>
          <w:trHeight w:val="317"/>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Lymphadenopathy/itis</w:t>
            </w:r>
            <w:r w:rsidR="001413E2" w:rsidRPr="003408A6">
              <w:rPr>
                <w:b/>
                <w:vertAlign w:val="superscript"/>
                <w:lang w:val="en-AU"/>
              </w:rPr>
              <w:t>§</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47 (1)</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43</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19</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10</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18</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0.95 (0.02)</w:t>
            </w:r>
          </w:p>
        </w:tc>
      </w:tr>
      <w:tr w:rsidR="00FC6A03" w:rsidRPr="003408A6" w:rsidTr="001413E2">
        <w:trPr>
          <w:trHeight w:val="317"/>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Anaphylaxis</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16 (4)</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10</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3</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0.31 (0.06)</w:t>
            </w:r>
          </w:p>
        </w:tc>
      </w:tr>
      <w:tr w:rsidR="00FC6A03" w:rsidRPr="003408A6" w:rsidTr="001413E2">
        <w:trPr>
          <w:trHeight w:val="296"/>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Pancreatitis</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8 (7)</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8</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6</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0.19 (0.17)</w:t>
            </w:r>
          </w:p>
        </w:tc>
      </w:tr>
      <w:tr w:rsidR="00FC6A03" w:rsidRPr="003408A6" w:rsidTr="001413E2">
        <w:trPr>
          <w:trHeight w:val="341"/>
        </w:trPr>
        <w:tc>
          <w:tcPr>
            <w:tcW w:w="2660" w:type="dxa"/>
            <w:shd w:val="clear" w:color="auto" w:fill="FFFFFF"/>
            <w:vAlign w:val="center"/>
            <w:hideMark/>
          </w:tcPr>
          <w:p w:rsidR="00FC6A03" w:rsidRPr="003408A6" w:rsidRDefault="00FC6A03" w:rsidP="001413E2">
            <w:pPr>
              <w:pStyle w:val="Tabletext0beforeafter"/>
              <w:rPr>
                <w:b/>
                <w:lang w:val="en-AU"/>
              </w:rPr>
            </w:pPr>
            <w:r w:rsidRPr="003408A6">
              <w:rPr>
                <w:b/>
                <w:lang w:val="en-AU"/>
              </w:rPr>
              <w:t>Thrombocytopenia</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4 (4)</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3</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0.08 (0.08)</w:t>
            </w:r>
          </w:p>
        </w:tc>
      </w:tr>
      <w:tr w:rsidR="00FC6A03" w:rsidRPr="003408A6" w:rsidTr="001413E2">
        <w:trPr>
          <w:trHeight w:val="417"/>
        </w:trPr>
        <w:tc>
          <w:tcPr>
            <w:tcW w:w="2660" w:type="dxa"/>
            <w:shd w:val="clear" w:color="auto" w:fill="FFFFFF"/>
            <w:vAlign w:val="center"/>
          </w:tcPr>
          <w:p w:rsidR="00FC6A03" w:rsidRPr="003408A6" w:rsidRDefault="00FC6A03" w:rsidP="001413E2">
            <w:pPr>
              <w:pStyle w:val="Tabletext0beforeafter"/>
              <w:rPr>
                <w:b/>
                <w:lang w:val="en-AU"/>
              </w:rPr>
            </w:pPr>
            <w:r w:rsidRPr="003408A6">
              <w:rPr>
                <w:b/>
                <w:lang w:val="en-AU"/>
              </w:rPr>
              <w:t>Encephalitis</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 (1)</w:t>
            </w:r>
          </w:p>
        </w:tc>
        <w:tc>
          <w:tcPr>
            <w:tcW w:w="1134"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1</w:t>
            </w:r>
          </w:p>
        </w:tc>
        <w:tc>
          <w:tcPr>
            <w:tcW w:w="170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0.04 (0.02)</w:t>
            </w:r>
          </w:p>
        </w:tc>
      </w:tr>
      <w:tr w:rsidR="00FC6A03" w:rsidRPr="003408A6" w:rsidTr="001413E2">
        <w:trPr>
          <w:trHeight w:val="417"/>
        </w:trPr>
        <w:tc>
          <w:tcPr>
            <w:tcW w:w="2660" w:type="dxa"/>
            <w:shd w:val="clear" w:color="auto" w:fill="FFFFFF"/>
            <w:vAlign w:val="center"/>
            <w:hideMark/>
          </w:tcPr>
          <w:p w:rsidR="00FC6A03" w:rsidRPr="003408A6" w:rsidRDefault="00DB1F42" w:rsidP="001413E2">
            <w:pPr>
              <w:pStyle w:val="Tabletext0beforeafter"/>
              <w:rPr>
                <w:b/>
                <w:lang w:val="en-AU"/>
              </w:rPr>
            </w:pPr>
            <w:r w:rsidRPr="00DB1F42">
              <w:rPr>
                <w:b/>
                <w:lang w:val="en-AU"/>
              </w:rPr>
              <w:t>Guillain-Barré syndrome</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2 (2)</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2</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w:t>
            </w:r>
          </w:p>
        </w:tc>
        <w:tc>
          <w:tcPr>
            <w:tcW w:w="850"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2</w:t>
            </w:r>
          </w:p>
        </w:tc>
        <w:tc>
          <w:tcPr>
            <w:tcW w:w="851" w:type="dxa"/>
            <w:shd w:val="clear" w:color="auto" w:fill="FFFFFF"/>
            <w:vAlign w:val="center"/>
          </w:tcPr>
          <w:p w:rsidR="00FC6A03" w:rsidRPr="003408A6" w:rsidRDefault="00FC6A03" w:rsidP="001413E2">
            <w:pPr>
              <w:pStyle w:val="Tabletext0beforeafter-centred"/>
              <w:rPr>
                <w:bCs/>
                <w:kern w:val="24"/>
                <w:lang w:val="en-AU"/>
              </w:rPr>
            </w:pPr>
            <w:r w:rsidRPr="003408A6">
              <w:rPr>
                <w:bCs/>
                <w:kern w:val="24"/>
                <w:lang w:val="en-AU"/>
              </w:rPr>
              <w:t>0</w:t>
            </w:r>
          </w:p>
        </w:tc>
        <w:tc>
          <w:tcPr>
            <w:tcW w:w="1701" w:type="dxa"/>
            <w:shd w:val="clear" w:color="auto" w:fill="FFFFFF"/>
            <w:vAlign w:val="center"/>
            <w:hideMark/>
          </w:tcPr>
          <w:p w:rsidR="00FC6A03" w:rsidRPr="003408A6" w:rsidRDefault="00FC6A03" w:rsidP="001413E2">
            <w:pPr>
              <w:pStyle w:val="Tabletext0beforeafter-centred"/>
              <w:rPr>
                <w:lang w:val="en-AU"/>
              </w:rPr>
            </w:pPr>
            <w:r w:rsidRPr="003408A6">
              <w:rPr>
                <w:bCs/>
                <w:kern w:val="24"/>
                <w:lang w:val="en-AU"/>
              </w:rPr>
              <w:t>0.04 (0.04)</w:t>
            </w:r>
          </w:p>
        </w:tc>
      </w:tr>
    </w:tbl>
    <w:p w:rsidR="00FC6A03" w:rsidRPr="003408A6" w:rsidRDefault="001413E2" w:rsidP="001413E2">
      <w:pPr>
        <w:pStyle w:val="Tablefootnote"/>
      </w:pPr>
      <w:r w:rsidRPr="003408A6">
        <w:t>*</w:t>
      </w:r>
      <w:r w:rsidRPr="003408A6">
        <w:tab/>
      </w:r>
      <w:r w:rsidR="00FC6A03" w:rsidRPr="003408A6">
        <w:t>One AEFI record may have multiple MedDRA Preferred Terms included.</w:t>
      </w:r>
    </w:p>
    <w:p w:rsidR="00FC6A03" w:rsidRPr="003408A6" w:rsidRDefault="001413E2" w:rsidP="001413E2">
      <w:pPr>
        <w:pStyle w:val="Tablefootnote"/>
        <w:rPr>
          <w:bCs/>
        </w:rPr>
      </w:pPr>
      <w:r w:rsidRPr="003408A6">
        <w:rPr>
          <w:bCs/>
        </w:rPr>
        <w:t>†</w:t>
      </w:r>
      <w:r w:rsidRPr="003408A6">
        <w:rPr>
          <w:bCs/>
        </w:rPr>
        <w:tab/>
      </w:r>
      <w:r w:rsidR="00FC6A03" w:rsidRPr="003408A6">
        <w:rPr>
          <w:bCs/>
        </w:rPr>
        <w:t>Reporting rate</w:t>
      </w:r>
      <w:r w:rsidR="003411A2">
        <w:rPr>
          <w:bCs/>
        </w:rPr>
        <w:t>s</w:t>
      </w:r>
      <w:r w:rsidR="00FC6A03" w:rsidRPr="003408A6">
        <w:rPr>
          <w:bCs/>
        </w:rPr>
        <w:t xml:space="preserve"> per 100,000 doses are calculated from 1 April 2007 to 31 December 2011.</w:t>
      </w:r>
    </w:p>
    <w:p w:rsidR="00FC6A03" w:rsidRPr="003408A6" w:rsidRDefault="001413E2" w:rsidP="001413E2">
      <w:pPr>
        <w:pStyle w:val="Tablefootnote"/>
        <w:rPr>
          <w:bCs/>
        </w:rPr>
      </w:pPr>
      <w:r w:rsidRPr="003408A6">
        <w:rPr>
          <w:bCs/>
          <w:kern w:val="24"/>
        </w:rPr>
        <w:t>‡</w:t>
      </w:r>
      <w:r w:rsidRPr="003408A6">
        <w:rPr>
          <w:bCs/>
          <w:kern w:val="24"/>
        </w:rPr>
        <w:tab/>
      </w:r>
      <w:r w:rsidR="003411A2">
        <w:rPr>
          <w:bCs/>
          <w:kern w:val="24"/>
        </w:rPr>
        <w:t>I</w:t>
      </w:r>
      <w:r w:rsidR="00FC6A03" w:rsidRPr="003408A6">
        <w:rPr>
          <w:bCs/>
          <w:kern w:val="24"/>
        </w:rPr>
        <w:t xml:space="preserve">ncludes Pruritus, Pruritus generalised and </w:t>
      </w:r>
      <w:r w:rsidR="003411A2">
        <w:rPr>
          <w:bCs/>
          <w:kern w:val="24"/>
        </w:rPr>
        <w:t>R</w:t>
      </w:r>
      <w:r w:rsidR="00FC6A03" w:rsidRPr="003408A6">
        <w:rPr>
          <w:bCs/>
          <w:kern w:val="24"/>
        </w:rPr>
        <w:t xml:space="preserve">ash </w:t>
      </w:r>
      <w:r w:rsidR="00FC6A03" w:rsidRPr="003408A6">
        <w:rPr>
          <w:bCs/>
        </w:rPr>
        <w:t>pruritic.</w:t>
      </w:r>
    </w:p>
    <w:p w:rsidR="00FC6A03" w:rsidRPr="003408A6" w:rsidRDefault="001413E2" w:rsidP="001413E2">
      <w:pPr>
        <w:pStyle w:val="Tablefootnote"/>
      </w:pPr>
      <w:r w:rsidRPr="003408A6">
        <w:t>§</w:t>
      </w:r>
      <w:r w:rsidR="00FC6A03" w:rsidRPr="003408A6">
        <w:tab/>
        <w:t>Includes lymphadenitis and the more general term of ‘lymphadenopathy’.</w:t>
      </w:r>
    </w:p>
    <w:p w:rsidR="001413E2" w:rsidRPr="003408A6" w:rsidRDefault="001413E2" w:rsidP="00DB1F42">
      <w:pPr>
        <w:pStyle w:val="BodyText"/>
      </w:pPr>
    </w:p>
    <w:p w:rsidR="00FC6A03" w:rsidRPr="003408A6" w:rsidRDefault="00FC6A03" w:rsidP="001D498C">
      <w:pPr>
        <w:pStyle w:val="Heading4"/>
      </w:pPr>
      <w:r w:rsidRPr="003408A6">
        <w:t>Adverse events reports following HPV vaccination</w:t>
      </w:r>
      <w:r w:rsidR="003411A2">
        <w:t>,</w:t>
      </w:r>
      <w:r w:rsidRPr="003408A6">
        <w:t xml:space="preserve"> </w:t>
      </w:r>
      <w:r w:rsidR="00FB4385">
        <w:t>1 February</w:t>
      </w:r>
      <w:r w:rsidRPr="003408A6">
        <w:t xml:space="preserve"> 2013 to 30 June 2013</w:t>
      </w:r>
    </w:p>
    <w:p w:rsidR="00FC6A03" w:rsidRPr="003408A6" w:rsidRDefault="00FC6A03" w:rsidP="001413E2">
      <w:pPr>
        <w:pStyle w:val="BodyText"/>
        <w:rPr>
          <w:lang w:val="en-AU"/>
        </w:rPr>
      </w:pPr>
      <w:r w:rsidRPr="003408A6">
        <w:rPr>
          <w:lang w:val="en-AU"/>
        </w:rPr>
        <w:t xml:space="preserve">There were a total of 615 AEFI </w:t>
      </w:r>
      <w:r w:rsidR="00FB4385">
        <w:rPr>
          <w:lang w:val="en-AU"/>
        </w:rPr>
        <w:t>reports received between February</w:t>
      </w:r>
      <w:r w:rsidRPr="003408A6">
        <w:rPr>
          <w:lang w:val="en-AU"/>
        </w:rPr>
        <w:t xml:space="preserve"> and June 2013 where HPV vaccine was listed as a suspected vaccine (</w:t>
      </w:r>
      <w:r w:rsidRPr="003408A6">
        <w:rPr>
          <w:b/>
          <w:lang w:val="en-AU"/>
        </w:rPr>
        <w:t>Table 4.</w:t>
      </w:r>
      <w:r w:rsidR="002F3FA9" w:rsidRPr="003408A6">
        <w:rPr>
          <w:b/>
          <w:lang w:val="en-AU"/>
        </w:rPr>
        <w:t>5</w:t>
      </w:r>
      <w:r w:rsidRPr="003408A6">
        <w:rPr>
          <w:lang w:val="en-AU"/>
        </w:rPr>
        <w:t xml:space="preserve">). Of the 615 cases, 55% (n=341) were in males </w:t>
      </w:r>
      <w:r w:rsidR="003411A2">
        <w:rPr>
          <w:lang w:val="en-AU"/>
        </w:rPr>
        <w:t>and</w:t>
      </w:r>
      <w:r w:rsidR="003411A2" w:rsidRPr="003408A6">
        <w:rPr>
          <w:lang w:val="en-AU"/>
        </w:rPr>
        <w:t xml:space="preserve"> </w:t>
      </w:r>
      <w:r w:rsidRPr="003408A6">
        <w:rPr>
          <w:lang w:val="en-AU"/>
        </w:rPr>
        <w:t xml:space="preserve">44% (n=273) were in females. HPV vaccine was the only suspected vaccine in 287 (47%) reports. Eighteen reports (3%) had causality classified as ‘certain’ or ‘probable’ while the other 597 cases (97%) were classified as ‘possible’. Fourteen cases (2%) were defined as ‘serious’. </w:t>
      </w:r>
    </w:p>
    <w:p w:rsidR="00FC6A03" w:rsidRPr="003408A6" w:rsidRDefault="008C351E" w:rsidP="001D498C">
      <w:pPr>
        <w:pStyle w:val="Heading5"/>
      </w:pPr>
      <w:r>
        <w:t>M</w:t>
      </w:r>
      <w:r w:rsidR="00FC6A03" w:rsidRPr="003408A6">
        <w:t xml:space="preserve">ales </w:t>
      </w:r>
    </w:p>
    <w:p w:rsidR="00FC6A03" w:rsidRPr="003408A6" w:rsidRDefault="00FC6A03" w:rsidP="001413E2">
      <w:pPr>
        <w:pStyle w:val="BodyText"/>
        <w:rPr>
          <w:lang w:val="en-AU"/>
        </w:rPr>
      </w:pPr>
      <w:r w:rsidRPr="003408A6">
        <w:rPr>
          <w:lang w:val="en-AU"/>
        </w:rPr>
        <w:t>Since the implementation of the National HPV Vaccination Program in males in February 2013, the TGA received 341 reports for males until 30 June 2013. Sixty-seven per cent (n=229) were aged 12–13 years, 28% (n=97) were aged 14–17 years 1% (n=2) were aged 18–26 years; only 3% (n=11) were aged &lt;12 year</w:t>
      </w:r>
      <w:r w:rsidR="00C65094">
        <w:rPr>
          <w:lang w:val="en-AU"/>
        </w:rPr>
        <w:t>s</w:t>
      </w:r>
      <w:r w:rsidRPr="003408A6">
        <w:rPr>
          <w:lang w:val="en-AU"/>
        </w:rPr>
        <w:t xml:space="preserve">. HPV vaccine was the only suspected vaccine in 181 (53%) AEFI records. Five per cent of all records had causality ratings of either ‘certain’ or ‘probable’, while 95% were coded as ‘possible’. Three per cent (n=10) had outcomes defined as ‘serious’ (i.e. recovery with sequelae, hospitalisation, life-threatening event or death). There were no reports of life-threatening events; all the serious cases were admitted to hospital. All the serious cases had multiple AEFIs including syncope (5), headache (3), lip swelling and injection site reaction (2 each), and one each of </w:t>
      </w:r>
      <w:r w:rsidR="00DB1F42" w:rsidRPr="00DB1F42">
        <w:rPr>
          <w:lang w:val="en-AU"/>
        </w:rPr>
        <w:t xml:space="preserve">upper </w:t>
      </w:r>
      <w:r w:rsidRPr="003408A6">
        <w:rPr>
          <w:lang w:val="en-AU"/>
        </w:rPr>
        <w:t>abdominal pain, anxiety, arthralgia, disorientation, dyspnoea, dysgeusia, epistaxis, gait disturbance, hypersensitivity, malaise, memory impairment, nausea, pyrexia, throat irritation, visual impairment and vomiting.</w:t>
      </w:r>
    </w:p>
    <w:p w:rsidR="00FC6A03" w:rsidRPr="003408A6" w:rsidRDefault="00FC6A03" w:rsidP="001413E2">
      <w:pPr>
        <w:pStyle w:val="BodyText"/>
        <w:rPr>
          <w:lang w:val="en-AU"/>
        </w:rPr>
      </w:pPr>
      <w:r w:rsidRPr="003408A6">
        <w:rPr>
          <w:lang w:val="en-AU"/>
        </w:rPr>
        <w:t>Ninety-seven per cent (n=330) of reports were from states and territories to the TGA; 3% were reported directly to the TGA by healthcare providers, hospitals and members of the public. Thirty-three per cent of reports (n=112) came from New South Wales, 23% (n=77) from Victoria, 22% (n=75) from Queensland, 13% (n=45) from the Australian Capital Territory, 5% (n=16) from Western Australia, 2% each from South Australia (n=7) and Tasmania (n=6), and 1% (n=3) from the Northern Territory.</w:t>
      </w:r>
    </w:p>
    <w:p w:rsidR="00FC6A03" w:rsidRPr="003408A6" w:rsidRDefault="00FC6A03" w:rsidP="001413E2">
      <w:pPr>
        <w:pStyle w:val="BodyText"/>
        <w:rPr>
          <w:lang w:val="en-AU"/>
        </w:rPr>
      </w:pPr>
      <w:r w:rsidRPr="003408A6">
        <w:rPr>
          <w:lang w:val="en-AU"/>
        </w:rPr>
        <w:t xml:space="preserve">The most frequently reported reactions associated with HPV administration in males are shown in </w:t>
      </w:r>
      <w:r w:rsidRPr="003408A6">
        <w:rPr>
          <w:b/>
          <w:lang w:val="en-AU"/>
        </w:rPr>
        <w:t>Table 4.</w:t>
      </w:r>
      <w:r w:rsidR="002F3FA9" w:rsidRPr="003408A6">
        <w:rPr>
          <w:b/>
          <w:lang w:val="en-AU"/>
        </w:rPr>
        <w:t>5</w:t>
      </w:r>
      <w:r w:rsidRPr="003408A6">
        <w:rPr>
          <w:lang w:val="en-AU"/>
        </w:rPr>
        <w:t>. They included syncope (51%; n=173), presyncope, dizziness and nausea (8% each), headache (7%), pyrexia (6%) and vomiting (5%).</w:t>
      </w:r>
    </w:p>
    <w:p w:rsidR="00FC6A03" w:rsidRPr="003408A6" w:rsidRDefault="008C351E" w:rsidP="001D498C">
      <w:pPr>
        <w:pStyle w:val="Heading5"/>
      </w:pPr>
      <w:r>
        <w:t>F</w:t>
      </w:r>
      <w:r w:rsidR="00FC6A03" w:rsidRPr="003408A6">
        <w:t xml:space="preserve">emales </w:t>
      </w:r>
    </w:p>
    <w:p w:rsidR="00FC6A03" w:rsidRPr="003408A6" w:rsidRDefault="00FC6A03" w:rsidP="001413E2">
      <w:pPr>
        <w:pStyle w:val="BodyText"/>
        <w:rPr>
          <w:lang w:val="en-AU"/>
        </w:rPr>
      </w:pPr>
      <w:r w:rsidRPr="003408A6">
        <w:rPr>
          <w:lang w:val="en-AU"/>
        </w:rPr>
        <w:t xml:space="preserve">There were 273 reports </w:t>
      </w:r>
      <w:r w:rsidR="003411A2">
        <w:rPr>
          <w:lang w:val="en-AU"/>
        </w:rPr>
        <w:t xml:space="preserve">of adverse events following HPV vaccine </w:t>
      </w:r>
      <w:r w:rsidRPr="003408A6">
        <w:rPr>
          <w:lang w:val="en-AU"/>
        </w:rPr>
        <w:t>for females during the period 1 February 2013 to 30 June 2013 in the ADRS database. Ninety per cent (n=247) were aged 12–13 years, 2% (n=5) were aged 14–17 years, 0.4% (n=1) were aged 18–26 years</w:t>
      </w:r>
      <w:r w:rsidR="003411A2">
        <w:rPr>
          <w:lang w:val="en-AU"/>
        </w:rPr>
        <w:t xml:space="preserve"> and</w:t>
      </w:r>
      <w:r w:rsidR="00C65094">
        <w:rPr>
          <w:lang w:val="en-AU"/>
        </w:rPr>
        <w:t xml:space="preserve"> 7% (n=19) were aged &lt;12 years</w:t>
      </w:r>
      <w:r w:rsidRPr="003408A6">
        <w:rPr>
          <w:lang w:val="en-AU"/>
        </w:rPr>
        <w:t xml:space="preserve">. HPV vaccine was the only suspected vaccine in 105 (38%) AEFI records. One per cent of all records had causality ratings of either ‘certain’ or ‘probable’, while 99% were coded as ‘possible’. </w:t>
      </w:r>
    </w:p>
    <w:p w:rsidR="00FC6A03" w:rsidRPr="003408A6" w:rsidRDefault="00FC6A03" w:rsidP="001413E2">
      <w:pPr>
        <w:pStyle w:val="BodyText"/>
        <w:rPr>
          <w:lang w:val="en-AU"/>
        </w:rPr>
      </w:pPr>
      <w:r w:rsidRPr="003408A6">
        <w:rPr>
          <w:lang w:val="en-AU"/>
        </w:rPr>
        <w:t>One per cent (n=4) had outcomes defined as ‘serious’ (i.e. recovery with sequelae, hospitalisation, life-threatening event or death). There were 2 reports of life-threatening events and 2 cases were admitted to hospital. All the serious cases had multiple AEFIs including syncope (1), headache and blurred vision (2 each), and one each of</w:t>
      </w:r>
      <w:r w:rsidR="00FB4385">
        <w:rPr>
          <w:lang w:val="en-AU"/>
        </w:rPr>
        <w:t xml:space="preserve"> upper</w:t>
      </w:r>
      <w:r w:rsidRPr="003408A6">
        <w:rPr>
          <w:lang w:val="en-AU"/>
        </w:rPr>
        <w:t xml:space="preserve"> abdominal pain, dyspnoea, dizziness, eye pain, muscular weakness and oligomenorrhoea. The causality rating for all the serious cases was ‘possible’.</w:t>
      </w:r>
    </w:p>
    <w:p w:rsidR="00FC6A03" w:rsidRPr="003408A6" w:rsidRDefault="00FC6A03" w:rsidP="001413E2">
      <w:pPr>
        <w:pStyle w:val="BodyText"/>
        <w:rPr>
          <w:lang w:val="en-AU"/>
        </w:rPr>
      </w:pPr>
      <w:r w:rsidRPr="003408A6">
        <w:rPr>
          <w:lang w:val="en-AU"/>
        </w:rPr>
        <w:t>Ninety-seven per cent (n=266) of reports were reported by various states and territories to the TGA; 3% were reported directly to the TGA by healthcare providers, hospitals and members of the public. Thirty-eight per cent of reports (n=104) came from New South Wales, 21% (n=56) from Queensland, 20% (n=55) from Victoria, 14% (n=38) from the Australian Capital Territory, 6% (n=16) from South Australia, 1% (n=3) from the Northern Territory and 0.4 % (n=1) from Tasmania.</w:t>
      </w:r>
    </w:p>
    <w:p w:rsidR="00FC6A03" w:rsidRPr="003408A6" w:rsidRDefault="00FC6A03" w:rsidP="001413E2">
      <w:pPr>
        <w:pStyle w:val="BodyText"/>
        <w:rPr>
          <w:lang w:val="en-AU"/>
        </w:rPr>
      </w:pPr>
      <w:r w:rsidRPr="003408A6">
        <w:rPr>
          <w:lang w:val="en-AU"/>
        </w:rPr>
        <w:t xml:space="preserve">The most frequently reported reactions associated with HPV administration in females are shown in </w:t>
      </w:r>
      <w:r w:rsidR="002F3FA9" w:rsidRPr="003408A6">
        <w:rPr>
          <w:b/>
          <w:lang w:val="en-AU"/>
        </w:rPr>
        <w:t>Table 4.5</w:t>
      </w:r>
      <w:r w:rsidRPr="003408A6">
        <w:rPr>
          <w:lang w:val="en-AU"/>
        </w:rPr>
        <w:t>. They included syncope (45%; n=123), presyncope (14%), dizziness (9%) and nausea (8%).</w:t>
      </w:r>
    </w:p>
    <w:p w:rsidR="00FC6A03" w:rsidRPr="003408A6" w:rsidRDefault="00FC6A03" w:rsidP="001413E2">
      <w:pPr>
        <w:pStyle w:val="BodyText"/>
        <w:rPr>
          <w:lang w:val="en-AU"/>
        </w:rPr>
      </w:pPr>
    </w:p>
    <w:p w:rsidR="00FC6A03" w:rsidRPr="003408A6" w:rsidRDefault="00FC6A03" w:rsidP="00FC6A03">
      <w:pPr>
        <w:pStyle w:val="BodyText"/>
        <w:rPr>
          <w:lang w:val="en-AU"/>
        </w:rPr>
        <w:sectPr w:rsidR="00FC6A03" w:rsidRPr="003408A6" w:rsidSect="00D07C02">
          <w:pgSz w:w="11906" w:h="16838" w:code="9"/>
          <w:pgMar w:top="1440" w:right="1440" w:bottom="1440" w:left="1440" w:header="709" w:footer="709" w:gutter="0"/>
          <w:cols w:space="708"/>
          <w:docGrid w:linePitch="360"/>
        </w:sectPr>
      </w:pPr>
    </w:p>
    <w:p w:rsidR="00FC6A03" w:rsidRPr="003408A6" w:rsidRDefault="00FC6A03" w:rsidP="00FC6A03">
      <w:pPr>
        <w:pStyle w:val="Tableheading"/>
        <w:rPr>
          <w:lang w:val="en-AU"/>
        </w:rPr>
      </w:pPr>
      <w:bookmarkStart w:id="174" w:name="_Toc396475551"/>
      <w:bookmarkStart w:id="175" w:name="_Toc397000779"/>
      <w:r w:rsidRPr="003408A6">
        <w:rPr>
          <w:lang w:val="en-AU"/>
        </w:rPr>
        <w:t>Table 4.</w:t>
      </w:r>
      <w:r w:rsidR="002F3FA9" w:rsidRPr="003408A6">
        <w:rPr>
          <w:lang w:val="en-AU"/>
        </w:rPr>
        <w:t>5</w:t>
      </w:r>
      <w:r w:rsidRPr="003408A6">
        <w:rPr>
          <w:lang w:val="en-AU"/>
        </w:rPr>
        <w:t>.</w:t>
      </w:r>
      <w:r w:rsidR="00D861BD" w:rsidRPr="003408A6">
        <w:rPr>
          <w:lang w:val="en-AU"/>
        </w:rPr>
        <w:tab/>
      </w:r>
      <w:r w:rsidRPr="003408A6">
        <w:rPr>
          <w:lang w:val="en-AU"/>
        </w:rPr>
        <w:t>Most frequently reported adverse events following HPV vaccination in males and females, TGA Adverse Drug Reaction System database, 1 February 2013 to 30 June 2013*</w:t>
      </w:r>
      <w:bookmarkEnd w:id="174"/>
      <w:bookmarkEnd w:id="175"/>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43"/>
        <w:gridCol w:w="1701"/>
        <w:gridCol w:w="1134"/>
        <w:gridCol w:w="945"/>
        <w:gridCol w:w="945"/>
        <w:gridCol w:w="945"/>
        <w:gridCol w:w="1701"/>
        <w:gridCol w:w="1134"/>
        <w:gridCol w:w="898"/>
        <w:gridCol w:w="898"/>
        <w:gridCol w:w="898"/>
      </w:tblGrid>
      <w:tr w:rsidR="00FC6A03" w:rsidRPr="003408A6" w:rsidTr="009D694C">
        <w:trPr>
          <w:trHeight w:val="247"/>
        </w:trPr>
        <w:tc>
          <w:tcPr>
            <w:tcW w:w="2943" w:type="dxa"/>
            <w:vMerge w:val="restart"/>
            <w:shd w:val="clear" w:color="auto" w:fill="FFFFFF"/>
            <w:vAlign w:val="center"/>
          </w:tcPr>
          <w:p w:rsidR="00FC6A03" w:rsidRPr="003408A6" w:rsidRDefault="00FC6A03" w:rsidP="00BB26F0">
            <w:pPr>
              <w:pStyle w:val="Tablecolumnheadings"/>
              <w:jc w:val="left"/>
              <w:rPr>
                <w:lang w:val="en-AU"/>
              </w:rPr>
            </w:pPr>
            <w:r w:rsidRPr="003408A6">
              <w:rPr>
                <w:lang w:val="en-AU"/>
              </w:rPr>
              <w:t>MedDRA Preferred Terms*</w:t>
            </w:r>
          </w:p>
        </w:tc>
        <w:tc>
          <w:tcPr>
            <w:tcW w:w="5670" w:type="dxa"/>
            <w:gridSpan w:val="5"/>
            <w:shd w:val="clear" w:color="auto" w:fill="FFFFFF"/>
            <w:vAlign w:val="center"/>
          </w:tcPr>
          <w:p w:rsidR="00FC6A03" w:rsidRPr="003408A6" w:rsidRDefault="00FC6A03" w:rsidP="00BB26F0">
            <w:pPr>
              <w:pStyle w:val="Tablecolumnheadings"/>
              <w:rPr>
                <w:lang w:val="en-AU"/>
              </w:rPr>
            </w:pPr>
            <w:r w:rsidRPr="003408A6">
              <w:rPr>
                <w:lang w:val="en-AU"/>
              </w:rPr>
              <w:t>Males</w:t>
            </w:r>
            <w:r w:rsidR="00C65094">
              <w:rPr>
                <w:lang w:val="en-AU"/>
              </w:rPr>
              <w:t xml:space="preserve"> </w:t>
            </w:r>
          </w:p>
        </w:tc>
        <w:tc>
          <w:tcPr>
            <w:tcW w:w="5529" w:type="dxa"/>
            <w:gridSpan w:val="5"/>
            <w:shd w:val="clear" w:color="auto" w:fill="FFFFFF"/>
            <w:vAlign w:val="center"/>
          </w:tcPr>
          <w:p w:rsidR="00FC6A03" w:rsidRPr="003408A6" w:rsidRDefault="00FC6A03" w:rsidP="00BB26F0">
            <w:pPr>
              <w:pStyle w:val="Tablecolumnheadings"/>
              <w:rPr>
                <w:lang w:val="en-AU"/>
              </w:rPr>
            </w:pPr>
            <w:r w:rsidRPr="003408A6">
              <w:rPr>
                <w:lang w:val="en-AU"/>
              </w:rPr>
              <w:t>Females</w:t>
            </w:r>
            <w:r w:rsidR="00C65094">
              <w:rPr>
                <w:lang w:val="en-AU"/>
              </w:rPr>
              <w:t xml:space="preserve"> </w:t>
            </w:r>
          </w:p>
        </w:tc>
      </w:tr>
      <w:tr w:rsidR="009D694C" w:rsidRPr="003408A6" w:rsidTr="009D694C">
        <w:trPr>
          <w:trHeight w:val="1100"/>
        </w:trPr>
        <w:tc>
          <w:tcPr>
            <w:tcW w:w="2943" w:type="dxa"/>
            <w:vMerge/>
            <w:shd w:val="clear" w:color="auto" w:fill="FFFFFF"/>
            <w:vAlign w:val="center"/>
            <w:hideMark/>
          </w:tcPr>
          <w:p w:rsidR="009D694C" w:rsidRPr="003408A6" w:rsidRDefault="009D694C" w:rsidP="00BB26F0">
            <w:pPr>
              <w:pStyle w:val="Tablecolumnheadings"/>
              <w:rPr>
                <w:color w:val="FFFFFF"/>
                <w:lang w:val="en-AU"/>
              </w:rPr>
            </w:pPr>
          </w:p>
        </w:tc>
        <w:tc>
          <w:tcPr>
            <w:tcW w:w="1701" w:type="dxa"/>
            <w:shd w:val="clear" w:color="auto" w:fill="FFFFFF"/>
            <w:vAlign w:val="center"/>
            <w:hideMark/>
          </w:tcPr>
          <w:p w:rsidR="009D694C" w:rsidRPr="003408A6" w:rsidRDefault="009D694C" w:rsidP="00BB26F0">
            <w:pPr>
              <w:pStyle w:val="Tablecolumnheadings"/>
              <w:rPr>
                <w:color w:val="FFFFFF"/>
                <w:lang w:val="en-AU"/>
              </w:rPr>
            </w:pPr>
            <w:r w:rsidRPr="003408A6">
              <w:rPr>
                <w:lang w:val="en-AU"/>
              </w:rPr>
              <w:t>AEFI records</w:t>
            </w:r>
          </w:p>
          <w:p w:rsidR="009D694C" w:rsidRPr="003408A6" w:rsidRDefault="009D694C" w:rsidP="00BB26F0">
            <w:pPr>
              <w:pStyle w:val="Tablecolumnheadings"/>
              <w:rPr>
                <w:color w:val="FFFFFF"/>
                <w:lang w:val="en-AU"/>
              </w:rPr>
            </w:pPr>
            <w:r w:rsidRPr="003408A6">
              <w:rPr>
                <w:lang w:val="en-AU"/>
              </w:rPr>
              <w:t>n</w:t>
            </w:r>
          </w:p>
          <w:p w:rsidR="009D694C" w:rsidRPr="003408A6" w:rsidRDefault="009D694C" w:rsidP="00BB26F0">
            <w:pPr>
              <w:pStyle w:val="Tablecolumnheadings"/>
              <w:rPr>
                <w:color w:val="FFFFFF"/>
                <w:lang w:val="en-AU"/>
              </w:rPr>
            </w:pPr>
            <w:r w:rsidRPr="003408A6">
              <w:rPr>
                <w:lang w:val="en-AU"/>
              </w:rPr>
              <w:t>Total (Serious)</w:t>
            </w:r>
          </w:p>
        </w:tc>
        <w:tc>
          <w:tcPr>
            <w:tcW w:w="1134" w:type="dxa"/>
            <w:shd w:val="clear" w:color="auto" w:fill="FFFFFF"/>
            <w:vAlign w:val="center"/>
            <w:hideMark/>
          </w:tcPr>
          <w:p w:rsidR="009D694C" w:rsidRPr="003408A6" w:rsidRDefault="009D694C" w:rsidP="00BB26F0">
            <w:pPr>
              <w:pStyle w:val="Tablecolumnheadings"/>
              <w:rPr>
                <w:color w:val="FFFFFF"/>
                <w:lang w:val="en-AU"/>
              </w:rPr>
            </w:pPr>
            <w:r w:rsidRPr="003408A6">
              <w:rPr>
                <w:lang w:val="en-AU"/>
              </w:rPr>
              <w:t>Only HPV vaccine received</w:t>
            </w:r>
          </w:p>
          <w:p w:rsidR="009D694C" w:rsidRPr="003408A6" w:rsidRDefault="009D694C" w:rsidP="00BB26F0">
            <w:pPr>
              <w:pStyle w:val="Tablecolumnheadings"/>
              <w:rPr>
                <w:color w:val="FFFFFF"/>
                <w:lang w:val="en-AU"/>
              </w:rPr>
            </w:pPr>
            <w:r w:rsidRPr="003408A6">
              <w:rPr>
                <w:lang w:val="en-AU"/>
              </w:rPr>
              <w:t>n</w:t>
            </w:r>
          </w:p>
        </w:tc>
        <w:tc>
          <w:tcPr>
            <w:tcW w:w="945" w:type="dxa"/>
            <w:shd w:val="clear" w:color="auto" w:fill="FFFFFF"/>
            <w:vAlign w:val="center"/>
          </w:tcPr>
          <w:p w:rsidR="009D694C" w:rsidRPr="003408A6" w:rsidRDefault="009D694C" w:rsidP="00BB26F0">
            <w:pPr>
              <w:pStyle w:val="Tablecolumnheadings"/>
              <w:rPr>
                <w:lang w:val="en-AU"/>
              </w:rPr>
            </w:pPr>
            <w:r w:rsidRPr="003408A6">
              <w:rPr>
                <w:lang w:val="en-AU"/>
              </w:rPr>
              <w:t>≤13 years</w:t>
            </w:r>
          </w:p>
        </w:tc>
        <w:tc>
          <w:tcPr>
            <w:tcW w:w="945" w:type="dxa"/>
            <w:shd w:val="clear" w:color="auto" w:fill="FFFFFF"/>
            <w:vAlign w:val="center"/>
          </w:tcPr>
          <w:p w:rsidR="009D694C" w:rsidRPr="003408A6" w:rsidRDefault="009D694C" w:rsidP="00BB26F0">
            <w:pPr>
              <w:pStyle w:val="Tablecolumnheadings"/>
              <w:rPr>
                <w:lang w:val="en-AU"/>
              </w:rPr>
            </w:pPr>
            <w:r w:rsidRPr="003408A6">
              <w:rPr>
                <w:lang w:val="en-AU"/>
              </w:rPr>
              <w:t>14–17 years</w:t>
            </w:r>
          </w:p>
        </w:tc>
        <w:tc>
          <w:tcPr>
            <w:tcW w:w="945" w:type="dxa"/>
            <w:shd w:val="clear" w:color="auto" w:fill="FFFFFF"/>
            <w:vAlign w:val="center"/>
          </w:tcPr>
          <w:p w:rsidR="009D694C" w:rsidRPr="003408A6" w:rsidRDefault="009D694C" w:rsidP="00BB26F0">
            <w:pPr>
              <w:pStyle w:val="Tablecolumnheadings"/>
              <w:rPr>
                <w:lang w:val="en-AU"/>
              </w:rPr>
            </w:pPr>
            <w:r w:rsidRPr="003408A6">
              <w:rPr>
                <w:lang w:val="en-AU"/>
              </w:rPr>
              <w:t>≥18 years</w:t>
            </w:r>
          </w:p>
        </w:tc>
        <w:tc>
          <w:tcPr>
            <w:tcW w:w="1701" w:type="dxa"/>
            <w:shd w:val="clear" w:color="auto" w:fill="FFFFFF"/>
            <w:vAlign w:val="center"/>
          </w:tcPr>
          <w:p w:rsidR="009D694C" w:rsidRPr="003408A6" w:rsidRDefault="009D694C" w:rsidP="00BB26F0">
            <w:pPr>
              <w:pStyle w:val="Tablecolumnheadings"/>
              <w:rPr>
                <w:color w:val="FFFFFF"/>
                <w:lang w:val="en-AU"/>
              </w:rPr>
            </w:pPr>
            <w:r w:rsidRPr="003408A6">
              <w:rPr>
                <w:lang w:val="en-AU"/>
              </w:rPr>
              <w:t>AEFI records</w:t>
            </w:r>
          </w:p>
          <w:p w:rsidR="009D694C" w:rsidRPr="003408A6" w:rsidRDefault="009D694C" w:rsidP="00BB26F0">
            <w:pPr>
              <w:pStyle w:val="Tablecolumnheadings"/>
              <w:rPr>
                <w:lang w:val="en-AU"/>
              </w:rPr>
            </w:pPr>
            <w:r w:rsidRPr="003408A6">
              <w:rPr>
                <w:lang w:val="en-AU"/>
              </w:rPr>
              <w:t>n</w:t>
            </w:r>
          </w:p>
          <w:p w:rsidR="009D694C" w:rsidRPr="003408A6" w:rsidRDefault="009D694C" w:rsidP="00BB26F0">
            <w:pPr>
              <w:pStyle w:val="Tablecolumnheadings"/>
              <w:rPr>
                <w:lang w:val="en-AU"/>
              </w:rPr>
            </w:pPr>
            <w:r w:rsidRPr="003408A6">
              <w:rPr>
                <w:lang w:val="en-AU"/>
              </w:rPr>
              <w:t>Total (Serious)</w:t>
            </w:r>
          </w:p>
        </w:tc>
        <w:tc>
          <w:tcPr>
            <w:tcW w:w="1134" w:type="dxa"/>
            <w:shd w:val="clear" w:color="auto" w:fill="FFFFFF"/>
            <w:vAlign w:val="center"/>
          </w:tcPr>
          <w:p w:rsidR="009D694C" w:rsidRPr="003408A6" w:rsidRDefault="009D694C" w:rsidP="00BB26F0">
            <w:pPr>
              <w:pStyle w:val="Tablecolumnheadings"/>
              <w:rPr>
                <w:color w:val="FFFFFF"/>
                <w:lang w:val="en-AU"/>
              </w:rPr>
            </w:pPr>
            <w:r w:rsidRPr="003408A6">
              <w:rPr>
                <w:lang w:val="en-AU"/>
              </w:rPr>
              <w:t>Only HPV vaccine received</w:t>
            </w:r>
          </w:p>
          <w:p w:rsidR="009D694C" w:rsidRPr="003408A6" w:rsidRDefault="009D694C" w:rsidP="00BB26F0">
            <w:pPr>
              <w:pStyle w:val="Tablecolumnheadings"/>
              <w:rPr>
                <w:lang w:val="en-AU"/>
              </w:rPr>
            </w:pPr>
            <w:r w:rsidRPr="003408A6">
              <w:rPr>
                <w:lang w:val="en-AU"/>
              </w:rPr>
              <w:t>n</w:t>
            </w:r>
          </w:p>
        </w:tc>
        <w:tc>
          <w:tcPr>
            <w:tcW w:w="898" w:type="dxa"/>
            <w:shd w:val="clear" w:color="auto" w:fill="FFFFFF"/>
            <w:vAlign w:val="center"/>
          </w:tcPr>
          <w:p w:rsidR="009D694C" w:rsidRPr="003408A6" w:rsidRDefault="009D694C" w:rsidP="00BB26F0">
            <w:pPr>
              <w:pStyle w:val="Tablecolumnheadings"/>
              <w:rPr>
                <w:lang w:val="en-AU"/>
              </w:rPr>
            </w:pPr>
            <w:r w:rsidRPr="003408A6">
              <w:rPr>
                <w:lang w:val="en-AU"/>
              </w:rPr>
              <w:t>≤13 years</w:t>
            </w:r>
          </w:p>
        </w:tc>
        <w:tc>
          <w:tcPr>
            <w:tcW w:w="898" w:type="dxa"/>
            <w:shd w:val="clear" w:color="auto" w:fill="FFFFFF"/>
            <w:vAlign w:val="center"/>
          </w:tcPr>
          <w:p w:rsidR="009D694C" w:rsidRPr="003408A6" w:rsidRDefault="009D694C" w:rsidP="00BB26F0">
            <w:pPr>
              <w:pStyle w:val="Tablecolumnheadings"/>
              <w:rPr>
                <w:lang w:val="en-AU"/>
              </w:rPr>
            </w:pPr>
            <w:r w:rsidRPr="003408A6">
              <w:rPr>
                <w:lang w:val="en-AU"/>
              </w:rPr>
              <w:t>14–17 years</w:t>
            </w:r>
          </w:p>
        </w:tc>
        <w:tc>
          <w:tcPr>
            <w:tcW w:w="898" w:type="dxa"/>
            <w:shd w:val="clear" w:color="auto" w:fill="FFFFFF"/>
            <w:vAlign w:val="center"/>
          </w:tcPr>
          <w:p w:rsidR="009D694C" w:rsidRPr="003408A6" w:rsidRDefault="009D694C" w:rsidP="00BB26F0">
            <w:pPr>
              <w:pStyle w:val="Tablecolumnheadings"/>
              <w:rPr>
                <w:lang w:val="en-AU"/>
              </w:rPr>
            </w:pPr>
            <w:r w:rsidRPr="003408A6">
              <w:rPr>
                <w:lang w:val="en-AU"/>
              </w:rPr>
              <w:t>≥18 years</w:t>
            </w:r>
          </w:p>
        </w:tc>
      </w:tr>
      <w:tr w:rsidR="009D694C" w:rsidRPr="003408A6" w:rsidTr="009D694C">
        <w:trPr>
          <w:trHeight w:val="345"/>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Syncope</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173 (6)</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77</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40</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123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33</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93"/>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Presyncope</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28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17</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16</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39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17</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38</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55"/>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Nausea</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28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19</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20</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23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23</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3"/>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Dizziness</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26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24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7"/>
        </w:trPr>
        <w:tc>
          <w:tcPr>
            <w:tcW w:w="2943" w:type="dxa"/>
            <w:shd w:val="clear" w:color="auto" w:fill="FFFFFF"/>
            <w:vAlign w:val="center"/>
          </w:tcPr>
          <w:p w:rsidR="00FC6A03" w:rsidRPr="003408A6" w:rsidRDefault="00FC6A03" w:rsidP="001413E2">
            <w:pPr>
              <w:pStyle w:val="Tabletext0beforeafter"/>
              <w:rPr>
                <w:b/>
                <w:lang w:val="en-AU"/>
              </w:rPr>
            </w:pPr>
            <w:r w:rsidRPr="003408A6">
              <w:rPr>
                <w:b/>
                <w:lang w:val="en-AU"/>
              </w:rPr>
              <w:t>Headache</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23 (5)</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15 (2)</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15</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81"/>
        </w:trPr>
        <w:tc>
          <w:tcPr>
            <w:tcW w:w="2943" w:type="dxa"/>
            <w:shd w:val="clear" w:color="auto" w:fill="FFFFFF"/>
            <w:vAlign w:val="center"/>
          </w:tcPr>
          <w:p w:rsidR="00FC6A03" w:rsidRPr="003408A6" w:rsidRDefault="00FC6A03" w:rsidP="001413E2">
            <w:pPr>
              <w:pStyle w:val="Tabletext0beforeafter"/>
              <w:rPr>
                <w:b/>
                <w:lang w:val="en-AU"/>
              </w:rPr>
            </w:pPr>
            <w:r w:rsidRPr="003408A6">
              <w:rPr>
                <w:b/>
                <w:lang w:val="en-AU"/>
              </w:rPr>
              <w:t>Vomiting</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16 (1)</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8</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17(0)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16</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1"/>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Pyrexia</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20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9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9</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5"/>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Urticaria</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15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9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9</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9"/>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Malaise</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15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10</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55"/>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Injection site reaction</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11 (2)</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64</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7</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3"/>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Rash</w:t>
            </w:r>
            <w:r w:rsidR="001413E2" w:rsidRPr="00FB4385">
              <w:rPr>
                <w:b/>
                <w:vertAlign w:val="superscript"/>
                <w:lang w:val="en-AU"/>
              </w:rPr>
              <w:t>†</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16 (0)</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8</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7"/>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Pallor</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81"/>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Pruritus</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5"/>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Diarrhoea</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5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79"/>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Lethargy</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5 (0)</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55"/>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Paraesthesia</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6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87"/>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Anxiety</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(1)</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121"/>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Hypersensitivity</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6 (1)</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24"/>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Injection site pain</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6 (0)</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6</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83"/>
        </w:trPr>
        <w:tc>
          <w:tcPr>
            <w:tcW w:w="2943" w:type="dxa"/>
            <w:shd w:val="clear" w:color="auto" w:fill="FFFFFF"/>
            <w:vAlign w:val="center"/>
            <w:hideMark/>
          </w:tcPr>
          <w:p w:rsidR="00FC6A03" w:rsidRPr="003408A6" w:rsidRDefault="00FC6A03" w:rsidP="001413E2">
            <w:pPr>
              <w:pStyle w:val="Tabletext0beforeafter"/>
              <w:rPr>
                <w:b/>
                <w:kern w:val="24"/>
                <w:lang w:val="en-AU"/>
              </w:rPr>
            </w:pPr>
            <w:r w:rsidRPr="003408A6">
              <w:rPr>
                <w:b/>
                <w:lang w:val="en-AU"/>
              </w:rPr>
              <w:t>Rash pruritic</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4 (0)</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60"/>
        </w:trPr>
        <w:tc>
          <w:tcPr>
            <w:tcW w:w="2943" w:type="dxa"/>
            <w:shd w:val="clear" w:color="auto" w:fill="FFFFFF"/>
            <w:vAlign w:val="center"/>
          </w:tcPr>
          <w:p w:rsidR="00FC6A03" w:rsidRPr="003408A6" w:rsidRDefault="00FC6A03" w:rsidP="001413E2">
            <w:pPr>
              <w:pStyle w:val="Tabletext0beforeafter"/>
              <w:rPr>
                <w:b/>
                <w:kern w:val="24"/>
                <w:lang w:val="en-AU"/>
              </w:rPr>
            </w:pPr>
            <w:r w:rsidRPr="003408A6">
              <w:rPr>
                <w:b/>
                <w:lang w:val="en-AU"/>
              </w:rPr>
              <w:t>Cold sweat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 (0)</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3</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r w:rsidR="009D694C" w:rsidRPr="003408A6" w:rsidTr="009D694C">
        <w:trPr>
          <w:trHeight w:val="263"/>
        </w:trPr>
        <w:tc>
          <w:tcPr>
            <w:tcW w:w="2943" w:type="dxa"/>
            <w:shd w:val="clear" w:color="auto" w:fill="FFFFFF"/>
            <w:vAlign w:val="center"/>
            <w:hideMark/>
          </w:tcPr>
          <w:p w:rsidR="00FC6A03" w:rsidRPr="003408A6" w:rsidRDefault="00FC6A03" w:rsidP="001413E2">
            <w:pPr>
              <w:pStyle w:val="Tabletext0beforeafter"/>
              <w:rPr>
                <w:b/>
                <w:lang w:val="en-AU"/>
              </w:rPr>
            </w:pPr>
            <w:r w:rsidRPr="003408A6">
              <w:rPr>
                <w:b/>
                <w:lang w:val="en-AU"/>
              </w:rPr>
              <w:t>Vision blurred</w:t>
            </w:r>
          </w:p>
        </w:tc>
        <w:tc>
          <w:tcPr>
            <w:tcW w:w="1701" w:type="dxa"/>
            <w:shd w:val="clear" w:color="auto" w:fill="FFFFFF"/>
            <w:vAlign w:val="center"/>
          </w:tcPr>
          <w:p w:rsidR="00FC6A03" w:rsidRPr="003408A6" w:rsidRDefault="00FC6A03" w:rsidP="001413E2">
            <w:pPr>
              <w:pStyle w:val="Tabletext0beforeafter-centred"/>
              <w:rPr>
                <w:lang w:val="en-AU"/>
              </w:rPr>
            </w:pPr>
            <w:r w:rsidRPr="003408A6">
              <w:rPr>
                <w:lang w:val="en-AU"/>
              </w:rPr>
              <w:t>3 (2)</w:t>
            </w:r>
          </w:p>
        </w:tc>
        <w:tc>
          <w:tcPr>
            <w:tcW w:w="1134" w:type="dxa"/>
            <w:shd w:val="clear" w:color="auto" w:fill="FFFFFF"/>
            <w:vAlign w:val="center"/>
          </w:tcPr>
          <w:p w:rsidR="00FC6A03" w:rsidRPr="003408A6" w:rsidRDefault="00FC6A03" w:rsidP="001413E2">
            <w:pPr>
              <w:pStyle w:val="Tabletext0beforeafter-centred"/>
              <w:rPr>
                <w:lang w:val="en-AU"/>
              </w:rPr>
            </w:pPr>
            <w:r w:rsidRPr="003408A6">
              <w:rPr>
                <w:lang w:val="en-AU"/>
              </w:rPr>
              <w:t>3</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1</w:t>
            </w:r>
          </w:p>
        </w:tc>
        <w:tc>
          <w:tcPr>
            <w:tcW w:w="945"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945" w:type="dxa"/>
            <w:shd w:val="clear" w:color="auto" w:fill="FFFFFF"/>
            <w:vAlign w:val="center"/>
          </w:tcPr>
          <w:p w:rsidR="00FC6A03" w:rsidRPr="003408A6" w:rsidRDefault="000238B1" w:rsidP="001413E2">
            <w:pPr>
              <w:pStyle w:val="Tabletext0beforeafter-centred"/>
              <w:rPr>
                <w:kern w:val="24"/>
                <w:lang w:val="en-AU"/>
              </w:rPr>
            </w:pPr>
            <w:r>
              <w:rPr>
                <w:kern w:val="24"/>
                <w:lang w:val="en-AU"/>
              </w:rPr>
              <w:t>–</w:t>
            </w:r>
          </w:p>
        </w:tc>
        <w:tc>
          <w:tcPr>
            <w:tcW w:w="1701"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 (2)</w:t>
            </w:r>
          </w:p>
        </w:tc>
        <w:tc>
          <w:tcPr>
            <w:tcW w:w="1134"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2</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4</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c>
          <w:tcPr>
            <w:tcW w:w="898" w:type="dxa"/>
            <w:shd w:val="clear" w:color="auto" w:fill="FFFFFF"/>
            <w:vAlign w:val="center"/>
          </w:tcPr>
          <w:p w:rsidR="00FC6A03" w:rsidRPr="003408A6" w:rsidRDefault="00FC6A03" w:rsidP="001413E2">
            <w:pPr>
              <w:pStyle w:val="Tabletext0beforeafter-centred"/>
              <w:rPr>
                <w:kern w:val="24"/>
                <w:lang w:val="en-AU"/>
              </w:rPr>
            </w:pPr>
            <w:r w:rsidRPr="003408A6">
              <w:rPr>
                <w:kern w:val="24"/>
                <w:lang w:val="en-AU"/>
              </w:rPr>
              <w:t>0</w:t>
            </w:r>
          </w:p>
        </w:tc>
      </w:tr>
    </w:tbl>
    <w:p w:rsidR="001413E2" w:rsidRPr="003408A6" w:rsidRDefault="00FC6A03" w:rsidP="001413E2">
      <w:pPr>
        <w:pStyle w:val="Tablefootnote"/>
      </w:pPr>
      <w:r w:rsidRPr="003408A6">
        <w:t>*</w:t>
      </w:r>
      <w:r w:rsidR="001413E2" w:rsidRPr="003408A6">
        <w:tab/>
        <w:t xml:space="preserve">Please see </w:t>
      </w:r>
      <w:r w:rsidR="001413E2" w:rsidRPr="003408A6">
        <w:rPr>
          <w:b/>
        </w:rPr>
        <w:t>Appendix 4.1</w:t>
      </w:r>
      <w:r w:rsidR="001413E2" w:rsidRPr="003408A6">
        <w:t xml:space="preserve"> for the complete list of reported AEFIs (MedDRA preferred terms).</w:t>
      </w:r>
    </w:p>
    <w:p w:rsidR="00FC6A03" w:rsidRPr="003408A6" w:rsidRDefault="001413E2" w:rsidP="001413E2">
      <w:pPr>
        <w:pStyle w:val="Tablefootnote"/>
      </w:pPr>
      <w:r w:rsidRPr="003408A6">
        <w:t>†</w:t>
      </w:r>
      <w:r w:rsidRPr="003408A6">
        <w:tab/>
      </w:r>
      <w:r w:rsidR="00FC6A03" w:rsidRPr="003408A6">
        <w:t xml:space="preserve">Includes Rash and Rash </w:t>
      </w:r>
      <w:r w:rsidR="000238B1">
        <w:t>g</w:t>
      </w:r>
      <w:r w:rsidR="00FC6A03" w:rsidRPr="003408A6">
        <w:t>eneralised.</w:t>
      </w:r>
    </w:p>
    <w:p w:rsidR="001413E2" w:rsidRPr="003408A6" w:rsidRDefault="001413E2" w:rsidP="00FC6A03">
      <w:pPr>
        <w:rPr>
          <w:sz w:val="20"/>
        </w:rPr>
        <w:sectPr w:rsidR="001413E2" w:rsidRPr="003408A6" w:rsidSect="00D07C02">
          <w:pgSz w:w="16838" w:h="11906" w:orient="landscape" w:code="9"/>
          <w:pgMar w:top="851" w:right="851" w:bottom="851" w:left="851" w:header="709" w:footer="709" w:gutter="0"/>
          <w:cols w:space="708"/>
          <w:docGrid w:linePitch="360"/>
        </w:sectPr>
      </w:pPr>
    </w:p>
    <w:p w:rsidR="00FC6A03" w:rsidRPr="003408A6" w:rsidRDefault="00FC6A03" w:rsidP="00FC6A03">
      <w:pPr>
        <w:pStyle w:val="Heading2"/>
      </w:pPr>
      <w:bookmarkStart w:id="176" w:name="_Toc396926134"/>
      <w:r w:rsidRPr="003408A6">
        <w:t>Discussion</w:t>
      </w:r>
      <w:bookmarkEnd w:id="176"/>
      <w:r w:rsidRPr="003408A6">
        <w:t xml:space="preserve"> </w:t>
      </w:r>
    </w:p>
    <w:p w:rsidR="00FC6A03" w:rsidRPr="003408A6" w:rsidRDefault="00FC6A03" w:rsidP="009D694C">
      <w:pPr>
        <w:pStyle w:val="BodyText"/>
        <w:rPr>
          <w:lang w:val="en-AU"/>
        </w:rPr>
      </w:pPr>
      <w:r w:rsidRPr="003408A6">
        <w:rPr>
          <w:lang w:val="en-AU"/>
        </w:rPr>
        <w:t xml:space="preserve">When HPV vaccine was added to the NIP Schedule in April 2007, Australia became the first country to introduce a government funded National HPV Vaccination Program. The ongoing school-based HPV vaccination program is currently delivered to 12–13-year-old males and females. In 2007–2009, a 2-year catch-up program was delivered for 14–17-year-old females in schools and for 18–26-year-old females through general practice and community-based programs. During 2007–2009, an estimated 83% of females aged 12–17 </w:t>
      </w:r>
      <w:r w:rsidRPr="003408A6">
        <w:rPr>
          <w:szCs w:val="24"/>
          <w:lang w:val="en-AU"/>
        </w:rPr>
        <w:t>years</w:t>
      </w:r>
      <w:r w:rsidRPr="003408A6">
        <w:rPr>
          <w:lang w:val="en-AU"/>
        </w:rPr>
        <w:t xml:space="preserve"> received at least 1 dose of HPV vaccine and 70% completed the 3-dose HPV vaccination course.</w:t>
      </w:r>
    </w:p>
    <w:p w:rsidR="000238B1" w:rsidRDefault="00FC6A03" w:rsidP="009D694C">
      <w:pPr>
        <w:pStyle w:val="BodyText"/>
        <w:rPr>
          <w:lang w:val="en-AU"/>
        </w:rPr>
      </w:pPr>
      <w:r w:rsidRPr="003408A6">
        <w:rPr>
          <w:lang w:val="en-AU"/>
        </w:rPr>
        <w:t>The AEFI reporting rate for HPV vaccine was very high in 2007 (48.2 per 100,000 doses) as expected when introducing a new vaccine. In addition, the implementation of a new AEFI reporting and evaluation system in Victoria in April 2007 may have led to more reporting.</w:t>
      </w:r>
      <w:hyperlink w:anchor="_ENREF_54" w:tooltip="Mahajan, 2010 #1309" w:history="1">
        <w:r w:rsidR="00F27F90" w:rsidRPr="003408A6">
          <w:rPr>
            <w:lang w:val="en-AU"/>
          </w:rPr>
          <w:fldChar w:fldCharType="begin"/>
        </w:r>
        <w:r w:rsidR="00F27F90" w:rsidRPr="003408A6">
          <w:rPr>
            <w:lang w:val="en-AU"/>
          </w:rPr>
          <w:instrText xml:space="preserve"> ADDIN EN.CITE &lt;EndNote&gt;&lt;Cite&gt;&lt;Author&gt;Mahajan&lt;/Author&gt;&lt;Year&gt;2010&lt;/Year&gt;&lt;RecNum&gt;1309&lt;/RecNum&gt;&lt;DisplayText&gt;&lt;style face="superscript"&gt;54&lt;/style&gt;&lt;/DisplayText&gt;&lt;record&gt;&lt;rec-number&gt;1309&lt;/rec-number&gt;&lt;foreign-keys&gt;&lt;key app="EN" db-id="dda0wweazfww9besetpx2r5pt0asp9ztvs95"&gt;1309&lt;/key&gt;&lt;/foreign-keys&gt;&lt;ref-type name="Journal Article"&gt;17&lt;/ref-type&gt;&lt;contributors&gt;&lt;authors&gt;&lt;author&gt;Mahajan, D. &lt;/author&gt;&lt;author&gt;Roomiani, I.&lt;/author&gt;&lt;author&gt;Gold, M.S.&lt;/author&gt;&lt;author&gt;et, a.l. &lt;/author&gt;&lt;/authors&gt;&lt;/contributors&gt;&lt;titles&gt;&lt;title&gt;Annual report: surveillance of adverse events following immunisation in Australia, 2009&lt;/title&gt;&lt;secondary-title&gt;Communicable Diseases Intelligence&lt;/secondary-title&gt;&lt;/titles&gt;&lt;periodical&gt;&lt;full-title&gt;Communicable Diseases Intelligence&lt;/full-title&gt;&lt;abbr-1&gt;Commun. Dis. Intell.&lt;/abbr-1&gt;&lt;abbr-2&gt;Commun Dis Intell&lt;/abbr-2&gt;&lt;/periodical&gt;&lt;pages&gt;259-76&lt;/pages&gt;&lt;volume&gt;34&lt;/volume&gt;&lt;number&gt;3&lt;/number&gt;&lt;dates&gt;&lt;year&gt;2010&lt;/year&gt;&lt;/dates&gt;&lt;urls&gt;&lt;/urls&gt;&lt;/record&gt;&lt;/Cite&gt;&lt;/EndNote&gt;</w:instrText>
        </w:r>
        <w:r w:rsidR="00F27F90" w:rsidRPr="003408A6">
          <w:rPr>
            <w:lang w:val="en-AU"/>
          </w:rPr>
          <w:fldChar w:fldCharType="separate"/>
        </w:r>
        <w:r w:rsidR="00F27F90" w:rsidRPr="003408A6">
          <w:rPr>
            <w:noProof/>
            <w:vertAlign w:val="superscript"/>
            <w:lang w:val="en-AU"/>
          </w:rPr>
          <w:t>54</w:t>
        </w:r>
        <w:r w:rsidR="00F27F90" w:rsidRPr="003408A6">
          <w:rPr>
            <w:lang w:val="en-AU"/>
          </w:rPr>
          <w:fldChar w:fldCharType="end"/>
        </w:r>
      </w:hyperlink>
      <w:r w:rsidRPr="003408A6">
        <w:rPr>
          <w:vertAlign w:val="superscript"/>
          <w:lang w:val="en-AU"/>
        </w:rPr>
        <w:t xml:space="preserve"> </w:t>
      </w:r>
      <w:r w:rsidRPr="003408A6">
        <w:rPr>
          <w:lang w:val="en-AU"/>
        </w:rPr>
        <w:t xml:space="preserve">Historical data show that initial high levels of AEFI reporting occur each time a new vaccine is introduced (meningococcal C conjugate </w:t>
      </w:r>
      <w:r w:rsidRPr="003408A6">
        <w:rPr>
          <w:szCs w:val="24"/>
          <w:lang w:val="en-AU"/>
        </w:rPr>
        <w:t>vaccine</w:t>
      </w:r>
      <w:r w:rsidRPr="003408A6">
        <w:rPr>
          <w:lang w:val="en-AU"/>
        </w:rPr>
        <w:t xml:space="preserve"> in 2003 and rotavirus vaccine in 2007) as immunisation providers are more likely to report milder, less serious AEFIs for vaccines they are not familiar with, followed by a reduction and stabilisation of reporting over time (Weber effect).</w:t>
      </w:r>
      <w:hyperlink w:anchor="_ENREF_75" w:tooltip="Simon, 2002 #1337" w:history="1">
        <w:r w:rsidR="00F27F90" w:rsidRPr="003408A6">
          <w:rPr>
            <w:lang w:val="en-AU"/>
          </w:rPr>
          <w:fldChar w:fldCharType="begin"/>
        </w:r>
        <w:r w:rsidR="00F27F90">
          <w:rPr>
            <w:lang w:val="en-AU"/>
          </w:rPr>
          <w:instrText xml:space="preserve"> ADDIN EN.CITE &lt;EndNote&gt;&lt;Cite&gt;&lt;Author&gt;Simon&lt;/Author&gt;&lt;Year&gt;2002&lt;/Year&gt;&lt;RecNum&gt;1337&lt;/RecNum&gt;&lt;DisplayText&gt;&lt;style face="superscript"&gt;75&lt;/style&gt;&lt;/DisplayText&gt;&lt;record&gt;&lt;rec-number&gt;1337&lt;/rec-number&gt;&lt;foreign-keys&gt;&lt;key app="EN" db-id="dda0wweazfww9besetpx2r5pt0asp9ztvs95"&gt;1337&lt;/key&gt;&lt;/foreign-keys&gt;&lt;ref-type name="Journal Article"&gt;17&lt;/ref-type&gt;&lt;contributors&gt;&lt;authors&gt;&lt;author&gt;Simon, L.S.&lt;/author&gt;&lt;/authors&gt;&lt;/contributors&gt;&lt;titles&gt;&lt;title&gt; Pharmacovigilance: towards a better understanding of the benefit to risk ratio&lt;/title&gt;&lt;secondary-title&gt;Ann Rheum Dis &lt;/secondary-title&gt;&lt;/titles&gt;&lt;periodical&gt;&lt;full-title&gt;Annals of the Rheumatic Diseases&lt;/full-title&gt;&lt;abbr-1&gt;Ann. Rheum. Dis.&lt;/abbr-1&gt;&lt;abbr-2&gt;Ann Rheum Dis&lt;/abbr-2&gt;&lt;/periodical&gt;&lt;pages&gt;ii88-89&lt;/pages&gt;&lt;volume&gt;61(Suppl II)&lt;/volume&gt;&lt;dates&gt;&lt;year&gt;2002&lt;/year&gt;&lt;/dates&gt;&lt;urls&gt;&lt;/urls&gt;&lt;/record&gt;&lt;/Cite&gt;&lt;/EndNote&gt;</w:instrText>
        </w:r>
        <w:r w:rsidR="00F27F90" w:rsidRPr="003408A6">
          <w:rPr>
            <w:lang w:val="en-AU"/>
          </w:rPr>
          <w:fldChar w:fldCharType="separate"/>
        </w:r>
        <w:r w:rsidR="00F27F90" w:rsidRPr="00F27F90">
          <w:rPr>
            <w:noProof/>
            <w:vertAlign w:val="superscript"/>
            <w:lang w:val="en-AU"/>
          </w:rPr>
          <w:t>75</w:t>
        </w:r>
        <w:r w:rsidR="00F27F90" w:rsidRPr="003408A6">
          <w:rPr>
            <w:lang w:val="en-AU"/>
          </w:rPr>
          <w:fldChar w:fldCharType="end"/>
        </w:r>
      </w:hyperlink>
      <w:r w:rsidRPr="003408A6">
        <w:rPr>
          <w:lang w:val="en-AU"/>
        </w:rPr>
        <w:t xml:space="preserve"> This enhanced propensity to report events following newer vaccines increases the sensitivity of the system to detect signals of serious, rare or previously unknown events. </w:t>
      </w:r>
    </w:p>
    <w:p w:rsidR="000238B1" w:rsidRDefault="00FC6A03" w:rsidP="009D694C">
      <w:pPr>
        <w:pStyle w:val="BodyText"/>
        <w:rPr>
          <w:lang w:val="en-AU"/>
        </w:rPr>
      </w:pPr>
      <w:r w:rsidRPr="003408A6">
        <w:rPr>
          <w:lang w:val="en-AU"/>
        </w:rPr>
        <w:t xml:space="preserve">Current data held by the TGA indicate that the annual number of reports has decreased over the past </w:t>
      </w:r>
      <w:r w:rsidR="000238B1">
        <w:rPr>
          <w:lang w:val="en-AU"/>
        </w:rPr>
        <w:t>5</w:t>
      </w:r>
      <w:r w:rsidR="000238B1" w:rsidRPr="003408A6">
        <w:rPr>
          <w:lang w:val="en-AU"/>
        </w:rPr>
        <w:t xml:space="preserve"> </w:t>
      </w:r>
      <w:r w:rsidRPr="003408A6">
        <w:rPr>
          <w:lang w:val="en-AU"/>
        </w:rPr>
        <w:t>years with the highest annual number of reports in 2007 (765). The main reason for the drop was because the largest cohort was reduced once the catch</w:t>
      </w:r>
      <w:r w:rsidR="00EE26E6">
        <w:rPr>
          <w:lang w:val="en-AU"/>
        </w:rPr>
        <w:t>-</w:t>
      </w:r>
      <w:r w:rsidRPr="003408A6">
        <w:rPr>
          <w:lang w:val="en-AU"/>
        </w:rPr>
        <w:t>up program stopped. The number of reports declined to 80 in 2010 but slightly increased in 2011 (139), which was not statistically significant. This appears to be due to multiple factors including a sustained overall increase in AEFI reporting following the stimulated reporting related to Panvax</w:t>
      </w:r>
      <w:r w:rsidRPr="003408A6">
        <w:rPr>
          <w:vertAlign w:val="superscript"/>
          <w:lang w:val="en-AU"/>
        </w:rPr>
        <w:t>®</w:t>
      </w:r>
      <w:r w:rsidRPr="003408A6">
        <w:rPr>
          <w:lang w:val="en-AU"/>
        </w:rPr>
        <w:t xml:space="preserve"> and Fluvax</w:t>
      </w:r>
      <w:r w:rsidRPr="003408A6">
        <w:rPr>
          <w:vertAlign w:val="superscript"/>
          <w:lang w:val="en-AU"/>
        </w:rPr>
        <w:t>®</w:t>
      </w:r>
      <w:r w:rsidRPr="003408A6">
        <w:rPr>
          <w:lang w:val="en-AU"/>
        </w:rPr>
        <w:t xml:space="preserve"> in 2009–2010; release of the Review of the management of adverse events associated with Panvax</w:t>
      </w:r>
      <w:r w:rsidR="000238B1" w:rsidRPr="003408A6">
        <w:rPr>
          <w:vertAlign w:val="superscript"/>
          <w:lang w:val="en-AU"/>
        </w:rPr>
        <w:t>®</w:t>
      </w:r>
      <w:r w:rsidRPr="003408A6">
        <w:rPr>
          <w:lang w:val="en-AU"/>
        </w:rPr>
        <w:t xml:space="preserve"> and Fluvax</w:t>
      </w:r>
      <w:r w:rsidR="000238B1" w:rsidRPr="003408A6">
        <w:rPr>
          <w:vertAlign w:val="superscript"/>
          <w:lang w:val="en-AU"/>
        </w:rPr>
        <w:t>®</w:t>
      </w:r>
      <w:r w:rsidRPr="003408A6">
        <w:rPr>
          <w:lang w:val="en-AU"/>
        </w:rPr>
        <w:t xml:space="preserve"> (</w:t>
      </w:r>
      <w:r w:rsidR="000238B1">
        <w:rPr>
          <w:lang w:val="en-AU"/>
        </w:rPr>
        <w:t>t</w:t>
      </w:r>
      <w:r w:rsidRPr="003408A6">
        <w:rPr>
          <w:lang w:val="en-AU"/>
        </w:rPr>
        <w:t>he Horvath review</w:t>
      </w:r>
      <w:hyperlink w:anchor="_ENREF_76" w:tooltip="Horvath, 2011 #1353" w:history="1">
        <w:r w:rsidR="00F27F90" w:rsidRPr="003408A6">
          <w:rPr>
            <w:lang w:val="en-AU"/>
          </w:rPr>
          <w:fldChar w:fldCharType="begin"/>
        </w:r>
        <w:r w:rsidR="00F27F90">
          <w:rPr>
            <w:lang w:val="en-AU"/>
          </w:rPr>
          <w:instrText xml:space="preserve"> ADDIN EN.CITE &lt;EndNote&gt;&lt;Cite&gt;&lt;Author&gt;Horvath&lt;/Author&gt;&lt;Year&gt;2011&lt;/Year&gt;&lt;RecNum&gt;1353&lt;/RecNum&gt;&lt;DisplayText&gt;&lt;style face="superscript"&gt;76&lt;/style&gt;&lt;/DisplayText&gt;&lt;record&gt;&lt;rec-number&gt;1353&lt;/rec-number&gt;&lt;foreign-keys&gt;&lt;key app="EN" db-id="dda0wweazfww9besetpx2r5pt0asp9ztvs95"&gt;1353&lt;/key&gt;&lt;/foreign-keys&gt;&lt;ref-type name="Report"&gt;27&lt;/ref-type&gt;&lt;contributors&gt;&lt;authors&gt;&lt;author&gt;Horvath, J.&lt;/author&gt;&lt;/authors&gt;&lt;/contributors&gt;&lt;titles&gt;&lt;title&gt;Review of the management of adverse events associated with Panvax and Fluvax&lt;/title&gt;&lt;/titles&gt;&lt;dates&gt;&lt;year&gt;2011&lt;/year&gt;&lt;/dates&gt;&lt;pub-location&gt;Canberra&lt;/pub-location&gt;&lt;publisher&gt;Australian Government Department of Health and Ageing&lt;/publisher&gt;&lt;urls&gt;&lt;related-urls&gt;&lt;url&gt;http://immunise.health.gov.au/internet/immunise/publishing.nsf/Content/11DFBB4FD968D072CA25789400172DA1/$File/adverse-event-march-2011.pdf&lt;/url&gt;&lt;/related-urls&gt;&lt;/urls&gt;&lt;access-date&gt;23 April 2014&lt;/access-date&gt;&lt;/record&gt;&lt;/Cite&gt;&lt;/EndNote&gt;</w:instrText>
        </w:r>
        <w:r w:rsidR="00F27F90" w:rsidRPr="003408A6">
          <w:rPr>
            <w:lang w:val="en-AU"/>
          </w:rPr>
          <w:fldChar w:fldCharType="separate"/>
        </w:r>
        <w:r w:rsidR="00F27F90" w:rsidRPr="00F27F90">
          <w:rPr>
            <w:noProof/>
            <w:vertAlign w:val="superscript"/>
            <w:lang w:val="en-AU"/>
          </w:rPr>
          <w:t>76</w:t>
        </w:r>
        <w:r w:rsidR="00F27F90" w:rsidRPr="003408A6">
          <w:rPr>
            <w:lang w:val="en-AU"/>
          </w:rPr>
          <w:fldChar w:fldCharType="end"/>
        </w:r>
      </w:hyperlink>
      <w:r w:rsidR="00413B61" w:rsidRPr="003408A6">
        <w:rPr>
          <w:lang w:val="en-AU"/>
        </w:rPr>
        <w:t>)</w:t>
      </w:r>
      <w:r w:rsidRPr="003408A6">
        <w:rPr>
          <w:lang w:val="en-AU"/>
        </w:rPr>
        <w:t xml:space="preserve">; and changes in reporting whereby multiple state health departments were sending all reports, not just a selection, to the TGA. </w:t>
      </w:r>
    </w:p>
    <w:p w:rsidR="00FC6A03" w:rsidRPr="003408A6" w:rsidRDefault="00FC6A03" w:rsidP="009D694C">
      <w:pPr>
        <w:pStyle w:val="BodyText"/>
        <w:rPr>
          <w:lang w:val="en-AU"/>
        </w:rPr>
      </w:pPr>
      <w:r w:rsidRPr="003408A6">
        <w:rPr>
          <w:lang w:val="en-AU"/>
        </w:rPr>
        <w:t>During the first year of the program, reporting showed some clustering of AEFIs. In June 2007, a vaccine safety signal concerning anaphylaxis following HPV vaccination was observed and by early July 2007 there were 165 cases of AEFIs following receipt of Gardasil</w:t>
      </w:r>
      <w:r w:rsidRPr="003408A6">
        <w:rPr>
          <w:vertAlign w:val="superscript"/>
          <w:lang w:val="en-AU"/>
        </w:rPr>
        <w:t>®</w:t>
      </w:r>
      <w:r w:rsidRPr="003408A6">
        <w:rPr>
          <w:lang w:val="en-AU"/>
        </w:rPr>
        <w:t>. An expert panel was convened and an investigation was initiated.</w:t>
      </w:r>
      <w:hyperlink w:anchor="_ENREF_52" w:tooltip="Council for International Organizations of Medical Sciences (CIOMS), 2012 #1331" w:history="1">
        <w:r w:rsidR="00F27F90" w:rsidRPr="003408A6">
          <w:rPr>
            <w:lang w:val="en-AU"/>
          </w:rPr>
          <w:fldChar w:fldCharType="begin"/>
        </w:r>
        <w:r w:rsidR="00F27F90" w:rsidRPr="003408A6">
          <w:rPr>
            <w:lang w:val="en-AU"/>
          </w:rPr>
          <w:instrText xml:space="preserve"> ADDIN EN.CITE &lt;EndNote&gt;&lt;Cite&gt;&lt;Author&gt;Council for International Organizations of Medical Sciences (CIOMS)&lt;/Author&gt;&lt;Year&gt;2012&lt;/Year&gt;&lt;RecNum&gt;1331&lt;/RecNum&gt;&lt;DisplayText&gt;&lt;style face="superscript"&gt;52&lt;/style&gt;&lt;/DisplayText&gt;&lt;record&gt;&lt;rec-number&gt;1331&lt;/rec-number&gt;&lt;foreign-keys&gt;&lt;key app="EN" db-id="dda0wweazfww9besetpx2r5pt0asp9ztvs95"&gt;1331&lt;/key&gt;&lt;/foreign-keys&gt;&lt;ref-type name="Report"&gt;27&lt;/ref-type&gt;&lt;contributors&gt;&lt;authors&gt;&lt;author&gt;Council for International Organizations of Medical Sciences (CIOMS),&lt;/author&gt;&lt;author&gt;World Health Organization,&lt;/author&gt;&lt;/authors&gt;&lt;/contributors&gt;&lt;titles&gt;&lt;title&gt;Definition and application of terms for vaccine pharmacovigilance: report of CIOMS/WHO Working Group on Vaccine Pharmacovigilance&lt;/title&gt;&lt;/titles&gt;&lt;dates&gt;&lt;year&gt;2012&lt;/year&gt;&lt;/dates&gt;&lt;pub-location&gt;Geneva&lt;/pub-location&gt;&lt;publisher&gt;CIOMS&lt;/publisher&gt;&lt;urls&gt;&lt;related-urls&gt;&lt;url&gt;http://whqlibdoc.who.int/publications/2012/9789290360834_eng.pdf&lt;/url&gt;&lt;/related-urls&gt;&lt;/urls&gt;&lt;access-date&gt;5 December 2013&lt;/access-date&gt;&lt;/record&gt;&lt;/Cite&gt;&lt;/EndNote&gt;</w:instrText>
        </w:r>
        <w:r w:rsidR="00F27F90" w:rsidRPr="003408A6">
          <w:rPr>
            <w:lang w:val="en-AU"/>
          </w:rPr>
          <w:fldChar w:fldCharType="separate"/>
        </w:r>
        <w:r w:rsidR="00F27F90" w:rsidRPr="003408A6">
          <w:rPr>
            <w:noProof/>
            <w:vertAlign w:val="superscript"/>
            <w:lang w:val="en-AU"/>
          </w:rPr>
          <w:t>52</w:t>
        </w:r>
        <w:r w:rsidR="00F27F90" w:rsidRPr="003408A6">
          <w:rPr>
            <w:lang w:val="en-AU"/>
          </w:rPr>
          <w:fldChar w:fldCharType="end"/>
        </w:r>
      </w:hyperlink>
      <w:r w:rsidRPr="003408A6">
        <w:rPr>
          <w:lang w:val="en-AU"/>
        </w:rPr>
        <w:t xml:space="preserve"> There were some AEFIs that came to the attention of the media and resulted in considerable media interest both locally and internationally.</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dCI+NTYtNjE8L3N0eWxlPjwvRGlzcGxheVRleHQ+PHJlY29yZD48cmVjLW51bWJlcj4xNjwvcmVj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cj5CdXR0ZXJ5PC9BdXRob3I+PFllYXI+MjAwODwvWWVhcj48UmVjTnVtPjI1OTwvUmVjTnVtPjxy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</w:fldData>
          </w:fldChar>
        </w:r>
        <w:r w:rsidR="00F27F90">
          <w:rPr>
            <w:lang w:val="en-AU"/>
          </w:rPr>
          <w:instrText xml:space="preserve"> ADDIN EN.CITE </w:instrText>
        </w:r>
        <w:r w:rsidR="00F27F90">
          <w:rPr>
            <w:lang w:val="en-AU"/>
          </w:rPr>
          <w:fldChar w:fldCharType="begin">
            <w:fldData xml:space="preserve">PEVuZE5vdGU+PENpdGU+PEF1dGhvcj5Ccm90aGVydG9uPC9BdXRob3I+PFllYXI+MjAwODwvWWVh
cj48UmVjTnVtPjE2PC9SZWNOdW0+PERpc3BsYXlUZXh0PjxzdHlsZSBmYWNlPSJzdXBlcnNjcmlw
dCI+NTYtNjE8L3N0eWxlPjwvRGlzcGxheVRleHQ+PHJlY29yZD48cmVjLW51bWJlcj4xNjwvcmVj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cj5CdXR0ZXJ5PC9BdXRob3I+PFllYXI+MjAwODwvWWVhcj48UmVjTnVtPjI1OTwvUmVjTnVtPjxy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56-61</w:t>
        </w:r>
        <w:r w:rsidR="00F27F90" w:rsidRPr="003408A6">
          <w:rPr>
            <w:lang w:val="en-AU"/>
          </w:rPr>
          <w:fldChar w:fldCharType="end"/>
        </w:r>
      </w:hyperlink>
      <w:r w:rsidRPr="003408A6">
        <w:rPr>
          <w:lang w:val="en-AU"/>
        </w:rPr>
        <w:t xml:space="preserve"> </w:t>
      </w:r>
    </w:p>
    <w:p w:rsidR="00FC6A03" w:rsidRPr="003408A6" w:rsidRDefault="00FC6A03" w:rsidP="009D694C">
      <w:pPr>
        <w:pStyle w:val="BodyText"/>
        <w:rPr>
          <w:lang w:val="en-AU"/>
        </w:rPr>
      </w:pPr>
      <w:r w:rsidRPr="003408A6">
        <w:rPr>
          <w:lang w:val="en-AU"/>
        </w:rPr>
        <w:t>Besides Australia, published national passive surveillance data for HPV vaccination is also available from the Netherlands, the USA and the UK.</w:t>
      </w:r>
      <w:r w:rsidRPr="003408A6">
        <w:rPr>
          <w:lang w:val="en-AU"/>
        </w:rPr>
        <w:fldChar w:fldCharType="begin">
          <w:fldData xml:space="preserve">PEVuZE5vdGU+PENpdGU+PEF1dGhvcj5TbGFkZTwvQXV0aG9yPjxZZWFyPjIwMDk8L1llYXI+PFJl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=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PEVuZE5vdGU+PENpdGU+PEF1dGhvcj5TbGFkZTwvQXV0aG9yPjxZZWFyPjIwMDk8L1llYXI+PFJl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=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Pr="003408A6">
        <w:rPr>
          <w:lang w:val="en-AU"/>
        </w:rPr>
      </w:r>
      <w:r w:rsidRPr="003408A6">
        <w:rPr>
          <w:lang w:val="en-AU"/>
        </w:rPr>
        <w:fldChar w:fldCharType="separate"/>
      </w:r>
      <w:hyperlink w:anchor="_ENREF_69" w:tooltip="Slade, 2009 #1017" w:history="1">
        <w:r w:rsidR="00F27F90" w:rsidRPr="00F27F90">
          <w:rPr>
            <w:noProof/>
            <w:vertAlign w:val="superscript"/>
            <w:lang w:val="en-AU"/>
          </w:rPr>
          <w:t>69</w:t>
        </w:r>
      </w:hyperlink>
      <w:r w:rsidR="00F27F90" w:rsidRPr="00F27F90">
        <w:rPr>
          <w:noProof/>
          <w:vertAlign w:val="superscript"/>
          <w:lang w:val="en-AU"/>
        </w:rPr>
        <w:t>,</w:t>
      </w:r>
      <w:hyperlink w:anchor="_ENREF_77" w:tooltip="van ’t Klooster, 2011 #1338" w:history="1">
        <w:r w:rsidR="00F27F90" w:rsidRPr="00F27F90">
          <w:rPr>
            <w:noProof/>
            <w:vertAlign w:val="superscript"/>
            <w:lang w:val="en-AU"/>
          </w:rPr>
          <w:t>77</w:t>
        </w:r>
      </w:hyperlink>
      <w:r w:rsidR="00F27F90" w:rsidRPr="00F27F90">
        <w:rPr>
          <w:noProof/>
          <w:vertAlign w:val="superscript"/>
          <w:lang w:val="en-AU"/>
        </w:rPr>
        <w:t>,</w:t>
      </w:r>
      <w:hyperlink w:anchor="_ENREF_78" w:tooltip="The Medicines and Healthcare products Regulatory Agency (MHRA),  #1339" w:history="1">
        <w:r w:rsidR="00F27F90" w:rsidRPr="00F27F90">
          <w:rPr>
            <w:noProof/>
            <w:vertAlign w:val="superscript"/>
            <w:lang w:val="en-AU"/>
          </w:rPr>
          <w:t>78</w:t>
        </w:r>
      </w:hyperlink>
      <w:r w:rsidRPr="003408A6">
        <w:rPr>
          <w:lang w:val="en-AU"/>
        </w:rPr>
        <w:fldChar w:fldCharType="end"/>
      </w:r>
      <w:r w:rsidRPr="003408A6">
        <w:rPr>
          <w:lang w:val="en-AU"/>
        </w:rPr>
        <w:t xml:space="preserve"> However, reporting rates are different in all the countries due to differences in reporting mechanisms, case definitions and how rates are derived. For example, by the end of 2008, the US VAERS received 12,424 reports of adverse events following more than 23 million doses of quadrivalent HPV vaccine distributed, giving an overall reporting rate of 53.9 reports per 100,000 doses distributed.</w:t>
      </w:r>
      <w:hyperlink w:anchor="_ENREF_69" w:tooltip="Slade, 2009 #1017" w:history="1">
        <w:r w:rsidR="00F27F90" w:rsidRPr="003408A6">
          <w:rPr>
            <w:lang w:val="en-AU"/>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lang w:val="en-AU"/>
          </w:rPr>
          <w:instrText xml:space="preserve"> ADDIN EN.CITE </w:instrText>
        </w:r>
        <w:r w:rsidR="00F27F90">
          <w:rPr>
            <w:lang w:val="en-AU"/>
          </w:rPr>
          <w:fldChar w:fldCharType="begin">
            <w:fldData xml:space="preserve">PEVuZE5vdGU+PENpdGU+PEF1dGhvcj5TbGFkZTwvQXV0aG9yPjxZZWFyPjIwMDk8L1llYXI+PFJl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69</w:t>
        </w:r>
        <w:r w:rsidR="00F27F90" w:rsidRPr="003408A6">
          <w:rPr>
            <w:lang w:val="en-AU"/>
          </w:rPr>
          <w:fldChar w:fldCharType="end"/>
        </w:r>
      </w:hyperlink>
      <w:r w:rsidRPr="003408A6">
        <w:rPr>
          <w:lang w:val="en-AU"/>
        </w:rPr>
        <w:t xml:space="preserve"> In comparison, the reporting rate for adverse events following quadrivalent HPV vaccine in Australia was lower at 24.9 per 100,000 doses distributed, but was higher (~40.0 per 100,000) if limited to school girls only.</w:t>
      </w:r>
      <w:r w:rsidRPr="003408A6">
        <w:rPr>
          <w:lang w:val="en-AU"/>
        </w:rPr>
        <w:fldChar w:fldCharType="begin">
          <w:fldData xml:space="preserve">PEVuZE5vdGU+PENpdGU+PEF1dGhvcj5Ccm90aGVydG9uPC9BdXRob3I+PFllYXI+MjAwODwvWWVh
cj48UmVjTnVtPjE2PC9SZWNOdW0+PERpc3BsYXlUZXh0PjxzdHlsZSBmYWNlPSJzdXBlcnNjcmlw
dCI+NTYsNTk8L3N0eWxlPjwvRGlzcGxheVRleHQ+PHJlY29yZD48cmVjLW51bWJlcj4xNjwvcmVj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cj5LYW5nPC9BdXRob3I+PFllYXI+MjAwODwvWWVhcj48UmVjTnVtPjYwMTwvUmVjTnVtPjxyZWNv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</w:fldData>
        </w:fldChar>
      </w:r>
      <w:r w:rsidR="00B539AD">
        <w:rPr>
          <w:lang w:val="en-AU"/>
        </w:rPr>
        <w:instrText xml:space="preserve"> ADDIN EN.CITE </w:instrText>
      </w:r>
      <w:r w:rsidR="00B539AD">
        <w:rPr>
          <w:lang w:val="en-AU"/>
        </w:rPr>
        <w:fldChar w:fldCharType="begin">
          <w:fldData xml:space="preserve">PEVuZE5vdGU+PENpdGU+PEF1dGhvcj5Ccm90aGVydG9uPC9BdXRob3I+PFllYXI+MjAwODwvWWVh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</w:fldData>
        </w:fldChar>
      </w:r>
      <w:r w:rsidR="00B539AD">
        <w:rPr>
          <w:lang w:val="en-AU"/>
        </w:rPr>
        <w:instrText xml:space="preserve"> ADDIN EN.CITE.DATA </w:instrText>
      </w:r>
      <w:r w:rsidR="00B539AD">
        <w:rPr>
          <w:lang w:val="en-AU"/>
        </w:rPr>
      </w:r>
      <w:r w:rsidR="00B539AD">
        <w:rPr>
          <w:lang w:val="en-AU"/>
        </w:rPr>
        <w:fldChar w:fldCharType="end"/>
      </w:r>
      <w:r w:rsidRPr="003408A6">
        <w:rPr>
          <w:lang w:val="en-AU"/>
        </w:rPr>
      </w:r>
      <w:r w:rsidRPr="003408A6">
        <w:rPr>
          <w:lang w:val="en-AU"/>
        </w:rPr>
        <w:fldChar w:fldCharType="separate"/>
      </w:r>
      <w:hyperlink w:anchor="_ENREF_56" w:tooltip="Brotherton, 2008 #16" w:history="1">
        <w:r w:rsidR="00F27F90" w:rsidRPr="003408A6">
          <w:rPr>
            <w:noProof/>
            <w:vertAlign w:val="superscript"/>
            <w:lang w:val="en-AU"/>
          </w:rPr>
          <w:t>56</w:t>
        </w:r>
      </w:hyperlink>
      <w:r w:rsidRPr="003408A6">
        <w:rPr>
          <w:noProof/>
          <w:vertAlign w:val="superscript"/>
          <w:lang w:val="en-AU"/>
        </w:rPr>
        <w:t>,</w:t>
      </w:r>
      <w:hyperlink w:anchor="_ENREF_59" w:tooltip="Kang, 2008 #601" w:history="1">
        <w:r w:rsidR="00F27F90" w:rsidRPr="003408A6">
          <w:rPr>
            <w:noProof/>
            <w:vertAlign w:val="superscript"/>
            <w:lang w:val="en-AU"/>
          </w:rPr>
          <w:t>59</w:t>
        </w:r>
      </w:hyperlink>
      <w:r w:rsidRPr="003408A6">
        <w:rPr>
          <w:lang w:val="en-AU"/>
        </w:rPr>
        <w:fldChar w:fldCharType="end"/>
      </w:r>
      <w:r w:rsidRPr="003408A6">
        <w:rPr>
          <w:lang w:val="en-AU"/>
        </w:rPr>
        <w:t xml:space="preserve"> With </w:t>
      </w:r>
      <w:r w:rsidR="000238B1">
        <w:rPr>
          <w:lang w:val="en-AU"/>
        </w:rPr>
        <w:t xml:space="preserve">the </w:t>
      </w:r>
      <w:r w:rsidR="006B5A5E">
        <w:rPr>
          <w:lang w:val="en-AU"/>
        </w:rPr>
        <w:t>bivalent</w:t>
      </w:r>
      <w:r w:rsidRPr="003408A6">
        <w:rPr>
          <w:lang w:val="en-AU"/>
        </w:rPr>
        <w:t xml:space="preserve"> vaccine, higher reporting rates for adverse events were seen </w:t>
      </w:r>
      <w:r w:rsidRPr="003408A6">
        <w:rPr>
          <w:szCs w:val="24"/>
          <w:lang w:val="en-AU"/>
        </w:rPr>
        <w:t>in</w:t>
      </w:r>
      <w:r w:rsidRPr="003408A6">
        <w:rPr>
          <w:lang w:val="en-AU"/>
        </w:rPr>
        <w:t xml:space="preserve"> the UK (104.5 per 100,000 doses administered) and in the Netherlands following a catch-up vaccination campaign for females 12–16 years of age</w:t>
      </w:r>
      <w:r w:rsidRPr="003408A6" w:rsidDel="002B0445">
        <w:rPr>
          <w:lang w:val="en-AU"/>
        </w:rPr>
        <w:t xml:space="preserve"> </w:t>
      </w:r>
      <w:r w:rsidRPr="003408A6">
        <w:rPr>
          <w:lang w:val="en-AU"/>
        </w:rPr>
        <w:t>(116.0 per 100,000 doses administered).</w:t>
      </w:r>
      <w:r w:rsidRPr="003408A6">
        <w:rPr>
          <w:lang w:val="en-AU"/>
        </w:rPr>
        <w:fldChar w:fldCharType="begin">
          <w:fldData xml:space="preserve">PEVuZE5vdGU+PENpdGU+PEF1dGhvcj5NYWNhcnRuZXk8L0F1dGhvcj48WWVhcj4yMDEzPC9ZZWFy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</w:fldData>
        </w:fldChar>
      </w:r>
      <w:r w:rsidR="00F27F90">
        <w:rPr>
          <w:lang w:val="en-AU"/>
        </w:rPr>
        <w:instrText xml:space="preserve"> ADDIN EN.CITE </w:instrText>
      </w:r>
      <w:r w:rsidR="00F27F90">
        <w:rPr>
          <w:lang w:val="en-AU"/>
        </w:rPr>
        <w:fldChar w:fldCharType="begin">
          <w:fldData xml:space="preserve">PEVuZE5vdGU+PENpdGU+PEF1dGhvcj5NYWNhcnRuZXk8L0F1dGhvcj48WWVhcj4yMDEzPC9ZZWFy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</w:fldData>
        </w:fldChar>
      </w:r>
      <w:r w:rsidR="00F27F90">
        <w:rPr>
          <w:lang w:val="en-AU"/>
        </w:rPr>
        <w:instrText xml:space="preserve"> ADDIN EN.CITE.DATA </w:instrText>
      </w:r>
      <w:r w:rsidR="00F27F90">
        <w:rPr>
          <w:lang w:val="en-AU"/>
        </w:rPr>
      </w:r>
      <w:r w:rsidR="00F27F90">
        <w:rPr>
          <w:lang w:val="en-AU"/>
        </w:rPr>
        <w:fldChar w:fldCharType="end"/>
      </w:r>
      <w:r w:rsidRPr="003408A6">
        <w:rPr>
          <w:lang w:val="en-AU"/>
        </w:rPr>
      </w:r>
      <w:r w:rsidRPr="003408A6">
        <w:rPr>
          <w:lang w:val="en-AU"/>
        </w:rPr>
        <w:fldChar w:fldCharType="separate"/>
      </w:r>
      <w:hyperlink w:anchor="_ENREF_77" w:tooltip="van ’t Klooster, 2011 #1338" w:history="1">
        <w:r w:rsidR="00F27F90" w:rsidRPr="00F27F90">
          <w:rPr>
            <w:noProof/>
            <w:vertAlign w:val="superscript"/>
            <w:lang w:val="en-AU"/>
          </w:rPr>
          <w:t>77</w:t>
        </w:r>
      </w:hyperlink>
      <w:r w:rsidR="00F27F90" w:rsidRPr="00F27F90">
        <w:rPr>
          <w:noProof/>
          <w:vertAlign w:val="superscript"/>
          <w:lang w:val="en-AU"/>
        </w:rPr>
        <w:t>,</w:t>
      </w:r>
      <w:hyperlink w:anchor="_ENREF_79" w:tooltip="Macartney, 2013 #1330" w:history="1">
        <w:r w:rsidR="00F27F90" w:rsidRPr="00F27F90">
          <w:rPr>
            <w:noProof/>
            <w:vertAlign w:val="superscript"/>
            <w:lang w:val="en-AU"/>
          </w:rPr>
          <w:t>79</w:t>
        </w:r>
      </w:hyperlink>
      <w:r w:rsidR="00F27F90" w:rsidRPr="00F27F90">
        <w:rPr>
          <w:noProof/>
          <w:vertAlign w:val="superscript"/>
          <w:lang w:val="en-AU"/>
        </w:rPr>
        <w:t>,</w:t>
      </w:r>
      <w:hyperlink w:anchor="_ENREF_80" w:tooltip="Labadie, 2011 #1340" w:history="1">
        <w:r w:rsidR="00F27F90" w:rsidRPr="00F27F90">
          <w:rPr>
            <w:noProof/>
            <w:vertAlign w:val="superscript"/>
            <w:lang w:val="en-AU"/>
          </w:rPr>
          <w:t>80</w:t>
        </w:r>
      </w:hyperlink>
      <w:r w:rsidRPr="003408A6">
        <w:rPr>
          <w:lang w:val="en-AU"/>
        </w:rPr>
        <w:fldChar w:fldCharType="end"/>
      </w:r>
      <w:r w:rsidRPr="003408A6">
        <w:rPr>
          <w:lang w:val="en-AU"/>
        </w:rPr>
        <w:t xml:space="preserve"> This is consistent with the finding that the </w:t>
      </w:r>
      <w:r w:rsidR="009629BC" w:rsidRPr="003408A6">
        <w:rPr>
          <w:lang w:val="en-AU"/>
        </w:rPr>
        <w:t xml:space="preserve">bivalent </w:t>
      </w:r>
      <w:r w:rsidRPr="003408A6">
        <w:rPr>
          <w:lang w:val="en-AU"/>
        </w:rPr>
        <w:t xml:space="preserve">HPV vaccine was more reactogenic </w:t>
      </w:r>
      <w:r w:rsidR="000238B1">
        <w:rPr>
          <w:lang w:val="en-AU"/>
        </w:rPr>
        <w:t xml:space="preserve">than the quadrivalent vaccine </w:t>
      </w:r>
      <w:r w:rsidRPr="003408A6">
        <w:rPr>
          <w:lang w:val="en-AU"/>
        </w:rPr>
        <w:t xml:space="preserve">in </w:t>
      </w:r>
      <w:r w:rsidR="000238B1">
        <w:rPr>
          <w:lang w:val="en-AU"/>
        </w:rPr>
        <w:t>a</w:t>
      </w:r>
      <w:r w:rsidR="000238B1" w:rsidRPr="003408A6">
        <w:rPr>
          <w:lang w:val="en-AU"/>
        </w:rPr>
        <w:t xml:space="preserve"> </w:t>
      </w:r>
      <w:r w:rsidRPr="003408A6">
        <w:rPr>
          <w:lang w:val="en-AU"/>
        </w:rPr>
        <w:t>head</w:t>
      </w:r>
      <w:r w:rsidR="000238B1">
        <w:rPr>
          <w:lang w:val="en-AU"/>
        </w:rPr>
        <w:t>-</w:t>
      </w:r>
      <w:r w:rsidRPr="003408A6">
        <w:rPr>
          <w:lang w:val="en-AU"/>
        </w:rPr>
        <w:t>to</w:t>
      </w:r>
      <w:r w:rsidR="000238B1">
        <w:rPr>
          <w:lang w:val="en-AU"/>
        </w:rPr>
        <w:t>-</w:t>
      </w:r>
      <w:r w:rsidRPr="003408A6">
        <w:rPr>
          <w:lang w:val="en-AU"/>
        </w:rPr>
        <w:t>head comparison trial.</w:t>
      </w:r>
      <w:hyperlink w:anchor="_ENREF_81" w:tooltip="Einstein, 2011 #1358" w:history="1">
        <w:r w:rsidR="00F27F90" w:rsidRPr="003408A6">
          <w:rPr>
            <w:lang w:val="en-AU"/>
          </w:rPr>
          <w:fldChar w:fldCharType="begin"/>
        </w:r>
        <w:r w:rsidR="00F27F90">
          <w:rPr>
            <w:lang w:val="en-AU"/>
          </w:rPr>
          <w:instrText xml:space="preserve"> ADDIN EN.CITE &lt;EndNote&gt;&lt;Cite&gt;&lt;Author&gt;Einstein&lt;/Author&gt;&lt;Year&gt;2011&lt;/Year&gt;&lt;RecNum&gt;1358&lt;/RecNum&gt;&lt;DisplayText&gt;&lt;style face="superscript"&gt;81&lt;/style&gt;&lt;/DisplayText&gt;&lt;record&gt;&lt;rec-number&gt;1358&lt;/rec-number&gt;&lt;foreign-keys&gt;&lt;key app="EN" db-id="dda0wweazfww9besetpx2r5pt0asp9ztvs95"&gt;1358&lt;/key&gt;&lt;/foreign-keys&gt;&lt;ref-type name="Journal Article"&gt;17&lt;/ref-type&gt;&lt;contributors&gt;&lt;authors&gt;&lt;author&gt;Einstein, M.H.&lt;/author&gt;&lt;author&gt;Baron, M.&lt;/author&gt;&lt;author&gt;Levin, M.J.&lt;/author&gt;&lt;author&gt;Chatterjee, A.&lt;/author&gt;&lt;author&gt;Fox, B.&lt;/author&gt;&lt;author&gt;Scholar, S.&lt;/author&gt;&lt;author&gt;Rosen, J.&lt;/author&gt;&lt;author&gt;Chakhtoura, N.&lt;/author&gt;&lt;author&gt;Meric, D.&lt;/author&gt;&lt;author&gt;Dessy, F.J.&lt;/author&gt;&lt;author&gt;Datta, S.K.&lt;/author&gt;&lt;author&gt;Descamps, D.&lt;/author&gt;&lt;author&gt;Dubin, G.&lt;/author&gt;&lt;/authors&gt;&lt;/contributors&gt;&lt;titles&gt;&lt;title&gt;Comparative immunogenicity and safety of human papillomavirus (HPV)-16/18 vaccine and HPV-6/11/16/18 vaccine: follow-up from months 12-24 in a Phase III randomized study of healthy women aged 18-45 years&lt;/title&gt;&lt;secondary-title&gt;Hum. Vaccin.&lt;/secondary-title&gt;&lt;/titles&gt;&lt;periodical&gt;&lt;full-title&gt;Human Vaccines&lt;/full-title&gt;&lt;abbr-1&gt;Hum. Vaccin.&lt;/abbr-1&gt;&lt;abbr-2&gt;Hum Vaccin&lt;/abbr-2&gt;&lt;/periodical&gt;&lt;pages&gt;1343-58&lt;/pages&gt;&lt;volume&gt;7&lt;/volume&gt;&lt;dates&gt;&lt;year&gt;2011&lt;/year&gt;&lt;/dates&gt;&lt;urls&gt;&lt;/urls&gt;&lt;/record&gt;&lt;/Cite&gt;&lt;/EndNote&gt;</w:instrText>
        </w:r>
        <w:r w:rsidR="00F27F90" w:rsidRPr="003408A6">
          <w:rPr>
            <w:lang w:val="en-AU"/>
          </w:rPr>
          <w:fldChar w:fldCharType="separate"/>
        </w:r>
        <w:r w:rsidR="00F27F90" w:rsidRPr="00F27F90">
          <w:rPr>
            <w:noProof/>
            <w:vertAlign w:val="superscript"/>
            <w:lang w:val="en-AU"/>
          </w:rPr>
          <w:t>81</w:t>
        </w:r>
        <w:r w:rsidR="00F27F90" w:rsidRPr="003408A6">
          <w:rPr>
            <w:lang w:val="en-AU"/>
          </w:rPr>
          <w:fldChar w:fldCharType="end"/>
        </w:r>
      </w:hyperlink>
      <w:r w:rsidRPr="003408A6">
        <w:rPr>
          <w:lang w:val="en-AU"/>
        </w:rPr>
        <w:t xml:space="preserve"> Reporting rates cannot be calculated for data from multiple countries using WHO’s Vigibase, due to</w:t>
      </w:r>
      <w:r w:rsidR="007806CC">
        <w:rPr>
          <w:lang w:val="en-AU"/>
        </w:rPr>
        <w:t xml:space="preserve"> the</w:t>
      </w:r>
      <w:r w:rsidRPr="003408A6">
        <w:rPr>
          <w:lang w:val="en-AU"/>
        </w:rPr>
        <w:t xml:space="preserve"> lack of data on doses distributed or administered.</w:t>
      </w:r>
      <w:hyperlink w:anchor="_ENREF_80" w:tooltip="Labadie, 2011 #1340" w:history="1">
        <w:r w:rsidR="00F27F90" w:rsidRPr="003408A6">
          <w:rPr>
            <w:lang w:val="en-AU"/>
          </w:rPr>
          <w:fldChar w:fldCharType="begin"/>
        </w:r>
        <w:r w:rsidR="00F27F90">
          <w:rPr>
            <w:lang w:val="en-AU"/>
          </w:rPr>
          <w:instrText xml:space="preserve"> ADDIN EN.CITE &lt;EndNote&gt;&lt;Cite&gt;&lt;Author&gt;Labadie&lt;/Author&gt;&lt;Year&gt;2011&lt;/Year&gt;&lt;RecNum&gt;1340&lt;/RecNum&gt;&lt;DisplayText&gt;&lt;style face="superscript"&gt;80&lt;/style&gt;&lt;/DisplayText&gt;&lt;record&gt;&lt;rec-number&gt;1340&lt;/rec-number&gt;&lt;foreign-keys&gt;&lt;key app="EN" db-id="dda0wweazfww9besetpx2r5pt0asp9ztvs95"&gt;1340&lt;/key&gt;&lt;/foreign-keys&gt;&lt;ref-type name="Journal Article"&gt;17&lt;/ref-type&gt;&lt;contributors&gt;&lt;authors&gt;&lt;author&gt;Labadie, J.&lt;/author&gt;&lt;/authors&gt;&lt;/contributors&gt;&lt;titles&gt;&lt;title&gt;Postlicensure safety evaluation of human papilloma virus vaccines&lt;/title&gt;&lt;secondary-title&gt;International Journal of Risk and Safety in Medicine &lt;/secondary-title&gt;&lt;/titles&gt;&lt;pages&gt;103-112&lt;/pages&gt;&lt;volume&gt;23&lt;/volume&gt;&lt;dates&gt;&lt;year&gt;2011&lt;/year&gt;&lt;/dates&gt;&lt;urls&gt;&lt;/urls&gt;&lt;/record&gt;&lt;/Cite&gt;&lt;/EndNote&gt;</w:instrText>
        </w:r>
        <w:r w:rsidR="00F27F90" w:rsidRPr="003408A6">
          <w:rPr>
            <w:lang w:val="en-AU"/>
          </w:rPr>
          <w:fldChar w:fldCharType="separate"/>
        </w:r>
        <w:r w:rsidR="00F27F90" w:rsidRPr="00F27F90">
          <w:rPr>
            <w:noProof/>
            <w:vertAlign w:val="superscript"/>
            <w:lang w:val="en-AU"/>
          </w:rPr>
          <w:t>80</w:t>
        </w:r>
        <w:r w:rsidR="00F27F90" w:rsidRPr="003408A6">
          <w:rPr>
            <w:lang w:val="en-AU"/>
          </w:rPr>
          <w:fldChar w:fldCharType="end"/>
        </w:r>
      </w:hyperlink>
      <w:r w:rsidRPr="003408A6">
        <w:rPr>
          <w:vertAlign w:val="superscript"/>
          <w:lang w:val="en-AU"/>
        </w:rPr>
        <w:t xml:space="preserve"> </w:t>
      </w:r>
    </w:p>
    <w:p w:rsidR="00FC6A03" w:rsidRPr="003408A6" w:rsidRDefault="00FC6A03" w:rsidP="009D694C">
      <w:pPr>
        <w:pStyle w:val="BodyText"/>
        <w:rPr>
          <w:lang w:val="en-AU"/>
        </w:rPr>
      </w:pPr>
      <w:r w:rsidRPr="003408A6">
        <w:rPr>
          <w:lang w:val="en-AU"/>
        </w:rPr>
        <w:t>The majority of the AEFI reports for HPV vaccine were mild vaccine side effects that had been identified in pre-registration clinical trials.</w:t>
      </w:r>
      <w:r w:rsidRPr="003408A6">
        <w:rPr>
          <w:lang w:val="en-AU"/>
        </w:rPr>
        <w:fldChar w:fldCharType="begin">
          <w:fldData xml:space="preserve">PEVuZE5vdGU+PENpdGU+PEF1dGhvcj5Kb3VyYTwvQXV0aG9yPjxZZWFyPjIwMDc8L1llYXI+PFJl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</w:fldData>
        </w:fldChar>
      </w:r>
      <w:r w:rsidR="00F27F90">
        <w:rPr>
          <w:lang w:val="en-AU"/>
        </w:rPr>
        <w:instrText xml:space="preserve"> ADDIN EN.CITE </w:instrText>
      </w:r>
      <w:r w:rsidR="00F27F90">
        <w:rPr>
          <w:lang w:val="en-AU"/>
        </w:rPr>
        <w:fldChar w:fldCharType="begin">
          <w:fldData xml:space="preserve">PEVuZE5vdGU+PENpdGU+PEF1dGhvcj5Kb3VyYTwvQXV0aG9yPjxZZWFyPjIwMDc8L1llYXI+PFJl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</w:fldData>
        </w:fldChar>
      </w:r>
      <w:r w:rsidR="00F27F90">
        <w:rPr>
          <w:lang w:val="en-AU"/>
        </w:rPr>
        <w:instrText xml:space="preserve"> ADDIN EN.CITE.DATA </w:instrText>
      </w:r>
      <w:r w:rsidR="00F27F90">
        <w:rPr>
          <w:lang w:val="en-AU"/>
        </w:rPr>
      </w:r>
      <w:r w:rsidR="00F27F90">
        <w:rPr>
          <w:lang w:val="en-AU"/>
        </w:rPr>
        <w:fldChar w:fldCharType="end"/>
      </w:r>
      <w:r w:rsidRPr="003408A6">
        <w:rPr>
          <w:lang w:val="en-AU"/>
        </w:rPr>
      </w:r>
      <w:r w:rsidRPr="003408A6">
        <w:rPr>
          <w:lang w:val="en-AU"/>
        </w:rPr>
        <w:fldChar w:fldCharType="separate"/>
      </w:r>
      <w:hyperlink w:anchor="_ENREF_55" w:tooltip="Joura, 2007 #594" w:history="1">
        <w:r w:rsidR="00F27F90" w:rsidRPr="00F27F90">
          <w:rPr>
            <w:noProof/>
            <w:vertAlign w:val="superscript"/>
            <w:lang w:val="en-AU"/>
          </w:rPr>
          <w:t>55</w:t>
        </w:r>
      </w:hyperlink>
      <w:r w:rsidR="00F27F90" w:rsidRPr="00F27F90">
        <w:rPr>
          <w:noProof/>
          <w:vertAlign w:val="superscript"/>
          <w:lang w:val="en-AU"/>
        </w:rPr>
        <w:t>,</w:t>
      </w:r>
      <w:hyperlink w:anchor="_ENREF_82" w:tooltip="Reisinger, 2007 #1328" w:history="1">
        <w:r w:rsidR="00F27F90" w:rsidRPr="00F27F90">
          <w:rPr>
            <w:noProof/>
            <w:vertAlign w:val="superscript"/>
            <w:lang w:val="en-AU"/>
          </w:rPr>
          <w:t>82</w:t>
        </w:r>
      </w:hyperlink>
      <w:r w:rsidRPr="003408A6">
        <w:rPr>
          <w:lang w:val="en-AU"/>
        </w:rPr>
        <w:fldChar w:fldCharType="end"/>
      </w:r>
      <w:r w:rsidRPr="003408A6">
        <w:rPr>
          <w:lang w:val="en-AU"/>
        </w:rPr>
        <w:t xml:space="preserve"> These included injection site reactions, milder allergic reactions, and a range of mild non-specific symptoms including headache, nausea, dizziness, malaise and weakness. These symptoms have previously been reported to the TGA for secondary school students following receipt of meningococcal C conjugate vaccine as part of the national catch-up program in 2003 and 2004.</w:t>
      </w:r>
      <w:r w:rsidRPr="003408A6">
        <w:rPr>
          <w:lang w:val="en-AU"/>
        </w:rPr>
        <w:fldChar w:fldCharType="begin"/>
      </w:r>
      <w:r w:rsidR="00F27F90">
        <w:rPr>
          <w:lang w:val="en-AU"/>
        </w:rPr>
        <w:instrText xml:space="preserve"> ADDIN EN.CITE &lt;EndNote&gt;&lt;Cite&gt;&lt;Author&gt;Lawrence&lt;/Author&gt;&lt;Year&gt;2005&lt;/Year&gt;&lt;RecNum&gt;1327&lt;/RecNum&gt;&lt;DisplayText&gt;&lt;style face="superscript"&gt;83,84&lt;/style&gt;&lt;/DisplayText&gt;&lt;record&gt;&lt;rec-number&gt;1327&lt;/rec-number&gt;&lt;foreign-keys&gt;&lt;key app="EN" db-id="dda0wweazfww9besetpx2r5pt0asp9ztvs95"&gt;1327&lt;/key&gt;&lt;/foreign-keys&gt;&lt;ref-type name="Journal Article"&gt;17&lt;/ref-type&gt;&lt;contributors&gt;&lt;authors&gt;&lt;author&gt;Lawrence, G.L.&lt;/author&gt;&lt;author&gt; Boyd, I.&lt;/author&gt;&lt;author&gt; McIntyre, P.B.&lt;/author&gt;&lt;author&gt; Isaacs, D.&lt;/author&gt;&lt;/authors&gt;&lt;/contributors&gt;&lt;titles&gt;&lt;title&gt;Annual report: surveillance of adverse events following immunisation in Australia, 2004 [erratum appears in Commun Dis Intell. 2005;29(4):416]&lt;/title&gt;&lt;secondary-title&gt;Communicable Diseases Intelligence&lt;/secondary-title&gt;&lt;/titles&gt;&lt;periodical&gt;&lt;full-title&gt;Communicable Diseases Intelligence&lt;/full-title&gt;&lt;abbr-1&gt;Commun. Dis. Intell.&lt;/abbr-1&gt;&lt;abbr-2&gt;Commun Dis Intell&lt;/abbr-2&gt;&lt;/periodical&gt;&lt;pages&gt;248-262&lt;/pages&gt;&lt;volume&gt;29&lt;/volume&gt;&lt;number&gt;416&lt;/number&gt;&lt;dates&gt;&lt;year&gt;2005&lt;/year&gt;&lt;/dates&gt;&lt;urls&gt;&lt;/urls&gt;&lt;/record&gt;&lt;/Cite&gt;&lt;Cite&gt;&lt;Author&gt;Lawrence&lt;/Author&gt;&lt;Year&gt;2006&lt;/Year&gt;&lt;RecNum&gt;1341&lt;/RecNum&gt;&lt;record&gt;&lt;rec-number&gt;1341&lt;/rec-number&gt;&lt;foreign-keys&gt;&lt;key app="EN" db-id="dda0wweazfww9besetpx2r5pt0asp9ztvs95"&gt;1341&lt;/key&gt;&lt;/foreign-keys&gt;&lt;ref-type name="Journal Article"&gt;17&lt;/ref-type&gt;&lt;contributors&gt;&lt;authors&gt;&lt;author&gt;Lawrence, G.L.&lt;/author&gt;&lt;author&gt;Boyd, I.&lt;/author&gt;&lt;author&gt;McIntyre, P.B.&lt;/author&gt;&lt;author&gt;Isaacs, D.&lt;/author&gt;&lt;/authors&gt;&lt;/contributors&gt;&lt;titles&gt;&lt;title&gt;Annual report: surveillance of adverse events following immunisation in Australia, 2005&lt;/title&gt;&lt;secondary-title&gt;Communicable Diseases Intelligence&lt;/secondary-title&gt;&lt;/titles&gt;&lt;periodical&gt;&lt;full-title&gt;Communicable Diseases Intelligence&lt;/full-title&gt;&lt;abbr-1&gt;Commun. Dis. Intell.&lt;/abbr-1&gt;&lt;abbr-2&gt;Commun Dis Intell&lt;/abbr-2&gt;&lt;/periodical&gt;&lt;pages&gt;319-333&lt;/pages&gt;&lt;volume&gt;30&lt;/volume&gt;&lt;dates&gt;&lt;year&gt;2006&lt;/year&gt;&lt;/dates&gt;&lt;urls&gt;&lt;/urls&gt;&lt;/record&gt;&lt;/Cite&gt;&lt;/EndNote&gt;</w:instrText>
      </w:r>
      <w:r w:rsidRPr="003408A6">
        <w:rPr>
          <w:lang w:val="en-AU"/>
        </w:rPr>
        <w:fldChar w:fldCharType="separate"/>
      </w:r>
      <w:hyperlink w:anchor="_ENREF_83" w:tooltip="Lawrence, 2005 #1327" w:history="1">
        <w:r w:rsidR="00F27F90" w:rsidRPr="00F27F90">
          <w:rPr>
            <w:noProof/>
            <w:vertAlign w:val="superscript"/>
            <w:lang w:val="en-AU"/>
          </w:rPr>
          <w:t>83</w:t>
        </w:r>
      </w:hyperlink>
      <w:r w:rsidR="00F27F90" w:rsidRPr="00F27F90">
        <w:rPr>
          <w:noProof/>
          <w:vertAlign w:val="superscript"/>
          <w:lang w:val="en-AU"/>
        </w:rPr>
        <w:t>,</w:t>
      </w:r>
      <w:hyperlink w:anchor="_ENREF_84" w:tooltip="Lawrence, 2006 #1341" w:history="1">
        <w:r w:rsidR="00F27F90" w:rsidRPr="00F27F90">
          <w:rPr>
            <w:noProof/>
            <w:vertAlign w:val="superscript"/>
            <w:lang w:val="en-AU"/>
          </w:rPr>
          <w:t>84</w:t>
        </w:r>
      </w:hyperlink>
      <w:r w:rsidRPr="003408A6">
        <w:rPr>
          <w:lang w:val="en-AU"/>
        </w:rPr>
        <w:fldChar w:fldCharType="end"/>
      </w:r>
      <w:r w:rsidRPr="003408A6">
        <w:rPr>
          <w:lang w:val="en-AU"/>
        </w:rPr>
        <w:t xml:space="preserve"> The above-mentioned reactions are more </w:t>
      </w:r>
      <w:r w:rsidRPr="003408A6">
        <w:rPr>
          <w:szCs w:val="24"/>
          <w:lang w:val="en-AU"/>
        </w:rPr>
        <w:t>commonly</w:t>
      </w:r>
      <w:r w:rsidRPr="003408A6">
        <w:rPr>
          <w:lang w:val="en-AU"/>
        </w:rPr>
        <w:t xml:space="preserve"> reported in settings such as schools where many people are being vaccinated at the same time which can lead to a mass response.</w:t>
      </w:r>
      <w:r w:rsidRPr="003408A6">
        <w:rPr>
          <w:lang w:val="en-AU"/>
        </w:rPr>
        <w:fldChar w:fldCharType="begin">
          <w:fldData xml:space="preserve">PEVuZE5vdGU+PENpdGU+PEF1dGhvcj5CdXR0ZXJ5PC9BdXRob3I+PFllYXI+MjAwODwvWWVhcj48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</w:fldData>
        </w:fldChar>
      </w:r>
      <w:r w:rsidR="00F27F90">
        <w:rPr>
          <w:lang w:val="en-AU"/>
        </w:rPr>
        <w:instrText xml:space="preserve"> ADDIN EN.CITE </w:instrText>
      </w:r>
      <w:r w:rsidR="00F27F90">
        <w:rPr>
          <w:lang w:val="en-AU"/>
        </w:rPr>
        <w:fldChar w:fldCharType="begin">
          <w:fldData xml:space="preserve">PEVuZE5vdGU+PENpdGU+PEF1dGhvcj5CdXR0ZXJ5PC9BdXRob3I+PFllYXI+MjAwODwvWWVhcj48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</w:fldData>
        </w:fldChar>
      </w:r>
      <w:r w:rsidR="00F27F90">
        <w:rPr>
          <w:lang w:val="en-AU"/>
        </w:rPr>
        <w:instrText xml:space="preserve"> ADDIN EN.CITE.DATA </w:instrText>
      </w:r>
      <w:r w:rsidR="00F27F90">
        <w:rPr>
          <w:lang w:val="en-AU"/>
        </w:rPr>
      </w:r>
      <w:r w:rsidR="00F27F90">
        <w:rPr>
          <w:lang w:val="en-AU"/>
        </w:rPr>
        <w:fldChar w:fldCharType="end"/>
      </w:r>
      <w:r w:rsidRPr="003408A6">
        <w:rPr>
          <w:lang w:val="en-AU"/>
        </w:rPr>
      </w:r>
      <w:r w:rsidRPr="003408A6">
        <w:rPr>
          <w:lang w:val="en-AU"/>
        </w:rPr>
        <w:fldChar w:fldCharType="separate"/>
      </w:r>
      <w:hyperlink w:anchor="_ENREF_57" w:tooltip="Buttery, 2008 #259" w:history="1">
        <w:r w:rsidR="00F27F90" w:rsidRPr="00F27F90">
          <w:rPr>
            <w:noProof/>
            <w:vertAlign w:val="superscript"/>
            <w:lang w:val="en-AU"/>
          </w:rPr>
          <w:t>57</w:t>
        </w:r>
      </w:hyperlink>
      <w:r w:rsidR="00F27F90" w:rsidRPr="00F27F90">
        <w:rPr>
          <w:noProof/>
          <w:vertAlign w:val="superscript"/>
          <w:lang w:val="en-AU"/>
        </w:rPr>
        <w:t>,</w:t>
      </w:r>
      <w:hyperlink w:anchor="_ENREF_85" w:tooltip="Clements, 2003 #1324" w:history="1">
        <w:r w:rsidR="00F27F90" w:rsidRPr="00F27F90">
          <w:rPr>
            <w:noProof/>
            <w:vertAlign w:val="superscript"/>
            <w:lang w:val="en-AU"/>
          </w:rPr>
          <w:t>85</w:t>
        </w:r>
      </w:hyperlink>
      <w:r w:rsidRPr="003408A6">
        <w:rPr>
          <w:lang w:val="en-AU"/>
        </w:rPr>
        <w:fldChar w:fldCharType="end"/>
      </w:r>
      <w:r w:rsidRPr="003408A6">
        <w:rPr>
          <w:lang w:val="en-AU"/>
        </w:rPr>
        <w:t xml:space="preserve"> Immunisation providers of mass campaigns in this age group need to be aware of this response and attempt to put measures in place to prevent these events from occurring.</w:t>
      </w:r>
      <w:hyperlink w:anchor="_ENREF_57" w:tooltip="Buttery, 2008 #259" w:history="1">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PEVuZE5vdGU+PENpdGU+PEF1dGhvcj5CdXR0ZXJ5PC9BdXRob3I+PFllYXI+MjAwODwvWWVhcj48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57</w:t>
        </w:r>
        <w:r w:rsidR="00F27F90" w:rsidRPr="003408A6">
          <w:rPr>
            <w:lang w:val="en-AU"/>
          </w:rPr>
          <w:fldChar w:fldCharType="end"/>
        </w:r>
      </w:hyperlink>
    </w:p>
    <w:p w:rsidR="00FC6A03" w:rsidRPr="003408A6" w:rsidRDefault="00FC6A03" w:rsidP="009D694C">
      <w:pPr>
        <w:pStyle w:val="BodyText"/>
        <w:rPr>
          <w:lang w:val="en-AU"/>
        </w:rPr>
      </w:pPr>
      <w:r w:rsidRPr="003408A6">
        <w:rPr>
          <w:lang w:val="en-AU"/>
        </w:rPr>
        <w:t>There was a higher than expected number of anaphylactic reactions following HPV vaccine detected in New South Wales in 2007.</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An expert multidisciplinary panel was convened by NSW Health to investigate all reports of anaphylaxis and severe allergic reaction following HPV vaccine. The panel found </w:t>
      </w:r>
      <w:r w:rsidRPr="003408A6">
        <w:rPr>
          <w:szCs w:val="24"/>
          <w:lang w:val="en-AU"/>
        </w:rPr>
        <w:t>that</w:t>
      </w:r>
      <w:r w:rsidRPr="003408A6">
        <w:rPr>
          <w:lang w:val="en-AU"/>
        </w:rPr>
        <w:t xml:space="preserve"> the rate of anaphylaxis in New South Wales was significantly higher for the school-based HPV </w:t>
      </w:r>
      <w:r w:rsidR="007806CC">
        <w:rPr>
          <w:lang w:val="en-AU"/>
        </w:rPr>
        <w:t>v</w:t>
      </w:r>
      <w:r w:rsidRPr="003408A6">
        <w:rPr>
          <w:lang w:val="en-AU"/>
        </w:rPr>
        <w:t xml:space="preserve">accination </w:t>
      </w:r>
      <w:r w:rsidR="007806CC">
        <w:rPr>
          <w:lang w:val="en-AU"/>
        </w:rPr>
        <w:t>p</w:t>
      </w:r>
      <w:r w:rsidRPr="003408A6">
        <w:rPr>
          <w:lang w:val="en-AU"/>
        </w:rPr>
        <w:t>rogram than for the 2003 school-</w:t>
      </w:r>
      <w:r w:rsidR="007806CC">
        <w:rPr>
          <w:lang w:val="en-AU"/>
        </w:rPr>
        <w:t>based</w:t>
      </w:r>
      <w:r w:rsidR="007806CC" w:rsidRPr="003408A6">
        <w:rPr>
          <w:lang w:val="en-AU"/>
        </w:rPr>
        <w:t xml:space="preserve"> </w:t>
      </w:r>
      <w:r w:rsidRPr="003408A6">
        <w:rPr>
          <w:lang w:val="en-AU"/>
        </w:rPr>
        <w:t>meningococcal C conjugate vaccine program.</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However, the overall rate was low, and all cases were managed appropriately without serious sequelae.</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The results of the study were shared nationally and internationally and the number of reported anaphylactic reactions following HPV vaccination dropped in the later years. However, it is recommended that vaccine recipients be observed for 15 minutes following administration of any vaccine</w:t>
      </w:r>
      <w:hyperlink w:anchor="_ENREF_56" w:tooltip="Brotherton, 2008 #16" w:history="1">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PEVuZE5vdGU+PENpdGU+PEF1dGhvcj5Ccm90aGVydG9uPC9BdXRob3I+PFllYXI+MjAwODwvWWVh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=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56</w:t>
        </w:r>
        <w:r w:rsidR="00F27F90" w:rsidRPr="003408A6">
          <w:rPr>
            <w:lang w:val="en-AU"/>
          </w:rPr>
          <w:fldChar w:fldCharType="end"/>
        </w:r>
      </w:hyperlink>
      <w:r w:rsidRPr="003408A6">
        <w:rPr>
          <w:lang w:val="en-AU"/>
        </w:rPr>
        <w:t xml:space="preserve"> and that any symptoms and/or signs that may suggest anaphylaxis are clearly documented to allow an accurate assessment of the AEFI report using Brighton Collaboration case definitions.</w:t>
      </w:r>
      <w:hyperlink w:anchor="_ENREF_86" w:tooltip="Ruggeberg, 2007 #1323" w:history="1">
        <w:r w:rsidR="00F27F90" w:rsidRPr="003408A6">
          <w:rPr>
            <w:lang w:val="en-AU"/>
          </w:rPr>
          <w:fldChar w:fldCharType="begin"/>
        </w:r>
        <w:r w:rsidR="00F27F90">
          <w:rPr>
            <w:lang w:val="en-AU"/>
          </w:rPr>
          <w:instrText xml:space="preserve"> ADDIN EN.CITE &lt;EndNote&gt;&lt;Cite&gt;&lt;Author&gt;Ruggeberg&lt;/Author&gt;&lt;Year&gt;2007&lt;/Year&gt;&lt;RecNum&gt;1323&lt;/RecNum&gt;&lt;DisplayText&gt;&lt;style face="superscript"&gt;86&lt;/style&gt;&lt;/DisplayText&gt;&lt;record&gt;&lt;rec-number&gt;1323&lt;/rec-number&gt;&lt;foreign-keys&gt;&lt;key app="EN" db-id="dda0wweazfww9besetpx2r5pt0asp9ztvs95"&gt;1323&lt;/key&gt;&lt;/foreign-keys&gt;&lt;ref-type name="Journal Article"&gt;17&lt;/ref-type&gt;&lt;contributors&gt;&lt;authors&gt;&lt;author&gt;Ruggeberg, J.U.&lt;/author&gt;&lt;author&gt;Gold, M.S.&lt;/author&gt;&lt;author&gt;Bayas, J.M.&lt;/author&gt;&lt;author&gt;Blum M.D, &lt;/author&gt;&lt;author&gt;Bonhoeffer, J.&lt;/author&gt;&lt;author&gt;Friedlander S, &lt;/author&gt;&lt;author&gt;et al. &lt;/author&gt;&lt;/authors&gt;&lt;/contributors&gt;&lt;titles&gt;&lt;title&gt;Anaphylaxis: case definition and guidelines for data collection, analysis, and presentation of immunization safety data&lt;/title&gt;&lt;secondary-title&gt;Vaccine&lt;/secondary-title&gt;&lt;/titles&gt;&lt;periodical&gt;&lt;full-title&gt;Vaccine&lt;/full-title&gt;&lt;abbr-1&gt;Vaccine&lt;/abbr-1&gt;&lt;abbr-2&gt;Vaccine&lt;/abbr-2&gt;&lt;/periodical&gt;&lt;pages&gt;5675-5684&lt;/pages&gt;&lt;volume&gt;25&lt;/volume&gt;&lt;dates&gt;&lt;year&gt;2007&lt;/year&gt;&lt;/dates&gt;&lt;urls&gt;&lt;/urls&gt;&lt;/record&gt;&lt;/Cite&gt;&lt;/EndNote&gt;</w:instrText>
        </w:r>
        <w:r w:rsidR="00F27F90" w:rsidRPr="003408A6">
          <w:rPr>
            <w:lang w:val="en-AU"/>
          </w:rPr>
          <w:fldChar w:fldCharType="separate"/>
        </w:r>
        <w:r w:rsidR="00F27F90" w:rsidRPr="00F27F90">
          <w:rPr>
            <w:noProof/>
            <w:vertAlign w:val="superscript"/>
            <w:lang w:val="en-AU"/>
          </w:rPr>
          <w:t>86</w:t>
        </w:r>
        <w:r w:rsidR="00F27F90" w:rsidRPr="003408A6">
          <w:rPr>
            <w:lang w:val="en-AU"/>
          </w:rPr>
          <w:fldChar w:fldCharType="end"/>
        </w:r>
      </w:hyperlink>
      <w:r w:rsidRPr="003408A6">
        <w:rPr>
          <w:lang w:val="en-AU"/>
        </w:rPr>
        <w:t xml:space="preserve"> </w:t>
      </w:r>
    </w:p>
    <w:p w:rsidR="00FC6A03" w:rsidRPr="003408A6" w:rsidRDefault="00FC6A03" w:rsidP="009D694C">
      <w:pPr>
        <w:pStyle w:val="BodyText"/>
        <w:rPr>
          <w:lang w:val="en-AU"/>
        </w:rPr>
      </w:pPr>
      <w:r w:rsidRPr="003408A6">
        <w:rPr>
          <w:lang w:val="en-AU"/>
        </w:rPr>
        <w:t xml:space="preserve">A Gardasil Expert Panel was established by the TGA </w:t>
      </w:r>
      <w:r w:rsidR="007806CC">
        <w:rPr>
          <w:lang w:val="en-AU"/>
        </w:rPr>
        <w:t>1</w:t>
      </w:r>
      <w:r w:rsidR="007806CC" w:rsidRPr="003408A6">
        <w:rPr>
          <w:lang w:val="en-AU"/>
        </w:rPr>
        <w:t xml:space="preserve"> </w:t>
      </w:r>
      <w:r w:rsidRPr="003408A6">
        <w:rPr>
          <w:lang w:val="en-AU"/>
        </w:rPr>
        <w:t xml:space="preserve">year after the introduction of the HPV </w:t>
      </w:r>
      <w:r w:rsidR="007806CC">
        <w:rPr>
          <w:lang w:val="en-AU"/>
        </w:rPr>
        <w:t>v</w:t>
      </w:r>
      <w:r w:rsidRPr="003408A6">
        <w:rPr>
          <w:lang w:val="en-AU"/>
        </w:rPr>
        <w:t xml:space="preserve">accination </w:t>
      </w:r>
      <w:r w:rsidR="007806CC">
        <w:rPr>
          <w:lang w:val="en-AU"/>
        </w:rPr>
        <w:t>p</w:t>
      </w:r>
      <w:r w:rsidRPr="003408A6">
        <w:rPr>
          <w:lang w:val="en-AU"/>
        </w:rPr>
        <w:t>rogram in Australia to review the safety of the vaccine following a small number of reports of demyelination related illness following receipt of Gardasil</w:t>
      </w:r>
      <w:r w:rsidRPr="003408A6">
        <w:rPr>
          <w:vertAlign w:val="superscript"/>
          <w:lang w:val="en-AU"/>
        </w:rPr>
        <w:t>®</w:t>
      </w:r>
      <w:r w:rsidRPr="003408A6">
        <w:rPr>
          <w:lang w:val="en-AU"/>
        </w:rPr>
        <w:t>.</w:t>
      </w:r>
      <w:hyperlink w:anchor="_ENREF_87" w:tooltip="Konno, 2009 #1322" w:history="1">
        <w:r w:rsidR="00F27F90" w:rsidRPr="003408A6">
          <w:rPr>
            <w:lang w:val="en-AU"/>
          </w:rPr>
          <w:fldChar w:fldCharType="begin"/>
        </w:r>
        <w:r w:rsidR="00F27F90">
          <w:rPr>
            <w:lang w:val="en-AU"/>
          </w:rPr>
          <w:instrText xml:space="preserve"> ADDIN EN.CITE &lt;EndNote&gt;&lt;Cite&gt;&lt;Author&gt;Konno&lt;/Author&gt;&lt;Year&gt;2009&lt;/Year&gt;&lt;RecNum&gt;1322&lt;/RecNum&gt;&lt;DisplayText&gt;&lt;style face="superscript"&gt;87&lt;/style&gt;&lt;/DisplayText&gt;&lt;record&gt;&lt;rec-number&gt;1322&lt;/rec-number&gt;&lt;foreign-keys&gt;&lt;key app="EN" db-id="dda0wweazfww9besetpx2r5pt0asp9ztvs95"&gt;1322&lt;/key&gt;&lt;/foreign-keys&gt;&lt;ref-type name="Journal Article"&gt;17&lt;/ref-type&gt;&lt;contributors&gt;&lt;authors&gt;&lt;author&gt;Konno, R.&lt;/author&gt;&lt;author&gt;Dobbelaere, K.O.&lt;/author&gt;&lt;author&gt;Godeaux, O.O.&lt;/author&gt;&lt;author&gt;Et al.&lt;/author&gt;&lt;/authors&gt;&lt;/contributors&gt;&lt;titles&gt;&lt;title&gt;Immunogenicity, reactogenicity, and safety of human papillomavirus 16/18 AS04-adjuvanted vaccine in Japanese women: interim analysis of a phase II, double-blind, randomized controlled trial at month 7&lt;/title&gt;&lt;secondary-title&gt;International Journal of Gynecological Cancer&lt;/secondary-title&gt;&lt;/titles&gt;&lt;periodical&gt;&lt;full-title&gt;International Journal of Gynecological Cancer&lt;/full-title&gt;&lt;abbr-1&gt;Int. J. Gynecol. Cancer&lt;/abbr-1&gt;&lt;abbr-2&gt;Int J Gynecol Cancer&lt;/abbr-2&gt;&lt;/periodical&gt;&lt;pages&gt;905-11 &lt;/pages&gt;&lt;volume&gt;19&lt;/volume&gt;&lt;dates&gt;&lt;year&gt;2009&lt;/year&gt;&lt;/dates&gt;&lt;urls&gt;&lt;/urls&gt;&lt;/record&gt;&lt;/Cite&gt;&lt;/EndNote&gt;</w:instrText>
        </w:r>
        <w:r w:rsidR="00F27F90" w:rsidRPr="003408A6">
          <w:rPr>
            <w:lang w:val="en-AU"/>
          </w:rPr>
          <w:fldChar w:fldCharType="separate"/>
        </w:r>
        <w:r w:rsidR="00F27F90" w:rsidRPr="00F27F90">
          <w:rPr>
            <w:noProof/>
            <w:vertAlign w:val="superscript"/>
            <w:lang w:val="en-AU"/>
          </w:rPr>
          <w:t>87</w:t>
        </w:r>
        <w:r w:rsidR="00F27F90" w:rsidRPr="003408A6">
          <w:rPr>
            <w:lang w:val="en-AU"/>
          </w:rPr>
          <w:fldChar w:fldCharType="end"/>
        </w:r>
      </w:hyperlink>
      <w:r w:rsidRPr="003408A6">
        <w:rPr>
          <w:vertAlign w:val="superscript"/>
          <w:lang w:val="en-AU"/>
        </w:rPr>
        <w:t xml:space="preserve"> </w:t>
      </w:r>
      <w:r w:rsidRPr="003408A6">
        <w:rPr>
          <w:lang w:val="en-AU"/>
        </w:rPr>
        <w:t xml:space="preserve">This was prompted in part because of a report, published in the journal </w:t>
      </w:r>
      <w:r w:rsidRPr="003408A6">
        <w:rPr>
          <w:i/>
          <w:lang w:val="en-AU"/>
        </w:rPr>
        <w:t>Multiple Sclerosis</w:t>
      </w:r>
      <w:r w:rsidRPr="003408A6">
        <w:rPr>
          <w:lang w:val="en-AU"/>
        </w:rPr>
        <w:t>, of six cases of multiple sclerosis in which HPV vaccination was implicated as a causal factor.</w:t>
      </w:r>
      <w:hyperlink w:anchor="_ENREF_61" w:tooltip="Sutton, 2009 #1060" w:history="1">
        <w:r w:rsidR="00F27F90" w:rsidRPr="003408A6">
          <w:rPr>
            <w:lang w:val="en-AU"/>
          </w:rPr>
          <w:fldChar w:fldCharType="begin">
            <w:fldData xml:space="preserve">PEVuZE5vdGU+PENpdGU+PEF1dGhvcj5TdXR0b248L0F1dGhvcj48WWVhcj4yMDA5PC9ZZWFyPjxS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</w:fldData>
          </w:fldChar>
        </w:r>
        <w:r w:rsidR="00F27F90" w:rsidRPr="003408A6">
          <w:rPr>
            <w:lang w:val="en-AU"/>
          </w:rPr>
          <w:instrText xml:space="preserve"> ADDIN EN.CITE </w:instrText>
        </w:r>
        <w:r w:rsidR="00F27F90" w:rsidRPr="003408A6">
          <w:rPr>
            <w:lang w:val="en-AU"/>
          </w:rPr>
          <w:fldChar w:fldCharType="begin">
            <w:fldData xml:space="preserve">PEVuZE5vdGU+PENpdGU+PEF1dGhvcj5TdXR0b248L0F1dGhvcj48WWVhcj4yMDA5PC9ZZWFyPjxS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61</w:t>
        </w:r>
        <w:r w:rsidR="00F27F90" w:rsidRPr="003408A6">
          <w:rPr>
            <w:lang w:val="en-AU"/>
          </w:rPr>
          <w:fldChar w:fldCharType="end"/>
        </w:r>
      </w:hyperlink>
      <w:r w:rsidRPr="003408A6">
        <w:rPr>
          <w:lang w:val="en-AU"/>
        </w:rPr>
        <w:t xml:space="preserve"> The Expert Panel reviewed a number of data sources</w:t>
      </w:r>
      <w:r w:rsidR="007806CC">
        <w:rPr>
          <w:lang w:val="en-AU"/>
        </w:rPr>
        <w:t>,</w:t>
      </w:r>
      <w:r w:rsidRPr="003408A6">
        <w:rPr>
          <w:lang w:val="en-AU"/>
        </w:rPr>
        <w:t xml:space="preserve"> including passive reports made to the TGA and international passive surveillance data, and </w:t>
      </w:r>
      <w:r w:rsidR="007806CC">
        <w:rPr>
          <w:lang w:val="en-AU"/>
        </w:rPr>
        <w:t>conferred</w:t>
      </w:r>
      <w:r w:rsidRPr="003408A6">
        <w:rPr>
          <w:lang w:val="en-AU"/>
        </w:rPr>
        <w:t xml:space="preserve"> with Australian specialist neurologists. The findings of this group were consistent with previous clinical trials and international post-marketing surveillance that Gardasil</w:t>
      </w:r>
      <w:r w:rsidRPr="003408A6">
        <w:rPr>
          <w:vertAlign w:val="superscript"/>
          <w:lang w:val="en-AU"/>
        </w:rPr>
        <w:t>®</w:t>
      </w:r>
      <w:r w:rsidRPr="003408A6">
        <w:rPr>
          <w:lang w:val="en-AU"/>
        </w:rPr>
        <w:t xml:space="preserve"> was generally well tolerated with the majority of reports considered non-serious. There were no more reported cases of new demyelinating events in young women in Australia than would be expected by chance. The group recommended that all reports of such conditions following Gardasil</w:t>
      </w:r>
      <w:r w:rsidRPr="003408A6">
        <w:rPr>
          <w:vertAlign w:val="superscript"/>
          <w:lang w:val="en-AU"/>
        </w:rPr>
        <w:t>®</w:t>
      </w:r>
      <w:r w:rsidRPr="003408A6">
        <w:rPr>
          <w:lang w:val="en-AU"/>
        </w:rPr>
        <w:t xml:space="preserve"> vaccination continue to be monitored by the TGA. It also recommended that enhanced active surveillance would be required to identify all cases of demyelinating disorders and overcome limitations of passive surveillance. The group also supported the introduction of active surveillance mechanisms for AEFI for any future large-scale vaccination programs, before the program is commenced. </w:t>
      </w:r>
    </w:p>
    <w:p w:rsidR="00FC6A03" w:rsidRPr="003408A6" w:rsidRDefault="00FC6A03" w:rsidP="009D694C">
      <w:pPr>
        <w:pStyle w:val="BodyText"/>
        <w:rPr>
          <w:lang w:val="en-AU"/>
        </w:rPr>
      </w:pPr>
      <w:r w:rsidRPr="003408A6">
        <w:rPr>
          <w:lang w:val="en-AU"/>
        </w:rPr>
        <w:t xml:space="preserve">Taking on board the recommendations of the Expert Panel, enhanced surveillance activities were put in place prior to the introduction of the HPV </w:t>
      </w:r>
      <w:r w:rsidR="007806CC">
        <w:rPr>
          <w:lang w:val="en-AU"/>
        </w:rPr>
        <w:t>v</w:t>
      </w:r>
      <w:r w:rsidRPr="003408A6">
        <w:rPr>
          <w:lang w:val="en-AU"/>
        </w:rPr>
        <w:t xml:space="preserve">accination </w:t>
      </w:r>
      <w:r w:rsidR="007806CC">
        <w:rPr>
          <w:lang w:val="en-AU"/>
        </w:rPr>
        <w:t>p</w:t>
      </w:r>
      <w:r w:rsidRPr="003408A6">
        <w:rPr>
          <w:lang w:val="en-AU"/>
        </w:rPr>
        <w:t>rogram for males in February 2013. To date there have been no significant reports of new adverse event signals following HPV vaccination in males. The most frequently reported reactions associated with HPV administration in males included syncope, presyncope, dizziness and nausea, headache, pyrexia and vomiting.</w:t>
      </w:r>
    </w:p>
    <w:p w:rsidR="00FC6A03" w:rsidRPr="003408A6" w:rsidRDefault="00FC6A03" w:rsidP="009D694C">
      <w:pPr>
        <w:pStyle w:val="BodyText"/>
        <w:rPr>
          <w:lang w:val="en-AU"/>
        </w:rPr>
      </w:pPr>
      <w:r w:rsidRPr="003408A6">
        <w:rPr>
          <w:lang w:val="en-AU"/>
        </w:rPr>
        <w:t>To date, with over 7 million doses of the HPV vaccine distributed in Australia</w:t>
      </w:r>
      <w:r w:rsidR="007806CC">
        <w:rPr>
          <w:lang w:val="en-AU"/>
        </w:rPr>
        <w:t>,</w:t>
      </w:r>
      <w:r w:rsidR="00306E27" w:rsidRPr="003408A6">
        <w:rPr>
          <w:lang w:val="en-AU"/>
        </w:rPr>
        <w:t xml:space="preserve"> the </w:t>
      </w:r>
      <w:r w:rsidR="007806CC" w:rsidRPr="003408A6">
        <w:rPr>
          <w:lang w:val="en-AU"/>
        </w:rPr>
        <w:t xml:space="preserve">overall </w:t>
      </w:r>
      <w:r w:rsidR="00306E27" w:rsidRPr="003408A6">
        <w:rPr>
          <w:lang w:val="en-AU"/>
        </w:rPr>
        <w:t xml:space="preserve">safety profile of the quadrivalent </w:t>
      </w:r>
      <w:r w:rsidRPr="003408A6">
        <w:rPr>
          <w:lang w:val="en-AU"/>
        </w:rPr>
        <w:t>HPV</w:t>
      </w:r>
      <w:r w:rsidR="00306E27" w:rsidRPr="003408A6">
        <w:rPr>
          <w:lang w:val="en-AU"/>
        </w:rPr>
        <w:t xml:space="preserve"> vaccine</w:t>
      </w:r>
      <w:r w:rsidRPr="003408A6">
        <w:rPr>
          <w:lang w:val="en-AU"/>
        </w:rPr>
        <w:t xml:space="preserve"> in females has been shown to be very good. </w:t>
      </w:r>
      <w:r w:rsidR="00BC3162" w:rsidRPr="003408A6">
        <w:rPr>
          <w:lang w:val="en-AU"/>
        </w:rPr>
        <w:t>Population</w:t>
      </w:r>
      <w:r w:rsidR="007806CC">
        <w:rPr>
          <w:lang w:val="en-AU"/>
        </w:rPr>
        <w:t>-</w:t>
      </w:r>
      <w:r w:rsidR="00BC3162" w:rsidRPr="003408A6">
        <w:rPr>
          <w:lang w:val="en-AU"/>
        </w:rPr>
        <w:t>based data analyses, where vaccination status and health outcome data are available for whole populations, have confirmed that there is no indication that HPV vaccination is associated with any increase in autoimmune, neurological or vascular diseases.</w:t>
      </w:r>
      <w:r w:rsidR="00BC3162" w:rsidRPr="003408A6">
        <w:rPr>
          <w:lang w:val="en-AU"/>
        </w:rPr>
        <w:fldChar w:fldCharType="begin"/>
      </w:r>
      <w:r w:rsidR="00F27F90">
        <w:rPr>
          <w:lang w:val="en-AU"/>
        </w:rPr>
        <w:instrText xml:space="preserve"> ADDIN EN.CITE &lt;EndNote&gt;&lt;Cite&gt;&lt;Author&gt;Gee&lt;/Author&gt;&lt;Year&gt;2011&lt;/Year&gt;&lt;RecNum&gt;1360&lt;/RecNum&gt;&lt;DisplayText&gt;&lt;style face="superscript"&gt;88,89&lt;/style&gt;&lt;/DisplayText&gt;&lt;record&gt;&lt;rec-number&gt;1360&lt;/rec-number&gt;&lt;foreign-keys&gt;&lt;key app="EN" db-id="dda0wweazfww9besetpx2r5pt0asp9ztvs95"&gt;1360&lt;/key&gt;&lt;/foreign-keys&gt;&lt;ref-type name="Journal Article"&gt;17&lt;/ref-type&gt;&lt;contributors&gt;&lt;authors&gt;&lt;author&gt;Gee, J.&lt;/author&gt;&lt;author&gt;Naleway, A.&lt;/author&gt;&lt;author&gt;Shui, I.&lt;/author&gt;&lt;author&gt;Baggs, J.&lt;/author&gt;&lt;author&gt;Yin, R.&lt;/author&gt;&lt;author&gt;Li, R.&lt;/author&gt;&lt;author&gt;Kulldorff, M.&lt;/author&gt;&lt;author&gt;Lewis, E.&lt;/author&gt;&lt;author&gt;Fireman, B.&lt;/author&gt;&lt;author&gt;Daley, M.F.&lt;/author&gt;&lt;author&gt;Klein, N.P.&lt;/author&gt;&lt;author&gt;Weintraub, E.S.&lt;/author&gt;&lt;/authors&gt;&lt;/contributors&gt;&lt;titles&gt;&lt;title&gt;Monitoring the safety of quadrivalent human papillomavirus vaccine: findings from the Vaccine Safety Datalink&lt;/title&gt;&lt;secondary-title&gt;Vaccine &lt;/secondary-title&gt;&lt;/titles&gt;&lt;periodical&gt;&lt;full-title&gt;Vaccine&lt;/full-title&gt;&lt;abbr-1&gt;Vaccine&lt;/abbr-1&gt;&lt;abbr-2&gt;Vaccine&lt;/abbr-2&gt;&lt;/periodical&gt;&lt;pages&gt;8279-8420&lt;/pages&gt;&lt;volume&gt;29&lt;/volume&gt;&lt;dates&gt;&lt;year&gt;2011&lt;/year&gt;&lt;/dates&gt;&lt;urls&gt;&lt;/urls&gt;&lt;/record&gt;&lt;/Cite&gt;&lt;Cite&gt;&lt;Author&gt;Arnheim-Dahlström&lt;/Author&gt;&lt;Year&gt;2013&lt;/Year&gt;&lt;RecNum&gt;1359&lt;/RecNum&gt;&lt;record&gt;&lt;rec-number&gt;1359&lt;/rec-number&gt;&lt;foreign-keys&gt;&lt;key app="EN" db-id="dda0wweazfww9besetpx2r5pt0asp9ztvs95"&gt;1359&lt;/key&gt;&lt;/foreign-keys&gt;&lt;ref-type name="Journal Article"&gt;17&lt;/ref-type&gt;&lt;contributors&gt;&lt;authors&gt;&lt;author&gt;Arnheim-Dahlström, L.&lt;/author&gt;&lt;author&gt;Pasternak, B.&lt;/author&gt;&lt;author&gt;Svanström, H.&lt;/author&gt;&lt;author&gt;Sparen, P.&lt;/author&gt;&lt;author&gt;Hviid, A. &lt;/author&gt;&lt;/authors&gt;&lt;/contributors&gt;&lt;titles&gt;&lt;title&gt;Autoimmune, neurological, and venous thromboembolic adverse events after vaccination of adolescent girls with quadrivalent human papillomavirus in Denmark and Sweden: cohort study&lt;/title&gt;&lt;secondary-title&gt;BMJ&lt;/secondary-title&gt;&lt;/titles&gt;&lt;periodical&gt;&lt;full-title&gt;BMJ&lt;/full-title&gt;&lt;abbr-1&gt;BMJ&lt;/abbr-1&gt;&lt;abbr-2&gt;BMJ&lt;/abbr-2&gt;&lt;/periodical&gt;&lt;pages&gt;5906&lt;/pages&gt;&lt;volume&gt;347&lt;/volume&gt;&lt;dates&gt;&lt;year&gt;2013&lt;/year&gt;&lt;/dates&gt;&lt;urls&gt;&lt;/urls&gt;&lt;/record&gt;&lt;/Cite&gt;&lt;/EndNote&gt;</w:instrText>
      </w:r>
      <w:r w:rsidR="00BC3162" w:rsidRPr="003408A6">
        <w:rPr>
          <w:lang w:val="en-AU"/>
        </w:rPr>
        <w:fldChar w:fldCharType="separate"/>
      </w:r>
      <w:hyperlink w:anchor="_ENREF_88" w:tooltip="Gee, 2011 #1360" w:history="1">
        <w:r w:rsidR="00F27F90" w:rsidRPr="00F27F90">
          <w:rPr>
            <w:noProof/>
            <w:vertAlign w:val="superscript"/>
            <w:lang w:val="en-AU"/>
          </w:rPr>
          <w:t>88</w:t>
        </w:r>
      </w:hyperlink>
      <w:r w:rsidR="00F27F90" w:rsidRPr="00F27F90">
        <w:rPr>
          <w:noProof/>
          <w:vertAlign w:val="superscript"/>
          <w:lang w:val="en-AU"/>
        </w:rPr>
        <w:t>,</w:t>
      </w:r>
      <w:hyperlink w:anchor="_ENREF_89" w:tooltip="Arnheim-Dahlström, 2013 #1359" w:history="1">
        <w:r w:rsidR="00F27F90" w:rsidRPr="00F27F90">
          <w:rPr>
            <w:noProof/>
            <w:vertAlign w:val="superscript"/>
            <w:lang w:val="en-AU"/>
          </w:rPr>
          <w:t>89</w:t>
        </w:r>
      </w:hyperlink>
      <w:r w:rsidR="00BC3162" w:rsidRPr="003408A6">
        <w:rPr>
          <w:lang w:val="en-AU"/>
        </w:rPr>
        <w:fldChar w:fldCharType="end"/>
      </w:r>
      <w:r w:rsidR="00BC3162" w:rsidRPr="003408A6" w:rsidDel="00E725FF">
        <w:rPr>
          <w:lang w:val="en-AU"/>
        </w:rPr>
        <w:t xml:space="preserve"> </w:t>
      </w:r>
      <w:r w:rsidRPr="003408A6">
        <w:rPr>
          <w:lang w:val="en-AU"/>
        </w:rPr>
        <w:t>Following the extension of the vaccination program to males and enhanced surveillance since February 2013, preliminary results show the safety profile of Gardasil</w:t>
      </w:r>
      <w:r w:rsidRPr="003408A6">
        <w:rPr>
          <w:vertAlign w:val="superscript"/>
          <w:lang w:val="en-AU"/>
        </w:rPr>
        <w:t>®</w:t>
      </w:r>
      <w:r w:rsidRPr="003408A6">
        <w:rPr>
          <w:lang w:val="en-AU"/>
        </w:rPr>
        <w:t xml:space="preserve"> in males to be similar to the profile among females.</w:t>
      </w:r>
      <w:hyperlink w:anchor="_ENREF_90" w:tooltip=", 2013 #1325" w:history="1">
        <w:r w:rsidR="00F27F90" w:rsidRPr="003408A6">
          <w:rPr>
            <w:lang w:val="en-AU"/>
          </w:rPr>
          <w:fldChar w:fldCharType="begin"/>
        </w:r>
        <w:r w:rsidR="00F27F90">
          <w:rPr>
            <w:lang w:val="en-AU"/>
          </w:rPr>
          <w:instrText xml:space="preserve"> ADDIN EN.CITE &lt;EndNote&gt;&lt;Cite ExcludeAuth="1"&gt;&lt;Year&gt;2013&lt;/Year&gt;&lt;RecNum&gt;1325&lt;/RecNum&gt;&lt;DisplayText&gt;&lt;style face="superscript"&gt;90&lt;/style&gt;&lt;/DisplayText&gt;&lt;record&gt;&lt;rec-number&gt;1325&lt;/rec-number&gt;&lt;foreign-keys&gt;&lt;key app="EN" db-id="dda0wweazfww9besetpx2r5pt0asp9ztvs95"&gt;1325&lt;/key&gt;&lt;/foreign-keys&gt;&lt;ref-type name="Web Page"&gt;12&lt;/ref-type&gt;&lt;contributors&gt;&lt;/contributors&gt;&lt;titles&gt;&lt;title&gt;GACVS Safety update on HPV vaccines. Geneva, 13 June 2013&lt;/title&gt;&lt;/titles&gt;&lt;number&gt;5 December 2013&lt;/number&gt;&lt;dates&gt;&lt;year&gt;2013&lt;/year&gt;&lt;pub-dates&gt;&lt;date&gt;13th June 2013&lt;/date&gt;&lt;/pub-dates&gt;&lt;/dates&gt;&lt;pub-location&gt;Geneva&lt;/pub-location&gt;&lt;urls&gt;&lt;related-urls&gt;&lt;url&gt;http://www.who.int/vaccine_safety/committee/topics/hpv/130619HPV_VaccineGACVSstatement.pdf&lt;/url&gt;&lt;/related-urls&gt;&lt;/urls&gt;&lt;/record&gt;&lt;/Cite&gt;&lt;/EndNote&gt;</w:instrText>
        </w:r>
        <w:r w:rsidR="00F27F90" w:rsidRPr="003408A6">
          <w:rPr>
            <w:lang w:val="en-AU"/>
          </w:rPr>
          <w:fldChar w:fldCharType="separate"/>
        </w:r>
        <w:r w:rsidR="00F27F90" w:rsidRPr="00F27F90">
          <w:rPr>
            <w:noProof/>
            <w:vertAlign w:val="superscript"/>
            <w:lang w:val="en-AU"/>
          </w:rPr>
          <w:t>90</w:t>
        </w:r>
        <w:r w:rsidR="00F27F90" w:rsidRPr="003408A6">
          <w:rPr>
            <w:lang w:val="en-AU"/>
          </w:rPr>
          <w:fldChar w:fldCharType="end"/>
        </w:r>
      </w:hyperlink>
      <w:r w:rsidRPr="003408A6">
        <w:rPr>
          <w:lang w:val="en-AU"/>
        </w:rPr>
        <w:t xml:space="preserve"> </w:t>
      </w:r>
    </w:p>
    <w:p w:rsidR="00FC6A03" w:rsidRPr="003408A6" w:rsidRDefault="00FC6A03" w:rsidP="00FC6A03">
      <w:pPr>
        <w:pStyle w:val="Heading2"/>
      </w:pPr>
      <w:bookmarkStart w:id="177" w:name="_Toc396926135"/>
      <w:r w:rsidRPr="003408A6">
        <w:t>Conclusion</w:t>
      </w:r>
      <w:bookmarkEnd w:id="177"/>
    </w:p>
    <w:p w:rsidR="00FC6A03" w:rsidRPr="003408A6" w:rsidRDefault="00FC6A03" w:rsidP="009D694C">
      <w:pPr>
        <w:pStyle w:val="BodyText"/>
        <w:rPr>
          <w:lang w:val="en-AU"/>
        </w:rPr>
      </w:pPr>
      <w:r w:rsidRPr="003408A6">
        <w:rPr>
          <w:lang w:val="en-AU"/>
        </w:rPr>
        <w:t xml:space="preserve">The majority of AEFIs reported following implementation of the National HPV Vaccination Program for females and males were mild and transient. However, passive surveillance system data need to be </w:t>
      </w:r>
      <w:r w:rsidRPr="003408A6">
        <w:rPr>
          <w:szCs w:val="24"/>
          <w:lang w:val="en-AU"/>
        </w:rPr>
        <w:t>interpreted</w:t>
      </w:r>
      <w:r w:rsidRPr="003408A6">
        <w:rPr>
          <w:lang w:val="en-AU"/>
        </w:rPr>
        <w:t xml:space="preserve"> with caution due to factors such as under-reporting, incomplete reporting and events which are reported irrespective of causality being established. Overall, </w:t>
      </w:r>
      <w:r w:rsidR="003D71E5" w:rsidRPr="003408A6">
        <w:rPr>
          <w:lang w:val="en-AU"/>
        </w:rPr>
        <w:t>the</w:t>
      </w:r>
      <w:r w:rsidRPr="003408A6">
        <w:rPr>
          <w:lang w:val="en-AU"/>
        </w:rPr>
        <w:t xml:space="preserve"> national surveillance data provide evidence supporting the good safety profile of the HPV vaccine and are consistent with data from international spontaneous reporting systems. </w:t>
      </w:r>
    </w:p>
    <w:p w:rsidR="00BB2BF3" w:rsidRPr="003408A6" w:rsidRDefault="00BB2BF3" w:rsidP="009D694C">
      <w:pPr>
        <w:pStyle w:val="BodyText"/>
        <w:rPr>
          <w:lang w:val="en-AU"/>
        </w:rPr>
      </w:pPr>
      <w:bookmarkStart w:id="178" w:name="_Toc305598745"/>
      <w:bookmarkEnd w:id="73"/>
      <w:bookmarkEnd w:id="155"/>
      <w:bookmarkEnd w:id="156"/>
      <w:bookmarkEnd w:id="157"/>
      <w:r w:rsidRPr="003408A6">
        <w:rPr>
          <w:lang w:val="en-AU"/>
        </w:rPr>
        <w:br w:type="page"/>
      </w:r>
    </w:p>
    <w:p w:rsidR="001A7553" w:rsidRPr="003408A6" w:rsidRDefault="00563E90" w:rsidP="006D1A8B">
      <w:pPr>
        <w:pStyle w:val="Heading1"/>
      </w:pPr>
      <w:bookmarkStart w:id="179" w:name="_Toc396926136"/>
      <w:r w:rsidRPr="003408A6">
        <w:t>CHAPTER 5</w:t>
      </w:r>
      <w:r w:rsidR="001A7553" w:rsidRPr="003408A6">
        <w:t xml:space="preserve">. Disease </w:t>
      </w:r>
      <w:bookmarkEnd w:id="178"/>
      <w:r w:rsidRPr="003408A6">
        <w:t xml:space="preserve">impact: </w:t>
      </w:r>
      <w:r w:rsidR="00551528" w:rsidRPr="003408A6">
        <w:t>H</w:t>
      </w:r>
      <w:r w:rsidRPr="003408A6">
        <w:t>igh-grade</w:t>
      </w:r>
      <w:r w:rsidR="006F17CE" w:rsidRPr="003408A6">
        <w:t xml:space="preserve"> </w:t>
      </w:r>
      <w:r w:rsidR="00551528" w:rsidRPr="003408A6">
        <w:t xml:space="preserve">cervical </w:t>
      </w:r>
      <w:r w:rsidRPr="003408A6">
        <w:t>abnormalities</w:t>
      </w:r>
      <w:bookmarkEnd w:id="179"/>
    </w:p>
    <w:p w:rsidR="00563E90" w:rsidRPr="003408A6" w:rsidRDefault="00563E90">
      <w:r w:rsidRPr="003408A6">
        <w:br w:type="page"/>
      </w:r>
    </w:p>
    <w:p w:rsidR="002B01FE" w:rsidRPr="003408A6" w:rsidRDefault="002B01FE" w:rsidP="00DD7504">
      <w:pPr>
        <w:pStyle w:val="Heading2"/>
      </w:pPr>
      <w:bookmarkStart w:id="180" w:name="_Aim_1"/>
      <w:bookmarkStart w:id="181" w:name="_Toc368480194"/>
      <w:bookmarkStart w:id="182" w:name="_Toc396926137"/>
      <w:bookmarkEnd w:id="74"/>
      <w:bookmarkEnd w:id="180"/>
      <w:r w:rsidRPr="003408A6">
        <w:t>Aim</w:t>
      </w:r>
      <w:bookmarkEnd w:id="181"/>
      <w:r w:rsidR="00563E90" w:rsidRPr="003408A6">
        <w:t>s</w:t>
      </w:r>
      <w:bookmarkEnd w:id="182"/>
    </w:p>
    <w:p w:rsidR="002B01FE" w:rsidRPr="003408A6" w:rsidRDefault="002B01FE" w:rsidP="009D694C">
      <w:pPr>
        <w:pStyle w:val="BodyText"/>
        <w:rPr>
          <w:lang w:val="en-AU"/>
        </w:rPr>
      </w:pPr>
      <w:r w:rsidRPr="003408A6">
        <w:rPr>
          <w:lang w:val="en-AU"/>
        </w:rPr>
        <w:t xml:space="preserve">To assess patterns of uptake of cervical screening and </w:t>
      </w:r>
      <w:r w:rsidR="00205BE4">
        <w:rPr>
          <w:lang w:val="en-AU"/>
        </w:rPr>
        <w:t xml:space="preserve">trends in rates </w:t>
      </w:r>
      <w:r w:rsidR="00C11F26" w:rsidRPr="003408A6">
        <w:rPr>
          <w:lang w:val="en-AU"/>
        </w:rPr>
        <w:t xml:space="preserve">of </w:t>
      </w:r>
      <w:r w:rsidRPr="003408A6">
        <w:rPr>
          <w:lang w:val="en-AU"/>
        </w:rPr>
        <w:t xml:space="preserve">high-grade cervical abnormalities by age group in </w:t>
      </w:r>
      <w:r w:rsidRPr="003408A6">
        <w:rPr>
          <w:color w:val="000000"/>
          <w:lang w:val="en-AU"/>
        </w:rPr>
        <w:t>Australian</w:t>
      </w:r>
      <w:r w:rsidRPr="003408A6">
        <w:rPr>
          <w:lang w:val="en-AU"/>
        </w:rPr>
        <w:t xml:space="preserve"> </w:t>
      </w:r>
      <w:r w:rsidRPr="003408A6">
        <w:rPr>
          <w:color w:val="000000"/>
          <w:lang w:val="en-AU"/>
        </w:rPr>
        <w:t>females</w:t>
      </w:r>
      <w:r w:rsidRPr="003408A6">
        <w:rPr>
          <w:lang w:val="en-AU"/>
        </w:rPr>
        <w:t xml:space="preserve"> eligible and not eligible for the funded HPV </w:t>
      </w:r>
      <w:r w:rsidR="00205BE4">
        <w:rPr>
          <w:lang w:val="en-AU"/>
        </w:rPr>
        <w:t>v</w:t>
      </w:r>
      <w:r w:rsidRPr="003408A6">
        <w:rPr>
          <w:lang w:val="en-AU"/>
        </w:rPr>
        <w:t xml:space="preserve">accination </w:t>
      </w:r>
      <w:r w:rsidR="00205BE4">
        <w:rPr>
          <w:lang w:val="en-AU"/>
        </w:rPr>
        <w:t>p</w:t>
      </w:r>
      <w:r w:rsidRPr="003408A6">
        <w:rPr>
          <w:lang w:val="en-AU"/>
        </w:rPr>
        <w:t xml:space="preserve">rogram at a national level and by jurisdiction. </w:t>
      </w:r>
    </w:p>
    <w:p w:rsidR="002B01FE" w:rsidRPr="003408A6" w:rsidRDefault="002B01FE" w:rsidP="009D694C">
      <w:pPr>
        <w:pStyle w:val="BodyText"/>
        <w:rPr>
          <w:lang w:val="en-AU"/>
        </w:rPr>
      </w:pPr>
      <w:r w:rsidRPr="003408A6">
        <w:rPr>
          <w:lang w:val="en-AU"/>
        </w:rPr>
        <w:t>Specific objectives include:</w:t>
      </w:r>
    </w:p>
    <w:p w:rsidR="002B01FE" w:rsidRPr="003408A6" w:rsidRDefault="002B01FE" w:rsidP="009D694C">
      <w:pPr>
        <w:pStyle w:val="Bodytextlettered"/>
        <w:numPr>
          <w:ilvl w:val="0"/>
          <w:numId w:val="63"/>
        </w:numPr>
      </w:pPr>
      <w:r w:rsidRPr="003408A6">
        <w:t xml:space="preserve">To determine age-specific trends in high-grade cervical abnormalities, 2004 to 2011 </w:t>
      </w:r>
    </w:p>
    <w:p w:rsidR="002B01FE" w:rsidRPr="003408A6" w:rsidRDefault="002B01FE" w:rsidP="009D694C">
      <w:pPr>
        <w:pStyle w:val="Bodytextlettered"/>
      </w:pPr>
      <w:r w:rsidRPr="003408A6">
        <w:t xml:space="preserve">To quantify any reduction in prevalence of high-grade abnormalities </w:t>
      </w:r>
      <w:r w:rsidR="00551528" w:rsidRPr="003408A6">
        <w:t xml:space="preserve">(HGA) </w:t>
      </w:r>
      <w:r w:rsidRPr="003408A6">
        <w:t>by time period (</w:t>
      </w:r>
      <w:r w:rsidR="00205BE4">
        <w:t>‘</w:t>
      </w:r>
      <w:r w:rsidRPr="003408A6">
        <w:t>pre-</w:t>
      </w:r>
      <w:r w:rsidR="00205BE4">
        <w:t>vaccine’</w:t>
      </w:r>
      <w:r w:rsidRPr="003408A6">
        <w:t xml:space="preserve"> and </w:t>
      </w:r>
      <w:r w:rsidR="00205BE4">
        <w:t>‘</w:t>
      </w:r>
      <w:r w:rsidRPr="003408A6">
        <w:t>post-vaccine</w:t>
      </w:r>
      <w:r w:rsidR="00205BE4">
        <w:t>’</w:t>
      </w:r>
      <w:r w:rsidRPr="003408A6">
        <w:t xml:space="preserve">) in different age groups based on eligibility for the vaccine program.  </w:t>
      </w:r>
    </w:p>
    <w:p w:rsidR="002B01FE" w:rsidRPr="003408A6" w:rsidRDefault="002B01FE" w:rsidP="00485766">
      <w:pPr>
        <w:pStyle w:val="Heading2"/>
      </w:pPr>
      <w:bookmarkStart w:id="183" w:name="_Toc368480195"/>
      <w:bookmarkStart w:id="184" w:name="_Toc396926138"/>
      <w:r w:rsidRPr="003408A6">
        <w:t>Methods</w:t>
      </w:r>
      <w:bookmarkEnd w:id="183"/>
      <w:bookmarkEnd w:id="184"/>
    </w:p>
    <w:p w:rsidR="002B01FE" w:rsidRPr="003408A6" w:rsidRDefault="002B01FE" w:rsidP="009D694C">
      <w:pPr>
        <w:pStyle w:val="BodyText"/>
        <w:rPr>
          <w:lang w:val="en-AU"/>
        </w:rPr>
      </w:pPr>
      <w:r w:rsidRPr="003408A6">
        <w:rPr>
          <w:lang w:val="en-AU"/>
        </w:rPr>
        <w:t xml:space="preserve">This report provides a summary of cancer statistics across all </w:t>
      </w:r>
      <w:r w:rsidR="001320B0" w:rsidRPr="003408A6">
        <w:rPr>
          <w:lang w:val="en-AU"/>
        </w:rPr>
        <w:t>s</w:t>
      </w:r>
      <w:r w:rsidRPr="003408A6">
        <w:rPr>
          <w:lang w:val="en-AU"/>
        </w:rPr>
        <w:t xml:space="preserve">tates and </w:t>
      </w:r>
      <w:r w:rsidR="001320B0" w:rsidRPr="003408A6">
        <w:rPr>
          <w:lang w:val="en-AU"/>
        </w:rPr>
        <w:t>t</w:t>
      </w:r>
      <w:r w:rsidRPr="003408A6">
        <w:rPr>
          <w:lang w:val="en-AU"/>
        </w:rPr>
        <w:t>erritories in Australia. Information was taken from the Australia</w:t>
      </w:r>
      <w:r w:rsidR="00085D8C">
        <w:rPr>
          <w:lang w:val="en-AU"/>
        </w:rPr>
        <w:t>n</w:t>
      </w:r>
      <w:r w:rsidRPr="003408A6">
        <w:rPr>
          <w:lang w:val="en-AU"/>
        </w:rPr>
        <w:t xml:space="preserve"> Institute of Health and Welfare</w:t>
      </w:r>
      <w:r w:rsidR="003806B6" w:rsidRPr="003408A6">
        <w:rPr>
          <w:lang w:val="en-AU"/>
        </w:rPr>
        <w:t xml:space="preserve"> (</w:t>
      </w:r>
      <w:r w:rsidR="001302CA" w:rsidRPr="003408A6">
        <w:rPr>
          <w:lang w:val="en-AU"/>
        </w:rPr>
        <w:t>AIHW</w:t>
      </w:r>
      <w:r w:rsidR="003806B6" w:rsidRPr="003408A6">
        <w:rPr>
          <w:lang w:val="en-AU"/>
        </w:rPr>
        <w:t>)</w:t>
      </w:r>
      <w:r w:rsidRPr="003408A6">
        <w:rPr>
          <w:lang w:val="en-AU"/>
        </w:rPr>
        <w:t xml:space="preserve"> reports </w:t>
      </w:r>
      <w:r w:rsidRPr="003408A6">
        <w:rPr>
          <w:i/>
          <w:iCs/>
          <w:lang w:val="en-AU"/>
        </w:rPr>
        <w:t xml:space="preserve">Cervical Screening in Australia </w:t>
      </w:r>
      <w:r w:rsidRPr="003408A6">
        <w:rPr>
          <w:iCs/>
          <w:lang w:val="en-AU"/>
        </w:rPr>
        <w:t>published during 2011–2013</w:t>
      </w:r>
      <w:r w:rsidRPr="003408A6">
        <w:rPr>
          <w:lang w:val="en-AU"/>
        </w:rPr>
        <w:t>.</w:t>
      </w:r>
      <w:r w:rsidR="006D1565" w:rsidRPr="003408A6">
        <w:rPr>
          <w:lang w:val="en-AU"/>
        </w:rPr>
        <w:fldChar w:fldCharType="begin"/>
      </w:r>
      <w:r w:rsidR="00F27F90">
        <w:rPr>
          <w:lang w:val="en-AU"/>
        </w:rPr>
        <w:instrText xml:space="preserve"> ADDIN EN.CITE &lt;EndNote&gt;&lt;Cite&gt;&lt;Author&gt;Australian Institute of Health and Welfare (AIHW)&lt;/Author&gt;&lt;Year&gt;2011&lt;/Year&gt;&lt;RecNum&gt;1210&lt;/RecNum&gt;&lt;DisplayText&gt;&lt;style face="superscript"&gt;10,91,92&lt;/style&gt;&lt;/DisplayText&gt;&lt;record&gt;&lt;rec-number&gt;1210&lt;/rec-number&gt;&lt;foreign-keys&gt;&lt;key app="EN" db-id="dda0wweazfww9besetpx2r5pt0asp9ztvs95"&gt;1210&lt;/key&gt;&lt;/foreign-keys&gt;&lt;ref-type name="Report"&gt;27&lt;/ref-type&gt;&lt;contributors&gt;&lt;authors&gt;&lt;author&gt;Australian Institute of Health and Welfare (AIHW),&lt;/author&gt;&lt;/authors&gt;&lt;/contributors&gt;&lt;titles&gt;&lt;title&gt;Cervical Screening in Australia 2008-2009. Cancer series no. 61. Cat. no. CAN 57&lt;/title&gt;&lt;/titles&gt;&lt;dates&gt;&lt;year&gt;2011&lt;/year&gt;&lt;/dates&gt;&lt;pub-location&gt;Canberra&lt;/pub-location&gt;&lt;publisher&gt;AIHW&lt;/publisher&gt;&lt;urls&gt;&lt;/urls&gt;&lt;/record&gt;&lt;/Cite&gt;&lt;Cite&gt;&lt;Author&gt;Australian Institute of Health and Welfare (AIHW)&lt;/Author&gt;&lt;Year&gt;2012&lt;/Year&gt;&lt;RecNum&gt;1212&lt;/RecNum&gt;&lt;record&gt;&lt;rec-number&gt;1212&lt;/rec-number&gt;&lt;foreign-keys&gt;&lt;key app="EN" db-id="dda0wweazfww9besetpx2r5pt0asp9ztvs95"&gt;1212&lt;/key&gt;&lt;/foreign-keys&gt;&lt;ref-type name="Report"&gt;27&lt;/ref-type&gt;&lt;contributors&gt;&lt;authors&gt;&lt;author&gt;Australian Institute of Health and Welfare (AIHW),&lt;/author&gt;&lt;/authors&gt;&lt;/contributors&gt;&lt;titles&gt;&lt;title&gt;Cervical screening in Australia 2009-2010. Cancer series no. 67. Cat. no. CAN 63&lt;/title&gt;&lt;/titles&gt;&lt;dates&gt;&lt;year&gt;2012&lt;/year&gt;&lt;/dates&gt;&lt;pub-location&gt;Canberra&lt;/pub-location&gt;&lt;publisher&gt;AIHW&lt;/publisher&gt;&lt;urls&gt;&lt;/urls&gt;&lt;/record&gt;&lt;/Cite&gt;&lt;Cite&gt;&lt;Author&gt;Australian Institute of Health and Welfare (AIHW)&lt;/Author&gt;&lt;Year&gt;2013&lt;/Year&gt;&lt;RecNum&gt;1253&lt;/RecNum&gt;&lt;record&gt;&lt;rec-number&gt;1253&lt;/rec-number&gt;&lt;foreign-keys&gt;&lt;key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72&lt;/title&gt;&lt;/titles&gt;&lt;dates&gt;&lt;year&gt;2013&lt;/year&gt;&lt;/dates&gt;&lt;pub-location&gt;Canberra&lt;/pub-location&gt;&lt;publisher&gt;AIHW&lt;/publisher&gt;&lt;urls&gt;&lt;/urls&gt;&lt;/record&gt;&lt;/Cite&gt;&lt;/EndNote&gt;</w:instrText>
      </w:r>
      <w:r w:rsidR="006D1565" w:rsidRPr="003408A6">
        <w:rPr>
          <w:lang w:val="en-AU"/>
        </w:rPr>
        <w:fldChar w:fldCharType="separate"/>
      </w:r>
      <w:hyperlink w:anchor="_ENREF_10" w:tooltip="Australian Institute of Health and Welfare (AIHW), 2012 #1212" w:history="1">
        <w:r w:rsidR="00F27F90" w:rsidRPr="00F27F90">
          <w:rPr>
            <w:noProof/>
            <w:vertAlign w:val="superscript"/>
            <w:lang w:val="en-AU"/>
          </w:rPr>
          <w:t>10</w:t>
        </w:r>
      </w:hyperlink>
      <w:r w:rsidR="00F27F90" w:rsidRPr="00F27F90">
        <w:rPr>
          <w:noProof/>
          <w:vertAlign w:val="superscript"/>
          <w:lang w:val="en-AU"/>
        </w:rPr>
        <w:t>,</w:t>
      </w:r>
      <w:hyperlink w:anchor="_ENREF_91" w:tooltip="Australian Institute of Health and Welfare (AIHW), 2011 #1210" w:history="1">
        <w:r w:rsidR="00F27F90" w:rsidRPr="00F27F90">
          <w:rPr>
            <w:noProof/>
            <w:vertAlign w:val="superscript"/>
            <w:lang w:val="en-AU"/>
          </w:rPr>
          <w:t>91</w:t>
        </w:r>
      </w:hyperlink>
      <w:r w:rsidR="00F27F90" w:rsidRPr="00F27F90">
        <w:rPr>
          <w:noProof/>
          <w:vertAlign w:val="superscript"/>
          <w:lang w:val="en-AU"/>
        </w:rPr>
        <w:t>,</w:t>
      </w:r>
      <w:hyperlink w:anchor="_ENREF_92" w:tooltip="Australian Institute of Health and Welfare (AIHW), 2013 #1253" w:history="1">
        <w:r w:rsidR="00F27F90" w:rsidRPr="00F27F90">
          <w:rPr>
            <w:noProof/>
            <w:vertAlign w:val="superscript"/>
            <w:lang w:val="en-AU"/>
          </w:rPr>
          <w:t>92</w:t>
        </w:r>
      </w:hyperlink>
      <w:r w:rsidR="006D1565" w:rsidRPr="003408A6">
        <w:rPr>
          <w:lang w:val="en-AU"/>
        </w:rPr>
        <w:fldChar w:fldCharType="end"/>
      </w:r>
      <w:r w:rsidRPr="003408A6">
        <w:rPr>
          <w:lang w:val="en-AU"/>
        </w:rPr>
        <w:t xml:space="preserve"> All data, including data presented in graphs, are from th</w:t>
      </w:r>
      <w:r w:rsidR="00C11F26" w:rsidRPr="003408A6">
        <w:rPr>
          <w:lang w:val="en-AU"/>
        </w:rPr>
        <w:t>ese</w:t>
      </w:r>
      <w:r w:rsidRPr="003408A6">
        <w:rPr>
          <w:lang w:val="en-AU"/>
        </w:rPr>
        <w:t xml:space="preserve"> report</w:t>
      </w:r>
      <w:r w:rsidR="00C11F26" w:rsidRPr="003408A6">
        <w:rPr>
          <w:lang w:val="en-AU"/>
        </w:rPr>
        <w:t>s</w:t>
      </w:r>
      <w:r w:rsidRPr="003408A6">
        <w:rPr>
          <w:lang w:val="en-AU"/>
        </w:rPr>
        <w:t xml:space="preserve"> unless otherwise specified. </w:t>
      </w:r>
    </w:p>
    <w:p w:rsidR="002B01FE" w:rsidRPr="003408A6" w:rsidRDefault="002B01FE" w:rsidP="009D694C">
      <w:pPr>
        <w:pStyle w:val="BodyText"/>
        <w:rPr>
          <w:lang w:val="en-AU"/>
        </w:rPr>
      </w:pPr>
      <w:r w:rsidRPr="003408A6">
        <w:rPr>
          <w:lang w:val="en-AU"/>
        </w:rPr>
        <w:t xml:space="preserve">These reports are compiled using data on the number of females screened and results of screening tests obtained from the eight jurisdictionally based cervical cytology registries (‘Pap Test Registers’), all of which report standardised data on a regular basis to AIHW for monitoring of the </w:t>
      </w:r>
      <w:r w:rsidR="00C11F26" w:rsidRPr="003408A6">
        <w:rPr>
          <w:color w:val="000000"/>
          <w:lang w:val="en-AU"/>
        </w:rPr>
        <w:t>National Cervical Screening Program</w:t>
      </w:r>
      <w:r w:rsidR="00C11F26" w:rsidRPr="003408A6">
        <w:rPr>
          <w:lang w:val="en-AU"/>
        </w:rPr>
        <w:t xml:space="preserve"> (</w:t>
      </w:r>
      <w:r w:rsidRPr="003408A6">
        <w:rPr>
          <w:lang w:val="en-AU"/>
        </w:rPr>
        <w:t>NCSP</w:t>
      </w:r>
      <w:r w:rsidR="00C11F26" w:rsidRPr="003408A6">
        <w:rPr>
          <w:lang w:val="en-AU"/>
        </w:rPr>
        <w:t>)</w:t>
      </w:r>
      <w:r w:rsidRPr="003408A6">
        <w:rPr>
          <w:lang w:val="en-AU"/>
        </w:rPr>
        <w:t>. The data need to be considered as accurate for a specific point in time. Subsequent results or clinical information received by the registries is not updated to AIHW.</w:t>
      </w:r>
      <w:hyperlink w:anchor="_ENREF_92" w:tooltip="Australian Institute of Health and Welfare (AIHW), 2013 #1253" w:history="1">
        <w:r w:rsidR="00F27F90" w:rsidRPr="003408A6">
          <w:rPr>
            <w:lang w:val="en-AU"/>
          </w:rPr>
          <w:fldChar w:fldCharType="begin"/>
        </w:r>
        <w:r w:rsidR="00F27F90">
          <w:rPr>
            <w:lang w:val="en-AU"/>
          </w:rPr>
          <w:instrText xml:space="preserve"> ADDIN EN.CITE &lt;EndNote&gt;&lt;Cite&gt;&lt;Author&gt;Australian Institute of Health and Welfare (AIHW)&lt;/Author&gt;&lt;Year&gt;2013&lt;/Year&gt;&lt;RecNum&gt;1253&lt;/RecNum&gt;&lt;DisplayText&gt;&lt;style face="superscript"&gt;92&lt;/style&gt;&lt;/DisplayText&gt;&lt;record&gt;&lt;rec-number&gt;1253&lt;/rec-number&gt;&lt;foreign-keys&gt;&lt;key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72&lt;/title&gt;&lt;/titles&gt;&lt;dates&gt;&lt;year&gt;2013&lt;/year&gt;&lt;/dates&gt;&lt;pub-location&gt;Canberra&lt;/pub-location&gt;&lt;publisher&gt;AIHW&lt;/publisher&gt;&lt;urls&gt;&lt;/urls&gt;&lt;/record&gt;&lt;/Cite&gt;&lt;/EndNote&gt;</w:instrText>
        </w:r>
        <w:r w:rsidR="00F27F90" w:rsidRPr="003408A6">
          <w:rPr>
            <w:lang w:val="en-AU"/>
          </w:rPr>
          <w:fldChar w:fldCharType="separate"/>
        </w:r>
        <w:r w:rsidR="00F27F90" w:rsidRPr="00F27F90">
          <w:rPr>
            <w:noProof/>
            <w:vertAlign w:val="superscript"/>
            <w:lang w:val="en-AU"/>
          </w:rPr>
          <w:t>92</w:t>
        </w:r>
        <w:r w:rsidR="00F27F90" w:rsidRPr="003408A6">
          <w:rPr>
            <w:lang w:val="en-AU"/>
          </w:rPr>
          <w:fldChar w:fldCharType="end"/>
        </w:r>
      </w:hyperlink>
      <w:r w:rsidRPr="003408A6">
        <w:rPr>
          <w:lang w:val="en-AU"/>
        </w:rPr>
        <w:t xml:space="preserve"> Data collected from cytology registries aims to monitor the effectiveness of the NCSP using performance indicators for participation, rescreening, cytology, histology, and the cytology</w:t>
      </w:r>
      <w:r w:rsidR="00C11F26" w:rsidRPr="003408A6">
        <w:rPr>
          <w:lang w:val="en-AU"/>
        </w:rPr>
        <w:t>–</w:t>
      </w:r>
      <w:r w:rsidRPr="003408A6">
        <w:rPr>
          <w:lang w:val="en-AU"/>
        </w:rPr>
        <w:t>histology correlation.</w:t>
      </w:r>
      <w:hyperlink w:anchor="_ENREF_92" w:tooltip="Australian Institute of Health and Welfare (AIHW), 2013 #1253" w:history="1">
        <w:r w:rsidR="00F27F90" w:rsidRPr="003408A6">
          <w:rPr>
            <w:lang w:val="en-AU"/>
          </w:rPr>
          <w:fldChar w:fldCharType="begin"/>
        </w:r>
        <w:r w:rsidR="00F27F90">
          <w:rPr>
            <w:lang w:val="en-AU"/>
          </w:rPr>
          <w:instrText xml:space="preserve"> ADDIN EN.CITE &lt;EndNote&gt;&lt;Cite&gt;&lt;Author&gt;Australian Institute of Health and Welfare (AIHW)&lt;/Author&gt;&lt;Year&gt;2013&lt;/Year&gt;&lt;RecNum&gt;1253&lt;/RecNum&gt;&lt;DisplayText&gt;&lt;style face="superscript"&gt;92&lt;/style&gt;&lt;/DisplayText&gt;&lt;record&gt;&lt;rec-number&gt;1253&lt;/rec-number&gt;&lt;foreign-keys&gt;&lt;key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72&lt;/title&gt;&lt;/titles&gt;&lt;dates&gt;&lt;year&gt;2013&lt;/year&gt;&lt;/dates&gt;&lt;pub-location&gt;Canberra&lt;/pub-location&gt;&lt;publisher&gt;AIHW&lt;/publisher&gt;&lt;urls&gt;&lt;/urls&gt;&lt;/record&gt;&lt;/Cite&gt;&lt;/EndNote&gt;</w:instrText>
        </w:r>
        <w:r w:rsidR="00F27F90" w:rsidRPr="003408A6">
          <w:rPr>
            <w:lang w:val="en-AU"/>
          </w:rPr>
          <w:fldChar w:fldCharType="separate"/>
        </w:r>
        <w:r w:rsidR="00F27F90" w:rsidRPr="00F27F90">
          <w:rPr>
            <w:noProof/>
            <w:vertAlign w:val="superscript"/>
            <w:lang w:val="en-AU"/>
          </w:rPr>
          <w:t>92</w:t>
        </w:r>
        <w:r w:rsidR="00F27F90" w:rsidRPr="003408A6">
          <w:rPr>
            <w:lang w:val="en-AU"/>
          </w:rPr>
          <w:fldChar w:fldCharType="end"/>
        </w:r>
      </w:hyperlink>
      <w:r w:rsidRPr="003408A6">
        <w:rPr>
          <w:lang w:val="en-AU"/>
        </w:rPr>
        <w:t xml:space="preserve">  </w:t>
      </w:r>
    </w:p>
    <w:p w:rsidR="002B01FE" w:rsidRPr="003408A6" w:rsidRDefault="002B01FE" w:rsidP="009D694C">
      <w:pPr>
        <w:pStyle w:val="BodyText"/>
        <w:rPr>
          <w:color w:val="000000"/>
          <w:lang w:val="en-AU"/>
        </w:rPr>
      </w:pPr>
      <w:r w:rsidRPr="003408A6">
        <w:rPr>
          <w:lang w:val="en-AU"/>
        </w:rPr>
        <w:t>The analysis was an ecologic design with comparisons between 2004</w:t>
      </w:r>
      <w:r w:rsidR="00C11F26" w:rsidRPr="003408A6">
        <w:rPr>
          <w:lang w:val="en-AU"/>
        </w:rPr>
        <w:t>–</w:t>
      </w:r>
      <w:r w:rsidRPr="003408A6">
        <w:rPr>
          <w:lang w:val="en-AU"/>
        </w:rPr>
        <w:t>2007 and 2008</w:t>
      </w:r>
      <w:r w:rsidR="00C11F26" w:rsidRPr="003408A6">
        <w:rPr>
          <w:lang w:val="en-AU"/>
        </w:rPr>
        <w:t>–</w:t>
      </w:r>
      <w:r w:rsidRPr="003408A6">
        <w:rPr>
          <w:lang w:val="en-AU"/>
        </w:rPr>
        <w:t xml:space="preserve">2011. The years 2008–2011 </w:t>
      </w:r>
      <w:r w:rsidR="00205BE4">
        <w:rPr>
          <w:lang w:val="en-AU"/>
        </w:rPr>
        <w:t>were</w:t>
      </w:r>
      <w:r w:rsidRPr="003408A6">
        <w:rPr>
          <w:lang w:val="en-AU"/>
        </w:rPr>
        <w:t xml:space="preserve"> considered as the post-vaccine period as the National HPV Vaccination Program commenced in April 2007. </w:t>
      </w:r>
      <w:r w:rsidRPr="003408A6">
        <w:rPr>
          <w:color w:val="000000"/>
          <w:lang w:val="en-AU"/>
        </w:rPr>
        <w:t xml:space="preserve">The </w:t>
      </w:r>
      <w:r w:rsidR="00006FDF" w:rsidRPr="003408A6">
        <w:rPr>
          <w:color w:val="000000"/>
          <w:lang w:val="en-AU"/>
        </w:rPr>
        <w:t>3</w:t>
      </w:r>
      <w:r w:rsidRPr="003408A6">
        <w:rPr>
          <w:color w:val="000000"/>
          <w:lang w:val="en-AU"/>
        </w:rPr>
        <w:t>-dose schedule over a 6-month period and the time required for a</w:t>
      </w:r>
      <w:r w:rsidR="00C11F26" w:rsidRPr="003408A6">
        <w:rPr>
          <w:color w:val="000000"/>
          <w:lang w:val="en-AU"/>
        </w:rPr>
        <w:t>n</w:t>
      </w:r>
      <w:r w:rsidRPr="003408A6">
        <w:rPr>
          <w:color w:val="000000"/>
          <w:lang w:val="en-AU"/>
        </w:rPr>
        <w:t xml:space="preserve"> HPV incident infection to progress to a clinically detected high-grade cervical abnormality would render it extremely unlikely that the vaccine would have any impact on HGAs during 2007.  </w:t>
      </w:r>
    </w:p>
    <w:p w:rsidR="002B01FE" w:rsidRPr="003408A6" w:rsidRDefault="002B01FE" w:rsidP="009D694C">
      <w:pPr>
        <w:pStyle w:val="BodyText"/>
        <w:rPr>
          <w:color w:val="000000"/>
          <w:lang w:val="en-AU"/>
        </w:rPr>
      </w:pPr>
      <w:r w:rsidRPr="003408A6">
        <w:rPr>
          <w:lang w:val="en-AU"/>
        </w:rPr>
        <w:t xml:space="preserve">The annual rate of females attending screening was assessed according to age using </w:t>
      </w:r>
      <w:r w:rsidR="00270D0B" w:rsidRPr="003408A6">
        <w:rPr>
          <w:lang w:val="en-AU"/>
        </w:rPr>
        <w:t>ABS</w:t>
      </w:r>
      <w:r w:rsidRPr="003408A6">
        <w:rPr>
          <w:lang w:val="en-AU"/>
        </w:rPr>
        <w:t xml:space="preserve"> census data as the denominator. </w:t>
      </w:r>
      <w:r w:rsidRPr="003408A6">
        <w:rPr>
          <w:rStyle w:val="CommentReference"/>
          <w:sz w:val="22"/>
          <w:szCs w:val="22"/>
          <w:lang w:val="en-AU"/>
        </w:rPr>
        <w:t xml:space="preserve">The </w:t>
      </w:r>
      <w:r w:rsidRPr="003408A6">
        <w:rPr>
          <w:color w:val="000000"/>
          <w:lang w:val="en-AU"/>
        </w:rPr>
        <w:t xml:space="preserve">population was adjusted to include only </w:t>
      </w:r>
      <w:r w:rsidRPr="003408A6">
        <w:rPr>
          <w:lang w:val="en-AU"/>
        </w:rPr>
        <w:t>females</w:t>
      </w:r>
      <w:r w:rsidRPr="003408A6">
        <w:rPr>
          <w:color w:val="000000"/>
          <w:lang w:val="en-AU"/>
        </w:rPr>
        <w:t xml:space="preserve"> with an intact uterus (and cervix) using age-specific hysterectomy fractions derived from the National Hospital Morbidity Database (NHMD).</w:t>
      </w:r>
      <w:hyperlink w:anchor="_ENREF_92" w:tooltip="Australian Institute of Health and Welfare (AIHW), 2013 #1253" w:history="1">
        <w:r w:rsidR="00F27F90" w:rsidRPr="003408A6">
          <w:rPr>
            <w:color w:val="000000"/>
            <w:lang w:val="en-AU"/>
          </w:rPr>
          <w:fldChar w:fldCharType="begin"/>
        </w:r>
        <w:r w:rsidR="00F27F90">
          <w:rPr>
            <w:color w:val="000000"/>
            <w:lang w:val="en-AU"/>
          </w:rPr>
          <w:instrText xml:space="preserve"> ADDIN EN.CITE &lt;EndNote&gt;&lt;Cite&gt;&lt;Author&gt;Australian Institute of Health and Welfare (AIHW)&lt;/Author&gt;&lt;Year&gt;2013&lt;/Year&gt;&lt;RecNum&gt;1253&lt;/RecNum&gt;&lt;DisplayText&gt;&lt;style face="superscript"&gt;92&lt;/style&gt;&lt;/DisplayText&gt;&lt;record&gt;&lt;rec-number&gt;1253&lt;/rec-number&gt;&lt;foreign-keys&gt;&lt;key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72&lt;/title&gt;&lt;/titles&gt;&lt;dates&gt;&lt;year&gt;2013&lt;/year&gt;&lt;/dates&gt;&lt;pub-location&gt;Canberra&lt;/pub-location&gt;&lt;publisher&gt;AIHW&lt;/publisher&gt;&lt;urls&gt;&lt;/urls&gt;&lt;/record&gt;&lt;/Cite&gt;&lt;/EndNote&gt;</w:instrText>
        </w:r>
        <w:r w:rsidR="00F27F90" w:rsidRPr="003408A6">
          <w:rPr>
            <w:color w:val="000000"/>
            <w:lang w:val="en-AU"/>
          </w:rPr>
          <w:fldChar w:fldCharType="separate"/>
        </w:r>
        <w:r w:rsidR="00F27F90" w:rsidRPr="00F27F90">
          <w:rPr>
            <w:noProof/>
            <w:color w:val="000000"/>
            <w:vertAlign w:val="superscript"/>
            <w:lang w:val="en-AU"/>
          </w:rPr>
          <w:t>92</w:t>
        </w:r>
        <w:r w:rsidR="00F27F90" w:rsidRPr="003408A6">
          <w:rPr>
            <w:color w:val="000000"/>
            <w:lang w:val="en-AU"/>
          </w:rPr>
          <w:fldChar w:fldCharType="end"/>
        </w:r>
      </w:hyperlink>
      <w:r w:rsidRPr="003408A6">
        <w:rPr>
          <w:color w:val="000000"/>
          <w:lang w:val="en-AU"/>
        </w:rPr>
        <w:t xml:space="preserve"> </w:t>
      </w:r>
      <w:r w:rsidR="004E5EBC" w:rsidRPr="004E5EBC">
        <w:rPr>
          <w:color w:val="000000"/>
          <w:lang w:val="en-AU"/>
        </w:rPr>
        <w:t>The NHMD is a comprehensive dataset of all separations of patients admitted to public and private hospitals in Australia, compiled from data supplied by state and territory health authorities. It includes data from virtually all public and private hospitals in Australia.</w:t>
      </w:r>
      <w:hyperlink w:anchor="_ENREF_93" w:tooltip="Australian Institute of Health and Welfare, 2013 #1278" w:history="1">
        <w:r w:rsidR="00F27F90">
          <w:rPr>
            <w:color w:val="000000"/>
            <w:lang w:val="en-AU"/>
          </w:rPr>
          <w:fldChar w:fldCharType="begin"/>
        </w:r>
        <w:r w:rsidR="00F27F90">
          <w:rPr>
            <w:color w:val="000000"/>
            <w:lang w:val="en-AU"/>
          </w:rPr>
          <w:instrText xml:space="preserve"> ADDIN EN.CITE &lt;EndNote&gt;&lt;Cite&gt;&lt;Author&gt;Australian Institute of Health and Welfare&lt;/Author&gt;&lt;Year&gt;2013&lt;/Year&gt;&lt;RecNum&gt;1278&lt;/RecNum&gt;&lt;DisplayText&gt;&lt;style face="superscript"&gt;93&lt;/style&gt;&lt;/DisplayText&gt;&lt;record&gt;&lt;rec-number&gt;1278&lt;/rec-number&gt;&lt;foreign-keys&gt;&lt;key app="EN" db-id="dda0wweazfww9besetpx2r5pt0asp9ztvs95"&gt;1278&lt;/key&gt;&lt;/foreign-keys&gt;&lt;ref-type name="Web Page"&gt;12&lt;/ref-type&gt;&lt;contributors&gt;&lt;authors&gt;&lt;author&gt;Australian Institute of Health and Welfare,&lt;/author&gt;&lt;/authors&gt;&lt;/contributors&gt;&lt;titles&gt;&lt;title&gt;National Hospital Morbidity Database: scope of the database&lt;/title&gt;&lt;/titles&gt;&lt;number&gt;24 October 2013&lt;/number&gt;&lt;dates&gt;&lt;year&gt;2013&lt;/year&gt;&lt;pub-dates&gt;&lt;date&gt;2013&lt;/date&gt;&lt;/pub-dates&gt;&lt;/dates&gt;&lt;urls&gt;&lt;related-urls&gt;&lt;url&gt;http://www.aihw.gov.au/data-source/#scope&lt;/url&gt;&lt;/related-urls&gt;&lt;/urls&gt;&lt;custom2&gt;24/10/2013&lt;/custom2&gt;&lt;/record&gt;&lt;/Cite&gt;&lt;/EndNote&gt;</w:instrText>
        </w:r>
        <w:r w:rsidR="00F27F90">
          <w:rPr>
            <w:color w:val="000000"/>
            <w:lang w:val="en-AU"/>
          </w:rPr>
          <w:fldChar w:fldCharType="separate"/>
        </w:r>
        <w:r w:rsidR="00F27F90" w:rsidRPr="00F27F90">
          <w:rPr>
            <w:noProof/>
            <w:color w:val="000000"/>
            <w:vertAlign w:val="superscript"/>
            <w:lang w:val="en-AU"/>
          </w:rPr>
          <w:t>93</w:t>
        </w:r>
        <w:r w:rsidR="00F27F90">
          <w:rPr>
            <w:color w:val="000000"/>
            <w:lang w:val="en-AU"/>
          </w:rPr>
          <w:fldChar w:fldCharType="end"/>
        </w:r>
      </w:hyperlink>
      <w:r w:rsidR="00AA5BBB">
        <w:rPr>
          <w:color w:val="000000"/>
          <w:lang w:val="en-AU"/>
        </w:rPr>
        <w:t xml:space="preserve"> </w:t>
      </w:r>
      <w:r w:rsidRPr="003408A6">
        <w:rPr>
          <w:lang w:val="en-AU"/>
        </w:rPr>
        <w:t>Females</w:t>
      </w:r>
      <w:r w:rsidRPr="003408A6">
        <w:rPr>
          <w:color w:val="000000"/>
          <w:lang w:val="en-AU"/>
        </w:rPr>
        <w:t xml:space="preserve"> who </w:t>
      </w:r>
      <w:r w:rsidRPr="003408A6">
        <w:rPr>
          <w:lang w:val="en-AU"/>
        </w:rPr>
        <w:t>have</w:t>
      </w:r>
      <w:r w:rsidRPr="003408A6">
        <w:rPr>
          <w:color w:val="000000"/>
          <w:lang w:val="en-AU"/>
        </w:rPr>
        <w:t xml:space="preserve"> had a hysterectomy are not at risk of cervical cancer. It is important to note that the NCSP recommend</w:t>
      </w:r>
      <w:r w:rsidR="002F4480" w:rsidRPr="003408A6">
        <w:rPr>
          <w:color w:val="000000"/>
          <w:lang w:val="en-AU"/>
        </w:rPr>
        <w:t>s</w:t>
      </w:r>
      <w:r w:rsidRPr="003408A6">
        <w:rPr>
          <w:color w:val="000000"/>
          <w:lang w:val="en-AU"/>
        </w:rPr>
        <w:t xml:space="preserve"> screening biannually and hence report</w:t>
      </w:r>
      <w:r w:rsidR="00C11F26" w:rsidRPr="003408A6">
        <w:rPr>
          <w:color w:val="000000"/>
          <w:lang w:val="en-AU"/>
        </w:rPr>
        <w:t>s</w:t>
      </w:r>
      <w:r w:rsidRPr="003408A6">
        <w:rPr>
          <w:color w:val="000000"/>
          <w:lang w:val="en-AU"/>
        </w:rPr>
        <w:t xml:space="preserve"> screening participation over </w:t>
      </w:r>
      <w:r w:rsidR="00006FDF" w:rsidRPr="003408A6">
        <w:rPr>
          <w:color w:val="000000"/>
          <w:lang w:val="en-AU"/>
        </w:rPr>
        <w:t xml:space="preserve">2 </w:t>
      </w:r>
      <w:r w:rsidRPr="003408A6">
        <w:rPr>
          <w:color w:val="000000"/>
          <w:lang w:val="en-AU"/>
        </w:rPr>
        <w:t xml:space="preserve">years. In this report, we have calculated </w:t>
      </w:r>
      <w:r w:rsidRPr="003408A6">
        <w:rPr>
          <w:lang w:val="en-AU"/>
        </w:rPr>
        <w:t xml:space="preserve">annual screening rates to determine if </w:t>
      </w:r>
      <w:r w:rsidR="00C11F26" w:rsidRPr="003408A6">
        <w:rPr>
          <w:lang w:val="en-AU"/>
        </w:rPr>
        <w:t xml:space="preserve">there were </w:t>
      </w:r>
      <w:r w:rsidRPr="003408A6">
        <w:rPr>
          <w:lang w:val="en-AU"/>
        </w:rPr>
        <w:t>any changes in screening patterns on a yearly basis.</w:t>
      </w:r>
    </w:p>
    <w:p w:rsidR="002B01FE" w:rsidRPr="003408A6" w:rsidRDefault="002B01FE" w:rsidP="009D694C">
      <w:pPr>
        <w:pStyle w:val="BodyText"/>
        <w:rPr>
          <w:lang w:val="en-AU"/>
        </w:rPr>
      </w:pPr>
      <w:r w:rsidRPr="003408A6">
        <w:rPr>
          <w:lang w:val="en-AU"/>
        </w:rPr>
        <w:t>Histopathologically defined HGA</w:t>
      </w:r>
      <w:r w:rsidR="00071E17" w:rsidRPr="003408A6">
        <w:rPr>
          <w:lang w:val="en-AU"/>
        </w:rPr>
        <w:t>s</w:t>
      </w:r>
      <w:r w:rsidRPr="003408A6">
        <w:rPr>
          <w:lang w:val="en-AU"/>
        </w:rPr>
        <w:t xml:space="preserve"> include lesions coded as cervical intraepithelial neoplasia of grade 2</w:t>
      </w:r>
      <w:r w:rsidR="00C11F26" w:rsidRPr="003408A6">
        <w:rPr>
          <w:lang w:val="en-AU"/>
        </w:rPr>
        <w:t xml:space="preserve"> </w:t>
      </w:r>
      <w:r w:rsidRPr="003408A6">
        <w:rPr>
          <w:lang w:val="en-AU"/>
        </w:rPr>
        <w:t>(CIN 2) or 3 (CIN 3), adenocarcinoma in situ or endocervical dysplasia. HGAs detected only by cytology were excluded, as a referral for biopsy, with subsequent histologic examination, is routine following detection of HGA by cytology.</w:t>
      </w:r>
      <w:hyperlink w:anchor="_ENREF_94" w:tooltip="National Cervical Screening Program, 2006 #1220" w:history="1">
        <w:r w:rsidR="00F27F90" w:rsidRPr="003408A6">
          <w:rPr>
            <w:lang w:val="en-AU"/>
          </w:rPr>
          <w:fldChar w:fldCharType="begin"/>
        </w:r>
        <w:r w:rsidR="00F27F90">
          <w:rPr>
            <w:lang w:val="en-AU"/>
          </w:rPr>
          <w:instrText xml:space="preserve"> ADDIN EN.CITE &lt;EndNote&gt;&lt;Cite&gt;&lt;Author&gt;National Cervical Screening Program&lt;/Author&gt;&lt;Year&gt;2006&lt;/Year&gt;&lt;RecNum&gt;1220&lt;/RecNum&gt;&lt;DisplayText&gt;&lt;style face="superscript"&gt;94&lt;/style&gt;&lt;/DisplayText&gt;&lt;record&gt;&lt;rec-number&gt;1220&lt;/rec-number&gt;&lt;foreign-keys&gt;&lt;key app="EN" db-id="dda0wweazfww9besetpx2r5pt0asp9ztvs95"&gt;1220&lt;/key&gt;&lt;/foreign-keys&gt;&lt;ref-type name="Report"&gt;27&lt;/ref-type&gt;&lt;contributors&gt;&lt;authors&gt;&lt;author&gt;National Cervical Screening Program,&lt;/author&gt;&lt;/authors&gt;&lt;/contributors&gt;&lt;titles&gt;&lt;title&gt;An abnormal Pap smear result - what this means for you&lt;/title&gt;&lt;/titles&gt;&lt;dates&gt;&lt;year&gt;2006&lt;/year&gt;&lt;/dates&gt;&lt;pub-location&gt;Canberra&lt;/pub-location&gt;&lt;publisher&gt;Australian Government&lt;/publisher&gt;&lt;urls&gt;&lt;/urls&gt;&lt;/record&gt;&lt;/Cite&gt;&lt;/EndNote&gt;</w:instrText>
        </w:r>
        <w:r w:rsidR="00F27F90" w:rsidRPr="003408A6">
          <w:rPr>
            <w:lang w:val="en-AU"/>
          </w:rPr>
          <w:fldChar w:fldCharType="separate"/>
        </w:r>
        <w:r w:rsidR="00F27F90" w:rsidRPr="00F27F90">
          <w:rPr>
            <w:noProof/>
            <w:vertAlign w:val="superscript"/>
            <w:lang w:val="en-AU"/>
          </w:rPr>
          <w:t>94</w:t>
        </w:r>
        <w:r w:rsidR="00F27F90" w:rsidRPr="003408A6">
          <w:rPr>
            <w:lang w:val="en-AU"/>
          </w:rPr>
          <w:fldChar w:fldCharType="end"/>
        </w:r>
      </w:hyperlink>
      <w:r w:rsidRPr="003408A6">
        <w:rPr>
          <w:lang w:val="en-AU"/>
        </w:rPr>
        <w:t xml:space="preserve">  </w:t>
      </w:r>
    </w:p>
    <w:p w:rsidR="002B01FE" w:rsidRPr="003408A6" w:rsidRDefault="002B01FE" w:rsidP="009D694C">
      <w:pPr>
        <w:pStyle w:val="BodyText"/>
        <w:rPr>
          <w:lang w:val="en-AU"/>
        </w:rPr>
      </w:pPr>
      <w:r w:rsidRPr="003408A6">
        <w:rPr>
          <w:lang w:val="en-AU"/>
        </w:rPr>
        <w:t xml:space="preserve">Data on numbers of females screened and numbers of </w:t>
      </w:r>
      <w:r w:rsidR="00071E17" w:rsidRPr="003408A6">
        <w:rPr>
          <w:lang w:val="en-AU"/>
        </w:rPr>
        <w:t>HGAs</w:t>
      </w:r>
      <w:r w:rsidRPr="003408A6">
        <w:rPr>
          <w:lang w:val="en-AU"/>
        </w:rPr>
        <w:t xml:space="preserve"> detected from 2004 to 2011</w:t>
      </w:r>
      <w:r w:rsidR="00C11F26" w:rsidRPr="003408A6">
        <w:rPr>
          <w:lang w:val="en-AU"/>
        </w:rPr>
        <w:t xml:space="preserve"> </w:t>
      </w:r>
      <w:r w:rsidRPr="003408A6">
        <w:rPr>
          <w:lang w:val="en-AU"/>
        </w:rPr>
        <w:t>(2004–2007</w:t>
      </w:r>
      <w:r w:rsidR="00205BE4">
        <w:rPr>
          <w:lang w:val="en-AU"/>
        </w:rPr>
        <w:t>,</w:t>
      </w:r>
      <w:r w:rsidRPr="003408A6">
        <w:rPr>
          <w:lang w:val="en-AU"/>
        </w:rPr>
        <w:t xml:space="preserve"> 2008–2011 and individual years) were tabulated by age groups (&lt;20</w:t>
      </w:r>
      <w:r w:rsidR="00205BE4">
        <w:rPr>
          <w:lang w:val="en-AU"/>
        </w:rPr>
        <w:t>,</w:t>
      </w:r>
      <w:r w:rsidRPr="003408A6">
        <w:rPr>
          <w:lang w:val="en-AU"/>
        </w:rPr>
        <w:t xml:space="preserve"> 20</w:t>
      </w:r>
      <w:r w:rsidR="00C11F26" w:rsidRPr="003408A6">
        <w:rPr>
          <w:lang w:val="en-AU"/>
        </w:rPr>
        <w:t>–</w:t>
      </w:r>
      <w:r w:rsidRPr="003408A6">
        <w:rPr>
          <w:lang w:val="en-AU"/>
        </w:rPr>
        <w:t>24</w:t>
      </w:r>
      <w:r w:rsidR="00205BE4">
        <w:rPr>
          <w:lang w:val="en-AU"/>
        </w:rPr>
        <w:t>,</w:t>
      </w:r>
      <w:r w:rsidRPr="003408A6">
        <w:rPr>
          <w:lang w:val="en-AU"/>
        </w:rPr>
        <w:t xml:space="preserve"> 25</w:t>
      </w:r>
      <w:r w:rsidR="00C11F26" w:rsidRPr="003408A6">
        <w:rPr>
          <w:lang w:val="en-AU"/>
        </w:rPr>
        <w:t>–</w:t>
      </w:r>
      <w:r w:rsidRPr="003408A6">
        <w:rPr>
          <w:lang w:val="en-AU"/>
        </w:rPr>
        <w:t>29</w:t>
      </w:r>
      <w:r w:rsidR="00205BE4">
        <w:rPr>
          <w:lang w:val="en-AU"/>
        </w:rPr>
        <w:t>,</w:t>
      </w:r>
      <w:r w:rsidRPr="003408A6">
        <w:rPr>
          <w:lang w:val="en-AU"/>
        </w:rPr>
        <w:t xml:space="preserve"> 30</w:t>
      </w:r>
      <w:r w:rsidR="00C11F26" w:rsidRPr="003408A6">
        <w:rPr>
          <w:lang w:val="en-AU"/>
        </w:rPr>
        <w:t>–</w:t>
      </w:r>
      <w:r w:rsidRPr="003408A6">
        <w:rPr>
          <w:lang w:val="en-AU"/>
        </w:rPr>
        <w:t>34</w:t>
      </w:r>
      <w:r w:rsidR="00205BE4">
        <w:rPr>
          <w:lang w:val="en-AU"/>
        </w:rPr>
        <w:t xml:space="preserve"> and</w:t>
      </w:r>
      <w:r w:rsidRPr="003408A6">
        <w:rPr>
          <w:lang w:val="en-AU"/>
        </w:rPr>
        <w:t xml:space="preserve"> 35</w:t>
      </w:r>
      <w:r w:rsidR="00C11F26" w:rsidRPr="003408A6">
        <w:rPr>
          <w:lang w:val="en-AU"/>
        </w:rPr>
        <w:t>–</w:t>
      </w:r>
      <w:r w:rsidRPr="003408A6">
        <w:rPr>
          <w:lang w:val="en-AU"/>
        </w:rPr>
        <w:t>69</w:t>
      </w:r>
      <w:r w:rsidR="00121ECA" w:rsidRPr="003408A6">
        <w:rPr>
          <w:lang w:val="en-AU"/>
        </w:rPr>
        <w:t xml:space="preserve"> years</w:t>
      </w:r>
      <w:r w:rsidRPr="003408A6">
        <w:rPr>
          <w:lang w:val="en-AU"/>
        </w:rPr>
        <w:t xml:space="preserve">) and by jurisdiction. Trends in </w:t>
      </w:r>
      <w:r w:rsidR="00071E17" w:rsidRPr="003408A6">
        <w:rPr>
          <w:lang w:val="en-AU"/>
        </w:rPr>
        <w:t xml:space="preserve">the </w:t>
      </w:r>
      <w:r w:rsidRPr="003408A6">
        <w:rPr>
          <w:lang w:val="en-AU"/>
        </w:rPr>
        <w:t xml:space="preserve">rate of </w:t>
      </w:r>
      <w:r w:rsidR="00071E17" w:rsidRPr="003408A6">
        <w:rPr>
          <w:lang w:val="en-AU"/>
        </w:rPr>
        <w:t>HGAs</w:t>
      </w:r>
      <w:r w:rsidRPr="003408A6">
        <w:rPr>
          <w:lang w:val="en-AU"/>
        </w:rPr>
        <w:t xml:space="preserve"> detected were examined. Absolute rates, rate ratios and 95% confidence intervals were used to quantify changes. </w:t>
      </w:r>
    </w:p>
    <w:p w:rsidR="002B01FE" w:rsidRDefault="002B01FE" w:rsidP="009D694C">
      <w:pPr>
        <w:pStyle w:val="BodyText"/>
        <w:rPr>
          <w:lang w:val="en-AU"/>
        </w:rPr>
      </w:pPr>
      <w:r w:rsidRPr="003408A6">
        <w:rPr>
          <w:lang w:val="en-AU"/>
        </w:rPr>
        <w:t xml:space="preserve">A sensitivity analysis in females </w:t>
      </w:r>
      <w:r w:rsidR="00C11F26" w:rsidRPr="003408A6">
        <w:rPr>
          <w:lang w:val="en-AU"/>
        </w:rPr>
        <w:t xml:space="preserve">aged </w:t>
      </w:r>
      <w:r w:rsidRPr="003408A6">
        <w:rPr>
          <w:lang w:val="en-AU"/>
        </w:rPr>
        <w:t>&lt;20 years was conducted to determine whether screening behaviour affected HGA rates observed in this population. Unscreened females were included in the analysis using pre-vaccine rates of detected HGA and examined by each post-vaccine year (2008–2011). Expected rates of HGA detected for all females in this age group had they all been screened were calculated</w:t>
      </w:r>
      <w:r w:rsidR="00C11F26" w:rsidRPr="003408A6">
        <w:rPr>
          <w:lang w:val="en-AU"/>
        </w:rPr>
        <w:t>.</w:t>
      </w:r>
      <w:r w:rsidRPr="003408A6">
        <w:rPr>
          <w:lang w:val="en-AU"/>
        </w:rPr>
        <w:t xml:space="preserve"> </w:t>
      </w:r>
    </w:p>
    <w:p w:rsidR="001B5EAE" w:rsidRDefault="001B5EAE">
      <w:pPr>
        <w:rPr>
          <w:rFonts w:cs="Arial"/>
          <w:szCs w:val="22"/>
          <w:lang w:eastAsia="en-US"/>
        </w:rPr>
      </w:pPr>
      <w:r>
        <w:br w:type="page"/>
      </w:r>
    </w:p>
    <w:p w:rsidR="002B01FE" w:rsidRPr="003408A6" w:rsidRDefault="002B01FE" w:rsidP="00485766">
      <w:pPr>
        <w:pStyle w:val="Heading2"/>
      </w:pPr>
      <w:bookmarkStart w:id="185" w:name="_Toc368480196"/>
      <w:bookmarkStart w:id="186" w:name="_Toc396926139"/>
      <w:r w:rsidRPr="003408A6">
        <w:t>Results</w:t>
      </w:r>
      <w:bookmarkEnd w:id="185"/>
      <w:bookmarkEnd w:id="186"/>
    </w:p>
    <w:p w:rsidR="002B01FE" w:rsidRPr="003408A6" w:rsidRDefault="002B01FE" w:rsidP="00485766">
      <w:pPr>
        <w:pStyle w:val="Heading3"/>
      </w:pPr>
      <w:bookmarkStart w:id="187" w:name="_Toc368480197"/>
      <w:r w:rsidRPr="003408A6">
        <w:t xml:space="preserve">Annual </w:t>
      </w:r>
      <w:r w:rsidR="00C11F26" w:rsidRPr="003408A6">
        <w:t>s</w:t>
      </w:r>
      <w:r w:rsidRPr="003408A6">
        <w:t xml:space="preserve">creening </w:t>
      </w:r>
      <w:r w:rsidR="00C11F26" w:rsidRPr="003408A6">
        <w:t>r</w:t>
      </w:r>
      <w:r w:rsidRPr="003408A6">
        <w:t>ates</w:t>
      </w:r>
      <w:bookmarkEnd w:id="187"/>
    </w:p>
    <w:p w:rsidR="002B01FE" w:rsidRPr="003408A6" w:rsidRDefault="002B01FE" w:rsidP="009D694C">
      <w:pPr>
        <w:pStyle w:val="BodyText"/>
        <w:rPr>
          <w:lang w:val="en-AU"/>
        </w:rPr>
      </w:pPr>
      <w:r w:rsidRPr="003408A6">
        <w:rPr>
          <w:lang w:val="en-AU"/>
        </w:rPr>
        <w:t>Trends in the AIHW data show that annual screening rates among the female population progressively declined, particularly among females &lt;35 years of age. In particular, screening rates among females</w:t>
      </w:r>
      <w:r w:rsidR="00205BE4">
        <w:rPr>
          <w:lang w:val="en-AU"/>
        </w:rPr>
        <w:t xml:space="preserve"> aged</w:t>
      </w:r>
      <w:r w:rsidRPr="003408A6">
        <w:rPr>
          <w:lang w:val="en-AU"/>
        </w:rPr>
        <w:t xml:space="preserve"> &lt;20 years, 20–24 years and 25–29 years appear to have reached their maximum level in 2007 (the year the National HPV Vaccination Program commenced) and to have decreased since then</w:t>
      </w:r>
      <w:r w:rsidR="00205BE4">
        <w:rPr>
          <w:lang w:val="en-AU"/>
        </w:rPr>
        <w:t>,</w:t>
      </w:r>
      <w:r w:rsidRPr="003408A6">
        <w:rPr>
          <w:lang w:val="en-AU"/>
        </w:rPr>
        <w:t xml:space="preserve"> whereas screening rates among females </w:t>
      </w:r>
      <w:r w:rsidR="00C11F26" w:rsidRPr="003408A6">
        <w:rPr>
          <w:lang w:val="en-AU"/>
        </w:rPr>
        <w:t xml:space="preserve">aged </w:t>
      </w:r>
      <w:r w:rsidRPr="003408A6">
        <w:rPr>
          <w:lang w:val="en-AU"/>
        </w:rPr>
        <w:t>35–69 years have remained constant (</w:t>
      </w:r>
      <w:r w:rsidRPr="003408A6">
        <w:rPr>
          <w:b/>
          <w:lang w:val="en-AU"/>
        </w:rPr>
        <w:t xml:space="preserve">Figure </w:t>
      </w:r>
      <w:r w:rsidR="00563E90" w:rsidRPr="003408A6">
        <w:rPr>
          <w:b/>
          <w:lang w:val="en-AU"/>
        </w:rPr>
        <w:t>5</w:t>
      </w:r>
      <w:r w:rsidR="00485766" w:rsidRPr="003408A6">
        <w:rPr>
          <w:b/>
          <w:lang w:val="en-AU"/>
        </w:rPr>
        <w:t>.</w:t>
      </w:r>
      <w:r w:rsidRPr="003408A6">
        <w:rPr>
          <w:b/>
          <w:lang w:val="en-AU"/>
        </w:rPr>
        <w:t>1</w:t>
      </w:r>
      <w:r w:rsidRPr="003408A6">
        <w:rPr>
          <w:lang w:val="en-AU"/>
        </w:rPr>
        <w:t>).</w:t>
      </w:r>
    </w:p>
    <w:p w:rsidR="002B01FE" w:rsidRPr="003408A6" w:rsidRDefault="002B01FE" w:rsidP="00DD7504">
      <w:pPr>
        <w:pStyle w:val="Figureheading"/>
        <w:keepNext/>
      </w:pPr>
      <w:bookmarkStart w:id="188" w:name="_Toc396475585"/>
      <w:bookmarkStart w:id="189" w:name="_Toc397000813"/>
      <w:r w:rsidRPr="003408A6">
        <w:t xml:space="preserve">Figure </w:t>
      </w:r>
      <w:r w:rsidR="00563E90" w:rsidRPr="003408A6">
        <w:t>5</w:t>
      </w:r>
      <w:r w:rsidR="00485766" w:rsidRPr="003408A6">
        <w:t>.</w:t>
      </w:r>
      <w:r w:rsidRPr="003408A6">
        <w:t>1.</w:t>
      </w:r>
      <w:r w:rsidR="002B7A0C" w:rsidRPr="003408A6">
        <w:tab/>
      </w:r>
      <w:r w:rsidRPr="003408A6">
        <w:t>Screening rates by age group, per 1</w:t>
      </w:r>
      <w:r w:rsidR="00DC2B90" w:rsidRPr="003408A6">
        <w:t>,</w:t>
      </w:r>
      <w:r w:rsidRPr="003408A6">
        <w:t>000 females, 2004 to 2011</w:t>
      </w:r>
      <w:r w:rsidR="009D694C" w:rsidRPr="003408A6">
        <w:t>*</w:t>
      </w:r>
      <w:bookmarkEnd w:id="188"/>
      <w:bookmarkEnd w:id="189"/>
    </w:p>
    <w:p w:rsidR="001429B4" w:rsidRPr="003408A6" w:rsidRDefault="00C62FD9" w:rsidP="00CE0A90">
      <w:pPr>
        <w:spacing w:line="360" w:lineRule="auto"/>
        <w:ind w:left="-142"/>
        <w:rPr>
          <w:rStyle w:val="BodyTextChar"/>
          <w:lang w:val="en-AU"/>
        </w:rPr>
      </w:pPr>
      <w:r>
        <w:rPr>
          <w:rFonts w:cs="Arial"/>
          <w:noProof/>
        </w:rPr>
        <w:drawing>
          <wp:inline distT="0" distB="0" distL="0" distR="0" wp14:anchorId="130C6778" wp14:editId="5DEA2741">
            <wp:extent cx="5057775" cy="3305839"/>
            <wp:effectExtent l="0" t="0" r="0" b="8890"/>
            <wp:docPr id="20" name="Picture 20" title="Screening rates by age group, per 1,000 females,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9501" cy="3306967"/>
                    </a:xfrm>
                    <a:prstGeom prst="rect">
                      <a:avLst/>
                    </a:prstGeom>
                    <a:noFill/>
                  </pic:spPr>
                </pic:pic>
              </a:graphicData>
            </a:graphic>
          </wp:inline>
        </w:drawing>
      </w:r>
    </w:p>
    <w:p w:rsidR="002B01FE" w:rsidRPr="003408A6" w:rsidRDefault="002B01FE" w:rsidP="009D694C">
      <w:pPr>
        <w:pStyle w:val="Tablefootnote"/>
      </w:pPr>
      <w:r w:rsidRPr="003408A6">
        <w:t xml:space="preserve">Source: </w:t>
      </w:r>
      <w:r w:rsidRPr="006B5A5E">
        <w:rPr>
          <w:i/>
        </w:rPr>
        <w:t>Cervical screening in Australia 2010</w:t>
      </w:r>
      <w:r w:rsidR="00C11F26" w:rsidRPr="006B5A5E">
        <w:rPr>
          <w:i/>
        </w:rPr>
        <w:t>–</w:t>
      </w:r>
      <w:r w:rsidRPr="006B5A5E">
        <w:rPr>
          <w:i/>
        </w:rPr>
        <w:t>2011</w:t>
      </w:r>
      <w:r w:rsidRPr="003408A6">
        <w:t xml:space="preserve">, AIHW and </w:t>
      </w:r>
      <w:r w:rsidR="00270D0B" w:rsidRPr="003408A6">
        <w:t>ABS</w:t>
      </w:r>
      <w:r w:rsidRPr="003408A6">
        <w:t xml:space="preserve"> census data</w:t>
      </w:r>
    </w:p>
    <w:p w:rsidR="002B01FE" w:rsidRPr="003408A6" w:rsidRDefault="009D694C" w:rsidP="009D694C">
      <w:pPr>
        <w:pStyle w:val="Tablefootnote"/>
      </w:pPr>
      <w:r w:rsidRPr="003408A6">
        <w:t>*</w:t>
      </w:r>
      <w:r w:rsidR="00205BE4">
        <w:tab/>
      </w:r>
      <w:r w:rsidR="002B01FE" w:rsidRPr="003408A6">
        <w:t>Screening rate per 1</w:t>
      </w:r>
      <w:r w:rsidR="00DC2B90" w:rsidRPr="003408A6">
        <w:t>,</w:t>
      </w:r>
      <w:r w:rsidR="002B01FE" w:rsidRPr="003408A6">
        <w:t>000 female population, adjusted for hysterectomy fraction</w:t>
      </w:r>
      <w:r w:rsidR="00205BE4">
        <w:t>.</w:t>
      </w:r>
    </w:p>
    <w:p w:rsidR="002B01FE" w:rsidRDefault="002B01FE" w:rsidP="009D694C">
      <w:pPr>
        <w:pStyle w:val="Bodytextaftertable"/>
        <w:rPr>
          <w:lang w:val="en-AU"/>
        </w:rPr>
      </w:pPr>
      <w:r w:rsidRPr="003408A6">
        <w:rPr>
          <w:lang w:val="en-AU"/>
        </w:rPr>
        <w:t>Overall, screening rates appeared to decrease significantly across all age groups when comparing the post-vaccine period with the pre-vaccine period (</w:t>
      </w:r>
      <w:r w:rsidRPr="003408A6">
        <w:rPr>
          <w:b/>
          <w:lang w:val="en-AU"/>
        </w:rPr>
        <w:t xml:space="preserve">Table </w:t>
      </w:r>
      <w:r w:rsidR="00563E90" w:rsidRPr="003408A6">
        <w:rPr>
          <w:b/>
          <w:lang w:val="en-AU"/>
        </w:rPr>
        <w:t>5</w:t>
      </w:r>
      <w:r w:rsidR="00485766" w:rsidRPr="003408A6">
        <w:rPr>
          <w:b/>
          <w:lang w:val="en-AU"/>
        </w:rPr>
        <w:t>.</w:t>
      </w:r>
      <w:r w:rsidRPr="003408A6">
        <w:rPr>
          <w:b/>
          <w:lang w:val="en-AU"/>
        </w:rPr>
        <w:t>1</w:t>
      </w:r>
      <w:r w:rsidRPr="003408A6">
        <w:rPr>
          <w:lang w:val="en-AU"/>
        </w:rPr>
        <w:t>). The greatest reduction in screening</w:t>
      </w:r>
      <w:r w:rsidR="00C71BEC" w:rsidRPr="003408A6">
        <w:rPr>
          <w:lang w:val="en-AU"/>
        </w:rPr>
        <w:t xml:space="preserve"> </w:t>
      </w:r>
      <w:r w:rsidR="00C11F26" w:rsidRPr="003408A6">
        <w:rPr>
          <w:lang w:val="en-AU"/>
        </w:rPr>
        <w:t>was</w:t>
      </w:r>
      <w:r w:rsidRPr="003408A6">
        <w:rPr>
          <w:lang w:val="en-AU"/>
        </w:rPr>
        <w:t xml:space="preserve"> observed in females &lt;20 years of age. There was a 15% reduction in screening during the post-vaccine period compared to the pre-vaccine period. Screening rates in females aged 20</w:t>
      </w:r>
      <w:r w:rsidR="00C11F26" w:rsidRPr="003408A6">
        <w:rPr>
          <w:lang w:val="en-AU"/>
        </w:rPr>
        <w:t>–</w:t>
      </w:r>
      <w:r w:rsidRPr="003408A6">
        <w:rPr>
          <w:lang w:val="en-AU"/>
        </w:rPr>
        <w:t>24 years and 25</w:t>
      </w:r>
      <w:r w:rsidR="00C11F26" w:rsidRPr="003408A6">
        <w:rPr>
          <w:lang w:val="en-AU"/>
        </w:rPr>
        <w:t>–</w:t>
      </w:r>
      <w:r w:rsidRPr="003408A6">
        <w:rPr>
          <w:lang w:val="en-AU"/>
        </w:rPr>
        <w:t xml:space="preserve">29 years decreased by 9% when comparing the post-vaccine period to the pre-vaccine period. It is important not to interpret annual screening rates as screening participation given the recommended </w:t>
      </w:r>
      <w:r w:rsidR="00006FDF" w:rsidRPr="003408A6">
        <w:rPr>
          <w:lang w:val="en-AU"/>
        </w:rPr>
        <w:t>2</w:t>
      </w:r>
      <w:r w:rsidRPr="003408A6">
        <w:rPr>
          <w:lang w:val="en-AU"/>
        </w:rPr>
        <w:t>-year screening interval.</w:t>
      </w:r>
    </w:p>
    <w:p w:rsidR="001B5EAE" w:rsidRPr="001B5EAE" w:rsidRDefault="001B5EAE" w:rsidP="001B5EAE">
      <w:pPr>
        <w:pStyle w:val="BodyText"/>
        <w:rPr>
          <w:lang w:val="en-AU"/>
        </w:rPr>
      </w:pPr>
    </w:p>
    <w:p w:rsidR="002B01FE" w:rsidRPr="003408A6" w:rsidRDefault="002B01FE" w:rsidP="000A2125">
      <w:pPr>
        <w:pStyle w:val="Tableheading"/>
        <w:rPr>
          <w:lang w:val="en-AU"/>
        </w:rPr>
      </w:pPr>
      <w:bookmarkStart w:id="190" w:name="_Toc396475552"/>
      <w:bookmarkStart w:id="191" w:name="_Toc397000780"/>
      <w:r w:rsidRPr="003408A6">
        <w:rPr>
          <w:lang w:val="en-AU"/>
        </w:rPr>
        <w:t xml:space="preserve">Table </w:t>
      </w:r>
      <w:r w:rsidR="00563E90" w:rsidRPr="003408A6">
        <w:rPr>
          <w:lang w:val="en-AU"/>
        </w:rPr>
        <w:t>5</w:t>
      </w:r>
      <w:r w:rsidR="00485766" w:rsidRPr="003408A6">
        <w:rPr>
          <w:lang w:val="en-AU"/>
        </w:rPr>
        <w:t>.</w:t>
      </w:r>
      <w:r w:rsidR="00D861BD" w:rsidRPr="003408A6">
        <w:rPr>
          <w:lang w:val="en-AU"/>
        </w:rPr>
        <w:t>1.</w:t>
      </w:r>
      <w:r w:rsidR="00D861BD" w:rsidRPr="003408A6">
        <w:rPr>
          <w:lang w:val="en-AU"/>
        </w:rPr>
        <w:tab/>
      </w:r>
      <w:r w:rsidRPr="003408A6">
        <w:rPr>
          <w:lang w:val="en-AU"/>
        </w:rPr>
        <w:t>Screening rates and rate ratios, by age group, 2004 to 2011</w:t>
      </w:r>
      <w:r w:rsidRPr="0042294A">
        <w:rPr>
          <w:lang w:val="en-AU"/>
        </w:rPr>
        <w:t>*</w:t>
      </w:r>
      <w:bookmarkEnd w:id="190"/>
      <w:bookmarkEnd w:id="191"/>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76"/>
        <w:gridCol w:w="960"/>
        <w:gridCol w:w="1276"/>
        <w:gridCol w:w="992"/>
        <w:gridCol w:w="2158"/>
      </w:tblGrid>
      <w:tr w:rsidR="00052DEE" w:rsidRPr="003408A6" w:rsidTr="00052DEE">
        <w:trPr>
          <w:trHeight w:val="610"/>
        </w:trPr>
        <w:tc>
          <w:tcPr>
            <w:tcW w:w="3527" w:type="dxa"/>
            <w:gridSpan w:val="3"/>
            <w:tcBorders>
              <w:top w:val="single" w:sz="4" w:space="0" w:color="auto"/>
              <w:left w:val="nil"/>
              <w:bottom w:val="single" w:sz="4" w:space="0" w:color="auto"/>
              <w:right w:val="nil"/>
            </w:tcBorders>
            <w:shd w:val="clear" w:color="auto" w:fill="auto"/>
            <w:noWrap/>
            <w:vAlign w:val="bottom"/>
            <w:hideMark/>
          </w:tcPr>
          <w:p w:rsidR="00052DEE" w:rsidRPr="003408A6" w:rsidRDefault="00052DEE" w:rsidP="00052DEE">
            <w:pPr>
              <w:pStyle w:val="Tablecolumnheadings"/>
              <w:rPr>
                <w:lang w:val="en-AU"/>
              </w:rPr>
            </w:pPr>
            <w:r w:rsidRPr="003408A6">
              <w:rPr>
                <w:lang w:val="en-AU"/>
              </w:rPr>
              <w:t>Pre-vaccine period</w:t>
            </w:r>
            <w:r w:rsidRPr="003408A6">
              <w:rPr>
                <w:lang w:val="en-AU"/>
              </w:rPr>
              <w:br/>
              <w:t>2004–2007</w:t>
            </w:r>
          </w:p>
        </w:tc>
        <w:tc>
          <w:tcPr>
            <w:tcW w:w="2268" w:type="dxa"/>
            <w:gridSpan w:val="2"/>
            <w:tcBorders>
              <w:top w:val="single" w:sz="4" w:space="0" w:color="auto"/>
              <w:left w:val="nil"/>
              <w:bottom w:val="single" w:sz="4" w:space="0" w:color="auto"/>
              <w:right w:val="nil"/>
            </w:tcBorders>
            <w:shd w:val="clear" w:color="auto" w:fill="auto"/>
            <w:noWrap/>
            <w:vAlign w:val="bottom"/>
            <w:hideMark/>
          </w:tcPr>
          <w:p w:rsidR="00052DEE" w:rsidRPr="003408A6" w:rsidRDefault="00052DEE" w:rsidP="00052DEE">
            <w:pPr>
              <w:pStyle w:val="Tablecolumnheadings"/>
              <w:rPr>
                <w:lang w:val="en-AU"/>
              </w:rPr>
            </w:pPr>
            <w:r w:rsidRPr="003408A6">
              <w:rPr>
                <w:lang w:val="en-AU"/>
              </w:rPr>
              <w:t>Post-vaccine period</w:t>
            </w:r>
            <w:r w:rsidRPr="003408A6">
              <w:rPr>
                <w:lang w:val="en-AU"/>
              </w:rPr>
              <w:br/>
              <w:t>2008–2011</w:t>
            </w:r>
          </w:p>
        </w:tc>
        <w:tc>
          <w:tcPr>
            <w:tcW w:w="2158" w:type="dxa"/>
            <w:tcBorders>
              <w:top w:val="single" w:sz="4" w:space="0" w:color="auto"/>
              <w:left w:val="nil"/>
              <w:bottom w:val="single" w:sz="4" w:space="0" w:color="auto"/>
              <w:right w:val="nil"/>
            </w:tcBorders>
            <w:shd w:val="clear" w:color="auto" w:fill="auto"/>
            <w:noWrap/>
            <w:vAlign w:val="bottom"/>
            <w:hideMark/>
          </w:tcPr>
          <w:p w:rsidR="00052DEE" w:rsidRPr="003408A6" w:rsidRDefault="00052DEE" w:rsidP="00052DEE">
            <w:pPr>
              <w:pStyle w:val="Tablecolumnheadings"/>
              <w:rPr>
                <w:lang w:val="en-AU"/>
              </w:rPr>
            </w:pPr>
            <w:r w:rsidRPr="003408A6">
              <w:rPr>
                <w:lang w:val="en-AU"/>
              </w:rPr>
              <w:t>Post/Pre-vaccine</w:t>
            </w:r>
            <w:r w:rsidRPr="003408A6">
              <w:rPr>
                <w:lang w:val="en-AU"/>
              </w:rPr>
              <w:br/>
              <w:t>period</w:t>
            </w:r>
          </w:p>
        </w:tc>
      </w:tr>
      <w:tr w:rsidR="002B01FE" w:rsidRPr="003408A6" w:rsidTr="00052DEE">
        <w:trPr>
          <w:trHeight w:val="300"/>
        </w:trPr>
        <w:tc>
          <w:tcPr>
            <w:tcW w:w="1291"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9D694C">
            <w:pPr>
              <w:pStyle w:val="Tablecolumnheading"/>
              <w:rPr>
                <w:lang w:val="en-AU"/>
              </w:rPr>
            </w:pPr>
            <w:r w:rsidRPr="003408A6">
              <w:rPr>
                <w:lang w:val="en-AU"/>
              </w:rPr>
              <w:t>Age group</w:t>
            </w:r>
          </w:p>
          <w:p w:rsidR="002B01FE" w:rsidRPr="003408A6" w:rsidRDefault="002B01FE" w:rsidP="009D694C">
            <w:pPr>
              <w:pStyle w:val="Tablecolumnheading"/>
              <w:rPr>
                <w:lang w:val="en-AU"/>
              </w:rPr>
            </w:pPr>
            <w:r w:rsidRPr="003408A6">
              <w:rPr>
                <w:lang w:val="en-AU"/>
              </w:rPr>
              <w:t>(years)</w:t>
            </w:r>
          </w:p>
        </w:tc>
        <w:tc>
          <w:tcPr>
            <w:tcW w:w="1276"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052DEE">
            <w:pPr>
              <w:pStyle w:val="Tablecolumnheadings"/>
              <w:rPr>
                <w:lang w:val="en-AU"/>
              </w:rPr>
            </w:pPr>
            <w:r w:rsidRPr="003408A6">
              <w:rPr>
                <w:lang w:val="en-AU"/>
              </w:rPr>
              <w:t>Screened (n)</w:t>
            </w:r>
          </w:p>
        </w:tc>
        <w:tc>
          <w:tcPr>
            <w:tcW w:w="960"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052DEE">
            <w:pPr>
              <w:pStyle w:val="Tablecolumnheadings"/>
              <w:rPr>
                <w:lang w:val="en-AU"/>
              </w:rPr>
            </w:pPr>
            <w:r w:rsidRPr="003408A6">
              <w:rPr>
                <w:lang w:val="en-AU"/>
              </w:rPr>
              <w:t>Rate</w:t>
            </w:r>
            <w:r w:rsidR="00052DEE" w:rsidRPr="0042294A">
              <w:rPr>
                <w:vertAlign w:val="superscript"/>
                <w:lang w:val="en-AU"/>
              </w:rPr>
              <w:t>†</w:t>
            </w:r>
          </w:p>
        </w:tc>
        <w:tc>
          <w:tcPr>
            <w:tcW w:w="1276"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052DEE">
            <w:pPr>
              <w:pStyle w:val="Tablecolumnheadings"/>
              <w:rPr>
                <w:lang w:val="en-AU"/>
              </w:rPr>
            </w:pPr>
            <w:r w:rsidRPr="003408A6">
              <w:rPr>
                <w:lang w:val="en-AU"/>
              </w:rPr>
              <w:t>Screened (n)</w:t>
            </w:r>
          </w:p>
        </w:tc>
        <w:tc>
          <w:tcPr>
            <w:tcW w:w="992"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052DEE">
            <w:pPr>
              <w:pStyle w:val="Tablecolumnheadings"/>
              <w:rPr>
                <w:lang w:val="en-AU"/>
              </w:rPr>
            </w:pPr>
            <w:r w:rsidRPr="003408A6">
              <w:rPr>
                <w:lang w:val="en-AU"/>
              </w:rPr>
              <w:t>Rate</w:t>
            </w:r>
            <w:r w:rsidR="00052DEE" w:rsidRPr="003408A6">
              <w:rPr>
                <w:vertAlign w:val="superscript"/>
                <w:lang w:val="en-AU"/>
              </w:rPr>
              <w:t>†</w:t>
            </w:r>
          </w:p>
        </w:tc>
        <w:tc>
          <w:tcPr>
            <w:tcW w:w="2158" w:type="dxa"/>
            <w:tcBorders>
              <w:top w:val="single" w:sz="4" w:space="0" w:color="auto"/>
              <w:left w:val="nil"/>
              <w:bottom w:val="single" w:sz="4" w:space="0" w:color="auto"/>
              <w:right w:val="nil"/>
            </w:tcBorders>
            <w:shd w:val="clear" w:color="auto" w:fill="auto"/>
            <w:noWrap/>
            <w:vAlign w:val="bottom"/>
            <w:hideMark/>
          </w:tcPr>
          <w:p w:rsidR="002B01FE" w:rsidRPr="003408A6" w:rsidRDefault="002B01FE" w:rsidP="009D694C">
            <w:pPr>
              <w:pStyle w:val="Tablecolumnheadings"/>
              <w:rPr>
                <w:lang w:val="en-AU"/>
              </w:rPr>
            </w:pPr>
            <w:r w:rsidRPr="003408A6">
              <w:rPr>
                <w:lang w:val="en-AU"/>
              </w:rPr>
              <w:t>Rate ratio (95% CI)</w:t>
            </w:r>
          </w:p>
        </w:tc>
      </w:tr>
      <w:tr w:rsidR="002B01FE" w:rsidRPr="003408A6" w:rsidTr="00534470">
        <w:trPr>
          <w:trHeight w:val="300"/>
        </w:trPr>
        <w:tc>
          <w:tcPr>
            <w:tcW w:w="1291" w:type="dxa"/>
            <w:tcBorders>
              <w:top w:val="single" w:sz="4" w:space="0" w:color="auto"/>
              <w:left w:val="nil"/>
              <w:bottom w:val="nil"/>
              <w:right w:val="nil"/>
            </w:tcBorders>
            <w:shd w:val="clear" w:color="auto" w:fill="auto"/>
            <w:noWrap/>
            <w:vAlign w:val="bottom"/>
            <w:hideMark/>
          </w:tcPr>
          <w:p w:rsidR="002B01FE" w:rsidRPr="003408A6" w:rsidRDefault="002B01FE" w:rsidP="009D694C">
            <w:pPr>
              <w:pStyle w:val="Tabletext"/>
              <w:rPr>
                <w:lang w:val="en-AU"/>
              </w:rPr>
            </w:pPr>
            <w:r w:rsidRPr="003408A6">
              <w:rPr>
                <w:lang w:val="en-AU"/>
              </w:rPr>
              <w:t>&lt;20</w:t>
            </w:r>
          </w:p>
        </w:tc>
        <w:tc>
          <w:tcPr>
            <w:tcW w:w="1276" w:type="dxa"/>
            <w:tcBorders>
              <w:top w:val="single" w:sz="4" w:space="0" w:color="auto"/>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252,953</w:t>
            </w:r>
          </w:p>
        </w:tc>
        <w:tc>
          <w:tcPr>
            <w:tcW w:w="960" w:type="dxa"/>
            <w:tcBorders>
              <w:top w:val="single" w:sz="4" w:space="0" w:color="auto"/>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22.8</w:t>
            </w:r>
            <w:r w:rsidR="00052DEE" w:rsidRPr="0042294A">
              <w:rPr>
                <w:vertAlign w:val="superscript"/>
                <w:lang w:val="en-AU"/>
              </w:rPr>
              <w:t>‡</w:t>
            </w:r>
          </w:p>
        </w:tc>
        <w:tc>
          <w:tcPr>
            <w:tcW w:w="1276" w:type="dxa"/>
            <w:tcBorders>
              <w:top w:val="single" w:sz="4" w:space="0" w:color="auto"/>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226,331</w:t>
            </w:r>
          </w:p>
        </w:tc>
        <w:tc>
          <w:tcPr>
            <w:tcW w:w="992" w:type="dxa"/>
            <w:tcBorders>
              <w:top w:val="single" w:sz="4" w:space="0" w:color="auto"/>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19.4</w:t>
            </w:r>
            <w:r w:rsidR="00052DEE" w:rsidRPr="003408A6">
              <w:rPr>
                <w:vertAlign w:val="superscript"/>
                <w:lang w:val="en-AU"/>
              </w:rPr>
              <w:t>‡</w:t>
            </w:r>
          </w:p>
        </w:tc>
        <w:tc>
          <w:tcPr>
            <w:tcW w:w="2158" w:type="dxa"/>
            <w:tcBorders>
              <w:top w:val="single" w:sz="4" w:space="0" w:color="auto"/>
              <w:left w:val="nil"/>
              <w:bottom w:val="nil"/>
              <w:right w:val="nil"/>
            </w:tcBorders>
            <w:shd w:val="clear" w:color="auto" w:fill="auto"/>
            <w:noWrap/>
            <w:vAlign w:val="bottom"/>
            <w:hideMark/>
          </w:tcPr>
          <w:p w:rsidR="002B01FE" w:rsidRPr="003408A6" w:rsidRDefault="002B01FE" w:rsidP="00052DEE">
            <w:pPr>
              <w:pStyle w:val="Tabletextcentred"/>
              <w:rPr>
                <w:lang w:val="en-AU"/>
              </w:rPr>
            </w:pPr>
            <w:r w:rsidRPr="003408A6">
              <w:rPr>
                <w:lang w:val="en-AU"/>
              </w:rPr>
              <w:t>0.85 (0.84</w:t>
            </w:r>
            <w:r w:rsidR="00052DEE" w:rsidRPr="003408A6">
              <w:rPr>
                <w:lang w:val="en-AU"/>
              </w:rPr>
              <w:t>–</w:t>
            </w:r>
            <w:r w:rsidRPr="003408A6">
              <w:rPr>
                <w:lang w:val="en-AU"/>
              </w:rPr>
              <w:t>0.85)</w:t>
            </w:r>
          </w:p>
        </w:tc>
      </w:tr>
      <w:tr w:rsidR="002B01FE" w:rsidRPr="003408A6" w:rsidTr="00534470">
        <w:trPr>
          <w:trHeight w:val="300"/>
        </w:trPr>
        <w:tc>
          <w:tcPr>
            <w:tcW w:w="1291" w:type="dxa"/>
            <w:tcBorders>
              <w:top w:val="nil"/>
              <w:left w:val="nil"/>
              <w:bottom w:val="nil"/>
              <w:right w:val="nil"/>
            </w:tcBorders>
            <w:shd w:val="clear" w:color="auto" w:fill="auto"/>
            <w:noWrap/>
            <w:vAlign w:val="bottom"/>
            <w:hideMark/>
          </w:tcPr>
          <w:p w:rsidR="002B01FE" w:rsidRPr="003408A6" w:rsidRDefault="002B01FE" w:rsidP="00052DEE">
            <w:pPr>
              <w:pStyle w:val="Tabletext"/>
              <w:rPr>
                <w:lang w:val="en-AU"/>
              </w:rPr>
            </w:pPr>
            <w:r w:rsidRPr="003408A6">
              <w:rPr>
                <w:lang w:val="en-AU"/>
              </w:rPr>
              <w:t>20</w:t>
            </w:r>
            <w:r w:rsidR="00052DEE" w:rsidRPr="003408A6">
              <w:rPr>
                <w:lang w:val="en-AU"/>
              </w:rPr>
              <w:t>–</w:t>
            </w:r>
            <w:r w:rsidRPr="003408A6">
              <w:rPr>
                <w:lang w:val="en-AU"/>
              </w:rPr>
              <w:t>24</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758,264</w:t>
            </w:r>
          </w:p>
        </w:tc>
        <w:tc>
          <w:tcPr>
            <w:tcW w:w="960"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26.6</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746,681</w:t>
            </w:r>
          </w:p>
        </w:tc>
        <w:tc>
          <w:tcPr>
            <w:tcW w:w="992"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24.2</w:t>
            </w:r>
          </w:p>
        </w:tc>
        <w:tc>
          <w:tcPr>
            <w:tcW w:w="2158" w:type="dxa"/>
            <w:tcBorders>
              <w:top w:val="nil"/>
              <w:left w:val="nil"/>
              <w:bottom w:val="nil"/>
              <w:right w:val="nil"/>
            </w:tcBorders>
            <w:shd w:val="clear" w:color="auto" w:fill="auto"/>
            <w:noWrap/>
            <w:vAlign w:val="bottom"/>
            <w:hideMark/>
          </w:tcPr>
          <w:p w:rsidR="002B01FE" w:rsidRPr="003408A6" w:rsidRDefault="002B01FE" w:rsidP="00052DEE">
            <w:pPr>
              <w:pStyle w:val="Tabletextcentred"/>
              <w:rPr>
                <w:lang w:val="en-AU"/>
              </w:rPr>
            </w:pPr>
            <w:r w:rsidRPr="003408A6">
              <w:rPr>
                <w:lang w:val="en-AU"/>
              </w:rPr>
              <w:t>0.91 (0.91</w:t>
            </w:r>
            <w:r w:rsidR="00052DEE" w:rsidRPr="003408A6">
              <w:rPr>
                <w:lang w:val="en-AU"/>
              </w:rPr>
              <w:t>–</w:t>
            </w:r>
            <w:r w:rsidRPr="003408A6">
              <w:rPr>
                <w:lang w:val="en-AU"/>
              </w:rPr>
              <w:t>0.91)</w:t>
            </w:r>
          </w:p>
        </w:tc>
      </w:tr>
      <w:tr w:rsidR="002B01FE" w:rsidRPr="003408A6" w:rsidTr="00534470">
        <w:trPr>
          <w:trHeight w:val="300"/>
        </w:trPr>
        <w:tc>
          <w:tcPr>
            <w:tcW w:w="1291" w:type="dxa"/>
            <w:tcBorders>
              <w:top w:val="nil"/>
              <w:left w:val="nil"/>
              <w:bottom w:val="nil"/>
              <w:right w:val="nil"/>
            </w:tcBorders>
            <w:shd w:val="clear" w:color="auto" w:fill="auto"/>
            <w:noWrap/>
            <w:vAlign w:val="bottom"/>
            <w:hideMark/>
          </w:tcPr>
          <w:p w:rsidR="002B01FE" w:rsidRPr="003408A6" w:rsidRDefault="002B01FE" w:rsidP="00052DEE">
            <w:pPr>
              <w:pStyle w:val="Tabletext"/>
              <w:rPr>
                <w:lang w:val="en-AU"/>
              </w:rPr>
            </w:pPr>
            <w:r w:rsidRPr="003408A6">
              <w:rPr>
                <w:lang w:val="en-AU"/>
              </w:rPr>
              <w:t>25</w:t>
            </w:r>
            <w:r w:rsidR="00052DEE" w:rsidRPr="003408A6">
              <w:rPr>
                <w:lang w:val="en-AU"/>
              </w:rPr>
              <w:t>–</w:t>
            </w:r>
            <w:r w:rsidRPr="003408A6">
              <w:rPr>
                <w:lang w:val="en-AU"/>
              </w:rPr>
              <w:t>29</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894,450</w:t>
            </w:r>
          </w:p>
        </w:tc>
        <w:tc>
          <w:tcPr>
            <w:tcW w:w="960"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32.4</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923,625</w:t>
            </w:r>
          </w:p>
        </w:tc>
        <w:tc>
          <w:tcPr>
            <w:tcW w:w="992"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29.4</w:t>
            </w:r>
          </w:p>
        </w:tc>
        <w:tc>
          <w:tcPr>
            <w:tcW w:w="2158" w:type="dxa"/>
            <w:tcBorders>
              <w:top w:val="nil"/>
              <w:left w:val="nil"/>
              <w:bottom w:val="nil"/>
              <w:right w:val="nil"/>
            </w:tcBorders>
            <w:shd w:val="clear" w:color="auto" w:fill="auto"/>
            <w:noWrap/>
            <w:vAlign w:val="bottom"/>
            <w:hideMark/>
          </w:tcPr>
          <w:p w:rsidR="002B01FE" w:rsidRPr="003408A6" w:rsidRDefault="00052DEE" w:rsidP="009D694C">
            <w:pPr>
              <w:pStyle w:val="Tabletextcentred"/>
              <w:rPr>
                <w:lang w:val="en-AU"/>
              </w:rPr>
            </w:pPr>
            <w:r w:rsidRPr="003408A6">
              <w:rPr>
                <w:lang w:val="en-AU"/>
              </w:rPr>
              <w:t>0.91 ( 0.91–</w:t>
            </w:r>
            <w:r w:rsidR="002B01FE" w:rsidRPr="003408A6">
              <w:rPr>
                <w:lang w:val="en-AU"/>
              </w:rPr>
              <w:t>0.91)</w:t>
            </w:r>
          </w:p>
        </w:tc>
      </w:tr>
      <w:tr w:rsidR="002B01FE" w:rsidRPr="003408A6" w:rsidTr="00052DEE">
        <w:trPr>
          <w:trHeight w:val="300"/>
        </w:trPr>
        <w:tc>
          <w:tcPr>
            <w:tcW w:w="1291" w:type="dxa"/>
            <w:tcBorders>
              <w:top w:val="nil"/>
              <w:left w:val="nil"/>
              <w:bottom w:val="nil"/>
              <w:right w:val="nil"/>
            </w:tcBorders>
            <w:shd w:val="clear" w:color="auto" w:fill="auto"/>
            <w:noWrap/>
            <w:vAlign w:val="bottom"/>
            <w:hideMark/>
          </w:tcPr>
          <w:p w:rsidR="002B01FE" w:rsidRPr="003408A6" w:rsidRDefault="002B01FE" w:rsidP="00052DEE">
            <w:pPr>
              <w:pStyle w:val="Tabletext"/>
              <w:rPr>
                <w:lang w:val="en-AU"/>
              </w:rPr>
            </w:pPr>
            <w:r w:rsidRPr="003408A6">
              <w:rPr>
                <w:lang w:val="en-AU"/>
              </w:rPr>
              <w:t>30</w:t>
            </w:r>
            <w:r w:rsidR="00052DEE" w:rsidRPr="003408A6">
              <w:rPr>
                <w:lang w:val="en-AU"/>
              </w:rPr>
              <w:t>–</w:t>
            </w:r>
            <w:r w:rsidRPr="003408A6">
              <w:rPr>
                <w:lang w:val="en-AU"/>
              </w:rPr>
              <w:t>34</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1,049,064</w:t>
            </w:r>
          </w:p>
        </w:tc>
        <w:tc>
          <w:tcPr>
            <w:tcW w:w="960"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35.2</w:t>
            </w:r>
          </w:p>
        </w:tc>
        <w:tc>
          <w:tcPr>
            <w:tcW w:w="1276"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967,951</w:t>
            </w:r>
          </w:p>
        </w:tc>
        <w:tc>
          <w:tcPr>
            <w:tcW w:w="992" w:type="dxa"/>
            <w:tcBorders>
              <w:top w:val="nil"/>
              <w:left w:val="nil"/>
              <w:bottom w:val="nil"/>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32.7</w:t>
            </w:r>
          </w:p>
        </w:tc>
        <w:tc>
          <w:tcPr>
            <w:tcW w:w="2158" w:type="dxa"/>
            <w:tcBorders>
              <w:top w:val="nil"/>
              <w:left w:val="nil"/>
              <w:bottom w:val="nil"/>
              <w:right w:val="nil"/>
            </w:tcBorders>
            <w:shd w:val="clear" w:color="auto" w:fill="auto"/>
            <w:noWrap/>
            <w:vAlign w:val="bottom"/>
            <w:hideMark/>
          </w:tcPr>
          <w:p w:rsidR="002B01FE" w:rsidRPr="003408A6" w:rsidRDefault="00052DEE" w:rsidP="009D694C">
            <w:pPr>
              <w:pStyle w:val="Tabletextcentred"/>
              <w:rPr>
                <w:lang w:val="en-AU"/>
              </w:rPr>
            </w:pPr>
            <w:r w:rsidRPr="003408A6">
              <w:rPr>
                <w:lang w:val="en-AU"/>
              </w:rPr>
              <w:t>0.93 (0.93–</w:t>
            </w:r>
            <w:r w:rsidR="002B01FE" w:rsidRPr="003408A6">
              <w:rPr>
                <w:lang w:val="en-AU"/>
              </w:rPr>
              <w:t>0.93)</w:t>
            </w:r>
          </w:p>
        </w:tc>
      </w:tr>
      <w:tr w:rsidR="002B01FE" w:rsidRPr="003408A6" w:rsidTr="00052DEE">
        <w:trPr>
          <w:trHeight w:val="315"/>
        </w:trPr>
        <w:tc>
          <w:tcPr>
            <w:tcW w:w="1291" w:type="dxa"/>
            <w:tcBorders>
              <w:top w:val="nil"/>
              <w:left w:val="nil"/>
              <w:bottom w:val="single" w:sz="4" w:space="0" w:color="auto"/>
              <w:right w:val="nil"/>
            </w:tcBorders>
            <w:shd w:val="clear" w:color="auto" w:fill="auto"/>
            <w:noWrap/>
            <w:vAlign w:val="bottom"/>
            <w:hideMark/>
          </w:tcPr>
          <w:p w:rsidR="002B01FE" w:rsidRPr="003408A6" w:rsidRDefault="002B01FE" w:rsidP="00052DEE">
            <w:pPr>
              <w:pStyle w:val="Tabletext"/>
              <w:rPr>
                <w:lang w:val="en-AU"/>
              </w:rPr>
            </w:pPr>
            <w:r w:rsidRPr="003408A6">
              <w:rPr>
                <w:lang w:val="en-AU"/>
              </w:rPr>
              <w:t>35</w:t>
            </w:r>
            <w:r w:rsidR="00052DEE" w:rsidRPr="003408A6">
              <w:rPr>
                <w:lang w:val="en-AU"/>
              </w:rPr>
              <w:t>–</w:t>
            </w:r>
            <w:r w:rsidRPr="003408A6">
              <w:rPr>
                <w:lang w:val="en-AU"/>
              </w:rPr>
              <w:t>69</w:t>
            </w:r>
          </w:p>
        </w:tc>
        <w:tc>
          <w:tcPr>
            <w:tcW w:w="1276" w:type="dxa"/>
            <w:tcBorders>
              <w:top w:val="nil"/>
              <w:left w:val="nil"/>
              <w:bottom w:val="single" w:sz="4" w:space="0" w:color="auto"/>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3,757,229</w:t>
            </w:r>
          </w:p>
        </w:tc>
        <w:tc>
          <w:tcPr>
            <w:tcW w:w="960" w:type="dxa"/>
            <w:tcBorders>
              <w:top w:val="nil"/>
              <w:left w:val="nil"/>
              <w:bottom w:val="single" w:sz="4" w:space="0" w:color="auto"/>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25.1</w:t>
            </w:r>
          </w:p>
        </w:tc>
        <w:tc>
          <w:tcPr>
            <w:tcW w:w="1276" w:type="dxa"/>
            <w:tcBorders>
              <w:top w:val="nil"/>
              <w:left w:val="nil"/>
              <w:bottom w:val="single" w:sz="4" w:space="0" w:color="auto"/>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5,261,552</w:t>
            </w:r>
          </w:p>
        </w:tc>
        <w:tc>
          <w:tcPr>
            <w:tcW w:w="992" w:type="dxa"/>
            <w:tcBorders>
              <w:top w:val="nil"/>
              <w:left w:val="nil"/>
              <w:bottom w:val="single" w:sz="4" w:space="0" w:color="auto"/>
              <w:right w:val="nil"/>
            </w:tcBorders>
            <w:shd w:val="clear" w:color="auto" w:fill="auto"/>
            <w:noWrap/>
            <w:vAlign w:val="bottom"/>
            <w:hideMark/>
          </w:tcPr>
          <w:p w:rsidR="002B01FE" w:rsidRPr="003408A6" w:rsidRDefault="002B01FE" w:rsidP="009D694C">
            <w:pPr>
              <w:pStyle w:val="Tabletextcentred"/>
              <w:rPr>
                <w:lang w:val="en-AU"/>
              </w:rPr>
            </w:pPr>
            <w:r w:rsidRPr="003408A6">
              <w:rPr>
                <w:lang w:val="en-AU"/>
              </w:rPr>
              <w:t>32.8</w:t>
            </w:r>
          </w:p>
        </w:tc>
        <w:tc>
          <w:tcPr>
            <w:tcW w:w="2158" w:type="dxa"/>
            <w:tcBorders>
              <w:top w:val="nil"/>
              <w:left w:val="nil"/>
              <w:bottom w:val="single" w:sz="4" w:space="0" w:color="auto"/>
              <w:right w:val="nil"/>
            </w:tcBorders>
            <w:shd w:val="clear" w:color="auto" w:fill="auto"/>
            <w:noWrap/>
            <w:vAlign w:val="bottom"/>
            <w:hideMark/>
          </w:tcPr>
          <w:p w:rsidR="002B01FE" w:rsidRPr="003408A6" w:rsidRDefault="002B01FE" w:rsidP="00052DEE">
            <w:pPr>
              <w:pStyle w:val="Tabletextcentred"/>
              <w:rPr>
                <w:lang w:val="en-AU"/>
              </w:rPr>
            </w:pPr>
            <w:r w:rsidRPr="003408A6">
              <w:rPr>
                <w:lang w:val="en-AU"/>
              </w:rPr>
              <w:t>1.31 (1.30</w:t>
            </w:r>
            <w:r w:rsidR="00052DEE" w:rsidRPr="003408A6">
              <w:rPr>
                <w:lang w:val="en-AU"/>
              </w:rPr>
              <w:t>–</w:t>
            </w:r>
            <w:r w:rsidRPr="003408A6">
              <w:rPr>
                <w:lang w:val="en-AU"/>
              </w:rPr>
              <w:t>1.31)</w:t>
            </w:r>
          </w:p>
        </w:tc>
      </w:tr>
    </w:tbl>
    <w:p w:rsidR="002B01FE" w:rsidRPr="003408A6" w:rsidRDefault="002B01FE" w:rsidP="00052DEE">
      <w:pPr>
        <w:pStyle w:val="Tablefootnote"/>
      </w:pPr>
      <w:r w:rsidRPr="003408A6">
        <w:t xml:space="preserve">Source: </w:t>
      </w:r>
      <w:r w:rsidRPr="006B5A5E">
        <w:rPr>
          <w:i/>
        </w:rPr>
        <w:t>Cervical screening in Australia 2010</w:t>
      </w:r>
      <w:r w:rsidR="00C11F26" w:rsidRPr="006B5A5E">
        <w:rPr>
          <w:i/>
        </w:rPr>
        <w:t>–</w:t>
      </w:r>
      <w:r w:rsidRPr="006B5A5E">
        <w:rPr>
          <w:i/>
        </w:rPr>
        <w:t>2011</w:t>
      </w:r>
      <w:r w:rsidRPr="003408A6">
        <w:t>, AIHW</w:t>
      </w:r>
    </w:p>
    <w:p w:rsidR="00052DEE" w:rsidRPr="003408A6" w:rsidRDefault="00052DEE" w:rsidP="00052DEE">
      <w:pPr>
        <w:pStyle w:val="Tablefootnote"/>
      </w:pPr>
      <w:r w:rsidRPr="003408A6">
        <w:t>*</w:t>
      </w:r>
      <w:r w:rsidRPr="003408A6">
        <w:tab/>
        <w:t>Comparing 2008–2011 period with 2004–2007 period, by age group, adjusted for hysterectomy fraction</w:t>
      </w:r>
      <w:r w:rsidR="00205BE4">
        <w:t>.</w:t>
      </w:r>
    </w:p>
    <w:p w:rsidR="00052DEE" w:rsidRPr="003408A6" w:rsidRDefault="00052DEE" w:rsidP="00052DEE">
      <w:pPr>
        <w:pStyle w:val="Tablefootnote"/>
      </w:pPr>
      <w:r w:rsidRPr="003408A6">
        <w:t>†</w:t>
      </w:r>
      <w:r w:rsidRPr="003408A6">
        <w:tab/>
        <w:t>Screening rate per 100 female population per 4-year period</w:t>
      </w:r>
    </w:p>
    <w:p w:rsidR="001B5EAE" w:rsidRDefault="00052DEE" w:rsidP="001B5EAE">
      <w:pPr>
        <w:pStyle w:val="Tablefootnote"/>
      </w:pPr>
      <w:r w:rsidRPr="003408A6">
        <w:t>‡</w:t>
      </w:r>
      <w:r w:rsidRPr="003408A6">
        <w:tab/>
      </w:r>
      <w:r w:rsidR="002B01FE" w:rsidRPr="003408A6">
        <w:t xml:space="preserve">ABS population estimates of 18–19 years </w:t>
      </w:r>
      <w:r w:rsidR="00205BE4">
        <w:t xml:space="preserve">used </w:t>
      </w:r>
      <w:r w:rsidR="002B01FE" w:rsidRPr="003408A6">
        <w:t xml:space="preserve">as denominator for </w:t>
      </w:r>
      <w:r w:rsidR="00C11F26" w:rsidRPr="003408A6">
        <w:t xml:space="preserve">the </w:t>
      </w:r>
      <w:r w:rsidR="002B01FE" w:rsidRPr="003408A6">
        <w:t>&lt;20 year</w:t>
      </w:r>
      <w:r w:rsidR="00C11F26" w:rsidRPr="003408A6">
        <w:t>s</w:t>
      </w:r>
      <w:r w:rsidR="002B01FE" w:rsidRPr="003408A6">
        <w:t xml:space="preserve"> age group</w:t>
      </w:r>
      <w:r w:rsidR="00205BE4">
        <w:t>.</w:t>
      </w:r>
      <w:bookmarkStart w:id="192" w:name="_Toc368480198"/>
    </w:p>
    <w:p w:rsidR="001B5EAE" w:rsidRDefault="001B5EAE" w:rsidP="001B5EAE">
      <w:pPr>
        <w:pStyle w:val="Tablefootnote"/>
      </w:pPr>
    </w:p>
    <w:p w:rsidR="002B01FE" w:rsidRPr="003408A6" w:rsidRDefault="002B01FE" w:rsidP="00DD7504">
      <w:pPr>
        <w:pStyle w:val="Heading3"/>
      </w:pPr>
      <w:r w:rsidRPr="003408A6">
        <w:t>HGAs detected</w:t>
      </w:r>
      <w:bookmarkEnd w:id="192"/>
    </w:p>
    <w:p w:rsidR="002B01FE" w:rsidRPr="0042294A" w:rsidRDefault="002B01FE" w:rsidP="0042294A">
      <w:pPr>
        <w:spacing w:line="360" w:lineRule="auto"/>
      </w:pPr>
      <w:r w:rsidRPr="0042294A">
        <w:t>Following the implementation of the National HPV Vaccination Program, the number and rates of HGA</w:t>
      </w:r>
      <w:r w:rsidR="00205BE4" w:rsidRPr="0042294A">
        <w:t>s</w:t>
      </w:r>
      <w:r w:rsidRPr="0042294A">
        <w:t xml:space="preserve"> detected in females aged &lt;20 years and 20–24 years of age decreased (</w:t>
      </w:r>
      <w:r w:rsidRPr="0042294A">
        <w:rPr>
          <w:b/>
        </w:rPr>
        <w:t xml:space="preserve">Table </w:t>
      </w:r>
      <w:r w:rsidR="00563E90" w:rsidRPr="0042294A">
        <w:rPr>
          <w:b/>
        </w:rPr>
        <w:t>5</w:t>
      </w:r>
      <w:r w:rsidR="00485766" w:rsidRPr="0042294A">
        <w:rPr>
          <w:b/>
        </w:rPr>
        <w:t>.</w:t>
      </w:r>
      <w:r w:rsidRPr="0042294A">
        <w:rPr>
          <w:b/>
        </w:rPr>
        <w:t>2</w:t>
      </w:r>
      <w:r w:rsidRPr="0042294A">
        <w:t xml:space="preserve">, </w:t>
      </w:r>
      <w:r w:rsidRPr="0042294A">
        <w:rPr>
          <w:b/>
        </w:rPr>
        <w:t xml:space="preserve">Figure </w:t>
      </w:r>
      <w:r w:rsidR="00563E90" w:rsidRPr="0042294A">
        <w:rPr>
          <w:b/>
        </w:rPr>
        <w:t>5</w:t>
      </w:r>
      <w:r w:rsidR="00485766" w:rsidRPr="0042294A">
        <w:rPr>
          <w:b/>
        </w:rPr>
        <w:t>.</w:t>
      </w:r>
      <w:r w:rsidRPr="0042294A">
        <w:rPr>
          <w:b/>
        </w:rPr>
        <w:t>2</w:t>
      </w:r>
      <w:r w:rsidR="00BE0720">
        <w:rPr>
          <w:b/>
        </w:rPr>
        <w:t>, Appendix 5.1</w:t>
      </w:r>
      <w:r w:rsidRPr="0042294A">
        <w:t xml:space="preserve">). Although </w:t>
      </w:r>
      <w:r w:rsidR="00465689" w:rsidRPr="0042294A">
        <w:t xml:space="preserve">the </w:t>
      </w:r>
      <w:r w:rsidRPr="0042294A">
        <w:t xml:space="preserve">number of HGAs detected in females </w:t>
      </w:r>
      <w:r w:rsidR="00465689" w:rsidRPr="0042294A">
        <w:t xml:space="preserve">aged </w:t>
      </w:r>
      <w:r w:rsidRPr="0042294A">
        <w:t xml:space="preserve">25–29 years appeared to increase, no </w:t>
      </w:r>
      <w:r w:rsidR="00465689" w:rsidRPr="0042294A">
        <w:t xml:space="preserve">similar </w:t>
      </w:r>
      <w:r w:rsidRPr="0042294A">
        <w:t>pattern in HGA rates was observed. In the older age groups (30</w:t>
      </w:r>
      <w:r w:rsidR="00465689" w:rsidRPr="0042294A">
        <w:t>–</w:t>
      </w:r>
      <w:r w:rsidRPr="0042294A">
        <w:t>34 years</w:t>
      </w:r>
      <w:r w:rsidR="00465689" w:rsidRPr="0042294A">
        <w:t xml:space="preserve"> and</w:t>
      </w:r>
      <w:r w:rsidRPr="0042294A">
        <w:t xml:space="preserve"> 35</w:t>
      </w:r>
      <w:r w:rsidR="00465689" w:rsidRPr="0042294A">
        <w:t>–</w:t>
      </w:r>
      <w:r w:rsidRPr="0042294A">
        <w:t>69 years), the number of HGAs detected and</w:t>
      </w:r>
      <w:r w:rsidR="00205BE4" w:rsidRPr="0042294A">
        <w:t xml:space="preserve"> the</w:t>
      </w:r>
      <w:r w:rsidRPr="0042294A">
        <w:t xml:space="preserve"> HGA rate increased</w:t>
      </w:r>
      <w:r w:rsidR="00465689" w:rsidRPr="0042294A">
        <w:t xml:space="preserve"> over time</w:t>
      </w:r>
      <w:r w:rsidRPr="0042294A">
        <w:t xml:space="preserve">. </w:t>
      </w:r>
    </w:p>
    <w:p w:rsidR="002B01FE" w:rsidRPr="003408A6" w:rsidRDefault="002B01FE" w:rsidP="000A2125">
      <w:pPr>
        <w:pStyle w:val="Tableheading"/>
        <w:rPr>
          <w:lang w:val="en-AU"/>
        </w:rPr>
      </w:pPr>
      <w:bookmarkStart w:id="193" w:name="_Toc396475553"/>
      <w:bookmarkStart w:id="194" w:name="_Toc397000781"/>
      <w:r w:rsidRPr="003408A6">
        <w:rPr>
          <w:lang w:val="en-AU"/>
        </w:rPr>
        <w:t xml:space="preserve">Table </w:t>
      </w:r>
      <w:r w:rsidR="00563E90" w:rsidRPr="003408A6">
        <w:rPr>
          <w:lang w:val="en-AU"/>
        </w:rPr>
        <w:t>5</w:t>
      </w:r>
      <w:r w:rsidR="00485766" w:rsidRPr="003408A6">
        <w:rPr>
          <w:lang w:val="en-AU"/>
        </w:rPr>
        <w:t>.</w:t>
      </w:r>
      <w:r w:rsidR="00D861BD" w:rsidRPr="003408A6">
        <w:rPr>
          <w:lang w:val="en-AU"/>
        </w:rPr>
        <w:t>2.</w:t>
      </w:r>
      <w:r w:rsidR="00D861BD" w:rsidRPr="003408A6">
        <w:rPr>
          <w:lang w:val="en-AU"/>
        </w:rPr>
        <w:tab/>
      </w:r>
      <w:r w:rsidRPr="003408A6">
        <w:rPr>
          <w:lang w:val="en-AU"/>
        </w:rPr>
        <w:t>Number</w:t>
      </w:r>
      <w:r w:rsidRPr="003408A6">
        <w:rPr>
          <w:bCs/>
          <w:lang w:val="en-AU"/>
        </w:rPr>
        <w:t xml:space="preserve"> </w:t>
      </w:r>
      <w:r w:rsidRPr="003408A6">
        <w:rPr>
          <w:lang w:val="en-AU"/>
        </w:rPr>
        <w:t>of females with high-grade abnormalities detected by histology</w:t>
      </w:r>
      <w:r w:rsidR="00465689" w:rsidRPr="003408A6">
        <w:rPr>
          <w:lang w:val="en-AU"/>
        </w:rPr>
        <w:t>,</w:t>
      </w:r>
      <w:r w:rsidRPr="003408A6">
        <w:rPr>
          <w:lang w:val="en-AU"/>
        </w:rPr>
        <w:t xml:space="preserve"> by age, 2004 to 2011</w:t>
      </w:r>
      <w:bookmarkEnd w:id="193"/>
      <w:bookmarkEnd w:id="194"/>
    </w:p>
    <w:tbl>
      <w:tblPr>
        <w:tblW w:w="89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61"/>
        <w:gridCol w:w="962"/>
        <w:gridCol w:w="962"/>
        <w:gridCol w:w="962"/>
        <w:gridCol w:w="961"/>
        <w:gridCol w:w="962"/>
        <w:gridCol w:w="962"/>
        <w:gridCol w:w="962"/>
      </w:tblGrid>
      <w:tr w:rsidR="0077184E" w:rsidRPr="003408A6" w:rsidTr="00205BE4">
        <w:trPr>
          <w:trHeight w:val="457"/>
        </w:trPr>
        <w:tc>
          <w:tcPr>
            <w:tcW w:w="1291" w:type="dxa"/>
            <w:vMerge w:val="restart"/>
            <w:shd w:val="clear" w:color="000000" w:fill="FFFFFF"/>
            <w:noWrap/>
            <w:vAlign w:val="center"/>
            <w:hideMark/>
          </w:tcPr>
          <w:p w:rsidR="0077184E" w:rsidRPr="003408A6" w:rsidRDefault="0077184E" w:rsidP="0077184E">
            <w:pPr>
              <w:pStyle w:val="Tablecolumnheading"/>
              <w:rPr>
                <w:lang w:val="en-AU"/>
              </w:rPr>
            </w:pPr>
            <w:r w:rsidRPr="003408A6">
              <w:rPr>
                <w:lang w:val="en-AU"/>
              </w:rPr>
              <w:t>Age group</w:t>
            </w:r>
            <w:r w:rsidRPr="003408A6">
              <w:rPr>
                <w:lang w:val="en-AU"/>
              </w:rPr>
              <w:br/>
              <w:t>(years)</w:t>
            </w:r>
          </w:p>
        </w:tc>
        <w:tc>
          <w:tcPr>
            <w:tcW w:w="7694" w:type="dxa"/>
            <w:gridSpan w:val="8"/>
            <w:shd w:val="clear" w:color="000000" w:fill="FFFFFF"/>
            <w:noWrap/>
            <w:vAlign w:val="center"/>
            <w:hideMark/>
          </w:tcPr>
          <w:p w:rsidR="0077184E" w:rsidRPr="003408A6" w:rsidRDefault="0077184E" w:rsidP="0077184E">
            <w:pPr>
              <w:pStyle w:val="Tablecolumnheadings"/>
              <w:rPr>
                <w:lang w:val="en-AU"/>
              </w:rPr>
            </w:pPr>
            <w:r w:rsidRPr="003408A6">
              <w:rPr>
                <w:lang w:val="en-AU"/>
              </w:rPr>
              <w:t>Year</w:t>
            </w:r>
          </w:p>
        </w:tc>
      </w:tr>
      <w:tr w:rsidR="0077184E" w:rsidRPr="003408A6" w:rsidTr="00205BE4">
        <w:trPr>
          <w:trHeight w:val="519"/>
        </w:trPr>
        <w:tc>
          <w:tcPr>
            <w:tcW w:w="1291" w:type="dxa"/>
            <w:vMerge/>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p>
        </w:tc>
        <w:tc>
          <w:tcPr>
            <w:tcW w:w="961"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2004</w:t>
            </w:r>
          </w:p>
        </w:tc>
        <w:tc>
          <w:tcPr>
            <w:tcW w:w="962"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2005</w:t>
            </w:r>
          </w:p>
        </w:tc>
        <w:tc>
          <w:tcPr>
            <w:tcW w:w="962"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2006</w:t>
            </w:r>
          </w:p>
        </w:tc>
        <w:tc>
          <w:tcPr>
            <w:tcW w:w="962"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2007</w:t>
            </w:r>
          </w:p>
        </w:tc>
        <w:tc>
          <w:tcPr>
            <w:tcW w:w="961"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2008</w:t>
            </w:r>
          </w:p>
        </w:tc>
        <w:tc>
          <w:tcPr>
            <w:tcW w:w="962"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2009</w:t>
            </w:r>
          </w:p>
        </w:tc>
        <w:tc>
          <w:tcPr>
            <w:tcW w:w="962" w:type="dxa"/>
            <w:tcBorders>
              <w:bottom w:val="single" w:sz="4" w:space="0" w:color="auto"/>
            </w:tcBorders>
            <w:shd w:val="clear" w:color="000000" w:fill="FFFFFF"/>
            <w:noWrap/>
            <w:vAlign w:val="center"/>
            <w:hideMark/>
          </w:tcPr>
          <w:p w:rsidR="0077184E" w:rsidRPr="003408A6" w:rsidRDefault="0077184E" w:rsidP="0077184E">
            <w:pPr>
              <w:pStyle w:val="Tablecolumnheadings"/>
              <w:rPr>
                <w:lang w:val="en-AU"/>
              </w:rPr>
            </w:pPr>
            <w:r w:rsidRPr="003408A6">
              <w:rPr>
                <w:lang w:val="en-AU"/>
              </w:rPr>
              <w:t>2010</w:t>
            </w:r>
          </w:p>
        </w:tc>
        <w:tc>
          <w:tcPr>
            <w:tcW w:w="962" w:type="dxa"/>
            <w:tcBorders>
              <w:bottom w:val="single" w:sz="4" w:space="0" w:color="auto"/>
            </w:tcBorders>
            <w:shd w:val="clear" w:color="000000" w:fill="FFFFFF"/>
            <w:vAlign w:val="center"/>
            <w:hideMark/>
          </w:tcPr>
          <w:p w:rsidR="0077184E" w:rsidRPr="003408A6" w:rsidRDefault="0077184E" w:rsidP="0077184E">
            <w:pPr>
              <w:pStyle w:val="Tablecolumnheadings"/>
              <w:rPr>
                <w:lang w:val="en-AU"/>
              </w:rPr>
            </w:pPr>
            <w:r w:rsidRPr="003408A6">
              <w:rPr>
                <w:lang w:val="en-AU"/>
              </w:rPr>
              <w:t>2011</w:t>
            </w:r>
          </w:p>
        </w:tc>
      </w:tr>
      <w:tr w:rsidR="002B01FE" w:rsidRPr="003408A6" w:rsidTr="00205BE4">
        <w:trPr>
          <w:trHeight w:val="315"/>
        </w:trPr>
        <w:tc>
          <w:tcPr>
            <w:tcW w:w="1291" w:type="dxa"/>
            <w:shd w:val="clear" w:color="000000" w:fill="FFFFFF"/>
            <w:noWrap/>
            <w:vAlign w:val="center"/>
            <w:hideMark/>
          </w:tcPr>
          <w:p w:rsidR="002B01FE" w:rsidRPr="003408A6" w:rsidRDefault="002B01FE" w:rsidP="0077184E">
            <w:pPr>
              <w:pStyle w:val="Tabletext"/>
              <w:rPr>
                <w:lang w:val="en-AU"/>
              </w:rPr>
            </w:pPr>
            <w:r w:rsidRPr="003408A6">
              <w:rPr>
                <w:lang w:val="en-AU"/>
              </w:rPr>
              <w:t>&lt;20</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915</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851</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803</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750</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653</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518</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416</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385</w:t>
            </w:r>
          </w:p>
        </w:tc>
      </w:tr>
      <w:tr w:rsidR="002B01FE" w:rsidRPr="003408A6" w:rsidTr="00205BE4">
        <w:trPr>
          <w:trHeight w:val="300"/>
        </w:trPr>
        <w:tc>
          <w:tcPr>
            <w:tcW w:w="1291" w:type="dxa"/>
            <w:shd w:val="clear" w:color="000000" w:fill="FFFFFF"/>
            <w:noWrap/>
            <w:vAlign w:val="center"/>
            <w:hideMark/>
          </w:tcPr>
          <w:p w:rsidR="002B01FE" w:rsidRPr="003408A6" w:rsidRDefault="002B01FE" w:rsidP="0077184E">
            <w:pPr>
              <w:pStyle w:val="Tabletext"/>
              <w:rPr>
                <w:lang w:val="en-AU"/>
              </w:rPr>
            </w:pPr>
            <w:r w:rsidRPr="003408A6">
              <w:rPr>
                <w:lang w:val="en-AU"/>
              </w:rPr>
              <w:t>20</w:t>
            </w:r>
            <w:r w:rsidR="0077184E" w:rsidRPr="003408A6">
              <w:rPr>
                <w:lang w:val="en-AU"/>
              </w:rPr>
              <w:t>–</w:t>
            </w:r>
            <w:r w:rsidRPr="003408A6">
              <w:rPr>
                <w:lang w:val="en-AU"/>
              </w:rPr>
              <w:t>24</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3,673</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3,826</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3,707</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3,823</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4,044</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3,799</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3,566</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3,220</w:t>
            </w:r>
          </w:p>
        </w:tc>
      </w:tr>
      <w:tr w:rsidR="002B01FE" w:rsidRPr="003408A6" w:rsidTr="00205BE4">
        <w:trPr>
          <w:trHeight w:val="300"/>
        </w:trPr>
        <w:tc>
          <w:tcPr>
            <w:tcW w:w="1291" w:type="dxa"/>
            <w:shd w:val="clear" w:color="000000" w:fill="FFFFFF"/>
            <w:noWrap/>
            <w:vAlign w:val="center"/>
            <w:hideMark/>
          </w:tcPr>
          <w:p w:rsidR="002B01FE" w:rsidRPr="003408A6" w:rsidRDefault="002B01FE" w:rsidP="0077184E">
            <w:pPr>
              <w:pStyle w:val="Tabletext"/>
              <w:rPr>
                <w:lang w:val="en-AU"/>
              </w:rPr>
            </w:pPr>
            <w:r w:rsidRPr="003408A6">
              <w:rPr>
                <w:lang w:val="en-AU"/>
              </w:rPr>
              <w:t>25</w:t>
            </w:r>
            <w:r w:rsidR="0077184E" w:rsidRPr="003408A6">
              <w:rPr>
                <w:lang w:val="en-AU"/>
              </w:rPr>
              <w:t>–</w:t>
            </w:r>
            <w:r w:rsidRPr="003408A6">
              <w:rPr>
                <w:lang w:val="en-AU"/>
              </w:rPr>
              <w:t>29</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3,879</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3,931</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3,861</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4,186</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4,379</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4,464</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4,524</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4,543</w:t>
            </w:r>
          </w:p>
        </w:tc>
      </w:tr>
      <w:tr w:rsidR="002B01FE" w:rsidRPr="003408A6" w:rsidTr="00205BE4">
        <w:trPr>
          <w:trHeight w:val="300"/>
        </w:trPr>
        <w:tc>
          <w:tcPr>
            <w:tcW w:w="1291" w:type="dxa"/>
            <w:shd w:val="clear" w:color="000000" w:fill="FFFFFF"/>
            <w:noWrap/>
            <w:vAlign w:val="center"/>
            <w:hideMark/>
          </w:tcPr>
          <w:p w:rsidR="002B01FE" w:rsidRPr="003408A6" w:rsidRDefault="002B01FE" w:rsidP="0077184E">
            <w:pPr>
              <w:pStyle w:val="Tabletext"/>
              <w:rPr>
                <w:lang w:val="en-AU"/>
              </w:rPr>
            </w:pPr>
            <w:r w:rsidRPr="003408A6">
              <w:rPr>
                <w:lang w:val="en-AU"/>
              </w:rPr>
              <w:t>30</w:t>
            </w:r>
            <w:r w:rsidR="0077184E" w:rsidRPr="003408A6">
              <w:rPr>
                <w:lang w:val="en-AU"/>
              </w:rPr>
              <w:t>–</w:t>
            </w:r>
            <w:r w:rsidRPr="003408A6">
              <w:rPr>
                <w:lang w:val="en-AU"/>
              </w:rPr>
              <w:t>34</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3,111</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3,127</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2,945</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2,933</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3,126</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3,155</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3,201</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3,378</w:t>
            </w:r>
          </w:p>
        </w:tc>
      </w:tr>
      <w:tr w:rsidR="002B01FE" w:rsidRPr="003408A6" w:rsidTr="00205BE4">
        <w:trPr>
          <w:trHeight w:val="300"/>
        </w:trPr>
        <w:tc>
          <w:tcPr>
            <w:tcW w:w="1291" w:type="dxa"/>
            <w:shd w:val="clear" w:color="000000" w:fill="FFFFFF"/>
            <w:noWrap/>
            <w:vAlign w:val="center"/>
            <w:hideMark/>
          </w:tcPr>
          <w:p w:rsidR="002B01FE" w:rsidRPr="003408A6" w:rsidRDefault="002B01FE" w:rsidP="0077184E">
            <w:pPr>
              <w:pStyle w:val="Tabletext"/>
              <w:rPr>
                <w:lang w:val="en-AU"/>
              </w:rPr>
            </w:pPr>
            <w:r w:rsidRPr="003408A6">
              <w:rPr>
                <w:lang w:val="en-AU"/>
              </w:rPr>
              <w:t>35</w:t>
            </w:r>
            <w:r w:rsidR="0077184E" w:rsidRPr="003408A6">
              <w:rPr>
                <w:lang w:val="en-AU"/>
              </w:rPr>
              <w:t>–</w:t>
            </w:r>
            <w:r w:rsidRPr="003408A6">
              <w:rPr>
                <w:lang w:val="en-AU"/>
              </w:rPr>
              <w:t>69</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4,418</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4,434</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4,602</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4,729</w:t>
            </w:r>
          </w:p>
        </w:tc>
        <w:tc>
          <w:tcPr>
            <w:tcW w:w="961" w:type="dxa"/>
            <w:shd w:val="clear" w:color="000000" w:fill="FFFFFF"/>
            <w:vAlign w:val="center"/>
            <w:hideMark/>
          </w:tcPr>
          <w:p w:rsidR="002B01FE" w:rsidRPr="003408A6" w:rsidRDefault="002B01FE" w:rsidP="0077184E">
            <w:pPr>
              <w:pStyle w:val="Tabletextcentred"/>
              <w:rPr>
                <w:lang w:val="en-AU"/>
              </w:rPr>
            </w:pPr>
            <w:r w:rsidRPr="003408A6">
              <w:rPr>
                <w:lang w:val="en-AU"/>
              </w:rPr>
              <w:t>4,908</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4,839</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5,000</w:t>
            </w:r>
          </w:p>
        </w:tc>
        <w:tc>
          <w:tcPr>
            <w:tcW w:w="962" w:type="dxa"/>
            <w:shd w:val="clear" w:color="000000" w:fill="FFFFFF"/>
            <w:vAlign w:val="center"/>
            <w:hideMark/>
          </w:tcPr>
          <w:p w:rsidR="002B01FE" w:rsidRPr="003408A6" w:rsidRDefault="002B01FE" w:rsidP="0077184E">
            <w:pPr>
              <w:pStyle w:val="Tabletextcentred"/>
              <w:rPr>
                <w:lang w:val="en-AU"/>
              </w:rPr>
            </w:pPr>
            <w:r w:rsidRPr="003408A6">
              <w:rPr>
                <w:lang w:val="en-AU"/>
              </w:rPr>
              <w:t>5,500</w:t>
            </w:r>
          </w:p>
        </w:tc>
      </w:tr>
    </w:tbl>
    <w:p w:rsidR="002B01FE" w:rsidRDefault="002B01FE" w:rsidP="0077184E">
      <w:pPr>
        <w:pStyle w:val="Tablefootnote"/>
      </w:pPr>
      <w:r w:rsidRPr="003408A6">
        <w:t xml:space="preserve">Source: </w:t>
      </w:r>
      <w:r w:rsidRPr="009263B6">
        <w:rPr>
          <w:i/>
        </w:rPr>
        <w:t>Cervical screening in Australia 2010</w:t>
      </w:r>
      <w:r w:rsidR="00465689" w:rsidRPr="009263B6">
        <w:rPr>
          <w:i/>
        </w:rPr>
        <w:t>–</w:t>
      </w:r>
      <w:r w:rsidRPr="009263B6">
        <w:rPr>
          <w:i/>
        </w:rPr>
        <w:t>2011</w:t>
      </w:r>
      <w:r w:rsidRPr="003408A6">
        <w:t>, AIHW</w:t>
      </w:r>
    </w:p>
    <w:p w:rsidR="00205BE4" w:rsidRDefault="00205BE4" w:rsidP="0077184E">
      <w:pPr>
        <w:pStyle w:val="Tablefootnote"/>
        <w:rPr>
          <w:b/>
        </w:rPr>
      </w:pPr>
    </w:p>
    <w:p w:rsidR="001B5EAE" w:rsidRDefault="001B5EAE">
      <w:pPr>
        <w:rPr>
          <w:rFonts w:cs="Arial"/>
          <w:b/>
          <w:sz w:val="18"/>
          <w:szCs w:val="18"/>
        </w:rPr>
      </w:pPr>
      <w:r>
        <w:rPr>
          <w:b/>
        </w:rPr>
        <w:br w:type="page"/>
      </w:r>
    </w:p>
    <w:p w:rsidR="001B5EAE" w:rsidRPr="003408A6" w:rsidRDefault="001B5EAE" w:rsidP="0077184E">
      <w:pPr>
        <w:pStyle w:val="Tablefootnote"/>
        <w:rPr>
          <w:b/>
        </w:rPr>
      </w:pPr>
    </w:p>
    <w:p w:rsidR="002B01FE" w:rsidRPr="003408A6" w:rsidRDefault="002B01FE" w:rsidP="00911E21">
      <w:pPr>
        <w:pStyle w:val="Figureheading"/>
      </w:pPr>
      <w:bookmarkStart w:id="195" w:name="_Toc396475586"/>
      <w:bookmarkStart w:id="196" w:name="_Toc397000814"/>
      <w:r w:rsidRPr="003408A6">
        <w:t xml:space="preserve">Figure </w:t>
      </w:r>
      <w:r w:rsidR="00563E90" w:rsidRPr="003408A6">
        <w:t>5</w:t>
      </w:r>
      <w:r w:rsidR="00485766" w:rsidRPr="003408A6">
        <w:t>.</w:t>
      </w:r>
      <w:r w:rsidRPr="003408A6">
        <w:t>2.</w:t>
      </w:r>
      <w:r w:rsidR="002B7A0C" w:rsidRPr="003408A6">
        <w:tab/>
      </w:r>
      <w:r w:rsidRPr="003408A6">
        <w:t>Rate ratio</w:t>
      </w:r>
      <w:r w:rsidR="0042294A" w:rsidRPr="003408A6">
        <w:t>*</w:t>
      </w:r>
      <w:r w:rsidR="0042294A" w:rsidRPr="0022697B">
        <w:rPr>
          <w:vertAlign w:val="superscript"/>
        </w:rPr>
        <w:t>†</w:t>
      </w:r>
      <w:r w:rsidRPr="003408A6">
        <w:t xml:space="preserve"> of females with a </w:t>
      </w:r>
      <w:r w:rsidR="0042294A" w:rsidRPr="003408A6">
        <w:t xml:space="preserve">detected </w:t>
      </w:r>
      <w:r w:rsidR="003554CF">
        <w:t>high-grade abnormality</w:t>
      </w:r>
      <w:r w:rsidR="0042294A">
        <w:t>,</w:t>
      </w:r>
      <w:r w:rsidRPr="003408A6">
        <w:t xml:space="preserve"> per 1</w:t>
      </w:r>
      <w:r w:rsidR="00DC2B90" w:rsidRPr="003408A6">
        <w:t>,</w:t>
      </w:r>
      <w:r w:rsidRPr="003408A6">
        <w:t>000 females screened</w:t>
      </w:r>
      <w:r w:rsidR="00465689" w:rsidRPr="003408A6">
        <w:t>,</w:t>
      </w:r>
      <w:r w:rsidRPr="003408A6">
        <w:t xml:space="preserve"> by age group, 2008 to 2011</w:t>
      </w:r>
      <w:bookmarkEnd w:id="195"/>
      <w:bookmarkEnd w:id="196"/>
    </w:p>
    <w:p w:rsidR="002B01FE" w:rsidRPr="0042294A" w:rsidRDefault="001B5EAE" w:rsidP="00CE0A90">
      <w:pPr>
        <w:spacing w:line="360" w:lineRule="auto"/>
        <w:rPr>
          <w:rStyle w:val="BodyTextChar"/>
        </w:rPr>
      </w:pPr>
      <w:r>
        <w:rPr>
          <w:rFonts w:cs="Arial"/>
          <w:noProof/>
        </w:rPr>
        <w:drawing>
          <wp:inline distT="0" distB="0" distL="0" distR="0" wp14:anchorId="6B5276B5" wp14:editId="55A0DD10">
            <wp:extent cx="5219700" cy="3411676"/>
            <wp:effectExtent l="0" t="0" r="0" b="0"/>
            <wp:docPr id="23" name="Picture 23" title="Rate ratio*† of females with a detected high-grade abnormality, per 1,000 females screened, by age group, 2008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8151" cy="3417200"/>
                    </a:xfrm>
                    <a:prstGeom prst="rect">
                      <a:avLst/>
                    </a:prstGeom>
                    <a:noFill/>
                  </pic:spPr>
                </pic:pic>
              </a:graphicData>
            </a:graphic>
          </wp:inline>
        </w:drawing>
      </w:r>
    </w:p>
    <w:p w:rsidR="002B01FE" w:rsidRPr="003408A6" w:rsidRDefault="002B01FE" w:rsidP="0077184E">
      <w:pPr>
        <w:pStyle w:val="Tablefootnote"/>
      </w:pPr>
      <w:r w:rsidRPr="003408A6">
        <w:t xml:space="preserve">Source: </w:t>
      </w:r>
      <w:r w:rsidRPr="009263B6">
        <w:rPr>
          <w:i/>
        </w:rPr>
        <w:t>Cervical screening in Australia 2010</w:t>
      </w:r>
      <w:r w:rsidR="00465689" w:rsidRPr="009263B6">
        <w:rPr>
          <w:i/>
        </w:rPr>
        <w:t>–</w:t>
      </w:r>
      <w:r w:rsidRPr="009263B6">
        <w:rPr>
          <w:i/>
        </w:rPr>
        <w:t>2011</w:t>
      </w:r>
      <w:r w:rsidRPr="003408A6">
        <w:t xml:space="preserve">, AIHW and </w:t>
      </w:r>
      <w:r w:rsidR="00270D0B" w:rsidRPr="003408A6">
        <w:t>ABS</w:t>
      </w:r>
      <w:r w:rsidRPr="003408A6">
        <w:t xml:space="preserve"> census data</w:t>
      </w:r>
    </w:p>
    <w:p w:rsidR="002B01FE" w:rsidRPr="003408A6" w:rsidRDefault="002B01FE" w:rsidP="0077184E">
      <w:pPr>
        <w:pStyle w:val="Tablefootnote"/>
      </w:pPr>
      <w:r w:rsidRPr="003408A6">
        <w:t>*</w:t>
      </w:r>
      <w:r w:rsidR="0077184E" w:rsidRPr="003408A6">
        <w:tab/>
      </w:r>
      <w:r w:rsidRPr="003408A6">
        <w:t>95% confidence intervals displayed</w:t>
      </w:r>
      <w:r w:rsidR="0042294A">
        <w:t>.</w:t>
      </w:r>
    </w:p>
    <w:p w:rsidR="002B01FE" w:rsidRPr="003408A6" w:rsidRDefault="0077184E" w:rsidP="0077184E">
      <w:pPr>
        <w:pStyle w:val="Tablefootnote"/>
      </w:pPr>
      <w:r w:rsidRPr="003408A6">
        <w:t>†</w:t>
      </w:r>
      <w:r w:rsidRPr="003408A6">
        <w:tab/>
      </w:r>
      <w:r w:rsidR="002B01FE" w:rsidRPr="003408A6">
        <w:t>Reference group: 2004–2007 pre-vaccine/baseline period</w:t>
      </w:r>
      <w:r w:rsidR="0042294A">
        <w:t>.</w:t>
      </w:r>
      <w:r w:rsidR="002B01FE" w:rsidRPr="003408A6">
        <w:t xml:space="preserve"> </w:t>
      </w:r>
    </w:p>
    <w:p w:rsidR="002B01FE" w:rsidRPr="003408A6" w:rsidRDefault="002B01FE" w:rsidP="0077184E">
      <w:pPr>
        <w:pStyle w:val="BodyText"/>
        <w:rPr>
          <w:lang w:val="en-AU"/>
        </w:rPr>
      </w:pPr>
    </w:p>
    <w:p w:rsidR="002B01FE" w:rsidRPr="003408A6" w:rsidRDefault="002B01FE" w:rsidP="00666FF1">
      <w:pPr>
        <w:pStyle w:val="Heading3"/>
      </w:pPr>
      <w:bookmarkStart w:id="197" w:name="_Toc368480199"/>
      <w:r w:rsidRPr="003408A6">
        <w:t>HGA rates in females aged &lt;20 years</w:t>
      </w:r>
      <w:bookmarkEnd w:id="197"/>
    </w:p>
    <w:p w:rsidR="002B01FE" w:rsidRPr="003408A6" w:rsidRDefault="002B01FE" w:rsidP="0077184E">
      <w:pPr>
        <w:pStyle w:val="BodyText"/>
        <w:rPr>
          <w:lang w:val="en-AU"/>
        </w:rPr>
      </w:pPr>
      <w:r w:rsidRPr="003408A6">
        <w:rPr>
          <w:lang w:val="en-AU"/>
        </w:rPr>
        <w:t xml:space="preserve">The most striking reduction </w:t>
      </w:r>
      <w:r w:rsidR="00465689" w:rsidRPr="003408A6">
        <w:rPr>
          <w:lang w:val="en-AU"/>
        </w:rPr>
        <w:t>in the rate of HGA</w:t>
      </w:r>
      <w:r w:rsidR="0042294A">
        <w:rPr>
          <w:lang w:val="en-AU"/>
        </w:rPr>
        <w:t>s</w:t>
      </w:r>
      <w:r w:rsidR="00465689" w:rsidRPr="003408A6">
        <w:rPr>
          <w:lang w:val="en-AU"/>
        </w:rPr>
        <w:t xml:space="preserve"> detected </w:t>
      </w:r>
      <w:r w:rsidR="00E42A66" w:rsidRPr="003408A6">
        <w:rPr>
          <w:lang w:val="en-AU"/>
        </w:rPr>
        <w:t xml:space="preserve">in the post-vaccine period compared with the pre-vaccine period </w:t>
      </w:r>
      <w:r w:rsidR="00C71BEC" w:rsidRPr="003408A6">
        <w:rPr>
          <w:lang w:val="en-AU"/>
        </w:rPr>
        <w:t xml:space="preserve">was observed in females aged &lt;20 years </w:t>
      </w:r>
      <w:r w:rsidRPr="003408A6">
        <w:rPr>
          <w:lang w:val="en-AU"/>
        </w:rPr>
        <w:t>(</w:t>
      </w:r>
      <w:r w:rsidRPr="003408A6">
        <w:rPr>
          <w:b/>
          <w:lang w:val="en-AU"/>
        </w:rPr>
        <w:t xml:space="preserve">Figure </w:t>
      </w:r>
      <w:r w:rsidR="00563E90" w:rsidRPr="003408A6">
        <w:rPr>
          <w:b/>
          <w:lang w:val="en-AU"/>
        </w:rPr>
        <w:t>5</w:t>
      </w:r>
      <w:r w:rsidR="00485766" w:rsidRPr="003408A6">
        <w:rPr>
          <w:b/>
          <w:lang w:val="en-AU"/>
        </w:rPr>
        <w:t>.</w:t>
      </w:r>
      <w:r w:rsidRPr="003408A6">
        <w:rPr>
          <w:b/>
          <w:lang w:val="en-AU"/>
        </w:rPr>
        <w:t>2</w:t>
      </w:r>
      <w:r w:rsidRPr="003408A6">
        <w:rPr>
          <w:lang w:val="en-AU"/>
        </w:rPr>
        <w:t xml:space="preserve">). Following the introduction of the </w:t>
      </w:r>
      <w:r w:rsidR="00465689" w:rsidRPr="003408A6">
        <w:rPr>
          <w:lang w:val="en-AU"/>
        </w:rPr>
        <w:t xml:space="preserve">HPV </w:t>
      </w:r>
      <w:r w:rsidR="0042294A">
        <w:rPr>
          <w:lang w:val="en-AU"/>
        </w:rPr>
        <w:t>v</w:t>
      </w:r>
      <w:r w:rsidRPr="003408A6">
        <w:rPr>
          <w:lang w:val="en-AU"/>
        </w:rPr>
        <w:t xml:space="preserve">accination </w:t>
      </w:r>
      <w:r w:rsidR="0042294A">
        <w:rPr>
          <w:lang w:val="en-AU"/>
        </w:rPr>
        <w:t>p</w:t>
      </w:r>
      <w:r w:rsidRPr="003408A6">
        <w:rPr>
          <w:lang w:val="en-AU"/>
        </w:rPr>
        <w:t>rogram, the rate of HGA</w:t>
      </w:r>
      <w:r w:rsidR="0042294A">
        <w:rPr>
          <w:lang w:val="en-AU"/>
        </w:rPr>
        <w:t>s</w:t>
      </w:r>
      <w:r w:rsidRPr="003408A6">
        <w:rPr>
          <w:lang w:val="en-AU"/>
        </w:rPr>
        <w:t xml:space="preserve"> detected </w:t>
      </w:r>
      <w:r w:rsidR="00465689" w:rsidRPr="003408A6">
        <w:rPr>
          <w:lang w:val="en-AU"/>
        </w:rPr>
        <w:t xml:space="preserve">in this age group </w:t>
      </w:r>
      <w:r w:rsidRPr="003408A6">
        <w:rPr>
          <w:lang w:val="en-AU"/>
        </w:rPr>
        <w:t>in 2008 was 10.8 (95%</w:t>
      </w:r>
      <w:r w:rsidR="00465689" w:rsidRPr="003408A6">
        <w:rPr>
          <w:lang w:val="en-AU"/>
        </w:rPr>
        <w:t xml:space="preserve"> </w:t>
      </w:r>
      <w:r w:rsidRPr="003408A6">
        <w:rPr>
          <w:lang w:val="en-AU"/>
        </w:rPr>
        <w:t>CI</w:t>
      </w:r>
      <w:r w:rsidR="00465689" w:rsidRPr="003408A6">
        <w:rPr>
          <w:lang w:val="en-AU"/>
        </w:rPr>
        <w:t>:</w:t>
      </w:r>
      <w:r w:rsidRPr="003408A6">
        <w:rPr>
          <w:lang w:val="en-AU"/>
        </w:rPr>
        <w:t xml:space="preserve"> 10.0–11.6) per 1</w:t>
      </w:r>
      <w:r w:rsidR="00DC2B90" w:rsidRPr="003408A6">
        <w:rPr>
          <w:lang w:val="en-AU"/>
        </w:rPr>
        <w:t>,</w:t>
      </w:r>
      <w:r w:rsidRPr="003408A6">
        <w:rPr>
          <w:lang w:val="en-AU"/>
        </w:rPr>
        <w:t>000 females screened, an 18% (95% CI: 11–25%) reduction from the rate during the pre-vaccine period (2004–2007) of 13.1 (95%</w:t>
      </w:r>
      <w:r w:rsidR="00465689" w:rsidRPr="003408A6">
        <w:rPr>
          <w:lang w:val="en-AU"/>
        </w:rPr>
        <w:t xml:space="preserve"> </w:t>
      </w:r>
      <w:r w:rsidRPr="003408A6">
        <w:rPr>
          <w:lang w:val="en-AU"/>
        </w:rPr>
        <w:t>CI: 12.7–13.6) per 1</w:t>
      </w:r>
      <w:r w:rsidR="00DC2B90" w:rsidRPr="003408A6">
        <w:rPr>
          <w:lang w:val="en-AU"/>
        </w:rPr>
        <w:t>,</w:t>
      </w:r>
      <w:r w:rsidRPr="003408A6">
        <w:rPr>
          <w:lang w:val="en-AU"/>
        </w:rPr>
        <w:t xml:space="preserve">000 females screened. The rates further declined in 2009 </w:t>
      </w:r>
      <w:r w:rsidR="00465689" w:rsidRPr="003408A6">
        <w:rPr>
          <w:lang w:val="en-AU"/>
        </w:rPr>
        <w:t>by</w:t>
      </w:r>
      <w:r w:rsidRPr="003408A6">
        <w:rPr>
          <w:lang w:val="en-AU"/>
        </w:rPr>
        <w:t xml:space="preserve"> 33% (95%</w:t>
      </w:r>
      <w:r w:rsidR="00465689" w:rsidRPr="003408A6">
        <w:rPr>
          <w:lang w:val="en-AU"/>
        </w:rPr>
        <w:t xml:space="preserve"> </w:t>
      </w:r>
      <w:r w:rsidRPr="003408A6">
        <w:rPr>
          <w:lang w:val="en-AU"/>
        </w:rPr>
        <w:t>CI</w:t>
      </w:r>
      <w:r w:rsidR="00465689" w:rsidRPr="003408A6">
        <w:rPr>
          <w:lang w:val="en-AU"/>
        </w:rPr>
        <w:t>:</w:t>
      </w:r>
      <w:r w:rsidRPr="003408A6">
        <w:rPr>
          <w:lang w:val="en-AU"/>
        </w:rPr>
        <w:t xml:space="preserve"> 26–39%) and </w:t>
      </w:r>
      <w:r w:rsidR="00465689" w:rsidRPr="003408A6">
        <w:rPr>
          <w:lang w:val="en-AU"/>
        </w:rPr>
        <w:t xml:space="preserve">in 2010 by </w:t>
      </w:r>
      <w:r w:rsidRPr="003408A6">
        <w:rPr>
          <w:lang w:val="en-AU"/>
        </w:rPr>
        <w:t>41% (95%</w:t>
      </w:r>
      <w:r w:rsidR="00465689" w:rsidRPr="003408A6">
        <w:rPr>
          <w:lang w:val="en-AU"/>
        </w:rPr>
        <w:t xml:space="preserve"> </w:t>
      </w:r>
      <w:r w:rsidRPr="003408A6">
        <w:rPr>
          <w:lang w:val="en-AU"/>
        </w:rPr>
        <w:t>CI</w:t>
      </w:r>
      <w:r w:rsidR="00465689" w:rsidRPr="003408A6">
        <w:rPr>
          <w:lang w:val="en-AU"/>
        </w:rPr>
        <w:t>:</w:t>
      </w:r>
      <w:r w:rsidRPr="003408A6">
        <w:rPr>
          <w:lang w:val="en-AU"/>
        </w:rPr>
        <w:t xml:space="preserve"> 34%–47%) compared </w:t>
      </w:r>
      <w:r w:rsidR="002A5719" w:rsidRPr="003408A6">
        <w:rPr>
          <w:lang w:val="en-AU"/>
        </w:rPr>
        <w:t xml:space="preserve">with </w:t>
      </w:r>
      <w:r w:rsidRPr="003408A6">
        <w:rPr>
          <w:lang w:val="en-AU"/>
        </w:rPr>
        <w:t xml:space="preserve">the pre-vaccine period. </w:t>
      </w:r>
      <w:r w:rsidR="00465689" w:rsidRPr="003408A6">
        <w:rPr>
          <w:lang w:val="en-AU"/>
        </w:rPr>
        <w:t>The most pronounced decline occurred i</w:t>
      </w:r>
      <w:r w:rsidRPr="003408A6">
        <w:rPr>
          <w:lang w:val="en-AU"/>
        </w:rPr>
        <w:t>n the most recent post-vaccine year (2011)</w:t>
      </w:r>
      <w:r w:rsidR="00465689" w:rsidRPr="003408A6">
        <w:rPr>
          <w:lang w:val="en-AU"/>
        </w:rPr>
        <w:t>:</w:t>
      </w:r>
      <w:r w:rsidRPr="003408A6">
        <w:rPr>
          <w:lang w:val="en-AU"/>
        </w:rPr>
        <w:t xml:space="preserve"> </w:t>
      </w:r>
      <w:r w:rsidR="002A5719" w:rsidRPr="003408A6">
        <w:rPr>
          <w:lang w:val="en-AU"/>
        </w:rPr>
        <w:t xml:space="preserve">the rate was </w:t>
      </w:r>
      <w:r w:rsidRPr="003408A6">
        <w:rPr>
          <w:lang w:val="en-AU"/>
        </w:rPr>
        <w:t>46% (95%</w:t>
      </w:r>
      <w:r w:rsidR="00465689" w:rsidRPr="003408A6">
        <w:rPr>
          <w:lang w:val="en-AU"/>
        </w:rPr>
        <w:t xml:space="preserve"> </w:t>
      </w:r>
      <w:r w:rsidRPr="003408A6">
        <w:rPr>
          <w:lang w:val="en-AU"/>
        </w:rPr>
        <w:t>CI: 40</w:t>
      </w:r>
      <w:r w:rsidR="00465689" w:rsidRPr="003408A6">
        <w:rPr>
          <w:lang w:val="en-AU"/>
        </w:rPr>
        <w:t>–</w:t>
      </w:r>
      <w:r w:rsidRPr="003408A6">
        <w:rPr>
          <w:lang w:val="en-AU"/>
        </w:rPr>
        <w:t>51%) lower than the rate during the pre-vaccine period.</w:t>
      </w:r>
    </w:p>
    <w:p w:rsidR="002B01FE" w:rsidRPr="003408A6" w:rsidRDefault="002B01FE" w:rsidP="0077184E">
      <w:pPr>
        <w:pStyle w:val="BodyText"/>
        <w:rPr>
          <w:lang w:val="en-AU"/>
        </w:rPr>
      </w:pPr>
      <w:r w:rsidRPr="003408A6">
        <w:rPr>
          <w:lang w:val="en-AU"/>
        </w:rPr>
        <w:t xml:space="preserve">Given limited numbers at the jurisdictional level, successive </w:t>
      </w:r>
      <w:r w:rsidR="00006FDF" w:rsidRPr="003408A6">
        <w:rPr>
          <w:lang w:val="en-AU"/>
        </w:rPr>
        <w:t>2</w:t>
      </w:r>
      <w:r w:rsidRPr="003408A6">
        <w:rPr>
          <w:lang w:val="en-AU"/>
        </w:rPr>
        <w:t>-year periods (2008</w:t>
      </w:r>
      <w:r w:rsidR="00465689" w:rsidRPr="003408A6">
        <w:rPr>
          <w:lang w:val="en-AU"/>
        </w:rPr>
        <w:t>–</w:t>
      </w:r>
      <w:r w:rsidRPr="003408A6">
        <w:rPr>
          <w:lang w:val="en-AU"/>
        </w:rPr>
        <w:t>2009 and 2010</w:t>
      </w:r>
      <w:r w:rsidR="00465689" w:rsidRPr="003408A6">
        <w:rPr>
          <w:lang w:val="en-AU"/>
        </w:rPr>
        <w:t>–</w:t>
      </w:r>
      <w:r w:rsidRPr="003408A6">
        <w:rPr>
          <w:lang w:val="en-AU"/>
        </w:rPr>
        <w:t>2011) were compared with data for 2004</w:t>
      </w:r>
      <w:r w:rsidR="00465689" w:rsidRPr="003408A6">
        <w:rPr>
          <w:lang w:val="en-AU"/>
        </w:rPr>
        <w:t>–</w:t>
      </w:r>
      <w:r w:rsidRPr="003408A6">
        <w:rPr>
          <w:lang w:val="en-AU"/>
        </w:rPr>
        <w:t>2007 (</w:t>
      </w:r>
      <w:r w:rsidRPr="003408A6">
        <w:rPr>
          <w:b/>
          <w:lang w:val="en-AU"/>
        </w:rPr>
        <w:t xml:space="preserve">Table </w:t>
      </w:r>
      <w:r w:rsidR="00563E90" w:rsidRPr="003408A6">
        <w:rPr>
          <w:b/>
          <w:lang w:val="en-AU"/>
        </w:rPr>
        <w:t>5</w:t>
      </w:r>
      <w:r w:rsidR="00485766" w:rsidRPr="003408A6">
        <w:rPr>
          <w:b/>
          <w:lang w:val="en-AU"/>
        </w:rPr>
        <w:t>.</w:t>
      </w:r>
      <w:r w:rsidRPr="003408A6">
        <w:rPr>
          <w:b/>
          <w:lang w:val="en-AU"/>
        </w:rPr>
        <w:t>3</w:t>
      </w:r>
      <w:r w:rsidRPr="003408A6">
        <w:rPr>
          <w:lang w:val="en-AU"/>
        </w:rPr>
        <w:t>). At the national level, a significant decline was observed in 2008</w:t>
      </w:r>
      <w:r w:rsidR="00465689" w:rsidRPr="003408A6">
        <w:rPr>
          <w:lang w:val="en-AU"/>
        </w:rPr>
        <w:t>–</w:t>
      </w:r>
      <w:r w:rsidRPr="003408A6">
        <w:rPr>
          <w:lang w:val="en-AU"/>
        </w:rPr>
        <w:t>2009 from 2004</w:t>
      </w:r>
      <w:r w:rsidR="00465689" w:rsidRPr="003408A6">
        <w:rPr>
          <w:lang w:val="en-AU"/>
        </w:rPr>
        <w:t>–</w:t>
      </w:r>
      <w:r w:rsidRPr="003408A6">
        <w:rPr>
          <w:lang w:val="en-AU"/>
        </w:rPr>
        <w:t xml:space="preserve">2007, </w:t>
      </w:r>
      <w:r w:rsidR="00465689" w:rsidRPr="003408A6">
        <w:rPr>
          <w:lang w:val="en-AU"/>
        </w:rPr>
        <w:t xml:space="preserve">with </w:t>
      </w:r>
      <w:r w:rsidRPr="003408A6">
        <w:rPr>
          <w:lang w:val="en-AU"/>
        </w:rPr>
        <w:t>a further significant decline from 2008</w:t>
      </w:r>
      <w:r w:rsidR="00465689" w:rsidRPr="003408A6">
        <w:rPr>
          <w:lang w:val="en-AU"/>
        </w:rPr>
        <w:t>–</w:t>
      </w:r>
      <w:r w:rsidRPr="003408A6">
        <w:rPr>
          <w:lang w:val="en-AU"/>
        </w:rPr>
        <w:t>2009 in 2010</w:t>
      </w:r>
      <w:r w:rsidR="00465689" w:rsidRPr="003408A6">
        <w:rPr>
          <w:lang w:val="en-AU"/>
        </w:rPr>
        <w:t>–</w:t>
      </w:r>
      <w:r w:rsidRPr="003408A6">
        <w:rPr>
          <w:lang w:val="en-AU"/>
        </w:rPr>
        <w:t>2011. When stratifying by jurisdiction, the rates of HGA detected per 1</w:t>
      </w:r>
      <w:r w:rsidR="00DC2B90" w:rsidRPr="003408A6">
        <w:rPr>
          <w:lang w:val="en-AU"/>
        </w:rPr>
        <w:t>,</w:t>
      </w:r>
      <w:r w:rsidRPr="003408A6">
        <w:rPr>
          <w:lang w:val="en-AU"/>
        </w:rPr>
        <w:t>000 females aged &lt;20 years screened decreased in all jurisdictions by 2010</w:t>
      </w:r>
      <w:r w:rsidR="00465689" w:rsidRPr="003408A6">
        <w:rPr>
          <w:lang w:val="en-AU"/>
        </w:rPr>
        <w:t>–</w:t>
      </w:r>
      <w:r w:rsidRPr="003408A6">
        <w:rPr>
          <w:lang w:val="en-AU"/>
        </w:rPr>
        <w:t>2011, 3 years after program introduction (</w:t>
      </w:r>
      <w:r w:rsidRPr="003408A6">
        <w:rPr>
          <w:b/>
          <w:lang w:val="en-AU"/>
        </w:rPr>
        <w:t xml:space="preserve">Table </w:t>
      </w:r>
      <w:r w:rsidR="00563E90" w:rsidRPr="003408A6">
        <w:rPr>
          <w:b/>
          <w:lang w:val="en-AU"/>
        </w:rPr>
        <w:t>5</w:t>
      </w:r>
      <w:r w:rsidR="00485766" w:rsidRPr="003408A6">
        <w:rPr>
          <w:b/>
          <w:lang w:val="en-AU"/>
        </w:rPr>
        <w:t>.</w:t>
      </w:r>
      <w:r w:rsidRPr="003408A6">
        <w:rPr>
          <w:b/>
          <w:lang w:val="en-AU"/>
        </w:rPr>
        <w:t>3</w:t>
      </w:r>
      <w:r w:rsidRPr="003408A6">
        <w:rPr>
          <w:lang w:val="en-AU"/>
        </w:rPr>
        <w:t xml:space="preserve">). Of note, because of the high proportion of the population who are Indigenous, during the pre-vaccine period the </w:t>
      </w:r>
      <w:r w:rsidR="008B39E1" w:rsidRPr="003408A6">
        <w:rPr>
          <w:rFonts w:eastAsia="Calibri"/>
          <w:color w:val="000000"/>
          <w:lang w:val="en-AU"/>
        </w:rPr>
        <w:t>Northern Territory</w:t>
      </w:r>
      <w:r w:rsidRPr="003408A6">
        <w:rPr>
          <w:lang w:val="en-AU"/>
        </w:rPr>
        <w:t xml:space="preserve"> reported the highest rates of HGA of all the jurisdictions. This remained the case in the post-vaccine periods</w:t>
      </w:r>
      <w:r w:rsidR="00465689" w:rsidRPr="003408A6">
        <w:rPr>
          <w:lang w:val="en-AU"/>
        </w:rPr>
        <w:t>,</w:t>
      </w:r>
      <w:r w:rsidRPr="003408A6">
        <w:rPr>
          <w:lang w:val="en-AU"/>
        </w:rPr>
        <w:t xml:space="preserve"> but between 2010 and 2011, a statistically significant 41% reduction (95% CI</w:t>
      </w:r>
      <w:r w:rsidR="00E42A66" w:rsidRPr="003408A6">
        <w:rPr>
          <w:lang w:val="en-AU"/>
        </w:rPr>
        <w:t>:</w:t>
      </w:r>
      <w:r w:rsidRPr="003408A6">
        <w:rPr>
          <w:lang w:val="en-AU"/>
        </w:rPr>
        <w:t xml:space="preserve"> 1–69%) in </w:t>
      </w:r>
      <w:r w:rsidR="00465689" w:rsidRPr="003408A6">
        <w:rPr>
          <w:lang w:val="en-AU"/>
        </w:rPr>
        <w:t xml:space="preserve">the rate of </w:t>
      </w:r>
      <w:r w:rsidRPr="003408A6">
        <w:rPr>
          <w:lang w:val="en-AU"/>
        </w:rPr>
        <w:t>HGA detected</w:t>
      </w:r>
      <w:r w:rsidR="00465689" w:rsidRPr="003408A6">
        <w:rPr>
          <w:lang w:val="en-AU"/>
        </w:rPr>
        <w:t>,</w:t>
      </w:r>
      <w:r w:rsidRPr="003408A6">
        <w:rPr>
          <w:lang w:val="en-AU"/>
        </w:rPr>
        <w:t xml:space="preserve"> compared to the pre-vaccine period</w:t>
      </w:r>
      <w:r w:rsidR="00465689" w:rsidRPr="003408A6">
        <w:rPr>
          <w:lang w:val="en-AU"/>
        </w:rPr>
        <w:t>,</w:t>
      </w:r>
      <w:r w:rsidRPr="003408A6">
        <w:rPr>
          <w:lang w:val="en-AU"/>
        </w:rPr>
        <w:t xml:space="preserve"> was documented in the </w:t>
      </w:r>
      <w:r w:rsidR="008B39E1" w:rsidRPr="003408A6">
        <w:rPr>
          <w:rFonts w:eastAsia="Calibri"/>
          <w:color w:val="000000"/>
          <w:lang w:val="en-AU"/>
        </w:rPr>
        <w:t>Northern Territory</w:t>
      </w:r>
      <w:r w:rsidRPr="003408A6">
        <w:rPr>
          <w:lang w:val="en-AU"/>
        </w:rPr>
        <w:t xml:space="preserve">. </w:t>
      </w:r>
    </w:p>
    <w:p w:rsidR="002B01FE" w:rsidRPr="003408A6" w:rsidRDefault="002B01FE" w:rsidP="00CE0A90">
      <w:pPr>
        <w:spacing w:line="360" w:lineRule="auto"/>
        <w:rPr>
          <w:rFonts w:cs="Arial"/>
          <w:b/>
          <w:szCs w:val="22"/>
        </w:rPr>
        <w:sectPr w:rsidR="002B01FE" w:rsidRPr="003408A6" w:rsidSect="00D07C02">
          <w:headerReference w:type="even" r:id="rId43"/>
          <w:headerReference w:type="default" r:id="rId44"/>
          <w:footerReference w:type="default" r:id="rId45"/>
          <w:headerReference w:type="first" r:id="rId46"/>
          <w:pgSz w:w="11906" w:h="16838"/>
          <w:pgMar w:top="1440" w:right="1440" w:bottom="1440" w:left="1440" w:header="720" w:footer="720" w:gutter="0"/>
          <w:cols w:space="709"/>
          <w:docGrid w:linePitch="299"/>
        </w:sectPr>
      </w:pPr>
    </w:p>
    <w:p w:rsidR="002B01FE" w:rsidRPr="003408A6" w:rsidRDefault="002B01FE" w:rsidP="000A2125">
      <w:pPr>
        <w:pStyle w:val="Tableheading"/>
        <w:rPr>
          <w:lang w:val="en-AU"/>
        </w:rPr>
      </w:pPr>
      <w:bookmarkStart w:id="198" w:name="_Toc396475554"/>
      <w:bookmarkStart w:id="199" w:name="_Toc397000782"/>
      <w:r w:rsidRPr="003408A6">
        <w:rPr>
          <w:lang w:val="en-AU"/>
        </w:rPr>
        <w:t xml:space="preserve">Table </w:t>
      </w:r>
      <w:r w:rsidR="00563E90" w:rsidRPr="003408A6">
        <w:rPr>
          <w:lang w:val="en-AU"/>
        </w:rPr>
        <w:t>5</w:t>
      </w:r>
      <w:r w:rsidR="00485766" w:rsidRPr="003408A6">
        <w:rPr>
          <w:lang w:val="en-AU"/>
        </w:rPr>
        <w:t>.</w:t>
      </w:r>
      <w:r w:rsidR="00D861BD" w:rsidRPr="003408A6">
        <w:rPr>
          <w:lang w:val="en-AU"/>
        </w:rPr>
        <w:t>3.</w:t>
      </w:r>
      <w:r w:rsidR="00D861BD" w:rsidRPr="003408A6">
        <w:rPr>
          <w:lang w:val="en-AU"/>
        </w:rPr>
        <w:tab/>
      </w:r>
      <w:r w:rsidRPr="003408A6">
        <w:rPr>
          <w:lang w:val="en-AU"/>
        </w:rPr>
        <w:t xml:space="preserve">Rate of </w:t>
      </w:r>
      <w:r w:rsidR="00204397" w:rsidRPr="003408A6">
        <w:rPr>
          <w:lang w:val="en-AU"/>
        </w:rPr>
        <w:t>high-grade abnormalities</w:t>
      </w:r>
      <w:r w:rsidRPr="003408A6">
        <w:rPr>
          <w:lang w:val="en-AU"/>
        </w:rPr>
        <w:t xml:space="preserve"> detected</w:t>
      </w:r>
      <w:r w:rsidR="0042294A">
        <w:rPr>
          <w:lang w:val="en-AU"/>
        </w:rPr>
        <w:t>,</w:t>
      </w:r>
      <w:r w:rsidRPr="003408A6">
        <w:rPr>
          <w:lang w:val="en-AU"/>
        </w:rPr>
        <w:t xml:space="preserve"> per 1</w:t>
      </w:r>
      <w:r w:rsidR="00DC2B90" w:rsidRPr="003408A6">
        <w:rPr>
          <w:lang w:val="en-AU"/>
        </w:rPr>
        <w:t>,</w:t>
      </w:r>
      <w:r w:rsidRPr="003408A6">
        <w:rPr>
          <w:lang w:val="en-AU"/>
        </w:rPr>
        <w:t>000 females aged &lt;20 years screened</w:t>
      </w:r>
      <w:r w:rsidR="0042294A">
        <w:rPr>
          <w:lang w:val="en-AU"/>
        </w:rPr>
        <w:t>,</w:t>
      </w:r>
      <w:r w:rsidRPr="003408A6">
        <w:rPr>
          <w:lang w:val="en-AU"/>
        </w:rPr>
        <w:t xml:space="preserve"> and 95% confidence intervals</w:t>
      </w:r>
      <w:r w:rsidR="00E42A66" w:rsidRPr="003408A6">
        <w:rPr>
          <w:lang w:val="en-AU"/>
        </w:rPr>
        <w:t>,</w:t>
      </w:r>
      <w:r w:rsidRPr="003408A6">
        <w:rPr>
          <w:lang w:val="en-AU"/>
        </w:rPr>
        <w:t xml:space="preserve"> by jurisdiction, 2004</w:t>
      </w:r>
      <w:r w:rsidR="00204397">
        <w:rPr>
          <w:lang w:val="en-AU"/>
        </w:rPr>
        <w:t xml:space="preserve"> to </w:t>
      </w:r>
      <w:r w:rsidRPr="003408A6">
        <w:rPr>
          <w:lang w:val="en-AU"/>
        </w:rPr>
        <w:t>2011</w:t>
      </w:r>
      <w:bookmarkEnd w:id="198"/>
      <w:bookmarkEnd w:id="199"/>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879"/>
        <w:gridCol w:w="2020"/>
        <w:gridCol w:w="1949"/>
        <w:gridCol w:w="1949"/>
        <w:gridCol w:w="1879"/>
        <w:gridCol w:w="2020"/>
        <w:gridCol w:w="1952"/>
      </w:tblGrid>
      <w:tr w:rsidR="0042294A" w:rsidRPr="003408A6" w:rsidTr="0042294A">
        <w:trPr>
          <w:trHeight w:val="1067"/>
        </w:trPr>
        <w:tc>
          <w:tcPr>
            <w:tcW w:w="533" w:type="pct"/>
            <w:vMerge w:val="restart"/>
            <w:tcBorders>
              <w:bottom w:val="single" w:sz="4" w:space="0" w:color="auto"/>
            </w:tcBorders>
            <w:shd w:val="clear" w:color="000000" w:fill="FFFFFF"/>
            <w:vAlign w:val="center"/>
            <w:hideMark/>
          </w:tcPr>
          <w:p w:rsidR="0042294A" w:rsidRPr="003408A6" w:rsidRDefault="0042294A" w:rsidP="0042294A">
            <w:pPr>
              <w:pStyle w:val="Tablecolumnheadings"/>
            </w:pPr>
            <w:r w:rsidRPr="003408A6">
              <w:t>Jurisdiction </w:t>
            </w:r>
          </w:p>
        </w:tc>
        <w:tc>
          <w:tcPr>
            <w:tcW w:w="615"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 xml:space="preserve">Pre-vaccine </w:t>
            </w:r>
            <w:r>
              <w:t>period</w:t>
            </w:r>
            <w:r>
              <w:br/>
            </w:r>
            <w:r w:rsidRPr="003408A6">
              <w:t>2004–2007</w:t>
            </w:r>
          </w:p>
        </w:tc>
        <w:tc>
          <w:tcPr>
            <w:tcW w:w="1299" w:type="pct"/>
            <w:gridSpan w:val="2"/>
            <w:tcBorders>
              <w:bottom w:val="single" w:sz="4" w:space="0" w:color="auto"/>
            </w:tcBorders>
            <w:shd w:val="clear" w:color="000000" w:fill="FFFFFF"/>
            <w:vAlign w:val="center"/>
            <w:hideMark/>
          </w:tcPr>
          <w:p w:rsidR="0042294A" w:rsidRPr="003408A6" w:rsidRDefault="0042294A" w:rsidP="0042294A">
            <w:pPr>
              <w:pStyle w:val="Tablecolumnheadings"/>
            </w:pPr>
            <w:r w:rsidRPr="003408A6">
              <w:t>Post-vaccine</w:t>
            </w:r>
            <w:r>
              <w:t xml:space="preserve"> period</w:t>
            </w:r>
            <w:r>
              <w:br/>
            </w:r>
            <w:r w:rsidRPr="003408A6">
              <w:t>2008–2009</w:t>
            </w:r>
          </w:p>
        </w:tc>
        <w:tc>
          <w:tcPr>
            <w:tcW w:w="1253" w:type="pct"/>
            <w:gridSpan w:val="2"/>
            <w:tcBorders>
              <w:bottom w:val="single" w:sz="4" w:space="0" w:color="auto"/>
            </w:tcBorders>
            <w:shd w:val="clear" w:color="000000" w:fill="FFFFFF"/>
            <w:vAlign w:val="center"/>
            <w:hideMark/>
          </w:tcPr>
          <w:p w:rsidR="0042294A" w:rsidRPr="003408A6" w:rsidRDefault="0042294A" w:rsidP="0042294A">
            <w:pPr>
              <w:pStyle w:val="Tablecolumnheadings"/>
            </w:pPr>
            <w:r w:rsidRPr="003408A6">
              <w:t>Post-vaccine</w:t>
            </w:r>
            <w:r>
              <w:t xml:space="preserve"> period</w:t>
            </w:r>
            <w:r>
              <w:br/>
            </w:r>
            <w:r w:rsidRPr="003408A6">
              <w:t>2010–2011</w:t>
            </w:r>
          </w:p>
        </w:tc>
        <w:tc>
          <w:tcPr>
            <w:tcW w:w="1300" w:type="pct"/>
            <w:gridSpan w:val="2"/>
            <w:tcBorders>
              <w:bottom w:val="single" w:sz="4" w:space="0" w:color="auto"/>
            </w:tcBorders>
            <w:shd w:val="clear" w:color="000000" w:fill="FFFFFF"/>
            <w:vAlign w:val="center"/>
            <w:hideMark/>
          </w:tcPr>
          <w:p w:rsidR="0042294A" w:rsidRPr="003408A6" w:rsidRDefault="0042294A" w:rsidP="0042294A">
            <w:pPr>
              <w:pStyle w:val="Tablecolumnheadings"/>
            </w:pPr>
            <w:r w:rsidRPr="003408A6">
              <w:t xml:space="preserve">Combined </w:t>
            </w:r>
            <w:r>
              <w:br/>
            </w:r>
            <w:r w:rsidRPr="003408A6">
              <w:t>post-vaccine period</w:t>
            </w:r>
            <w:r>
              <w:br/>
            </w:r>
            <w:r w:rsidRPr="003408A6">
              <w:t>2008–2011</w:t>
            </w:r>
          </w:p>
        </w:tc>
      </w:tr>
      <w:tr w:rsidR="0042294A" w:rsidRPr="003408A6" w:rsidTr="0042294A">
        <w:trPr>
          <w:trHeight w:val="601"/>
        </w:trPr>
        <w:tc>
          <w:tcPr>
            <w:tcW w:w="533" w:type="pct"/>
            <w:vMerge/>
            <w:shd w:val="clear" w:color="000000" w:fill="FFFFFF"/>
            <w:vAlign w:val="center"/>
            <w:hideMark/>
          </w:tcPr>
          <w:p w:rsidR="0042294A" w:rsidRPr="003408A6" w:rsidRDefault="0042294A" w:rsidP="0042294A">
            <w:pPr>
              <w:pStyle w:val="Tablecolumnheadings"/>
            </w:pPr>
          </w:p>
        </w:tc>
        <w:tc>
          <w:tcPr>
            <w:tcW w:w="615"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(CI)*</w:t>
            </w:r>
          </w:p>
        </w:tc>
        <w:tc>
          <w:tcPr>
            <w:tcW w:w="661"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(CI)*</w:t>
            </w:r>
          </w:p>
        </w:tc>
        <w:tc>
          <w:tcPr>
            <w:tcW w:w="638"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ratio (CI)</w:t>
            </w:r>
            <w:r w:rsidRPr="00964082">
              <w:rPr>
                <w:vertAlign w:val="superscript"/>
              </w:rPr>
              <w:t>†</w:t>
            </w:r>
          </w:p>
        </w:tc>
        <w:tc>
          <w:tcPr>
            <w:tcW w:w="638"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(CI)*</w:t>
            </w:r>
          </w:p>
        </w:tc>
        <w:tc>
          <w:tcPr>
            <w:tcW w:w="615"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ratio (CI)</w:t>
            </w:r>
            <w:r w:rsidRPr="008D6F07">
              <w:rPr>
                <w:vertAlign w:val="superscript"/>
              </w:rPr>
              <w:t>†</w:t>
            </w:r>
          </w:p>
        </w:tc>
        <w:tc>
          <w:tcPr>
            <w:tcW w:w="661"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(CI)*</w:t>
            </w:r>
          </w:p>
        </w:tc>
        <w:tc>
          <w:tcPr>
            <w:tcW w:w="639" w:type="pct"/>
            <w:tcBorders>
              <w:bottom w:val="single" w:sz="4" w:space="0" w:color="auto"/>
            </w:tcBorders>
            <w:shd w:val="clear" w:color="000000" w:fill="FFFFFF"/>
            <w:vAlign w:val="center"/>
            <w:hideMark/>
          </w:tcPr>
          <w:p w:rsidR="0042294A" w:rsidRPr="003408A6" w:rsidRDefault="0042294A" w:rsidP="0042294A">
            <w:pPr>
              <w:pStyle w:val="Tablecolumnheadings"/>
            </w:pPr>
            <w:r w:rsidRPr="003408A6">
              <w:t>Rate ratio (CI)</w:t>
            </w:r>
            <w:r w:rsidRPr="008D6F07">
              <w:rPr>
                <w:vertAlign w:val="superscript"/>
              </w:rPr>
              <w:t>†</w:t>
            </w:r>
          </w:p>
        </w:tc>
      </w:tr>
      <w:tr w:rsidR="0042294A" w:rsidRPr="003408A6" w:rsidTr="0042294A">
        <w:trPr>
          <w:trHeight w:val="316"/>
        </w:trPr>
        <w:tc>
          <w:tcPr>
            <w:tcW w:w="533" w:type="pct"/>
            <w:vMerge w:val="restart"/>
            <w:shd w:val="clear" w:color="000000" w:fill="FFFFFF"/>
            <w:vAlign w:val="center"/>
            <w:hideMark/>
          </w:tcPr>
          <w:p w:rsidR="0042294A" w:rsidRPr="003408A6" w:rsidRDefault="0042294A" w:rsidP="0042294A">
            <w:pPr>
              <w:pStyle w:val="Tabletextbold"/>
            </w:pPr>
            <w:r w:rsidRPr="003408A6">
              <w:t>NSW</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 xml:space="preserve">16.2 </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10.8</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0.66</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8.2</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0.50</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9.5</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 xml:space="preserve">0.59 </w:t>
            </w:r>
          </w:p>
        </w:tc>
      </w:tr>
      <w:tr w:rsidR="0042294A" w:rsidRPr="003408A6" w:rsidTr="0042294A">
        <w:trPr>
          <w:trHeight w:val="301"/>
        </w:trPr>
        <w:tc>
          <w:tcPr>
            <w:tcW w:w="533" w:type="pct"/>
            <w:vMerge/>
            <w:vAlign w:val="center"/>
            <w:hideMark/>
          </w:tcPr>
          <w:p w:rsidR="0042294A" w:rsidRPr="003408A6" w:rsidRDefault="0042294A" w:rsidP="009263B6">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(15.3</w:t>
            </w:r>
            <w:r>
              <w:rPr>
                <w:color w:val="0F02BE"/>
              </w:rPr>
              <w:t>–</w:t>
            </w:r>
            <w:r w:rsidRPr="0042294A">
              <w:rPr>
                <w:color w:val="0F02BE"/>
              </w:rPr>
              <w:t>17.2)</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(9.7–</w:t>
            </w:r>
            <w:r w:rsidRPr="0042294A">
              <w:rPr>
                <w:color w:val="0F02BE"/>
              </w:rPr>
              <w:t>11.9)</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(0.59–</w:t>
            </w:r>
            <w:r w:rsidRPr="003408A6">
              <w:t>0.75)</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(7.2</w:t>
            </w:r>
            <w:r>
              <w:rPr>
                <w:color w:val="0F02BE"/>
              </w:rPr>
              <w:t>–</w:t>
            </w:r>
            <w:r w:rsidRPr="0042294A">
              <w:rPr>
                <w:color w:val="0F02BE"/>
              </w:rPr>
              <w:t>9.2)</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(0.44</w:t>
            </w:r>
            <w:r>
              <w:t>–</w:t>
            </w:r>
            <w:r w:rsidRPr="003408A6">
              <w:t>0.58)</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(8.8–10.3)</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(0.53</w:t>
            </w:r>
            <w:r>
              <w:t>–</w:t>
            </w:r>
            <w:r w:rsidRPr="003408A6">
              <w:t>0.65)</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VIC</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10.8</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9.7</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 xml:space="preserve">0.90 </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5.9</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 xml:space="preserve">0.55 </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7.9</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0.73</w:t>
            </w:r>
          </w:p>
        </w:tc>
      </w:tr>
      <w:tr w:rsidR="0042294A" w:rsidRPr="003408A6" w:rsidTr="0042294A">
        <w:trPr>
          <w:trHeight w:val="301"/>
        </w:trPr>
        <w:tc>
          <w:tcPr>
            <w:tcW w:w="533" w:type="pct"/>
            <w:vMerge/>
            <w:vAlign w:val="center"/>
            <w:hideMark/>
          </w:tcPr>
          <w:p w:rsidR="0042294A" w:rsidRPr="003408A6" w:rsidRDefault="0042294A" w:rsidP="009263B6">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(9.9–</w:t>
            </w:r>
            <w:r w:rsidRPr="0042294A">
              <w:rPr>
                <w:color w:val="0F02BE"/>
              </w:rPr>
              <w:t>11.7)</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(8.5</w:t>
            </w:r>
            <w:r>
              <w:rPr>
                <w:color w:val="0F02BE"/>
              </w:rPr>
              <w:t>–</w:t>
            </w:r>
            <w:r w:rsidRPr="0042294A">
              <w:rPr>
                <w:color w:val="0F02BE"/>
              </w:rPr>
              <w:t>11.1)</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(0.77–</w:t>
            </w:r>
            <w:r w:rsidRPr="003408A6">
              <w:t>1.06)</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(4.9–</w:t>
            </w:r>
            <w:r w:rsidRPr="0042294A">
              <w:rPr>
                <w:color w:val="0F02BE"/>
              </w:rPr>
              <w:t>7.0)</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(0.44</w:t>
            </w:r>
            <w:r>
              <w:t>–</w:t>
            </w:r>
            <w:r w:rsidRPr="003408A6">
              <w:t>0.66)</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(7.0</w:t>
            </w:r>
            <w:r>
              <w:rPr>
                <w:color w:val="0F02BE"/>
              </w:rPr>
              <w:t>–</w:t>
            </w:r>
            <w:r w:rsidRPr="0042294A">
              <w:rPr>
                <w:color w:val="0F02BE"/>
              </w:rPr>
              <w:t>8.8)</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(0.64–</w:t>
            </w:r>
            <w:r w:rsidRPr="003408A6">
              <w:t>0.84)</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QLD</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13.6</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8.8</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0.65</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7.9</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0.58</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8.4</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0.62</w:t>
            </w:r>
          </w:p>
        </w:tc>
      </w:tr>
      <w:tr w:rsidR="0042294A" w:rsidRPr="003408A6" w:rsidTr="0042294A">
        <w:trPr>
          <w:trHeight w:val="301"/>
        </w:trPr>
        <w:tc>
          <w:tcPr>
            <w:tcW w:w="533" w:type="pct"/>
            <w:vMerge/>
            <w:vAlign w:val="center"/>
            <w:hideMark/>
          </w:tcPr>
          <w:p w:rsidR="0042294A" w:rsidRPr="003408A6" w:rsidRDefault="0042294A" w:rsidP="009263B6">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(12.7–</w:t>
            </w:r>
            <w:r w:rsidRPr="0042294A">
              <w:rPr>
                <w:color w:val="0F02BE"/>
              </w:rPr>
              <w:t>14.6)</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(7.8</w:t>
            </w:r>
            <w:r>
              <w:rPr>
                <w:color w:val="0F02BE"/>
              </w:rPr>
              <w:t>–</w:t>
            </w:r>
            <w:r w:rsidRPr="0042294A">
              <w:rPr>
                <w:color w:val="0F02BE"/>
              </w:rPr>
              <w:t>9.9)</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(0.56</w:t>
            </w:r>
            <w:r>
              <w:t>–</w:t>
            </w:r>
            <w:r w:rsidRPr="003408A6">
              <w:t>0.74)</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(6.9–</w:t>
            </w:r>
            <w:r w:rsidRPr="0042294A">
              <w:rPr>
                <w:color w:val="0F02BE"/>
              </w:rPr>
              <w:t>9.1)</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(0.50</w:t>
            </w:r>
            <w:r>
              <w:t>–</w:t>
            </w:r>
            <w:r w:rsidRPr="003408A6">
              <w:t>0.68)</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(7.6</w:t>
            </w:r>
            <w:r>
              <w:rPr>
                <w:color w:val="0F02BE"/>
              </w:rPr>
              <w:t>–</w:t>
            </w:r>
            <w:r w:rsidRPr="0042294A">
              <w:rPr>
                <w:color w:val="0F02BE"/>
              </w:rPr>
              <w:t>9.2)</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(0.55</w:t>
            </w:r>
            <w:r>
              <w:t>–</w:t>
            </w:r>
            <w:r w:rsidRPr="003408A6">
              <w:t>0.69)</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WA</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10.0</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8.0</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0.80</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7.2</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0.71</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7.6</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0.76</w:t>
            </w:r>
          </w:p>
        </w:tc>
      </w:tr>
      <w:tr w:rsidR="0042294A" w:rsidRPr="003408A6" w:rsidTr="0042294A">
        <w:trPr>
          <w:trHeight w:val="301"/>
        </w:trPr>
        <w:tc>
          <w:tcPr>
            <w:tcW w:w="533" w:type="pct"/>
            <w:vMerge/>
            <w:vAlign w:val="center"/>
            <w:hideMark/>
          </w:tcPr>
          <w:p w:rsidR="0042294A" w:rsidRPr="003408A6" w:rsidRDefault="0042294A" w:rsidP="009263B6">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(9.0–</w:t>
            </w:r>
            <w:r w:rsidRPr="0042294A">
              <w:rPr>
                <w:color w:val="0F02BE"/>
              </w:rPr>
              <w:t>11.2)</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(6.7</w:t>
            </w:r>
            <w:r>
              <w:rPr>
                <w:color w:val="0F02BE"/>
              </w:rPr>
              <w:t>–</w:t>
            </w:r>
            <w:r w:rsidRPr="0042294A">
              <w:rPr>
                <w:color w:val="0F02BE"/>
              </w:rPr>
              <w:t>9.5)</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(0.65–</w:t>
            </w:r>
            <w:r w:rsidRPr="003408A6">
              <w:t>0.98)</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(5.8–</w:t>
            </w:r>
            <w:r w:rsidRPr="0042294A">
              <w:rPr>
                <w:color w:val="0F02BE"/>
              </w:rPr>
              <w:t>8.7)</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(0.57</w:t>
            </w:r>
            <w:r>
              <w:t>–</w:t>
            </w:r>
            <w:r w:rsidRPr="003408A6">
              <w:t>0.89)</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(6.7</w:t>
            </w:r>
            <w:r>
              <w:rPr>
                <w:color w:val="0F02BE"/>
              </w:rPr>
              <w:t>–</w:t>
            </w:r>
            <w:r w:rsidRPr="0042294A">
              <w:rPr>
                <w:color w:val="0F02BE"/>
              </w:rPr>
              <w:t>8.7)</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(0.64</w:t>
            </w:r>
            <w:r>
              <w:t>–</w:t>
            </w:r>
            <w:r w:rsidRPr="003408A6">
              <w:t>0.90)</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SA</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9.1</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9.7</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1.07</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8.7</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0.96</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9.2</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1.01</w:t>
            </w:r>
          </w:p>
        </w:tc>
      </w:tr>
      <w:tr w:rsidR="0042294A" w:rsidRPr="003408A6" w:rsidTr="0042294A">
        <w:trPr>
          <w:trHeight w:val="301"/>
        </w:trPr>
        <w:tc>
          <w:tcPr>
            <w:tcW w:w="533" w:type="pct"/>
            <w:vMerge/>
            <w:vAlign w:val="center"/>
            <w:hideMark/>
          </w:tcPr>
          <w:p w:rsidR="0042294A" w:rsidRPr="003408A6" w:rsidRDefault="0042294A" w:rsidP="00964082">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(7.8–</w:t>
            </w:r>
            <w:r w:rsidRPr="0042294A">
              <w:rPr>
                <w:color w:val="0F02BE"/>
              </w:rPr>
              <w:t>10.6)</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(7.7</w:t>
            </w:r>
            <w:r>
              <w:rPr>
                <w:color w:val="0F02BE"/>
              </w:rPr>
              <w:t>–</w:t>
            </w:r>
            <w:r w:rsidRPr="0042294A">
              <w:rPr>
                <w:color w:val="0F02BE"/>
              </w:rPr>
              <w:t>12.1)</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(0.81</w:t>
            </w:r>
            <w:r>
              <w:t>–</w:t>
            </w:r>
            <w:r w:rsidRPr="003408A6">
              <w:t>1.40)</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(6.8–</w:t>
            </w:r>
            <w:r w:rsidRPr="0042294A">
              <w:rPr>
                <w:color w:val="0F02BE"/>
              </w:rPr>
              <w:t>11.0)</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(0.71</w:t>
            </w:r>
            <w:r>
              <w:t>–</w:t>
            </w:r>
            <w:r w:rsidRPr="003408A6">
              <w:t>1.27)</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(7.8</w:t>
            </w:r>
            <w:r>
              <w:rPr>
                <w:color w:val="0F02BE"/>
              </w:rPr>
              <w:t>–</w:t>
            </w:r>
            <w:r w:rsidRPr="0042294A">
              <w:rPr>
                <w:color w:val="0F02BE"/>
              </w:rPr>
              <w:t>10.8)</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(0.81</w:t>
            </w:r>
            <w:r>
              <w:t>–</w:t>
            </w:r>
            <w:r w:rsidRPr="003408A6">
              <w:t>1.27)</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NT</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18.5</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17.8</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1.04</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10.1</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0.57</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14.6</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0.82</w:t>
            </w:r>
          </w:p>
        </w:tc>
      </w:tr>
      <w:tr w:rsidR="0042294A" w:rsidRPr="003408A6" w:rsidTr="0042294A">
        <w:trPr>
          <w:trHeight w:val="301"/>
        </w:trPr>
        <w:tc>
          <w:tcPr>
            <w:tcW w:w="533" w:type="pct"/>
            <w:vMerge/>
            <w:vAlign w:val="center"/>
            <w:hideMark/>
          </w:tcPr>
          <w:p w:rsidR="0042294A" w:rsidRPr="003408A6" w:rsidRDefault="0042294A" w:rsidP="00964082">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(12.8–</w:t>
            </w:r>
            <w:r w:rsidRPr="0042294A">
              <w:rPr>
                <w:color w:val="0F02BE"/>
              </w:rPr>
              <w:t>26.1)</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(13.9</w:t>
            </w:r>
            <w:r>
              <w:rPr>
                <w:color w:val="0F02BE"/>
              </w:rPr>
              <w:t>–</w:t>
            </w:r>
            <w:r w:rsidRPr="0042294A">
              <w:rPr>
                <w:color w:val="0F02BE"/>
              </w:rPr>
              <w:t>22.5)</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(0.67</w:t>
            </w:r>
            <w:r>
              <w:t>–</w:t>
            </w:r>
            <w:r w:rsidRPr="003408A6">
              <w:t>1.60)</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(5.8–</w:t>
            </w:r>
            <w:r w:rsidRPr="0042294A">
              <w:rPr>
                <w:color w:val="0F02BE"/>
              </w:rPr>
              <w:t>16.5)</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(0.31</w:t>
            </w:r>
            <w:r>
              <w:t>–</w:t>
            </w:r>
            <w:r w:rsidRPr="003408A6">
              <w:t>0.99)</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(10.8–</w:t>
            </w:r>
            <w:r w:rsidRPr="0042294A">
              <w:rPr>
                <w:color w:val="0F02BE"/>
              </w:rPr>
              <w:t>19.3)</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(0.56</w:t>
            </w:r>
            <w:r>
              <w:t>–</w:t>
            </w:r>
            <w:r w:rsidRPr="003408A6">
              <w:t>1.02)</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TAS</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18.1</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16.8</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0.93</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6.0</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0.33</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11.7</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0.65</w:t>
            </w:r>
          </w:p>
        </w:tc>
      </w:tr>
      <w:tr w:rsidR="0042294A" w:rsidRPr="003408A6" w:rsidTr="0042294A">
        <w:trPr>
          <w:trHeight w:val="301"/>
        </w:trPr>
        <w:tc>
          <w:tcPr>
            <w:tcW w:w="533" w:type="pct"/>
            <w:vMerge/>
            <w:vAlign w:val="center"/>
            <w:hideMark/>
          </w:tcPr>
          <w:p w:rsidR="0042294A" w:rsidRPr="003408A6" w:rsidRDefault="0042294A" w:rsidP="00964082">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(15.4–</w:t>
            </w:r>
            <w:r w:rsidRPr="0042294A">
              <w:rPr>
                <w:color w:val="0F02BE"/>
              </w:rPr>
              <w:t>21.2)</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(12.8</w:t>
            </w:r>
            <w:r>
              <w:rPr>
                <w:color w:val="0F02BE"/>
              </w:rPr>
              <w:t>–</w:t>
            </w:r>
            <w:r w:rsidRPr="0042294A">
              <w:rPr>
                <w:color w:val="0F02BE"/>
              </w:rPr>
              <w:t>21.5)</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(0.68</w:t>
            </w:r>
            <w:r>
              <w:t>–</w:t>
            </w:r>
            <w:r w:rsidRPr="003408A6">
              <w:t>1.25)</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(3.6</w:t>
            </w:r>
            <w:r>
              <w:rPr>
                <w:color w:val="0F02BE"/>
              </w:rPr>
              <w:t>–</w:t>
            </w:r>
            <w:r w:rsidRPr="0042294A">
              <w:rPr>
                <w:color w:val="0F02BE"/>
              </w:rPr>
              <w:t>9.3)</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(0.19–</w:t>
            </w:r>
            <w:r w:rsidRPr="003408A6">
              <w:t>0.53)</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(9.3</w:t>
            </w:r>
            <w:r>
              <w:rPr>
                <w:color w:val="0F02BE"/>
              </w:rPr>
              <w:t>–</w:t>
            </w:r>
            <w:r w:rsidRPr="0042294A">
              <w:rPr>
                <w:color w:val="0F02BE"/>
              </w:rPr>
              <w:t>14.6)</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(0.49</w:t>
            </w:r>
            <w:r>
              <w:t>–</w:t>
            </w:r>
            <w:r w:rsidRPr="003408A6">
              <w:t>0.85)</w:t>
            </w:r>
          </w:p>
        </w:tc>
      </w:tr>
      <w:tr w:rsidR="0042294A" w:rsidRPr="003408A6" w:rsidTr="0042294A">
        <w:trPr>
          <w:trHeight w:val="301"/>
        </w:trPr>
        <w:tc>
          <w:tcPr>
            <w:tcW w:w="533" w:type="pct"/>
            <w:vMerge w:val="restart"/>
            <w:shd w:val="clear" w:color="000000" w:fill="FFFFFF"/>
            <w:vAlign w:val="center"/>
            <w:hideMark/>
          </w:tcPr>
          <w:p w:rsidR="0042294A" w:rsidRPr="003408A6" w:rsidRDefault="0042294A" w:rsidP="0042294A">
            <w:pPr>
              <w:pStyle w:val="Tabletextbold"/>
            </w:pPr>
            <w:r w:rsidRPr="003408A6">
              <w:t>ACT</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11.7</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6.2</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0.53</w:t>
            </w:r>
          </w:p>
        </w:tc>
        <w:tc>
          <w:tcPr>
            <w:tcW w:w="638"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4.1</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0.35</w:t>
            </w:r>
          </w:p>
        </w:tc>
        <w:tc>
          <w:tcPr>
            <w:tcW w:w="661" w:type="pct"/>
            <w:tcBorders>
              <w:bottom w:val="nil"/>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5.2</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0.45</w:t>
            </w:r>
          </w:p>
        </w:tc>
      </w:tr>
      <w:tr w:rsidR="0042294A" w:rsidRPr="003408A6" w:rsidTr="0042294A">
        <w:trPr>
          <w:trHeight w:val="301"/>
        </w:trPr>
        <w:tc>
          <w:tcPr>
            <w:tcW w:w="533" w:type="pct"/>
            <w:vMerge/>
            <w:vAlign w:val="center"/>
            <w:hideMark/>
          </w:tcPr>
          <w:p w:rsidR="0042294A" w:rsidRPr="003408A6" w:rsidRDefault="0042294A" w:rsidP="00964082">
            <w:pPr>
              <w:pStyle w:val="Tabletextbold"/>
            </w:pPr>
          </w:p>
        </w:tc>
        <w:tc>
          <w:tcPr>
            <w:tcW w:w="615" w:type="pct"/>
            <w:tcBorders>
              <w:top w:val="nil"/>
              <w:bottom w:val="single" w:sz="4" w:space="0" w:color="auto"/>
            </w:tcBorders>
            <w:shd w:val="clear" w:color="000000" w:fill="FFFFFF"/>
            <w:noWrap/>
            <w:vAlign w:val="center"/>
          </w:tcPr>
          <w:p w:rsidR="0042294A" w:rsidRPr="0042294A" w:rsidRDefault="0042294A" w:rsidP="0042294A">
            <w:pPr>
              <w:pStyle w:val="Tabletext0beforeafter-centred"/>
              <w:rPr>
                <w:color w:val="0F02BE"/>
              </w:rPr>
            </w:pPr>
            <w:r>
              <w:rPr>
                <w:color w:val="0F02BE"/>
              </w:rPr>
              <w:t>(8.9–</w:t>
            </w:r>
            <w:r w:rsidRPr="0042294A">
              <w:rPr>
                <w:color w:val="0F02BE"/>
              </w:rPr>
              <w:t>15.0)</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(3.4–</w:t>
            </w:r>
            <w:r w:rsidRPr="0042294A">
              <w:rPr>
                <w:color w:val="0F02BE"/>
              </w:rPr>
              <w:t>10.4)</w:t>
            </w:r>
          </w:p>
        </w:tc>
        <w:tc>
          <w:tcPr>
            <w:tcW w:w="638"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t>(0.27–</w:t>
            </w:r>
            <w:r w:rsidRPr="003408A6">
              <w:t>0.96)</w:t>
            </w:r>
          </w:p>
        </w:tc>
        <w:tc>
          <w:tcPr>
            <w:tcW w:w="638"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sidRPr="0042294A">
              <w:rPr>
                <w:color w:val="0F02BE"/>
              </w:rPr>
              <w:t>(1.8</w:t>
            </w:r>
            <w:r>
              <w:rPr>
                <w:color w:val="0F02BE"/>
              </w:rPr>
              <w:t>–</w:t>
            </w:r>
            <w:r w:rsidRPr="0042294A">
              <w:rPr>
                <w:color w:val="0F02BE"/>
              </w:rPr>
              <w:t>8.1)</w:t>
            </w:r>
          </w:p>
        </w:tc>
        <w:tc>
          <w:tcPr>
            <w:tcW w:w="615"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(0.15</w:t>
            </w:r>
            <w:r>
              <w:t>–</w:t>
            </w:r>
            <w:r w:rsidRPr="003408A6">
              <w:t>0.74)</w:t>
            </w:r>
          </w:p>
        </w:tc>
        <w:tc>
          <w:tcPr>
            <w:tcW w:w="661" w:type="pct"/>
            <w:tcBorders>
              <w:top w:val="nil"/>
              <w:bottom w:val="single" w:sz="4" w:space="0" w:color="auto"/>
            </w:tcBorders>
            <w:shd w:val="clear" w:color="000000" w:fill="FFFFFF"/>
            <w:noWrap/>
            <w:vAlign w:val="center"/>
            <w:hideMark/>
          </w:tcPr>
          <w:p w:rsidR="0042294A" w:rsidRPr="0042294A" w:rsidRDefault="0042294A" w:rsidP="0042294A">
            <w:pPr>
              <w:pStyle w:val="Tabletext0beforeafter-centred"/>
              <w:rPr>
                <w:color w:val="0F02BE"/>
              </w:rPr>
            </w:pPr>
            <w:r>
              <w:rPr>
                <w:color w:val="0F02BE"/>
              </w:rPr>
              <w:t>(3.3–</w:t>
            </w:r>
            <w:r w:rsidRPr="0042294A">
              <w:rPr>
                <w:color w:val="0F02BE"/>
              </w:rPr>
              <w:t>7.9)</w:t>
            </w:r>
          </w:p>
        </w:tc>
        <w:tc>
          <w:tcPr>
            <w:tcW w:w="639" w:type="pct"/>
            <w:tcBorders>
              <w:top w:val="nil"/>
              <w:bottom w:val="single" w:sz="4" w:space="0" w:color="auto"/>
            </w:tcBorders>
            <w:shd w:val="clear" w:color="000000" w:fill="FFFFFF"/>
            <w:vAlign w:val="center"/>
          </w:tcPr>
          <w:p w:rsidR="0042294A" w:rsidRPr="003408A6" w:rsidRDefault="0042294A" w:rsidP="0042294A">
            <w:pPr>
              <w:pStyle w:val="Tabletext0beforeafter-centred"/>
            </w:pPr>
            <w:r w:rsidRPr="003408A6">
              <w:t>(0.26</w:t>
            </w:r>
            <w:r>
              <w:t>–</w:t>
            </w:r>
            <w:r w:rsidRPr="003408A6">
              <w:t>0.74)</w:t>
            </w:r>
          </w:p>
        </w:tc>
      </w:tr>
      <w:tr w:rsidR="0042294A" w:rsidRPr="003408A6" w:rsidTr="0042294A">
        <w:trPr>
          <w:trHeight w:val="301"/>
        </w:trPr>
        <w:tc>
          <w:tcPr>
            <w:tcW w:w="533" w:type="pct"/>
            <w:vMerge w:val="restart"/>
            <w:vAlign w:val="center"/>
          </w:tcPr>
          <w:p w:rsidR="0042294A" w:rsidRPr="003408A6" w:rsidRDefault="0042294A" w:rsidP="0042294A">
            <w:pPr>
              <w:pStyle w:val="Tabletextbold"/>
            </w:pPr>
            <w:r w:rsidRPr="003408A6">
              <w:t>National</w:t>
            </w:r>
          </w:p>
        </w:tc>
        <w:tc>
          <w:tcPr>
            <w:tcW w:w="615"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13.1</w:t>
            </w:r>
          </w:p>
        </w:tc>
        <w:tc>
          <w:tcPr>
            <w:tcW w:w="661"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9.8</w:t>
            </w:r>
          </w:p>
        </w:tc>
        <w:tc>
          <w:tcPr>
            <w:tcW w:w="638" w:type="pct"/>
            <w:tcBorders>
              <w:bottom w:val="nil"/>
            </w:tcBorders>
            <w:shd w:val="clear" w:color="000000" w:fill="FFFFFF"/>
            <w:vAlign w:val="center"/>
          </w:tcPr>
          <w:p w:rsidR="0042294A" w:rsidRPr="003408A6" w:rsidRDefault="0042294A" w:rsidP="0042294A">
            <w:pPr>
              <w:pStyle w:val="Tabletext0beforeafter-centred"/>
            </w:pPr>
            <w:r w:rsidRPr="003408A6">
              <w:t>0.75</w:t>
            </w:r>
          </w:p>
        </w:tc>
        <w:tc>
          <w:tcPr>
            <w:tcW w:w="638"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7.5</w:t>
            </w:r>
          </w:p>
        </w:tc>
        <w:tc>
          <w:tcPr>
            <w:tcW w:w="615" w:type="pct"/>
            <w:tcBorders>
              <w:bottom w:val="nil"/>
            </w:tcBorders>
            <w:shd w:val="clear" w:color="000000" w:fill="FFFFFF"/>
            <w:vAlign w:val="center"/>
          </w:tcPr>
          <w:p w:rsidR="0042294A" w:rsidRPr="003408A6" w:rsidRDefault="0042294A" w:rsidP="0042294A">
            <w:pPr>
              <w:pStyle w:val="Tabletext0beforeafter-centred"/>
            </w:pPr>
            <w:r w:rsidRPr="003408A6">
              <w:t>0.57</w:t>
            </w:r>
          </w:p>
        </w:tc>
        <w:tc>
          <w:tcPr>
            <w:tcW w:w="661" w:type="pct"/>
            <w:tcBorders>
              <w:bottom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8.7</w:t>
            </w:r>
          </w:p>
        </w:tc>
        <w:tc>
          <w:tcPr>
            <w:tcW w:w="639" w:type="pct"/>
            <w:tcBorders>
              <w:bottom w:val="nil"/>
            </w:tcBorders>
            <w:shd w:val="clear" w:color="000000" w:fill="FFFFFF"/>
            <w:vAlign w:val="center"/>
          </w:tcPr>
          <w:p w:rsidR="0042294A" w:rsidRPr="003408A6" w:rsidRDefault="0042294A" w:rsidP="0042294A">
            <w:pPr>
              <w:pStyle w:val="Tabletext0beforeafter-centred"/>
            </w:pPr>
            <w:r w:rsidRPr="003408A6">
              <w:t>0.66</w:t>
            </w:r>
          </w:p>
        </w:tc>
      </w:tr>
      <w:tr w:rsidR="0042294A" w:rsidRPr="003408A6" w:rsidTr="0042294A">
        <w:trPr>
          <w:trHeight w:val="301"/>
        </w:trPr>
        <w:tc>
          <w:tcPr>
            <w:tcW w:w="533" w:type="pct"/>
            <w:vMerge/>
            <w:vAlign w:val="center"/>
          </w:tcPr>
          <w:p w:rsidR="0042294A" w:rsidRPr="003408A6" w:rsidRDefault="0042294A" w:rsidP="00D860FD">
            <w:pPr>
              <w:rPr>
                <w:rFonts w:cs="Arial"/>
                <w:color w:val="000000"/>
                <w:sz w:val="20"/>
              </w:rPr>
            </w:pPr>
          </w:p>
        </w:tc>
        <w:tc>
          <w:tcPr>
            <w:tcW w:w="615" w:type="pct"/>
            <w:tcBorders>
              <w:top w:val="nil"/>
            </w:tcBorders>
            <w:shd w:val="clear" w:color="000000" w:fill="FFFFFF"/>
            <w:noWrap/>
            <w:vAlign w:val="center"/>
          </w:tcPr>
          <w:p w:rsidR="0042294A" w:rsidRPr="0042294A" w:rsidRDefault="0042294A" w:rsidP="0042294A">
            <w:pPr>
              <w:pStyle w:val="Tabletext0beforeafter-centred"/>
              <w:rPr>
                <w:color w:val="0F02BE"/>
              </w:rPr>
            </w:pPr>
            <w:r>
              <w:rPr>
                <w:color w:val="0F02BE"/>
              </w:rPr>
              <w:t>(12.7–</w:t>
            </w:r>
            <w:r w:rsidRPr="0042294A">
              <w:rPr>
                <w:color w:val="0F02BE"/>
              </w:rPr>
              <w:t>13.6)</w:t>
            </w:r>
          </w:p>
        </w:tc>
        <w:tc>
          <w:tcPr>
            <w:tcW w:w="661" w:type="pct"/>
            <w:tcBorders>
              <w:top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(9.3</w:t>
            </w:r>
            <w:r>
              <w:rPr>
                <w:color w:val="0F02BE"/>
              </w:rPr>
              <w:t>–</w:t>
            </w:r>
            <w:r w:rsidRPr="0042294A">
              <w:rPr>
                <w:color w:val="0F02BE"/>
              </w:rPr>
              <w:t>10.4)</w:t>
            </w:r>
          </w:p>
        </w:tc>
        <w:tc>
          <w:tcPr>
            <w:tcW w:w="638" w:type="pct"/>
            <w:tcBorders>
              <w:top w:val="nil"/>
            </w:tcBorders>
            <w:shd w:val="clear" w:color="000000" w:fill="FFFFFF"/>
            <w:vAlign w:val="center"/>
          </w:tcPr>
          <w:p w:rsidR="0042294A" w:rsidRPr="003408A6" w:rsidRDefault="0042294A" w:rsidP="0042294A">
            <w:pPr>
              <w:pStyle w:val="Tabletext0beforeafter-centred"/>
            </w:pPr>
            <w:r w:rsidRPr="003408A6">
              <w:t>(0.70</w:t>
            </w:r>
            <w:r>
              <w:t>–</w:t>
            </w:r>
            <w:r w:rsidRPr="003408A6">
              <w:t>0.80)</w:t>
            </w:r>
          </w:p>
        </w:tc>
        <w:tc>
          <w:tcPr>
            <w:tcW w:w="638" w:type="pct"/>
            <w:tcBorders>
              <w:top w:val="nil"/>
            </w:tcBorders>
            <w:shd w:val="clear" w:color="000000" w:fill="FFFFFF"/>
            <w:noWrap/>
            <w:vAlign w:val="center"/>
          </w:tcPr>
          <w:p w:rsidR="0042294A" w:rsidRPr="0042294A" w:rsidRDefault="0042294A" w:rsidP="0042294A">
            <w:pPr>
              <w:pStyle w:val="Tabletext0beforeafter-centred"/>
              <w:rPr>
                <w:color w:val="0F02BE"/>
              </w:rPr>
            </w:pPr>
            <w:r w:rsidRPr="0042294A">
              <w:rPr>
                <w:color w:val="0F02BE"/>
              </w:rPr>
              <w:t>(6.9</w:t>
            </w:r>
            <w:r>
              <w:rPr>
                <w:color w:val="0F02BE"/>
              </w:rPr>
              <w:t>–</w:t>
            </w:r>
            <w:r w:rsidRPr="0042294A">
              <w:rPr>
                <w:color w:val="0F02BE"/>
              </w:rPr>
              <w:t>8.0)</w:t>
            </w:r>
          </w:p>
        </w:tc>
        <w:tc>
          <w:tcPr>
            <w:tcW w:w="615" w:type="pct"/>
            <w:tcBorders>
              <w:top w:val="nil"/>
            </w:tcBorders>
            <w:shd w:val="clear" w:color="000000" w:fill="FFFFFF"/>
            <w:vAlign w:val="center"/>
          </w:tcPr>
          <w:p w:rsidR="0042294A" w:rsidRPr="003408A6" w:rsidRDefault="0042294A" w:rsidP="0042294A">
            <w:pPr>
              <w:pStyle w:val="Tabletext0beforeafter-centred"/>
            </w:pPr>
            <w:r w:rsidRPr="003408A6">
              <w:t>(0.53</w:t>
            </w:r>
            <w:r>
              <w:t>–</w:t>
            </w:r>
            <w:r w:rsidRPr="003408A6">
              <w:t>0.61)</w:t>
            </w:r>
          </w:p>
        </w:tc>
        <w:tc>
          <w:tcPr>
            <w:tcW w:w="661" w:type="pct"/>
            <w:tcBorders>
              <w:top w:val="nil"/>
            </w:tcBorders>
            <w:shd w:val="clear" w:color="000000" w:fill="FFFFFF"/>
            <w:noWrap/>
            <w:vAlign w:val="center"/>
          </w:tcPr>
          <w:p w:rsidR="0042294A" w:rsidRPr="0042294A" w:rsidRDefault="0042294A" w:rsidP="0042294A">
            <w:pPr>
              <w:pStyle w:val="Tabletext0beforeafter-centred"/>
              <w:rPr>
                <w:color w:val="0F02BE"/>
              </w:rPr>
            </w:pPr>
            <w:r>
              <w:rPr>
                <w:color w:val="0F02BE"/>
              </w:rPr>
              <w:t>(8.3–</w:t>
            </w:r>
            <w:r w:rsidRPr="0042294A">
              <w:rPr>
                <w:color w:val="0F02BE"/>
              </w:rPr>
              <w:t>9.1)</w:t>
            </w:r>
          </w:p>
        </w:tc>
        <w:tc>
          <w:tcPr>
            <w:tcW w:w="639" w:type="pct"/>
            <w:tcBorders>
              <w:top w:val="nil"/>
            </w:tcBorders>
            <w:shd w:val="clear" w:color="000000" w:fill="FFFFFF"/>
            <w:vAlign w:val="center"/>
          </w:tcPr>
          <w:p w:rsidR="0042294A" w:rsidRPr="003408A6" w:rsidRDefault="0042294A" w:rsidP="0042294A">
            <w:pPr>
              <w:pStyle w:val="Tabletext0beforeafter-centred"/>
            </w:pPr>
            <w:r w:rsidRPr="003408A6">
              <w:t>(0.63</w:t>
            </w:r>
            <w:r>
              <w:t>–</w:t>
            </w:r>
            <w:r w:rsidRPr="003408A6">
              <w:t>0.70)</w:t>
            </w:r>
          </w:p>
        </w:tc>
      </w:tr>
    </w:tbl>
    <w:p w:rsidR="002B01FE" w:rsidRPr="003408A6" w:rsidRDefault="002B01FE" w:rsidP="0042294A">
      <w:pPr>
        <w:pStyle w:val="Tablefootnote"/>
      </w:pPr>
      <w:r w:rsidRPr="003408A6">
        <w:t xml:space="preserve">Source: </w:t>
      </w:r>
      <w:r w:rsidRPr="00964082">
        <w:rPr>
          <w:i/>
        </w:rPr>
        <w:t>Cervical screening in Australia 2010</w:t>
      </w:r>
      <w:r w:rsidR="00B27DFA">
        <w:rPr>
          <w:i/>
        </w:rPr>
        <w:t>–</w:t>
      </w:r>
      <w:r w:rsidRPr="00964082">
        <w:rPr>
          <w:i/>
        </w:rPr>
        <w:t>2011</w:t>
      </w:r>
      <w:r w:rsidRPr="003408A6">
        <w:t xml:space="preserve">, AIHW </w:t>
      </w:r>
    </w:p>
    <w:p w:rsidR="002B01FE" w:rsidRPr="003408A6" w:rsidRDefault="002B01FE" w:rsidP="0042294A">
      <w:pPr>
        <w:pStyle w:val="Tablefootnote"/>
      </w:pPr>
      <w:r w:rsidRPr="003408A6">
        <w:t>*</w:t>
      </w:r>
      <w:r w:rsidR="0042294A">
        <w:tab/>
      </w:r>
      <w:r w:rsidRPr="003408A6">
        <w:t>Crude rates are the number of females with high</w:t>
      </w:r>
      <w:r w:rsidR="00E42A66" w:rsidRPr="003408A6">
        <w:t>-</w:t>
      </w:r>
      <w:r w:rsidRPr="003408A6">
        <w:t>grade abnormalities detected by histology as a proportion of all females screened</w:t>
      </w:r>
      <w:r w:rsidR="00E42A66" w:rsidRPr="003408A6">
        <w:t>.</w:t>
      </w:r>
    </w:p>
    <w:p w:rsidR="002B01FE" w:rsidRPr="003408A6" w:rsidRDefault="0042294A" w:rsidP="0042294A">
      <w:pPr>
        <w:pStyle w:val="Tablefootnote"/>
      </w:pPr>
      <w:r>
        <w:t>†</w:t>
      </w:r>
      <w:r>
        <w:tab/>
      </w:r>
      <w:r w:rsidR="002B01FE" w:rsidRPr="003408A6">
        <w:t>Reference group: 2004–2007 pre-vaccine period</w:t>
      </w:r>
      <w:r w:rsidR="008B18C9">
        <w:t>.</w:t>
      </w:r>
      <w:r w:rsidR="002B01FE" w:rsidRPr="003408A6">
        <w:t xml:space="preserve"> </w:t>
      </w:r>
    </w:p>
    <w:p w:rsidR="002B01FE" w:rsidRPr="003408A6" w:rsidRDefault="002B01FE" w:rsidP="00D860FD">
      <w:pPr>
        <w:pStyle w:val="Heading3"/>
        <w:spacing w:line="240" w:lineRule="auto"/>
        <w:rPr>
          <w:b w:val="0"/>
          <w:sz w:val="22"/>
          <w:szCs w:val="22"/>
          <w:u w:val="single"/>
        </w:rPr>
        <w:sectPr w:rsidR="002B01FE" w:rsidRPr="003408A6" w:rsidSect="00D07C02">
          <w:pgSz w:w="16838" w:h="11906" w:orient="landscape"/>
          <w:pgMar w:top="720" w:right="720" w:bottom="720" w:left="720" w:header="720" w:footer="720" w:gutter="0"/>
          <w:cols w:space="709"/>
          <w:docGrid w:linePitch="299"/>
        </w:sectPr>
      </w:pPr>
    </w:p>
    <w:p w:rsidR="002B01FE" w:rsidRPr="003408A6" w:rsidRDefault="002B01FE" w:rsidP="00485766">
      <w:pPr>
        <w:pStyle w:val="Heading3"/>
      </w:pPr>
      <w:bookmarkStart w:id="200" w:name="_Toc368480200"/>
      <w:r w:rsidRPr="003408A6">
        <w:t>HGA rates in females aged 20–24 years</w:t>
      </w:r>
      <w:bookmarkEnd w:id="200"/>
      <w:r w:rsidRPr="003408A6">
        <w:t xml:space="preserve"> </w:t>
      </w:r>
    </w:p>
    <w:p w:rsidR="002B01FE" w:rsidRPr="003408A6" w:rsidRDefault="002B01FE" w:rsidP="0077184E">
      <w:pPr>
        <w:pStyle w:val="BodyText"/>
        <w:rPr>
          <w:lang w:val="en-AU"/>
        </w:rPr>
      </w:pPr>
      <w:r w:rsidRPr="003408A6">
        <w:rPr>
          <w:lang w:val="en-AU"/>
        </w:rPr>
        <w:t xml:space="preserve">At the national level, a progressive reduction in </w:t>
      </w:r>
      <w:r w:rsidR="00E42A66" w:rsidRPr="003408A6">
        <w:rPr>
          <w:lang w:val="en-AU"/>
        </w:rPr>
        <w:t xml:space="preserve">HGA </w:t>
      </w:r>
      <w:r w:rsidRPr="003408A6">
        <w:rPr>
          <w:lang w:val="en-AU"/>
        </w:rPr>
        <w:t>rate</w:t>
      </w:r>
      <w:r w:rsidR="00E42A66" w:rsidRPr="003408A6">
        <w:rPr>
          <w:lang w:val="en-AU"/>
        </w:rPr>
        <w:t>s</w:t>
      </w:r>
      <w:r w:rsidR="00B27DFA">
        <w:rPr>
          <w:lang w:val="en-AU"/>
        </w:rPr>
        <w:t xml:space="preserve"> in females aged 20–24 years</w:t>
      </w:r>
      <w:r w:rsidRPr="003408A6">
        <w:rPr>
          <w:lang w:val="en-AU"/>
        </w:rPr>
        <w:t xml:space="preserve"> was observed each year since 2008 (</w:t>
      </w:r>
      <w:r w:rsidRPr="003408A6">
        <w:rPr>
          <w:b/>
          <w:lang w:val="en-AU"/>
        </w:rPr>
        <w:t xml:space="preserve">Figure </w:t>
      </w:r>
      <w:r w:rsidR="00097421" w:rsidRPr="003408A6">
        <w:rPr>
          <w:b/>
          <w:lang w:val="en-AU"/>
        </w:rPr>
        <w:t>5</w:t>
      </w:r>
      <w:r w:rsidR="00485766" w:rsidRPr="003408A6">
        <w:rPr>
          <w:b/>
          <w:lang w:val="en-AU"/>
        </w:rPr>
        <w:t>.</w:t>
      </w:r>
      <w:r w:rsidRPr="003408A6">
        <w:rPr>
          <w:b/>
          <w:lang w:val="en-AU"/>
        </w:rPr>
        <w:t>2</w:t>
      </w:r>
      <w:r w:rsidR="00BE0720">
        <w:rPr>
          <w:b/>
          <w:lang w:val="en-AU"/>
        </w:rPr>
        <w:t xml:space="preserve">, </w:t>
      </w:r>
      <w:r w:rsidR="004E5EBC">
        <w:rPr>
          <w:b/>
          <w:lang w:val="en-AU"/>
        </w:rPr>
        <w:t>Appendix 5.2</w:t>
      </w:r>
      <w:r w:rsidRPr="003408A6">
        <w:rPr>
          <w:lang w:val="en-AU"/>
        </w:rPr>
        <w:t xml:space="preserve">), although 2011 was the first year in which a statistically significant </w:t>
      </w:r>
      <w:r w:rsidR="00E42A66" w:rsidRPr="003408A6">
        <w:rPr>
          <w:lang w:val="en-AU"/>
        </w:rPr>
        <w:t xml:space="preserve">reduction was documented: a </w:t>
      </w:r>
      <w:r w:rsidRPr="003408A6">
        <w:rPr>
          <w:lang w:val="en-AU"/>
        </w:rPr>
        <w:t>12% decline (95% CI</w:t>
      </w:r>
      <w:r w:rsidR="00E42A66" w:rsidRPr="003408A6">
        <w:rPr>
          <w:lang w:val="en-AU"/>
        </w:rPr>
        <w:t>:</w:t>
      </w:r>
      <w:r w:rsidRPr="003408A6">
        <w:rPr>
          <w:lang w:val="en-AU"/>
        </w:rPr>
        <w:t xml:space="preserve"> 9–15%) to a rate of 17.4 (95% CI</w:t>
      </w:r>
      <w:r w:rsidR="00E42A66" w:rsidRPr="003408A6">
        <w:rPr>
          <w:lang w:val="en-AU"/>
        </w:rPr>
        <w:t>:</w:t>
      </w:r>
      <w:r w:rsidRPr="003408A6">
        <w:rPr>
          <w:lang w:val="en-AU"/>
        </w:rPr>
        <w:t xml:space="preserve"> 16.8–18.0) HGAs detected per 1</w:t>
      </w:r>
      <w:r w:rsidR="00DC2B90" w:rsidRPr="003408A6">
        <w:rPr>
          <w:lang w:val="en-AU"/>
        </w:rPr>
        <w:t>,</w:t>
      </w:r>
      <w:r w:rsidRPr="003408A6">
        <w:rPr>
          <w:lang w:val="en-AU"/>
        </w:rPr>
        <w:t>000 females screened. Women who were 20</w:t>
      </w:r>
      <w:r w:rsidR="00E42A66" w:rsidRPr="003408A6">
        <w:rPr>
          <w:lang w:val="en-AU"/>
        </w:rPr>
        <w:t>–</w:t>
      </w:r>
      <w:r w:rsidRPr="003408A6">
        <w:rPr>
          <w:lang w:val="en-AU"/>
        </w:rPr>
        <w:t>24 years of age in 2011 would have been 16</w:t>
      </w:r>
      <w:r w:rsidR="00E42A66" w:rsidRPr="003408A6">
        <w:rPr>
          <w:lang w:val="en-AU"/>
        </w:rPr>
        <w:t>–</w:t>
      </w:r>
      <w:r w:rsidRPr="003408A6">
        <w:rPr>
          <w:lang w:val="en-AU"/>
        </w:rPr>
        <w:t xml:space="preserve">20 years of age in 2008 and so </w:t>
      </w:r>
      <w:r w:rsidR="00E42A66" w:rsidRPr="003408A6">
        <w:rPr>
          <w:lang w:val="en-AU"/>
        </w:rPr>
        <w:t>2011</w:t>
      </w:r>
      <w:r w:rsidRPr="003408A6">
        <w:rPr>
          <w:lang w:val="en-AU"/>
        </w:rPr>
        <w:t xml:space="preserve"> may represent the first </w:t>
      </w:r>
      <w:r w:rsidR="00E42A66" w:rsidRPr="003408A6">
        <w:rPr>
          <w:lang w:val="en-AU"/>
        </w:rPr>
        <w:t xml:space="preserve">year </w:t>
      </w:r>
      <w:r w:rsidRPr="003408A6">
        <w:rPr>
          <w:lang w:val="en-AU"/>
        </w:rPr>
        <w:t>in which a significant proportion of this age cohort had received HPV vaccine within a short time of becoming sexually active.</w:t>
      </w:r>
      <w:hyperlink w:anchor="_ENREF_95" w:tooltip="Smith, 2009 #1257" w:history="1">
        <w:r w:rsidR="00F27F90" w:rsidRPr="003408A6">
          <w:rPr>
            <w:lang w:val="en-AU"/>
          </w:rPr>
          <w:fldChar w:fldCharType="begin"/>
        </w:r>
        <w:r w:rsidR="00F27F90">
          <w:rPr>
            <w:lang w:val="en-AU"/>
          </w:rPr>
          <w:instrText xml:space="preserve"> ADDIN EN.CITE &lt;EndNote&gt;&lt;Cite&gt;&lt;Author&gt;Smith&lt;/Author&gt;&lt;Year&gt;2009&lt;/Year&gt;&lt;RecNum&gt;1257&lt;/RecNum&gt;&lt;DisplayText&gt;&lt;style face="superscript"&gt;95&lt;/style&gt;&lt;/DisplayText&gt;&lt;record&gt;&lt;rec-number&gt;1257&lt;/rec-number&gt;&lt;foreign-keys&gt;&lt;key app="EN" db-id="dda0wweazfww9besetpx2r5pt0asp9ztvs95"&gt;1257&lt;/key&gt;&lt;/foreign-keys&gt;&lt;ref-type name="Report"&gt;27&lt;/ref-type&gt;&lt;contributors&gt;&lt;authors&gt;&lt;author&gt;Smith, A. &lt;/author&gt;&lt;author&gt;Agius, P. &lt;/author&gt;&lt;author&gt;Mitchell, A.&lt;/author&gt;&lt;author&gt;Barrett, C.&lt;/author&gt;&lt;author&gt;Pitts, M.&lt;/author&gt;&lt;/authors&gt;&lt;/contributors&gt;&lt;titles&gt;&lt;title&gt;Secondary students and sexual health report 2008, Monograph Series No. 70&lt;/title&gt;&lt;/titles&gt;&lt;dates&gt;&lt;year&gt;2009&lt;/year&gt;&lt;/dates&gt;&lt;pub-location&gt;Melbourne&lt;/pub-location&gt;&lt;publisher&gt;Australian Research Centre in Sex, Health  &amp;amp; Society, La Trobe University&lt;/publisher&gt;&lt;urls&gt;&lt;/urls&gt;&lt;/record&gt;&lt;/Cite&gt;&lt;/EndNote&gt;</w:instrText>
        </w:r>
        <w:r w:rsidR="00F27F90" w:rsidRPr="003408A6">
          <w:rPr>
            <w:lang w:val="en-AU"/>
          </w:rPr>
          <w:fldChar w:fldCharType="separate"/>
        </w:r>
        <w:r w:rsidR="00F27F90" w:rsidRPr="00F27F90">
          <w:rPr>
            <w:noProof/>
            <w:vertAlign w:val="superscript"/>
            <w:lang w:val="en-AU"/>
          </w:rPr>
          <w:t>95</w:t>
        </w:r>
        <w:r w:rsidR="00F27F90" w:rsidRPr="003408A6">
          <w:rPr>
            <w:lang w:val="en-AU"/>
          </w:rPr>
          <w:fldChar w:fldCharType="end"/>
        </w:r>
      </w:hyperlink>
      <w:r w:rsidRPr="003408A6">
        <w:rPr>
          <w:lang w:val="en-AU"/>
        </w:rPr>
        <w:t xml:space="preserve"> </w:t>
      </w:r>
    </w:p>
    <w:p w:rsidR="002B01FE" w:rsidRPr="003408A6" w:rsidRDefault="002B01FE" w:rsidP="00B10D58">
      <w:pPr>
        <w:pStyle w:val="Heading3"/>
      </w:pPr>
      <w:r w:rsidRPr="003408A6">
        <w:t xml:space="preserve">Sensitivity </w:t>
      </w:r>
      <w:r w:rsidR="00E42A66" w:rsidRPr="003408A6">
        <w:t>a</w:t>
      </w:r>
      <w:r w:rsidRPr="003408A6">
        <w:t>nalysis</w:t>
      </w:r>
    </w:p>
    <w:p w:rsidR="00D50A27" w:rsidRPr="003408A6" w:rsidRDefault="00D50A27" w:rsidP="0077184E">
      <w:pPr>
        <w:pStyle w:val="BodyText"/>
        <w:rPr>
          <w:lang w:val="en-AU"/>
        </w:rPr>
      </w:pPr>
      <w:r w:rsidRPr="003408A6">
        <w:rPr>
          <w:lang w:val="en-AU"/>
        </w:rPr>
        <w:t>To determine whether the decline in detection of HGA</w:t>
      </w:r>
      <w:r w:rsidR="00B27DFA">
        <w:rPr>
          <w:lang w:val="en-AU"/>
        </w:rPr>
        <w:t>s</w:t>
      </w:r>
      <w:r w:rsidRPr="003408A6">
        <w:rPr>
          <w:lang w:val="en-AU"/>
        </w:rPr>
        <w:t xml:space="preserve"> per 1,000 females screened in females aged &lt;20 years could be explained by a decline in screening participation alone, a sensitivity analysis was conducted. Nationally, females aged &lt;20 years who were not screened in 2008, 2009, 2010 and 2011 were included in our analysis to estimate the expected rates of HGA</w:t>
      </w:r>
      <w:r w:rsidR="00B27DFA">
        <w:rPr>
          <w:lang w:val="en-AU"/>
        </w:rPr>
        <w:t>s</w:t>
      </w:r>
      <w:r w:rsidRPr="003408A6">
        <w:rPr>
          <w:lang w:val="en-AU"/>
        </w:rPr>
        <w:t xml:space="preserve"> detected for all females in this age group had they all been screened (</w:t>
      </w:r>
      <w:r w:rsidRPr="003408A6">
        <w:rPr>
          <w:b/>
          <w:lang w:val="en-AU"/>
        </w:rPr>
        <w:t>Table 5.4</w:t>
      </w:r>
      <w:r w:rsidRPr="003408A6">
        <w:rPr>
          <w:lang w:val="en-AU"/>
        </w:rPr>
        <w:t xml:space="preserve">). Expected rate ratios (HGA rate if unscreened females had been screened compared to HGA rate in 2004–2007) were significantly below 1 from 2009 onwards for all scenarios, demonstrating that the patterns observed were robust to even very large (and implausible) changes in screening practices. </w:t>
      </w:r>
    </w:p>
    <w:p w:rsidR="002B01FE" w:rsidRPr="003408A6" w:rsidRDefault="002B01FE" w:rsidP="000A2125">
      <w:pPr>
        <w:pStyle w:val="Tableheading"/>
        <w:rPr>
          <w:lang w:val="en-AU"/>
        </w:rPr>
      </w:pPr>
      <w:bookmarkStart w:id="201" w:name="_Toc396475555"/>
      <w:bookmarkStart w:id="202" w:name="_Toc397000783"/>
      <w:r w:rsidRPr="003408A6">
        <w:rPr>
          <w:lang w:val="en-AU"/>
        </w:rPr>
        <w:t xml:space="preserve">Table </w:t>
      </w:r>
      <w:r w:rsidR="00097421" w:rsidRPr="003408A6">
        <w:rPr>
          <w:lang w:val="en-AU"/>
        </w:rPr>
        <w:t>5</w:t>
      </w:r>
      <w:r w:rsidR="00485766" w:rsidRPr="003408A6">
        <w:rPr>
          <w:lang w:val="en-AU"/>
        </w:rPr>
        <w:t>.</w:t>
      </w:r>
      <w:r w:rsidR="00D861BD" w:rsidRPr="003408A6">
        <w:rPr>
          <w:lang w:val="en-AU"/>
        </w:rPr>
        <w:t>4.</w:t>
      </w:r>
      <w:r w:rsidR="00D861BD" w:rsidRPr="003408A6">
        <w:rPr>
          <w:lang w:val="en-AU"/>
        </w:rPr>
        <w:tab/>
      </w:r>
      <w:r w:rsidRPr="003408A6">
        <w:rPr>
          <w:lang w:val="en-AU"/>
        </w:rPr>
        <w:t xml:space="preserve">Sensitivity analysis of rate ratios of females </w:t>
      </w:r>
      <w:r w:rsidR="00E42A66" w:rsidRPr="003408A6">
        <w:rPr>
          <w:lang w:val="en-AU"/>
        </w:rPr>
        <w:t xml:space="preserve">aged </w:t>
      </w:r>
      <w:r w:rsidRPr="003408A6">
        <w:rPr>
          <w:lang w:val="en-AU"/>
        </w:rPr>
        <w:t>&lt;20 years screened, 2009</w:t>
      </w:r>
      <w:r w:rsidR="00204397">
        <w:rPr>
          <w:lang w:val="en-AU"/>
        </w:rPr>
        <w:t xml:space="preserve"> to </w:t>
      </w:r>
      <w:r w:rsidRPr="003408A6">
        <w:rPr>
          <w:lang w:val="en-AU"/>
        </w:rPr>
        <w:t>2011</w:t>
      </w:r>
      <w:bookmarkEnd w:id="201"/>
      <w:bookmarkEnd w:id="202"/>
      <w:r w:rsidRPr="003408A6">
        <w:rPr>
          <w:lang w:val="en-AU"/>
        </w:rPr>
        <w:t xml:space="preserve"> </w:t>
      </w:r>
    </w:p>
    <w:tbl>
      <w:tblPr>
        <w:tblW w:w="8931" w:type="dxa"/>
        <w:tblInd w:w="-34" w:type="dxa"/>
        <w:tblLayout w:type="fixed"/>
        <w:tblLook w:val="04A0" w:firstRow="1" w:lastRow="0" w:firstColumn="1" w:lastColumn="0" w:noHBand="0" w:noVBand="1"/>
      </w:tblPr>
      <w:tblGrid>
        <w:gridCol w:w="842"/>
        <w:gridCol w:w="1119"/>
        <w:gridCol w:w="1120"/>
        <w:gridCol w:w="1120"/>
        <w:gridCol w:w="1231"/>
        <w:gridCol w:w="1120"/>
        <w:gridCol w:w="1259"/>
        <w:gridCol w:w="1120"/>
      </w:tblGrid>
      <w:tr w:rsidR="002B01FE" w:rsidRPr="003408A6" w:rsidTr="0077184E">
        <w:trPr>
          <w:trHeight w:val="263"/>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A.</w:t>
            </w:r>
          </w:p>
          <w:p w:rsidR="002B01FE" w:rsidRPr="003408A6" w:rsidRDefault="002B01FE" w:rsidP="0077184E">
            <w:pPr>
              <w:pStyle w:val="Tablecolumnheadings"/>
              <w:rPr>
                <w:lang w:val="en-AU"/>
              </w:rPr>
            </w:pPr>
            <w:r w:rsidRPr="003408A6">
              <w:rPr>
                <w:lang w:val="en-AU"/>
              </w:rPr>
              <w:t>Year</w:t>
            </w:r>
          </w:p>
        </w:tc>
        <w:tc>
          <w:tcPr>
            <w:tcW w:w="1119" w:type="dxa"/>
            <w:tcBorders>
              <w:top w:val="single" w:sz="4" w:space="0" w:color="auto"/>
              <w:left w:val="nil"/>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B.</w:t>
            </w:r>
          </w:p>
          <w:p w:rsidR="002B01FE" w:rsidRPr="003408A6" w:rsidRDefault="002B01FE" w:rsidP="0077184E">
            <w:pPr>
              <w:pStyle w:val="Tablecolumnheadings"/>
              <w:rPr>
                <w:lang w:val="en-AU"/>
              </w:rPr>
            </w:pPr>
            <w:r w:rsidRPr="003408A6">
              <w:rPr>
                <w:lang w:val="en-AU"/>
              </w:rPr>
              <w:t>No. of females with HGA screened</w:t>
            </w:r>
          </w:p>
        </w:tc>
        <w:tc>
          <w:tcPr>
            <w:tcW w:w="1120" w:type="dxa"/>
            <w:tcBorders>
              <w:top w:val="single" w:sz="4" w:space="0" w:color="auto"/>
              <w:left w:val="nil"/>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C.</w:t>
            </w:r>
          </w:p>
          <w:p w:rsidR="002B01FE" w:rsidRPr="003408A6" w:rsidRDefault="002B01FE" w:rsidP="0077184E">
            <w:pPr>
              <w:pStyle w:val="Tablecolumnheadings"/>
              <w:rPr>
                <w:lang w:val="en-AU"/>
              </w:rPr>
            </w:pPr>
            <w:r w:rsidRPr="003408A6">
              <w:rPr>
                <w:lang w:val="en-AU"/>
              </w:rPr>
              <w:t>Expected no. of HGA by pre-vaccine (2004</w:t>
            </w:r>
            <w:r w:rsidR="00E42A66" w:rsidRPr="003408A6">
              <w:rPr>
                <w:lang w:val="en-AU"/>
              </w:rPr>
              <w:t>–</w:t>
            </w:r>
            <w:r w:rsidRPr="003408A6">
              <w:rPr>
                <w:lang w:val="en-AU"/>
              </w:rPr>
              <w:t>2007) rates</w:t>
            </w:r>
            <w:r w:rsidR="0077184E" w:rsidRPr="003408A6">
              <w:rPr>
                <w:lang w:val="en-AU"/>
              </w:rPr>
              <w:t>*</w:t>
            </w:r>
          </w:p>
        </w:tc>
        <w:tc>
          <w:tcPr>
            <w:tcW w:w="1120" w:type="dxa"/>
            <w:tcBorders>
              <w:top w:val="single" w:sz="4" w:space="0" w:color="auto"/>
              <w:left w:val="nil"/>
              <w:bottom w:val="single" w:sz="4" w:space="0" w:color="auto"/>
              <w:right w:val="single" w:sz="4" w:space="0" w:color="auto"/>
            </w:tcBorders>
            <w:shd w:val="clear" w:color="auto" w:fill="FFFFFF" w:themeFill="background1"/>
          </w:tcPr>
          <w:p w:rsidR="002B01FE" w:rsidRPr="003408A6" w:rsidRDefault="002B01FE" w:rsidP="0077184E">
            <w:pPr>
              <w:pStyle w:val="Tablecolumnheadings"/>
              <w:rPr>
                <w:lang w:val="en-AU"/>
              </w:rPr>
            </w:pPr>
            <w:r w:rsidRPr="003408A6">
              <w:rPr>
                <w:lang w:val="en-AU"/>
              </w:rPr>
              <w:t>D.</w:t>
            </w:r>
          </w:p>
          <w:p w:rsidR="002B01FE" w:rsidRPr="003408A6" w:rsidRDefault="002B01FE" w:rsidP="0077184E">
            <w:pPr>
              <w:pStyle w:val="Tablecolumnheadings"/>
              <w:rPr>
                <w:lang w:val="en-AU"/>
              </w:rPr>
            </w:pPr>
            <w:r w:rsidRPr="003408A6">
              <w:rPr>
                <w:lang w:val="en-AU"/>
              </w:rPr>
              <w:t>No. of females</w:t>
            </w:r>
            <w:r w:rsidR="00E42A66" w:rsidRPr="003408A6">
              <w:rPr>
                <w:lang w:val="en-AU"/>
              </w:rPr>
              <w:t xml:space="preserve"> </w:t>
            </w:r>
            <w:r w:rsidRPr="003408A6">
              <w:rPr>
                <w:lang w:val="en-AU"/>
              </w:rPr>
              <w:t>screened</w:t>
            </w:r>
          </w:p>
        </w:tc>
        <w:tc>
          <w:tcPr>
            <w:tcW w:w="123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E.</w:t>
            </w:r>
          </w:p>
          <w:p w:rsidR="002B01FE" w:rsidRPr="003408A6" w:rsidRDefault="002B01FE" w:rsidP="0077184E">
            <w:pPr>
              <w:pStyle w:val="Tablecolumnheadings"/>
              <w:rPr>
                <w:lang w:val="en-AU"/>
              </w:rPr>
            </w:pPr>
            <w:r w:rsidRPr="003408A6">
              <w:rPr>
                <w:lang w:val="en-AU"/>
              </w:rPr>
              <w:t>No. of females</w:t>
            </w:r>
            <w:r w:rsidR="00E42A66" w:rsidRPr="003408A6">
              <w:rPr>
                <w:lang w:val="en-AU"/>
              </w:rPr>
              <w:t xml:space="preserve"> </w:t>
            </w:r>
            <w:r w:rsidRPr="003408A6">
              <w:rPr>
                <w:lang w:val="en-AU"/>
              </w:rPr>
              <w:t>not screened</w:t>
            </w:r>
            <w:r w:rsidR="0077184E" w:rsidRPr="003408A6">
              <w:rPr>
                <w:vertAlign w:val="superscript"/>
                <w:lang w:val="en-AU"/>
              </w:rPr>
              <w:t>†</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F.</w:t>
            </w:r>
          </w:p>
          <w:p w:rsidR="002B01FE" w:rsidRPr="003408A6" w:rsidRDefault="002B01FE" w:rsidP="0077184E">
            <w:pPr>
              <w:pStyle w:val="Tablecolumnheadings"/>
              <w:rPr>
                <w:lang w:val="en-AU"/>
              </w:rPr>
            </w:pPr>
            <w:r w:rsidRPr="003408A6">
              <w:rPr>
                <w:lang w:val="en-AU"/>
              </w:rPr>
              <w:t>(B+C)/(D+E)x1000</w:t>
            </w:r>
          </w:p>
          <w:p w:rsidR="002B01FE" w:rsidRPr="003408A6" w:rsidRDefault="002B01FE" w:rsidP="0077184E">
            <w:pPr>
              <w:pStyle w:val="Tablecolumnheadings"/>
              <w:rPr>
                <w:lang w:val="en-AU"/>
              </w:rPr>
            </w:pPr>
          </w:p>
          <w:p w:rsidR="002B01FE" w:rsidRPr="003408A6" w:rsidRDefault="002B01FE" w:rsidP="00B27DFA">
            <w:pPr>
              <w:pStyle w:val="Tablecolumnheadings"/>
              <w:rPr>
                <w:lang w:val="en-AU"/>
              </w:rPr>
            </w:pPr>
            <w:r w:rsidRPr="003408A6">
              <w:rPr>
                <w:lang w:val="en-AU"/>
              </w:rPr>
              <w:t xml:space="preserve">Expected </w:t>
            </w:r>
            <w:r w:rsidR="00B27DFA">
              <w:rPr>
                <w:lang w:val="en-AU"/>
              </w:rPr>
              <w:t>r</w:t>
            </w:r>
            <w:r w:rsidRPr="003408A6">
              <w:rPr>
                <w:lang w:val="en-AU"/>
              </w:rPr>
              <w:t>ates</w:t>
            </w:r>
          </w:p>
        </w:tc>
        <w:tc>
          <w:tcPr>
            <w:tcW w:w="12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G.</w:t>
            </w:r>
          </w:p>
          <w:p w:rsidR="002B01FE" w:rsidRPr="003408A6" w:rsidRDefault="002B01FE" w:rsidP="00B27DFA">
            <w:pPr>
              <w:pStyle w:val="Tablecolumnheadings"/>
              <w:rPr>
                <w:lang w:val="en-AU"/>
              </w:rPr>
            </w:pPr>
            <w:r w:rsidRPr="003408A6">
              <w:rPr>
                <w:lang w:val="en-AU"/>
              </w:rPr>
              <w:t xml:space="preserve">Expected </w:t>
            </w:r>
            <w:r w:rsidR="00B27DFA">
              <w:rPr>
                <w:lang w:val="en-AU"/>
              </w:rPr>
              <w:t>r</w:t>
            </w:r>
            <w:r w:rsidRPr="003408A6">
              <w:rPr>
                <w:lang w:val="en-AU"/>
              </w:rPr>
              <w:t xml:space="preserve">ate </w:t>
            </w:r>
            <w:r w:rsidR="00B27DFA">
              <w:rPr>
                <w:lang w:val="en-AU"/>
              </w:rPr>
              <w:t>r</w:t>
            </w:r>
            <w:r w:rsidRPr="003408A6">
              <w:rPr>
                <w:lang w:val="en-AU"/>
              </w:rPr>
              <w:t>atio (rate ratio for HGA compared to 2004</w:t>
            </w:r>
            <w:r w:rsidR="00E42A66" w:rsidRPr="003408A6">
              <w:rPr>
                <w:lang w:val="en-AU"/>
              </w:rPr>
              <w:t>–200</w:t>
            </w:r>
            <w:r w:rsidRPr="003408A6">
              <w:rPr>
                <w:lang w:val="en-AU"/>
              </w:rPr>
              <w:t>7)</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01FE" w:rsidRPr="003408A6" w:rsidRDefault="002B01FE" w:rsidP="0077184E">
            <w:pPr>
              <w:pStyle w:val="Tablecolumnheadings"/>
              <w:rPr>
                <w:lang w:val="en-AU"/>
              </w:rPr>
            </w:pPr>
            <w:r w:rsidRPr="003408A6">
              <w:rPr>
                <w:lang w:val="en-AU"/>
              </w:rPr>
              <w:t>H.</w:t>
            </w:r>
          </w:p>
          <w:p w:rsidR="002B01FE" w:rsidRPr="003408A6" w:rsidRDefault="002B01FE" w:rsidP="0077184E">
            <w:pPr>
              <w:pStyle w:val="Tablecolumnheadings"/>
              <w:rPr>
                <w:lang w:val="en-AU"/>
              </w:rPr>
            </w:pPr>
            <w:r w:rsidRPr="003408A6">
              <w:rPr>
                <w:lang w:val="en-AU"/>
              </w:rPr>
              <w:t>95% CI</w:t>
            </w:r>
          </w:p>
        </w:tc>
      </w:tr>
      <w:tr w:rsidR="002B01FE" w:rsidRPr="003408A6" w:rsidTr="0077184E">
        <w:trPr>
          <w:trHeight w:val="263"/>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
              <w:rPr>
                <w:lang w:val="en-AU"/>
              </w:rPr>
            </w:pPr>
            <w:r w:rsidRPr="003408A6">
              <w:rPr>
                <w:lang w:val="en-AU"/>
              </w:rPr>
              <w:t>2008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1FE" w:rsidRPr="003408A6" w:rsidRDefault="002B01FE" w:rsidP="0077184E">
            <w:pPr>
              <w:pStyle w:val="Tabletextcentred"/>
              <w:rPr>
                <w:lang w:val="en-AU"/>
              </w:rPr>
            </w:pPr>
            <w:r w:rsidRPr="003408A6">
              <w:rPr>
                <w:lang w:val="en-AU"/>
              </w:rPr>
              <w:t>653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3</w:t>
            </w:r>
            <w:r w:rsidR="00E42A66" w:rsidRPr="003408A6">
              <w:rPr>
                <w:lang w:val="en-AU"/>
              </w:rPr>
              <w:t>,</w:t>
            </w:r>
            <w:r w:rsidRPr="003408A6">
              <w:rPr>
                <w:lang w:val="en-AU"/>
              </w:rPr>
              <w:t>006</w:t>
            </w:r>
          </w:p>
        </w:tc>
        <w:tc>
          <w:tcPr>
            <w:tcW w:w="1120" w:type="dxa"/>
            <w:tcBorders>
              <w:top w:val="single" w:sz="4" w:space="0" w:color="auto"/>
              <w:left w:val="single" w:sz="4" w:space="0" w:color="auto"/>
              <w:bottom w:val="single" w:sz="4" w:space="0" w:color="auto"/>
              <w:right w:val="single" w:sz="4" w:space="0" w:color="auto"/>
            </w:tcBorders>
            <w:vAlign w:val="center"/>
          </w:tcPr>
          <w:p w:rsidR="002B01FE" w:rsidRPr="003408A6" w:rsidRDefault="002B01FE" w:rsidP="0077184E">
            <w:pPr>
              <w:pStyle w:val="Tabletextcentred"/>
              <w:rPr>
                <w:lang w:val="en-AU"/>
              </w:rPr>
            </w:pPr>
            <w:r w:rsidRPr="003408A6">
              <w:rPr>
                <w:lang w:val="en-AU"/>
              </w:rPr>
              <w:t>60,612</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229</w:t>
            </w:r>
            <w:r w:rsidR="00E42A66" w:rsidRPr="003408A6">
              <w:rPr>
                <w:lang w:val="en-AU"/>
              </w:rPr>
              <w:t>,</w:t>
            </w:r>
            <w:r w:rsidRPr="003408A6">
              <w:rPr>
                <w:lang w:val="en-AU"/>
              </w:rPr>
              <w:t>142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12.63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0.96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0.92</w:t>
            </w:r>
            <w:r w:rsidR="0077184E" w:rsidRPr="003408A6">
              <w:rPr>
                <w:lang w:val="en-AU"/>
              </w:rPr>
              <w:t>–</w:t>
            </w:r>
            <w:r w:rsidRPr="003408A6">
              <w:rPr>
                <w:lang w:val="en-AU"/>
              </w:rPr>
              <w:t>1.01</w:t>
            </w:r>
          </w:p>
        </w:tc>
      </w:tr>
      <w:tr w:rsidR="002B01FE" w:rsidRPr="003408A6" w:rsidTr="0077184E">
        <w:trPr>
          <w:trHeight w:val="263"/>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
              <w:rPr>
                <w:lang w:val="en-AU"/>
              </w:rPr>
            </w:pPr>
            <w:r w:rsidRPr="003408A6">
              <w:rPr>
                <w:lang w:val="en-AU"/>
              </w:rPr>
              <w:t>2009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1FE" w:rsidRPr="003408A6" w:rsidRDefault="002B01FE" w:rsidP="0077184E">
            <w:pPr>
              <w:pStyle w:val="Tabletextcentred"/>
              <w:rPr>
                <w:lang w:val="en-AU"/>
              </w:rPr>
            </w:pPr>
            <w:r w:rsidRPr="003408A6">
              <w:rPr>
                <w:lang w:val="en-AU"/>
              </w:rPr>
              <w:t>518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3</w:t>
            </w:r>
            <w:r w:rsidR="00E42A66" w:rsidRPr="003408A6">
              <w:rPr>
                <w:lang w:val="en-AU"/>
              </w:rPr>
              <w:t>,</w:t>
            </w:r>
            <w:r w:rsidRPr="003408A6">
              <w:rPr>
                <w:lang w:val="en-AU"/>
              </w:rPr>
              <w:t>113</w:t>
            </w:r>
          </w:p>
        </w:tc>
        <w:tc>
          <w:tcPr>
            <w:tcW w:w="1120" w:type="dxa"/>
            <w:tcBorders>
              <w:top w:val="single" w:sz="4" w:space="0" w:color="auto"/>
              <w:left w:val="single" w:sz="4" w:space="0" w:color="auto"/>
              <w:bottom w:val="single" w:sz="4" w:space="0" w:color="auto"/>
              <w:right w:val="single" w:sz="4" w:space="0" w:color="auto"/>
            </w:tcBorders>
            <w:vAlign w:val="center"/>
          </w:tcPr>
          <w:p w:rsidR="002B01FE" w:rsidRPr="003408A6" w:rsidRDefault="002B01FE" w:rsidP="0077184E">
            <w:pPr>
              <w:pStyle w:val="Tabletextcentred"/>
              <w:rPr>
                <w:lang w:val="en-AU"/>
              </w:rPr>
            </w:pPr>
            <w:r w:rsidRPr="003408A6">
              <w:rPr>
                <w:lang w:val="en-AU"/>
              </w:rPr>
              <w:t>58,307</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238</w:t>
            </w:r>
            <w:r w:rsidR="00E42A66" w:rsidRPr="003408A6">
              <w:rPr>
                <w:lang w:val="en-AU"/>
              </w:rPr>
              <w:t>,</w:t>
            </w:r>
            <w:r w:rsidRPr="003408A6">
              <w:rPr>
                <w:lang w:val="en-AU"/>
              </w:rPr>
              <w:t>020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12.29</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0.94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0.89</w:t>
            </w:r>
            <w:r w:rsidR="0077184E" w:rsidRPr="003408A6">
              <w:rPr>
                <w:lang w:val="en-AU"/>
              </w:rPr>
              <w:t>–</w:t>
            </w:r>
            <w:r w:rsidRPr="003408A6">
              <w:rPr>
                <w:lang w:val="en-AU"/>
              </w:rPr>
              <w:t>0.98</w:t>
            </w:r>
          </w:p>
        </w:tc>
      </w:tr>
      <w:tr w:rsidR="002B01FE" w:rsidRPr="003408A6" w:rsidTr="0077184E">
        <w:trPr>
          <w:trHeight w:val="263"/>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
              <w:rPr>
                <w:lang w:val="en-AU"/>
              </w:rPr>
            </w:pPr>
            <w:r w:rsidRPr="003408A6">
              <w:rPr>
                <w:lang w:val="en-AU"/>
              </w:rPr>
              <w:t>2010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1FE" w:rsidRPr="003408A6" w:rsidRDefault="002B01FE" w:rsidP="0077184E">
            <w:pPr>
              <w:pStyle w:val="Tabletextcentred"/>
              <w:rPr>
                <w:lang w:val="en-AU"/>
              </w:rPr>
            </w:pPr>
            <w:r w:rsidRPr="003408A6">
              <w:rPr>
                <w:lang w:val="en-AU"/>
              </w:rPr>
              <w:t>416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3</w:t>
            </w:r>
            <w:r w:rsidR="00E42A66" w:rsidRPr="003408A6">
              <w:rPr>
                <w:lang w:val="en-AU"/>
              </w:rPr>
              <w:t>,</w:t>
            </w:r>
            <w:r w:rsidRPr="003408A6">
              <w:rPr>
                <w:lang w:val="en-AU"/>
              </w:rPr>
              <w:t>151</w:t>
            </w:r>
          </w:p>
        </w:tc>
        <w:tc>
          <w:tcPr>
            <w:tcW w:w="1120" w:type="dxa"/>
            <w:tcBorders>
              <w:top w:val="single" w:sz="4" w:space="0" w:color="auto"/>
              <w:left w:val="single" w:sz="4" w:space="0" w:color="auto"/>
              <w:bottom w:val="single" w:sz="4" w:space="0" w:color="auto"/>
              <w:right w:val="single" w:sz="4" w:space="0" w:color="auto"/>
            </w:tcBorders>
            <w:vAlign w:val="center"/>
          </w:tcPr>
          <w:p w:rsidR="002B01FE" w:rsidRPr="003408A6" w:rsidRDefault="002B01FE" w:rsidP="0077184E">
            <w:pPr>
              <w:pStyle w:val="Tabletextcentred"/>
              <w:rPr>
                <w:lang w:val="en-AU"/>
              </w:rPr>
            </w:pPr>
            <w:r w:rsidRPr="003408A6">
              <w:rPr>
                <w:lang w:val="en-AU"/>
              </w:rPr>
              <w:t>53,297</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240</w:t>
            </w:r>
            <w:r w:rsidR="00E42A66" w:rsidRPr="003408A6">
              <w:rPr>
                <w:lang w:val="en-AU"/>
              </w:rPr>
              <w:t>,</w:t>
            </w:r>
            <w:r w:rsidRPr="003408A6">
              <w:rPr>
                <w:lang w:val="en-AU"/>
              </w:rPr>
              <w:t>163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1FE" w:rsidRPr="003408A6" w:rsidRDefault="002B01FE" w:rsidP="0077184E">
            <w:pPr>
              <w:pStyle w:val="Tabletextcentred"/>
              <w:rPr>
                <w:lang w:val="en-AU"/>
              </w:rPr>
            </w:pPr>
            <w:r w:rsidRPr="003408A6">
              <w:rPr>
                <w:lang w:val="en-AU"/>
              </w:rPr>
              <w:t>12.15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0.88</w:t>
            </w:r>
            <w:r w:rsidR="0077184E" w:rsidRPr="003408A6">
              <w:rPr>
                <w:lang w:val="en-AU"/>
              </w:rPr>
              <w:t>–</w:t>
            </w:r>
            <w:r w:rsidRPr="003408A6">
              <w:rPr>
                <w:lang w:val="en-AU"/>
              </w:rPr>
              <w:t>0.97</w:t>
            </w:r>
          </w:p>
        </w:tc>
      </w:tr>
      <w:tr w:rsidR="002B01FE" w:rsidRPr="003408A6" w:rsidTr="0077184E">
        <w:trPr>
          <w:trHeight w:val="263"/>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
              <w:rPr>
                <w:lang w:val="en-AU"/>
              </w:rPr>
            </w:pPr>
            <w:r w:rsidRPr="003408A6">
              <w:rPr>
                <w:lang w:val="en-AU"/>
              </w:rPr>
              <w:t>2011</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2B01FE" w:rsidRPr="003408A6" w:rsidRDefault="002B01FE" w:rsidP="0077184E">
            <w:pPr>
              <w:pStyle w:val="Tabletextcentred"/>
              <w:rPr>
                <w:lang w:val="en-AU"/>
              </w:rPr>
            </w:pPr>
            <w:r w:rsidRPr="003408A6">
              <w:rPr>
                <w:lang w:val="en-AU"/>
              </w:rPr>
              <w:t>385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3</w:t>
            </w:r>
            <w:r w:rsidR="00E42A66" w:rsidRPr="003408A6">
              <w:rPr>
                <w:lang w:val="en-AU"/>
              </w:rPr>
              <w:t>,</w:t>
            </w:r>
            <w:r w:rsidRPr="003408A6">
              <w:rPr>
                <w:lang w:val="en-AU"/>
              </w:rPr>
              <w:t>095</w:t>
            </w:r>
          </w:p>
        </w:tc>
        <w:tc>
          <w:tcPr>
            <w:tcW w:w="1120" w:type="dxa"/>
            <w:tcBorders>
              <w:top w:val="single" w:sz="4" w:space="0" w:color="auto"/>
              <w:left w:val="single" w:sz="4" w:space="0" w:color="auto"/>
              <w:bottom w:val="single" w:sz="4" w:space="0" w:color="auto"/>
              <w:right w:val="single" w:sz="4" w:space="0" w:color="auto"/>
            </w:tcBorders>
            <w:vAlign w:val="center"/>
          </w:tcPr>
          <w:p w:rsidR="002B01FE" w:rsidRPr="003408A6" w:rsidRDefault="002B01FE" w:rsidP="0077184E">
            <w:pPr>
              <w:pStyle w:val="Tabletextcentred"/>
              <w:rPr>
                <w:lang w:val="en-AU"/>
              </w:rPr>
            </w:pPr>
            <w:r w:rsidRPr="003408A6">
              <w:rPr>
                <w:lang w:val="en-AU"/>
              </w:rPr>
              <w:t>54,115</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235</w:t>
            </w:r>
            <w:r w:rsidR="00E42A66" w:rsidRPr="003408A6">
              <w:rPr>
                <w:lang w:val="en-AU"/>
              </w:rPr>
              <w:t>,</w:t>
            </w:r>
            <w:r w:rsidRPr="003408A6">
              <w:rPr>
                <w:lang w:val="en-AU"/>
              </w:rPr>
              <w:t>895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12.00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0.91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01FE" w:rsidRPr="003408A6" w:rsidRDefault="002B01FE" w:rsidP="0077184E">
            <w:pPr>
              <w:pStyle w:val="Tabletextcentred"/>
              <w:rPr>
                <w:lang w:val="en-AU"/>
              </w:rPr>
            </w:pPr>
            <w:r w:rsidRPr="003408A6">
              <w:rPr>
                <w:lang w:val="en-AU"/>
              </w:rPr>
              <w:t>0.87</w:t>
            </w:r>
            <w:r w:rsidR="0077184E" w:rsidRPr="003408A6">
              <w:rPr>
                <w:lang w:val="en-AU"/>
              </w:rPr>
              <w:t>–</w:t>
            </w:r>
            <w:r w:rsidRPr="003408A6">
              <w:rPr>
                <w:lang w:val="en-AU"/>
              </w:rPr>
              <w:t>0.96</w:t>
            </w:r>
          </w:p>
        </w:tc>
      </w:tr>
    </w:tbl>
    <w:p w:rsidR="002B01FE" w:rsidRPr="003408A6" w:rsidRDefault="002B01FE" w:rsidP="0077184E">
      <w:pPr>
        <w:pStyle w:val="Tablefootnote"/>
      </w:pPr>
      <w:r w:rsidRPr="003408A6">
        <w:t xml:space="preserve">Source: </w:t>
      </w:r>
      <w:r w:rsidRPr="004E5EBC">
        <w:rPr>
          <w:i/>
        </w:rPr>
        <w:t>Cervical screening in Australia 2010</w:t>
      </w:r>
      <w:r w:rsidR="00E42A66" w:rsidRPr="004E5EBC">
        <w:rPr>
          <w:i/>
        </w:rPr>
        <w:t>–</w:t>
      </w:r>
      <w:r w:rsidRPr="004E5EBC">
        <w:rPr>
          <w:i/>
        </w:rPr>
        <w:t>2011</w:t>
      </w:r>
      <w:r w:rsidRPr="003408A6">
        <w:t xml:space="preserve">, AIHW and </w:t>
      </w:r>
      <w:r w:rsidR="00270D0B" w:rsidRPr="003408A6">
        <w:t>ABS</w:t>
      </w:r>
      <w:r w:rsidRPr="003408A6">
        <w:t xml:space="preserve"> census data</w:t>
      </w:r>
    </w:p>
    <w:p w:rsidR="0077184E" w:rsidRPr="003408A6" w:rsidRDefault="0077184E" w:rsidP="0077184E">
      <w:pPr>
        <w:pStyle w:val="Tablefootnote"/>
      </w:pPr>
      <w:r w:rsidRPr="003408A6">
        <w:t>*</w:t>
      </w:r>
      <w:r w:rsidRPr="003408A6">
        <w:tab/>
        <w:t>Expected number of HGAs was estimated by multiplying 2004–2007 HGA rates by the number of females not screened.</w:t>
      </w:r>
    </w:p>
    <w:p w:rsidR="00666FF1" w:rsidRPr="003408A6" w:rsidRDefault="0077184E" w:rsidP="0077184E">
      <w:pPr>
        <w:pStyle w:val="Tablefootnote"/>
        <w:rPr>
          <w:szCs w:val="22"/>
        </w:rPr>
      </w:pPr>
      <w:r w:rsidRPr="003408A6">
        <w:t>†</w:t>
      </w:r>
      <w:r w:rsidRPr="003408A6">
        <w:tab/>
      </w:r>
      <w:r w:rsidR="002B01FE" w:rsidRPr="003408A6">
        <w:t xml:space="preserve">Number of females not screened was calculated by subtracting the number of females screened </w:t>
      </w:r>
      <w:r w:rsidR="00B27DFA">
        <w:t>from</w:t>
      </w:r>
      <w:r w:rsidR="002B01FE" w:rsidRPr="003408A6">
        <w:t xml:space="preserve"> ABS population estimates </w:t>
      </w:r>
      <w:r w:rsidR="00E42A66" w:rsidRPr="003408A6">
        <w:t>for</w:t>
      </w:r>
      <w:r w:rsidR="002B01FE" w:rsidRPr="003408A6">
        <w:t xml:space="preserve"> females </w:t>
      </w:r>
      <w:r w:rsidR="00E42A66" w:rsidRPr="003408A6">
        <w:t xml:space="preserve">aged </w:t>
      </w:r>
      <w:r w:rsidR="002B01FE" w:rsidRPr="003408A6">
        <w:t>18</w:t>
      </w:r>
      <w:r w:rsidR="00E42A66" w:rsidRPr="003408A6">
        <w:t>–</w:t>
      </w:r>
      <w:r w:rsidR="002B01FE" w:rsidRPr="003408A6">
        <w:t>19 years</w:t>
      </w:r>
      <w:r w:rsidR="00E42A66" w:rsidRPr="003408A6">
        <w:t>.</w:t>
      </w:r>
    </w:p>
    <w:p w:rsidR="002B01FE" w:rsidRPr="003408A6" w:rsidRDefault="002B01FE" w:rsidP="00485766">
      <w:pPr>
        <w:pStyle w:val="Heading2"/>
      </w:pPr>
      <w:bookmarkStart w:id="203" w:name="_Toc368480201"/>
      <w:bookmarkStart w:id="204" w:name="_Toc396926140"/>
      <w:r w:rsidRPr="003408A6">
        <w:t>Discussion</w:t>
      </w:r>
      <w:bookmarkEnd w:id="203"/>
      <w:bookmarkEnd w:id="204"/>
    </w:p>
    <w:p w:rsidR="002B01FE" w:rsidRPr="003408A6" w:rsidRDefault="002B01FE" w:rsidP="007F15D6">
      <w:pPr>
        <w:pStyle w:val="BodyText"/>
        <w:rPr>
          <w:lang w:val="en-AU"/>
        </w:rPr>
      </w:pPr>
      <w:r w:rsidRPr="003408A6">
        <w:rPr>
          <w:lang w:val="en-AU"/>
        </w:rPr>
        <w:t>Use of national data on detection of high</w:t>
      </w:r>
      <w:r w:rsidR="00E42A66" w:rsidRPr="003408A6">
        <w:rPr>
          <w:lang w:val="en-AU"/>
        </w:rPr>
        <w:t>-</w:t>
      </w:r>
      <w:r w:rsidRPr="003408A6">
        <w:rPr>
          <w:lang w:val="en-AU"/>
        </w:rPr>
        <w:t xml:space="preserve">grade cervical abnormalities by histologic examination of biopsy specimens provides a well-standardised measure by which to monitor the occurrence of cervical cancer precursors in the screened female population. </w:t>
      </w:r>
    </w:p>
    <w:p w:rsidR="002B01FE" w:rsidRPr="003408A6" w:rsidRDefault="002B01FE" w:rsidP="007F15D6">
      <w:pPr>
        <w:pStyle w:val="BodyText"/>
        <w:rPr>
          <w:lang w:val="en-AU"/>
        </w:rPr>
      </w:pPr>
      <w:r w:rsidRPr="003408A6">
        <w:rPr>
          <w:lang w:val="en-AU"/>
        </w:rPr>
        <w:t>Our analysis indicated that</w:t>
      </w:r>
      <w:r w:rsidR="00E42A66" w:rsidRPr="003408A6">
        <w:rPr>
          <w:lang w:val="en-AU"/>
        </w:rPr>
        <w:t>,</w:t>
      </w:r>
      <w:r w:rsidRPr="003408A6">
        <w:rPr>
          <w:lang w:val="en-AU"/>
        </w:rPr>
        <w:t xml:space="preserve"> overall, screening rates declined in all age groups when comparing the post-vaccine period to the pre-vaccine period. This result was unsurprising as participation in cervical screening nationally has been gradually declining over time, with participation at 59% in 2004–2005 reducing to 57% in 2010–2011.</w:t>
      </w:r>
      <w:hyperlink w:anchor="_ENREF_92" w:tooltip="Australian Institute of Health and Welfare (AIHW), 2013 #1253" w:history="1">
        <w:r w:rsidR="00F27F90" w:rsidRPr="003408A6">
          <w:rPr>
            <w:lang w:val="en-AU"/>
          </w:rPr>
          <w:fldChar w:fldCharType="begin"/>
        </w:r>
        <w:r w:rsidR="00F27F90">
          <w:rPr>
            <w:lang w:val="en-AU"/>
          </w:rPr>
          <w:instrText xml:space="preserve"> ADDIN EN.CITE &lt;EndNote&gt;&lt;Cite&gt;&lt;Author&gt;Australian Institute of Health and Welfare (AIHW)&lt;/Author&gt;&lt;Year&gt;2013&lt;/Year&gt;&lt;RecNum&gt;1253&lt;/RecNum&gt;&lt;DisplayText&gt;&lt;style face="superscript"&gt;92&lt;/style&gt;&lt;/DisplayText&gt;&lt;record&gt;&lt;rec-number&gt;1253&lt;/rec-number&gt;&lt;foreign-keys&gt;&lt;key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72&lt;/title&gt;&lt;/titles&gt;&lt;dates&gt;&lt;year&gt;2013&lt;/year&gt;&lt;/dates&gt;&lt;pub-location&gt;Canberra&lt;/pub-location&gt;&lt;publisher&gt;AIHW&lt;/publisher&gt;&lt;urls&gt;&lt;/urls&gt;&lt;/record&gt;&lt;/Cite&gt;&lt;/EndNote&gt;</w:instrText>
        </w:r>
        <w:r w:rsidR="00F27F90" w:rsidRPr="003408A6">
          <w:rPr>
            <w:lang w:val="en-AU"/>
          </w:rPr>
          <w:fldChar w:fldCharType="separate"/>
        </w:r>
        <w:r w:rsidR="00F27F90" w:rsidRPr="00F27F90">
          <w:rPr>
            <w:noProof/>
            <w:vertAlign w:val="superscript"/>
            <w:lang w:val="en-AU"/>
          </w:rPr>
          <w:t>92</w:t>
        </w:r>
        <w:r w:rsidR="00F27F90" w:rsidRPr="003408A6">
          <w:rPr>
            <w:lang w:val="en-AU"/>
          </w:rPr>
          <w:fldChar w:fldCharType="end"/>
        </w:r>
      </w:hyperlink>
      <w:r w:rsidRPr="003408A6">
        <w:rPr>
          <w:lang w:val="en-AU"/>
        </w:rPr>
        <w:t xml:space="preserve"> This is in line with international experience, with declines in cervical screening participation noted over the past decade, particularly among younger cohorts.</w:t>
      </w:r>
      <w:hyperlink w:anchor="_ENREF_96" w:tooltip="Lancucki, 2010 #1261" w:history="1">
        <w:r w:rsidR="00F27F90" w:rsidRPr="003408A6">
          <w:rPr>
            <w:lang w:val="en-AU"/>
          </w:rPr>
          <w:fldChar w:fldCharType="begin"/>
        </w:r>
        <w:r w:rsidR="00F27F90">
          <w:rPr>
            <w:lang w:val="en-AU"/>
          </w:rPr>
          <w:instrText xml:space="preserve"> ADDIN EN.CITE &lt;EndNote&gt;&lt;Cite&gt;&lt;Author&gt;Lancucki&lt;/Author&gt;&lt;Year&gt;2010&lt;/Year&gt;&lt;RecNum&gt;1261&lt;/RecNum&gt;&lt;DisplayText&gt;&lt;style face="superscript"&gt;96&lt;/style&gt;&lt;/DisplayText&gt;&lt;record&gt;&lt;rec-number&gt;1261&lt;/rec-number&gt;&lt;foreign-keys&gt;&lt;key app="EN" db-id="dda0wweazfww9besetpx2r5pt0asp9ztvs95"&gt;1261&lt;/key&gt;&lt;/foreign-keys&gt;&lt;ref-type name="Journal Article"&gt;17&lt;/ref-type&gt;&lt;contributors&gt;&lt;authors&gt;&lt;author&gt;Lancucki, L&lt;/author&gt;&lt;author&gt;Fender, M&lt;/author&gt;&lt;author&gt;Koukari, A&lt;/author&gt;&lt;author&gt;Lynge, E&lt;/author&gt;&lt;author&gt;Mai, V&lt;/author&gt;&lt;author&gt;Mancini, E&lt;/author&gt;&lt;author&gt;Onysko, J&lt;/author&gt;&lt;author&gt;Ronco, G&lt;/author&gt;&lt;author&gt;Tornberg, S&lt;/author&gt;&lt;author&gt;Vessey, M&lt;/author&gt;&lt;/authors&gt;&lt;/contributors&gt;&lt;titles&gt;&lt;title&gt;A fall-off in cervical screening coverage of younger women in developed countries&lt;/title&gt;&lt;secondary-title&gt;Journal of Medical Screening&lt;/secondary-title&gt;&lt;/titles&gt;&lt;periodical&gt;&lt;full-title&gt;Journal of Medical Screening&lt;/full-title&gt;&lt;abbr-1&gt;J. Med. Screen.&lt;/abbr-1&gt;&lt;abbr-2&gt;J Med Screen&lt;/abbr-2&gt;&lt;/periodical&gt;&lt;pages&gt;91-96&lt;/pages&gt;&lt;volume&gt;17&lt;/volume&gt;&lt;number&gt;2&lt;/number&gt;&lt;dates&gt;&lt;year&gt;2010&lt;/year&gt;&lt;/dates&gt;&lt;isbn&gt;0969-1413&lt;/isbn&gt;&lt;urls&gt;&lt;/urls&gt;&lt;/record&gt;&lt;/Cite&gt;&lt;/EndNote&gt;</w:instrText>
        </w:r>
        <w:r w:rsidR="00F27F90" w:rsidRPr="003408A6">
          <w:rPr>
            <w:lang w:val="en-AU"/>
          </w:rPr>
          <w:fldChar w:fldCharType="separate"/>
        </w:r>
        <w:r w:rsidR="00F27F90" w:rsidRPr="00F27F90">
          <w:rPr>
            <w:noProof/>
            <w:vertAlign w:val="superscript"/>
            <w:lang w:val="en-AU"/>
          </w:rPr>
          <w:t>96</w:t>
        </w:r>
        <w:r w:rsidR="00F27F90" w:rsidRPr="003408A6">
          <w:rPr>
            <w:lang w:val="en-AU"/>
          </w:rPr>
          <w:fldChar w:fldCharType="end"/>
        </w:r>
      </w:hyperlink>
      <w:r w:rsidRPr="003408A6">
        <w:rPr>
          <w:lang w:val="en-AU"/>
        </w:rPr>
        <w:t xml:space="preserve"> The most marked decline in screening rate appeared to occur in </w:t>
      </w:r>
      <w:r w:rsidR="00382CB5" w:rsidRPr="003408A6">
        <w:rPr>
          <w:lang w:val="en-AU"/>
        </w:rPr>
        <w:t xml:space="preserve">females </w:t>
      </w:r>
      <w:r w:rsidRPr="003408A6">
        <w:rPr>
          <w:lang w:val="en-AU"/>
        </w:rPr>
        <w:t>aged &lt;20 years.</w:t>
      </w:r>
    </w:p>
    <w:p w:rsidR="002B01FE" w:rsidRPr="003408A6" w:rsidRDefault="002B01FE" w:rsidP="007F15D6">
      <w:pPr>
        <w:pStyle w:val="BodyText"/>
        <w:rPr>
          <w:lang w:val="en-AU"/>
        </w:rPr>
      </w:pPr>
      <w:r w:rsidRPr="003408A6">
        <w:rPr>
          <w:lang w:val="en-AU"/>
        </w:rPr>
        <w:t>This is in spite of recommendations during vaccination that regular Pap tests are still required and campaigns to emphasise the need for Pap tests during the implementation of the vaccination program.</w:t>
      </w:r>
      <w:r w:rsidR="006D1565" w:rsidRPr="003408A6">
        <w:rPr>
          <w:lang w:val="en-AU"/>
        </w:rPr>
        <w:fldChar w:fldCharType="begin">
          <w:fldData xml:space="preserve">PEVuZE5vdGU+PENpdGU+PEF1dGhvcj5BdXN0cmFsaWFuIEdvdmVybm1lbnQgRGVwYXJ0bWVudCBv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</w:fldData>
        </w:fldChar>
      </w:r>
      <w:r w:rsidR="00F27F90">
        <w:rPr>
          <w:lang w:val="en-AU"/>
        </w:rPr>
        <w:instrText xml:space="preserve"> ADDIN EN.CITE </w:instrText>
      </w:r>
      <w:r w:rsidR="00F27F90">
        <w:rPr>
          <w:lang w:val="en-AU"/>
        </w:rPr>
        <w:fldChar w:fldCharType="begin">
          <w:fldData xml:space="preserve">PEVuZE5vdGU+PENpdGU+PEF1dGhvcj5BdXN0cmFsaWFuIEdvdmVybm1lbnQgRGVwYXJ0bWVudCBv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</w:fldData>
        </w:fldChar>
      </w:r>
      <w:r w:rsidR="00F27F90">
        <w:rPr>
          <w:lang w:val="en-AU"/>
        </w:rPr>
        <w:instrText xml:space="preserve"> ADDIN EN.CITE.DATA </w:instrText>
      </w:r>
      <w:r w:rsidR="00F27F90">
        <w:rPr>
          <w:lang w:val="en-AU"/>
        </w:rPr>
      </w:r>
      <w:r w:rsidR="00F27F90">
        <w:rPr>
          <w:lang w:val="en-AU"/>
        </w:rPr>
        <w:fldChar w:fldCharType="end"/>
      </w:r>
      <w:r w:rsidR="006D1565" w:rsidRPr="003408A6">
        <w:rPr>
          <w:lang w:val="en-AU"/>
        </w:rPr>
      </w:r>
      <w:r w:rsidR="006D1565" w:rsidRPr="003408A6">
        <w:rPr>
          <w:lang w:val="en-AU"/>
        </w:rPr>
        <w:fldChar w:fldCharType="separate"/>
      </w:r>
      <w:hyperlink w:anchor="_ENREF_97" w:tooltip="Australian Government Department of Health and Ageing, 2007 #1249" w:history="1">
        <w:r w:rsidR="00F27F90" w:rsidRPr="00F27F90">
          <w:rPr>
            <w:noProof/>
            <w:vertAlign w:val="superscript"/>
            <w:lang w:val="en-AU"/>
          </w:rPr>
          <w:t>97</w:t>
        </w:r>
      </w:hyperlink>
      <w:r w:rsidR="00F27F90" w:rsidRPr="00F27F90">
        <w:rPr>
          <w:noProof/>
          <w:vertAlign w:val="superscript"/>
          <w:lang w:val="en-AU"/>
        </w:rPr>
        <w:t>,</w:t>
      </w:r>
      <w:hyperlink w:anchor="_ENREF_98" w:tooltip="Brotherton, 2011 #234" w:history="1">
        <w:r w:rsidR="00F27F90" w:rsidRPr="00F27F90">
          <w:rPr>
            <w:noProof/>
            <w:vertAlign w:val="superscript"/>
            <w:lang w:val="en-AU"/>
          </w:rPr>
          <w:t>98</w:t>
        </w:r>
      </w:hyperlink>
      <w:r w:rsidR="006D1565" w:rsidRPr="003408A6">
        <w:rPr>
          <w:lang w:val="en-AU"/>
        </w:rPr>
        <w:fldChar w:fldCharType="end"/>
      </w:r>
      <w:r w:rsidRPr="003408A6">
        <w:rPr>
          <w:lang w:val="en-AU"/>
        </w:rPr>
        <w:t xml:space="preserve"> Concern has previously been raised that a decline in screening participation may occur among females vaccinated with HPV due to the perception that the vaccine will negate the need for regular Pap tests.</w:t>
      </w:r>
      <w:hyperlink w:anchor="_ENREF_99" w:tooltip="Kulasingam, 2007 #1248" w:history="1">
        <w:r w:rsidR="00F27F90" w:rsidRPr="003408A6">
          <w:rPr>
            <w:lang w:val="en-AU"/>
          </w:rPr>
          <w:fldChar w:fldCharType="begin"/>
        </w:r>
        <w:r w:rsidR="00F27F90">
          <w:rPr>
            <w:lang w:val="en-AU"/>
          </w:rPr>
          <w:instrText xml:space="preserve"> ADDIN EN.CITE &lt;EndNote&gt;&lt;Cite&gt;&lt;Author&gt;Kulasingam&lt;/Author&gt;&lt;Year&gt;2007&lt;/Year&gt;&lt;RecNum&gt;1248&lt;/RecNum&gt;&lt;DisplayText&gt;&lt;style face="superscript"&gt;99&lt;/style&gt;&lt;/DisplayText&gt;&lt;record&gt;&lt;rec-number&gt;1248&lt;/rec-number&gt;&lt;foreign-keys&gt;&lt;key app="EN" db-id="dda0wweazfww9besetpx2r5pt0asp9ztvs95"&gt;1248&lt;/key&gt;&lt;/foreign-keys&gt;&lt;ref-type name="Journal Article"&gt;17&lt;/ref-type&gt;&lt;contributors&gt;&lt;authors&gt;&lt;author&gt;Kulasingam, Shalini L.&lt;/author&gt;&lt;author&gt;Pagliusi, Sonia&lt;/author&gt;&lt;author&gt;Myers, Evan&lt;/author&gt;&lt;/authors&gt;&lt;/contributors&gt;&lt;titles&gt;&lt;title&gt;Potential effects of decreased cervical cancer screening participation after HPV vaccination: an example from the U.S&lt;/title&gt;&lt;secondary-title&gt;Vaccine&lt;/secondary-title&gt;&lt;/titles&gt;&lt;periodical&gt;&lt;full-title&gt;Vaccine&lt;/full-title&gt;&lt;abbr-1&gt;Vaccine&lt;/abbr-1&gt;&lt;abbr-2&gt;Vaccine&lt;/abbr-2&gt;&lt;/periodical&gt;&lt;pages&gt;8110-8113&lt;/pages&gt;&lt;volume&gt;25&lt;/volume&gt;&lt;number&gt;48&lt;/number&gt;&lt;keywords&gt;&lt;keyword&gt;Cervical cancer screening&lt;/keyword&gt;&lt;keyword&gt;Human papillomavirus&lt;/keyword&gt;&lt;keyword&gt;Vaccine&lt;/keyword&gt;&lt;/keywords&gt;&lt;dates&gt;&lt;year&gt;2007&lt;/year&gt;&lt;/dates&gt;&lt;isbn&gt;0264-410X&lt;/isbn&gt;&lt;urls&gt;&lt;related-urls&gt;&lt;url&gt;http://www.sciencedirect.com/science/article/pii/S0264410X07010699&lt;/url&gt;&lt;/related-urls&gt;&lt;/urls&gt;&lt;electronic-resource-num&gt;http://dx.doi.org/10.1016/j.vaccine.2007.09.035&lt;/electronic-resource-num&gt;&lt;/record&gt;&lt;/Cite&gt;&lt;/EndNote&gt;</w:instrText>
        </w:r>
        <w:r w:rsidR="00F27F90" w:rsidRPr="003408A6">
          <w:rPr>
            <w:lang w:val="en-AU"/>
          </w:rPr>
          <w:fldChar w:fldCharType="separate"/>
        </w:r>
        <w:r w:rsidR="00F27F90" w:rsidRPr="00F27F90">
          <w:rPr>
            <w:noProof/>
            <w:vertAlign w:val="superscript"/>
            <w:lang w:val="en-AU"/>
          </w:rPr>
          <w:t>99</w:t>
        </w:r>
        <w:r w:rsidR="00F27F90" w:rsidRPr="003408A6">
          <w:rPr>
            <w:lang w:val="en-AU"/>
          </w:rPr>
          <w:fldChar w:fldCharType="end"/>
        </w:r>
      </w:hyperlink>
      <w:r w:rsidRPr="003408A6">
        <w:rPr>
          <w:lang w:val="en-AU"/>
        </w:rPr>
        <w:t xml:space="preserve"> </w:t>
      </w:r>
    </w:p>
    <w:p w:rsidR="002B01FE" w:rsidRPr="003408A6" w:rsidRDefault="002B01FE" w:rsidP="007F15D6">
      <w:pPr>
        <w:pStyle w:val="BodyText"/>
        <w:rPr>
          <w:lang w:val="en-AU"/>
        </w:rPr>
      </w:pPr>
      <w:r w:rsidRPr="003408A6">
        <w:rPr>
          <w:lang w:val="en-AU"/>
        </w:rPr>
        <w:t xml:space="preserve">A more recent Victorian study conducted after the implementation of the National HPV Vaccination Program found that 8% of </w:t>
      </w:r>
      <w:r w:rsidR="00382CB5" w:rsidRPr="003408A6">
        <w:rPr>
          <w:lang w:val="en-AU"/>
        </w:rPr>
        <w:t xml:space="preserve">females </w:t>
      </w:r>
      <w:r w:rsidRPr="003408A6">
        <w:rPr>
          <w:lang w:val="en-AU"/>
        </w:rPr>
        <w:t>aged 18–</w:t>
      </w:r>
      <w:r w:rsidRPr="003408A6">
        <w:rPr>
          <w:lang w:val="en-AU"/>
        </w:rPr>
        <w:softHyphen/>
        <w:t>28 years who had never had a Pap test before indicated that the receipt of the HPV vaccine made them less likely to have a Pap test in the future.</w:t>
      </w:r>
      <w:hyperlink w:anchor="_ENREF_44" w:tooltip="Brotherton, 2012 #1237" w:history="1">
        <w:r w:rsidR="00F27F90" w:rsidRPr="003408A6">
          <w:rPr>
            <w:lang w:val="en-AU"/>
          </w:rPr>
          <w:fldChar w:fldCharType="begin">
            <w:fldData xml:space="preserve">PEVuZE5vdGU+PENpdGU+PEF1dGhvcj5Ccm90aGVydG9uPC9BdXRob3I+PFllYXI+MjAxMjwvWWVh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PEVuZE5vdGU+PENpdGU+PEF1dGhvcj5Ccm90aGVydG9uPC9BdXRob3I+PFllYXI+MjAxMjwvWWVh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44</w:t>
        </w:r>
        <w:r w:rsidR="00F27F90" w:rsidRPr="003408A6">
          <w:rPr>
            <w:lang w:val="en-AU"/>
          </w:rPr>
          <w:fldChar w:fldCharType="end"/>
        </w:r>
      </w:hyperlink>
      <w:r w:rsidRPr="003408A6">
        <w:rPr>
          <w:lang w:val="en-AU"/>
        </w:rPr>
        <w:t xml:space="preserve"> However, 96% of the study population believed that Pap tests were still required following vaccination.</w:t>
      </w:r>
      <w:hyperlink w:anchor="_ENREF_44" w:tooltip="Brotherton, 2012 #1237" w:history="1">
        <w:r w:rsidR="00F27F90" w:rsidRPr="003408A6">
          <w:rPr>
            <w:lang w:val="en-AU"/>
          </w:rPr>
          <w:fldChar w:fldCharType="begin">
            <w:fldData xml:space="preserve">PEVuZE5vdGU+PENpdGU+PEF1dGhvcj5Ccm90aGVydG9uPC9BdXRob3I+PFllYXI+MjAxMjwvWWVh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</w:fldData>
          </w:fldChar>
        </w:r>
        <w:r w:rsidR="00F27F90" w:rsidRPr="003408A6">
          <w:rPr>
            <w:lang w:val="en-AU"/>
          </w:rPr>
          <w:instrText xml:space="preserve"> ADDIN EN.CITE </w:instrText>
        </w:r>
        <w:r w:rsidR="00F27F90" w:rsidRPr="003408A6">
          <w:rPr>
            <w:lang w:val="en-AU"/>
          </w:rPr>
          <w:fldChar w:fldCharType="begin">
            <w:fldData xml:space="preserve">PEVuZE5vdGU+PENpdGU+PEF1dGhvcj5Ccm90aGVydG9uPC9BdXRob3I+PFllYXI+MjAxMjwvWWVh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</w:fldData>
          </w:fldChar>
        </w:r>
        <w:r w:rsidR="00F27F90" w:rsidRPr="003408A6">
          <w:rPr>
            <w:lang w:val="en-AU"/>
          </w:rPr>
          <w:instrText xml:space="preserve"> ADDIN EN.CITE.DATA </w:instrText>
        </w:r>
        <w:r w:rsidR="00F27F90" w:rsidRPr="003408A6">
          <w:rPr>
            <w:lang w:val="en-AU"/>
          </w:rPr>
        </w:r>
        <w:r w:rsidR="00F27F90" w:rsidRPr="003408A6">
          <w:rPr>
            <w:lang w:val="en-AU"/>
          </w:rPr>
          <w:fldChar w:fldCharType="end"/>
        </w:r>
        <w:r w:rsidR="00F27F90" w:rsidRPr="003408A6">
          <w:rPr>
            <w:lang w:val="en-AU"/>
          </w:rPr>
        </w:r>
        <w:r w:rsidR="00F27F90" w:rsidRPr="003408A6">
          <w:rPr>
            <w:lang w:val="en-AU"/>
          </w:rPr>
          <w:fldChar w:fldCharType="separate"/>
        </w:r>
        <w:r w:rsidR="00F27F90" w:rsidRPr="003408A6">
          <w:rPr>
            <w:noProof/>
            <w:vertAlign w:val="superscript"/>
            <w:lang w:val="en-AU"/>
          </w:rPr>
          <w:t>44</w:t>
        </w:r>
        <w:r w:rsidR="00F27F90" w:rsidRPr="003408A6">
          <w:rPr>
            <w:lang w:val="en-AU"/>
          </w:rPr>
          <w:fldChar w:fldCharType="end"/>
        </w:r>
      </w:hyperlink>
      <w:r w:rsidRPr="003408A6">
        <w:rPr>
          <w:lang w:val="en-AU"/>
        </w:rPr>
        <w:t xml:space="preserve"> Barriers to cervical screening include embarrassment, fear of</w:t>
      </w:r>
      <w:r w:rsidR="00B27DFA">
        <w:rPr>
          <w:lang w:val="en-AU"/>
        </w:rPr>
        <w:t xml:space="preserve"> the</w:t>
      </w:r>
      <w:r w:rsidRPr="003408A6">
        <w:rPr>
          <w:lang w:val="en-AU"/>
        </w:rPr>
        <w:t xml:space="preserve"> test result, limited understanding and lack of information.</w:t>
      </w:r>
      <w:hyperlink w:anchor="_ENREF_100" w:tooltip="PapScreen Victoria,  #1255" w:history="1">
        <w:r w:rsidR="00F27F90" w:rsidRPr="003408A6">
          <w:rPr>
            <w:lang w:val="en-AU"/>
          </w:rPr>
          <w:fldChar w:fldCharType="begin"/>
        </w:r>
        <w:r w:rsidR="00F27F90">
          <w:rPr>
            <w:lang w:val="en-AU"/>
          </w:rPr>
          <w:instrText xml:space="preserve"> ADDIN EN.CITE &lt;EndNote&gt;&lt;Cite ExcludeYear="1"&gt;&lt;Author&gt;PapScreen Victoria&lt;/Author&gt;&lt;RecNum&gt;1255&lt;/RecNum&gt;&lt;DisplayText&gt;&lt;style face="superscript"&gt;100&lt;/style&gt;&lt;/DisplayText&gt;&lt;record&gt;&lt;rec-number&gt;1255&lt;/rec-number&gt;&lt;foreign-keys&gt;&lt;key app="EN" db-id="dda0wweazfww9besetpx2r5pt0asp9ztvs95"&gt;1255&lt;/key&gt;&lt;/foreign-keys&gt;&lt;ref-type name="Web Page"&gt;12&lt;/ref-type&gt;&lt;contributors&gt;&lt;authors&gt;&lt;author&gt;PapScreen Victoria,&lt;/author&gt;&lt;/authors&gt;&lt;/contributors&gt;&lt;titles&gt;&lt;title&gt;Barriers to screening for women&lt;/title&gt;&lt;/titles&gt;&lt;volume&gt;2012&lt;/volume&gt;&lt;number&gt;31 October 2012&lt;/number&gt;&lt;dates&gt;&lt;/dates&gt;&lt;urls&gt;&lt;related-urls&gt;&lt;url&gt;http://www.papscreen.org.au/browse.asp?ContainerID=c14&lt;/url&gt;&lt;/related-urls&gt;&lt;/urls&gt;&lt;/record&gt;&lt;/Cite&gt;&lt;/EndNote&gt;</w:instrText>
        </w:r>
        <w:r w:rsidR="00F27F90" w:rsidRPr="003408A6">
          <w:rPr>
            <w:lang w:val="en-AU"/>
          </w:rPr>
          <w:fldChar w:fldCharType="separate"/>
        </w:r>
        <w:r w:rsidR="00F27F90" w:rsidRPr="00F27F90">
          <w:rPr>
            <w:noProof/>
            <w:vertAlign w:val="superscript"/>
            <w:lang w:val="en-AU"/>
          </w:rPr>
          <w:t>100</w:t>
        </w:r>
        <w:r w:rsidR="00F27F90" w:rsidRPr="003408A6">
          <w:rPr>
            <w:lang w:val="en-AU"/>
          </w:rPr>
          <w:fldChar w:fldCharType="end"/>
        </w:r>
      </w:hyperlink>
      <w:r w:rsidRPr="003408A6">
        <w:rPr>
          <w:lang w:val="en-AU"/>
        </w:rPr>
        <w:t xml:space="preserve"> Falling screening rates in very young females (&lt;20 years) are probably not of immediate policy concern, given that Australia screens far younger and more frequently than current International Agency for Research on Cancer (IARC) recommendations.</w:t>
      </w:r>
      <w:hyperlink w:anchor="_ENREF_101" w:tooltip="World Health Organization International Agency for Research on Cancer, 2005 #1265" w:history="1">
        <w:r w:rsidR="00F27F90" w:rsidRPr="003408A6">
          <w:rPr>
            <w:lang w:val="en-AU"/>
          </w:rPr>
          <w:fldChar w:fldCharType="begin"/>
        </w:r>
        <w:r w:rsidR="00F27F90">
          <w:rPr>
            <w:lang w:val="en-AU"/>
          </w:rPr>
          <w:instrText xml:space="preserve"> ADDIN EN.CITE &lt;EndNote&gt;&lt;Cite&gt;&lt;Author&gt;World Health Organization International Agency for Research on Cancer&lt;/Author&gt;&lt;Year&gt;2005&lt;/Year&gt;&lt;RecNum&gt;1265&lt;/RecNum&gt;&lt;DisplayText&gt;&lt;style face="superscript"&gt;101&lt;/style&gt;&lt;/DisplayText&gt;&lt;record&gt;&lt;rec-number&gt;1265&lt;/rec-number&gt;&lt;foreign-keys&gt;&lt;key app="EN" db-id="dda0wweazfww9besetpx2r5pt0asp9ztvs95"&gt;1265&lt;/key&gt;&lt;/foreign-keys&gt;&lt;ref-type name="Report"&gt;27&lt;/ref-type&gt;&lt;contributors&gt;&lt;authors&gt;&lt;author&gt;World Health Organization International Agency for Research on Cancer,&lt;/author&gt;&lt;/authors&gt;&lt;/contributors&gt;&lt;titles&gt;&lt;title&gt;IARC handbooks of cancer prevention: cervix cancer screening&lt;/title&gt;&lt;/titles&gt;&lt;volume&gt;10&lt;/volume&gt;&lt;dates&gt;&lt;year&gt;2005&lt;/year&gt;&lt;/dates&gt;&lt;pub-location&gt;Lyon&lt;/pub-location&gt;&lt;publisher&gt; IARC Press&lt;/publisher&gt;&lt;urls&gt;&lt;/urls&gt;&lt;/record&gt;&lt;/Cite&gt;&lt;/EndNote&gt;</w:instrText>
        </w:r>
        <w:r w:rsidR="00F27F90" w:rsidRPr="003408A6">
          <w:rPr>
            <w:lang w:val="en-AU"/>
          </w:rPr>
          <w:fldChar w:fldCharType="separate"/>
        </w:r>
        <w:r w:rsidR="00F27F90" w:rsidRPr="00F27F90">
          <w:rPr>
            <w:noProof/>
            <w:vertAlign w:val="superscript"/>
            <w:lang w:val="en-AU"/>
          </w:rPr>
          <w:t>101</w:t>
        </w:r>
        <w:r w:rsidR="00F27F90" w:rsidRPr="003408A6">
          <w:rPr>
            <w:lang w:val="en-AU"/>
          </w:rPr>
          <w:fldChar w:fldCharType="end"/>
        </w:r>
      </w:hyperlink>
      <w:r w:rsidRPr="003408A6">
        <w:rPr>
          <w:lang w:val="en-AU"/>
        </w:rPr>
        <w:t xml:space="preserve"> Current international guidelines recommend females </w:t>
      </w:r>
      <w:r w:rsidR="00E42A66" w:rsidRPr="003408A6">
        <w:rPr>
          <w:lang w:val="en-AU"/>
        </w:rPr>
        <w:t xml:space="preserve">aged </w:t>
      </w:r>
      <w:r w:rsidRPr="003408A6">
        <w:rPr>
          <w:lang w:val="en-AU"/>
        </w:rPr>
        <w:t>&lt;25 years not be targeted for screening based on the potential harm with minimal benefits that may occur.</w:t>
      </w:r>
      <w:hyperlink w:anchor="_ENREF_101" w:tooltip="World Health Organization International Agency for Research on Cancer, 2005 #1265" w:history="1">
        <w:r w:rsidR="00F27F90" w:rsidRPr="003408A6">
          <w:rPr>
            <w:lang w:val="en-AU"/>
          </w:rPr>
          <w:fldChar w:fldCharType="begin"/>
        </w:r>
        <w:r w:rsidR="00F27F90">
          <w:rPr>
            <w:lang w:val="en-AU"/>
          </w:rPr>
          <w:instrText xml:space="preserve"> ADDIN EN.CITE &lt;EndNote&gt;&lt;Cite&gt;&lt;Author&gt;World Health Organization International Agency for Research on Cancer&lt;/Author&gt;&lt;Year&gt;2005&lt;/Year&gt;&lt;RecNum&gt;1265&lt;/RecNum&gt;&lt;DisplayText&gt;&lt;style face="superscript"&gt;101&lt;/style&gt;&lt;/DisplayText&gt;&lt;record&gt;&lt;rec-number&gt;1265&lt;/rec-number&gt;&lt;foreign-keys&gt;&lt;key app="EN" db-id="dda0wweazfww9besetpx2r5pt0asp9ztvs95"&gt;1265&lt;/key&gt;&lt;/foreign-keys&gt;&lt;ref-type name="Report"&gt;27&lt;/ref-type&gt;&lt;contributors&gt;&lt;authors&gt;&lt;author&gt;World Health Organization International Agency for Research on Cancer,&lt;/author&gt;&lt;/authors&gt;&lt;/contributors&gt;&lt;titles&gt;&lt;title&gt;IARC handbooks of cancer prevention: cervix cancer screening&lt;/title&gt;&lt;/titles&gt;&lt;volume&gt;10&lt;/volume&gt;&lt;dates&gt;&lt;year&gt;2005&lt;/year&gt;&lt;/dates&gt;&lt;pub-location&gt;Lyon&lt;/pub-location&gt;&lt;publisher&gt; IARC Press&lt;/publisher&gt;&lt;urls&gt;&lt;/urls&gt;&lt;/record&gt;&lt;/Cite&gt;&lt;/EndNote&gt;</w:instrText>
        </w:r>
        <w:r w:rsidR="00F27F90" w:rsidRPr="003408A6">
          <w:rPr>
            <w:lang w:val="en-AU"/>
          </w:rPr>
          <w:fldChar w:fldCharType="separate"/>
        </w:r>
        <w:r w:rsidR="00F27F90" w:rsidRPr="00F27F90">
          <w:rPr>
            <w:noProof/>
            <w:vertAlign w:val="superscript"/>
            <w:lang w:val="en-AU"/>
          </w:rPr>
          <w:t>101</w:t>
        </w:r>
        <w:r w:rsidR="00F27F90" w:rsidRPr="003408A6">
          <w:rPr>
            <w:lang w:val="en-AU"/>
          </w:rPr>
          <w:fldChar w:fldCharType="end"/>
        </w:r>
      </w:hyperlink>
      <w:r w:rsidRPr="003408A6">
        <w:rPr>
          <w:lang w:val="en-AU"/>
        </w:rPr>
        <w:t xml:space="preserve"> </w:t>
      </w:r>
    </w:p>
    <w:p w:rsidR="002B01FE" w:rsidRPr="003408A6" w:rsidRDefault="002B01FE" w:rsidP="007F15D6">
      <w:pPr>
        <w:pStyle w:val="BodyText"/>
        <w:rPr>
          <w:lang w:val="en-AU"/>
        </w:rPr>
      </w:pPr>
      <w:r w:rsidRPr="003408A6">
        <w:rPr>
          <w:lang w:val="en-AU"/>
        </w:rPr>
        <w:t xml:space="preserve">In Australia, the screening age and interval are currently under review. However, failure to commence regular cervical screening by a woman’s mid to late 20s has the potential to result in significant risk, particularly given that many young </w:t>
      </w:r>
      <w:r w:rsidR="00382CB5" w:rsidRPr="003408A6">
        <w:rPr>
          <w:lang w:val="en-AU"/>
        </w:rPr>
        <w:t xml:space="preserve">adult females </w:t>
      </w:r>
      <w:r w:rsidRPr="003408A6">
        <w:rPr>
          <w:lang w:val="en-AU"/>
        </w:rPr>
        <w:t>vaccinated in the catch</w:t>
      </w:r>
      <w:r w:rsidR="0043033C" w:rsidRPr="003408A6">
        <w:rPr>
          <w:lang w:val="en-AU"/>
        </w:rPr>
        <w:t>-</w:t>
      </w:r>
      <w:r w:rsidRPr="003408A6">
        <w:rPr>
          <w:lang w:val="en-AU"/>
        </w:rPr>
        <w:t>up program were already sexually active.</w:t>
      </w:r>
      <w:hyperlink w:anchor="_ENREF_95" w:tooltip="Smith, 2009 #1257" w:history="1">
        <w:r w:rsidR="00F27F90" w:rsidRPr="003408A6">
          <w:rPr>
            <w:lang w:val="en-AU"/>
          </w:rPr>
          <w:fldChar w:fldCharType="begin"/>
        </w:r>
        <w:r w:rsidR="00F27F90">
          <w:rPr>
            <w:lang w:val="en-AU"/>
          </w:rPr>
          <w:instrText xml:space="preserve"> ADDIN EN.CITE &lt;EndNote&gt;&lt;Cite&gt;&lt;Author&gt;Smith&lt;/Author&gt;&lt;Year&gt;2009&lt;/Year&gt;&lt;RecNum&gt;1257&lt;/RecNum&gt;&lt;DisplayText&gt;&lt;style face="superscript"&gt;95&lt;/style&gt;&lt;/DisplayText&gt;&lt;record&gt;&lt;rec-number&gt;1257&lt;/rec-number&gt;&lt;foreign-keys&gt;&lt;key app="EN" db-id="dda0wweazfww9besetpx2r5pt0asp9ztvs95"&gt;1257&lt;/key&gt;&lt;/foreign-keys&gt;&lt;ref-type name="Report"&gt;27&lt;/ref-type&gt;&lt;contributors&gt;&lt;authors&gt;&lt;author&gt;Smith, A. &lt;/author&gt;&lt;author&gt;Agius, P. &lt;/author&gt;&lt;author&gt;Mitchell, A.&lt;/author&gt;&lt;author&gt;Barrett, C.&lt;/author&gt;&lt;author&gt;Pitts, M.&lt;/author&gt;&lt;/authors&gt;&lt;/contributors&gt;&lt;titles&gt;&lt;title&gt;Secondary students and sexual health report 2008, Monograph Series No. 70&lt;/title&gt;&lt;/titles&gt;&lt;dates&gt;&lt;year&gt;2009&lt;/year&gt;&lt;/dates&gt;&lt;pub-location&gt;Melbourne&lt;/pub-location&gt;&lt;publisher&gt;Australian Research Centre in Sex, Health  &amp;amp; Society, La Trobe University&lt;/publisher&gt;&lt;urls&gt;&lt;/urls&gt;&lt;/record&gt;&lt;/Cite&gt;&lt;/EndNote&gt;</w:instrText>
        </w:r>
        <w:r w:rsidR="00F27F90" w:rsidRPr="003408A6">
          <w:rPr>
            <w:lang w:val="en-AU"/>
          </w:rPr>
          <w:fldChar w:fldCharType="separate"/>
        </w:r>
        <w:r w:rsidR="00F27F90" w:rsidRPr="00F27F90">
          <w:rPr>
            <w:noProof/>
            <w:vertAlign w:val="superscript"/>
            <w:lang w:val="en-AU"/>
          </w:rPr>
          <w:t>95</w:t>
        </w:r>
        <w:r w:rsidR="00F27F90" w:rsidRPr="003408A6">
          <w:rPr>
            <w:lang w:val="en-AU"/>
          </w:rPr>
          <w:fldChar w:fldCharType="end"/>
        </w:r>
      </w:hyperlink>
      <w:r w:rsidRPr="003408A6">
        <w:rPr>
          <w:lang w:val="en-AU"/>
        </w:rPr>
        <w:t xml:space="preserve"> Obtaining HPV vaccination status for women attending screening may assist in determining whether there is a significant difference in the proportion of women who do not get screened based on vaccination status. This could ideally occur through data linkage between the </w:t>
      </w:r>
      <w:r w:rsidR="00F07D6A" w:rsidRPr="003408A6">
        <w:rPr>
          <w:lang w:val="en-AU"/>
        </w:rPr>
        <w:t>NHVPR</w:t>
      </w:r>
      <w:r w:rsidRPr="003408A6">
        <w:rPr>
          <w:lang w:val="en-AU"/>
        </w:rPr>
        <w:t xml:space="preserve"> and the jurisdictional Pap </w:t>
      </w:r>
      <w:r w:rsidR="00B27DFA">
        <w:rPr>
          <w:lang w:val="en-AU"/>
        </w:rPr>
        <w:t>t</w:t>
      </w:r>
      <w:r w:rsidRPr="003408A6">
        <w:rPr>
          <w:lang w:val="en-AU"/>
        </w:rPr>
        <w:t xml:space="preserve">est </w:t>
      </w:r>
      <w:r w:rsidR="00B27DFA">
        <w:rPr>
          <w:lang w:val="en-AU"/>
        </w:rPr>
        <w:t>r</w:t>
      </w:r>
      <w:r w:rsidRPr="003408A6">
        <w:rPr>
          <w:lang w:val="en-AU"/>
        </w:rPr>
        <w:t>egisters. Further qualitative and quantitative studies should also be conducted to make inferences between vaccination and screening uptake on a national level.</w:t>
      </w:r>
    </w:p>
    <w:p w:rsidR="002B01FE" w:rsidRPr="003408A6" w:rsidRDefault="002B01FE" w:rsidP="007F15D6">
      <w:pPr>
        <w:pStyle w:val="BodyText"/>
        <w:rPr>
          <w:lang w:val="en-AU"/>
        </w:rPr>
      </w:pPr>
      <w:r w:rsidRPr="003408A6">
        <w:rPr>
          <w:lang w:val="en-AU"/>
        </w:rPr>
        <w:t xml:space="preserve">Overall, there was a decline in the rate of detection of HGA abnormalities by histology among </w:t>
      </w:r>
      <w:r w:rsidR="00382CB5" w:rsidRPr="003408A6">
        <w:rPr>
          <w:lang w:val="en-AU"/>
        </w:rPr>
        <w:t xml:space="preserve">females aged </w:t>
      </w:r>
      <w:r w:rsidRPr="003408A6">
        <w:rPr>
          <w:lang w:val="en-AU"/>
        </w:rPr>
        <w:t xml:space="preserve">&lt;20 years following the implementation of the National HPV Vaccination Program, and in 2011 among </w:t>
      </w:r>
      <w:r w:rsidR="00382CB5" w:rsidRPr="003408A6">
        <w:rPr>
          <w:lang w:val="en-AU"/>
        </w:rPr>
        <w:t xml:space="preserve">females </w:t>
      </w:r>
      <w:r w:rsidRPr="003408A6">
        <w:rPr>
          <w:lang w:val="en-AU"/>
        </w:rPr>
        <w:t>aged 20</w:t>
      </w:r>
      <w:r w:rsidR="006A0439" w:rsidRPr="003408A6">
        <w:rPr>
          <w:lang w:val="en-AU"/>
        </w:rPr>
        <w:t>–</w:t>
      </w:r>
      <w:r w:rsidRPr="003408A6">
        <w:rPr>
          <w:lang w:val="en-AU"/>
        </w:rPr>
        <w:t xml:space="preserve">24 years, but not among older </w:t>
      </w:r>
      <w:r w:rsidR="00382CB5" w:rsidRPr="003408A6">
        <w:rPr>
          <w:lang w:val="en-AU"/>
        </w:rPr>
        <w:t xml:space="preserve">females </w:t>
      </w:r>
      <w:r w:rsidRPr="003408A6">
        <w:rPr>
          <w:lang w:val="en-AU"/>
        </w:rPr>
        <w:t xml:space="preserve">(≥25 years). A significant decline in HGA incidence was observed in females </w:t>
      </w:r>
      <w:r w:rsidR="006A0439" w:rsidRPr="003408A6">
        <w:rPr>
          <w:lang w:val="en-AU"/>
        </w:rPr>
        <w:t xml:space="preserve">aged </w:t>
      </w:r>
      <w:r w:rsidRPr="003408A6">
        <w:rPr>
          <w:lang w:val="en-AU"/>
        </w:rPr>
        <w:t>&lt;18 years in a Victorian population-based study</w:t>
      </w:r>
      <w:r w:rsidR="006A0439" w:rsidRPr="003408A6">
        <w:rPr>
          <w:lang w:val="en-AU"/>
        </w:rPr>
        <w:t>,</w:t>
      </w:r>
      <w:r w:rsidRPr="003408A6">
        <w:rPr>
          <w:lang w:val="en-AU"/>
        </w:rPr>
        <w:t xml:space="preserve"> though no significant change in HGA incidence among </w:t>
      </w:r>
      <w:r w:rsidR="00382CB5" w:rsidRPr="003408A6">
        <w:rPr>
          <w:lang w:val="en-AU"/>
        </w:rPr>
        <w:t xml:space="preserve">females </w:t>
      </w:r>
      <w:r w:rsidRPr="003408A6">
        <w:rPr>
          <w:lang w:val="en-AU"/>
        </w:rPr>
        <w:t>18–20 years of age (p=0.7) between pre-vaccine and post-vaccine periods was observed at the time.</w:t>
      </w:r>
      <w:hyperlink w:anchor="_ENREF_98" w:tooltip="Brotherton, 2011 #234" w:history="1">
        <w:r w:rsidR="00F27F90" w:rsidRPr="003408A6">
          <w:rPr>
            <w:lang w:val="en-AU"/>
          </w:rPr>
          <w:fldChar w:fldCharType="begin">
            <w:fldData xml:space="preserve">PEVuZE5vdGU+PENpdGU+PEF1dGhvcj5Ccm90aGVydG9uPC9BdXRob3I+PFllYXI+MjAxMTwvWWVh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</w:fldData>
          </w:fldChar>
        </w:r>
        <w:r w:rsidR="00F27F90">
          <w:rPr>
            <w:lang w:val="en-AU"/>
          </w:rPr>
          <w:instrText xml:space="preserve"> ADDIN EN.CITE </w:instrText>
        </w:r>
        <w:r w:rsidR="00F27F90">
          <w:rPr>
            <w:lang w:val="en-AU"/>
          </w:rPr>
          <w:fldChar w:fldCharType="begin">
            <w:fldData xml:space="preserve">PEVuZE5vdGU+PENpdGU+PEF1dGhvcj5Ccm90aGVydG9uPC9BdXRob3I+PFllYXI+MjAxMTwvWWVh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98</w:t>
        </w:r>
        <w:r w:rsidR="00F27F90" w:rsidRPr="003408A6">
          <w:rPr>
            <w:lang w:val="en-AU"/>
          </w:rPr>
          <w:fldChar w:fldCharType="end"/>
        </w:r>
      </w:hyperlink>
      <w:r w:rsidRPr="003408A6">
        <w:rPr>
          <w:lang w:val="en-AU"/>
        </w:rPr>
        <w:t xml:space="preserve"> This early study only utilised data until the end of 2009, during which the catch</w:t>
      </w:r>
      <w:r w:rsidR="0043033C" w:rsidRPr="003408A6">
        <w:rPr>
          <w:lang w:val="en-AU"/>
        </w:rPr>
        <w:t>-</w:t>
      </w:r>
      <w:r w:rsidRPr="003408A6">
        <w:rPr>
          <w:lang w:val="en-AU"/>
        </w:rPr>
        <w:t xml:space="preserve">up program was still being delivered, and </w:t>
      </w:r>
      <w:r w:rsidR="006A0439" w:rsidRPr="003408A6">
        <w:rPr>
          <w:lang w:val="en-AU"/>
        </w:rPr>
        <w:t xml:space="preserve">was </w:t>
      </w:r>
      <w:r w:rsidRPr="003408A6">
        <w:rPr>
          <w:lang w:val="en-AU"/>
        </w:rPr>
        <w:t xml:space="preserve">only </w:t>
      </w:r>
      <w:r w:rsidR="00006FDF" w:rsidRPr="003408A6">
        <w:rPr>
          <w:lang w:val="en-AU"/>
        </w:rPr>
        <w:t xml:space="preserve">2 </w:t>
      </w:r>
      <w:r w:rsidRPr="003408A6">
        <w:rPr>
          <w:lang w:val="en-AU"/>
        </w:rPr>
        <w:t xml:space="preserve">years after the implementation of the National HPV Vaccination Program.  </w:t>
      </w:r>
    </w:p>
    <w:p w:rsidR="002B01FE" w:rsidRPr="003408A6" w:rsidRDefault="002B01FE" w:rsidP="007F15D6">
      <w:pPr>
        <w:pStyle w:val="BodyText"/>
        <w:rPr>
          <w:lang w:val="en-AU"/>
        </w:rPr>
      </w:pPr>
      <w:r w:rsidRPr="003408A6">
        <w:rPr>
          <w:lang w:val="en-AU"/>
        </w:rPr>
        <w:t>Our analysis included two additional post-vaccine years that captured the 14 and 15</w:t>
      </w:r>
      <w:r w:rsidR="006A0439" w:rsidRPr="003408A6">
        <w:rPr>
          <w:lang w:val="en-AU"/>
        </w:rPr>
        <w:t xml:space="preserve"> </w:t>
      </w:r>
      <w:r w:rsidRPr="003408A6">
        <w:rPr>
          <w:lang w:val="en-AU"/>
        </w:rPr>
        <w:t>year</w:t>
      </w:r>
      <w:r w:rsidR="006A0439" w:rsidRPr="003408A6">
        <w:rPr>
          <w:lang w:val="en-AU"/>
        </w:rPr>
        <w:t>s</w:t>
      </w:r>
      <w:r w:rsidRPr="003408A6">
        <w:rPr>
          <w:lang w:val="en-AU"/>
        </w:rPr>
        <w:t xml:space="preserve"> age cohort targeted for HPV vaccine. The decline we have observed is consistent with the large decline in vaccine-type HPV prevalence observed among young Australian women in a pre</w:t>
      </w:r>
      <w:r w:rsidR="006A0439" w:rsidRPr="003408A6">
        <w:rPr>
          <w:lang w:val="en-AU"/>
        </w:rPr>
        <w:t xml:space="preserve">- to </w:t>
      </w:r>
      <w:r w:rsidRPr="003408A6">
        <w:rPr>
          <w:lang w:val="en-AU"/>
        </w:rPr>
        <w:t>post</w:t>
      </w:r>
      <w:r w:rsidR="006A0439" w:rsidRPr="003408A6">
        <w:rPr>
          <w:lang w:val="en-AU"/>
        </w:rPr>
        <w:t>-program</w:t>
      </w:r>
      <w:r w:rsidRPr="003408A6">
        <w:rPr>
          <w:lang w:val="en-AU"/>
        </w:rPr>
        <w:t xml:space="preserve"> comparison of 18–24</w:t>
      </w:r>
      <w:r w:rsidR="006A0439" w:rsidRPr="003408A6">
        <w:rPr>
          <w:lang w:val="en-AU"/>
        </w:rPr>
        <w:t>-</w:t>
      </w:r>
      <w:r w:rsidRPr="003408A6">
        <w:rPr>
          <w:lang w:val="en-AU"/>
        </w:rPr>
        <w:t>year olds attending for cervical screening at family planning clinics.</w:t>
      </w:r>
      <w:hyperlink w:anchor="_ENREF_102" w:tooltip="Tabrizi, 2012 #1245" w:history="1">
        <w:r w:rsidR="00F27F90" w:rsidRPr="003408A6">
          <w:rPr>
            <w:lang w:val="en-AU"/>
          </w:rPr>
          <w:fldChar w:fldCharType="begin"/>
        </w:r>
        <w:r w:rsidR="00F27F90">
          <w:rPr>
            <w:lang w:val="en-AU"/>
          </w:rPr>
          <w:instrText xml:space="preserve"> ADDIN EN.CITE &lt;EndNote&gt;&lt;Cite&gt;&lt;Author&gt;Tabrizi&lt;/Author&gt;&lt;Year&gt;2012&lt;/Year&gt;&lt;RecNum&gt;1245&lt;/RecNum&gt;&lt;DisplayText&gt;&lt;style face="superscript"&gt;102&lt;/style&gt;&lt;/DisplayText&gt;&lt;record&gt;&lt;rec-number&gt;1245&lt;/rec-number&gt;&lt;foreign-keys&gt;&lt;key app="EN" db-id="dda0wweazfww9besetpx2r5pt0asp9ztvs95"&gt;1245&lt;/key&gt;&lt;/foreign-keys&gt;&lt;ref-type name="Journal Article"&gt;17&lt;/ref-type&gt;&lt;contributors&gt;&lt;authors&gt;&lt;author&gt;Tabrizi, S. N.&lt;/author&gt;&lt;author&gt;Brotherton, J. M.&lt;/author&gt;&lt;author&gt;Kaldor, J. M.&lt;/author&gt;&lt;author&gt;Skinner, S. R.&lt;/author&gt;&lt;author&gt;Cummins, E.&lt;/author&gt;&lt;author&gt;Liu, B.&lt;/author&gt;&lt;author&gt;Bateson, D.&lt;/author&gt;&lt;author&gt;McNamee, K.&lt;/author&gt;&lt;author&gt;Garefalakis, M.&lt;/author&gt;&lt;author&gt;Garland, S. M.&lt;/author&gt;&lt;/authors&gt;&lt;/contributors&gt;&lt;auth-address&gt;Regional World Health Organization Human Papillomavirus Laboratory Network, Department of Microbiology and Infectious Diseases, The Royal Women&amp;apos;s Hospital, Victoria, Australia.&lt;/auth-address&gt;&lt;titles&gt;&lt;title&gt;Fall in human papillomavirus prevalence following a national vaccination program&lt;/title&gt;&lt;secondary-title&gt;Journal of Infectious Diseases&lt;/secondary-title&gt;&lt;alt-title&gt;The Journal of infectious diseases&lt;/alt-title&gt;&lt;/titles&gt;&lt;periodical&gt;&lt;full-title&gt;Journal of Infectious Diseases&lt;/full-title&gt;&lt;abbr-1&gt;J. Infect. Dis.&lt;/abbr-1&gt;&lt;abbr-2&gt;J Infect Dis&lt;/abbr-2&gt;&lt;/periodical&gt;&lt;pages&gt;1645-51&lt;/pages&gt;&lt;volume&gt;206&lt;/volume&gt;&lt;number&gt;11&lt;/number&gt;&lt;edition&gt;2012/10/23&lt;/edition&gt;&lt;dates&gt;&lt;year&gt;2012&lt;/year&gt;&lt;pub-dates&gt;&lt;date&gt;Dec&lt;/date&gt;&lt;/pub-dates&gt;&lt;/dates&gt;&lt;isbn&gt;1537-6613 (Electronic)&amp;#xD;0022-1899 (Linking)&lt;/isbn&gt;&lt;accession-num&gt;23087430&lt;/accession-num&gt;&lt;urls&gt;&lt;/urls&gt;&lt;electronic-resource-num&gt;10.1093/infdis/jis590&lt;/electronic-resource-num&gt;&lt;remote-database-provider&gt;NLM&lt;/remote-database-provider&gt;&lt;language&gt;eng&lt;/language&gt;&lt;/record&gt;&lt;/Cite&gt;&lt;/EndNote&gt;</w:instrText>
        </w:r>
        <w:r w:rsidR="00F27F90" w:rsidRPr="003408A6">
          <w:rPr>
            <w:lang w:val="en-AU"/>
          </w:rPr>
          <w:fldChar w:fldCharType="separate"/>
        </w:r>
        <w:r w:rsidR="00F27F90" w:rsidRPr="00F27F90">
          <w:rPr>
            <w:noProof/>
            <w:vertAlign w:val="superscript"/>
            <w:lang w:val="en-AU"/>
          </w:rPr>
          <w:t>102</w:t>
        </w:r>
        <w:r w:rsidR="00F27F90" w:rsidRPr="003408A6">
          <w:rPr>
            <w:lang w:val="en-AU"/>
          </w:rPr>
          <w:fldChar w:fldCharType="end"/>
        </w:r>
      </w:hyperlink>
      <w:r w:rsidRPr="003408A6">
        <w:rPr>
          <w:lang w:val="en-AU"/>
        </w:rPr>
        <w:t xml:space="preserve"> Monitoring of HPV DNA prevalence can provide timely evidence of the impact of HPV vaccine among women who recently have become sexually active</w:t>
      </w:r>
      <w:r w:rsidR="006A0439" w:rsidRPr="003408A6">
        <w:rPr>
          <w:lang w:val="en-AU"/>
        </w:rPr>
        <w:t>;</w:t>
      </w:r>
      <w:hyperlink w:anchor="_ENREF_103" w:tooltip="World Health Organization (WHO), 2010 #1241" w:history="1">
        <w:r w:rsidR="00F27F90" w:rsidRPr="003408A6">
          <w:rPr>
            <w:lang w:val="en-AU"/>
          </w:rPr>
          <w:fldChar w:fldCharType="begin"/>
        </w:r>
        <w:r w:rsidR="00F27F90">
          <w:rPr>
            <w:lang w:val="en-AU"/>
          </w:rPr>
          <w:instrText xml:space="preserve"> ADDIN EN.CITE &lt;EndNote&gt;&lt;Cite&gt;&lt;Author&gt;World Health Organization&lt;/Author&gt;&lt;Year&gt;2010&lt;/Year&gt;&lt;RecNum&gt;1241&lt;/RecNum&gt;&lt;DisplayText&gt;&lt;style face="superscript"&gt;103&lt;/style&gt;&lt;/DisplayText&gt;&lt;record&gt;&lt;rec-number&gt;1241&lt;/rec-number&gt;&lt;foreign-keys&gt;&lt;key app="EN" db-id="dda0wweazfww9besetpx2r5pt0asp9ztvs95"&gt;1241&lt;/key&gt;&lt;/foreign-keys&gt;&lt;ref-type name="Report"&gt;27&lt;/ref-type&gt;&lt;contributors&gt;&lt;authors&gt;&lt;author&gt;World Health Organization (WHO),&lt;/author&gt;&lt;/authors&gt;&lt;/contributors&gt;&lt;titles&gt;&lt;title&gt;Report of the meeting on HPV Vaccine Coverage and Impact Monitoring&lt;/title&gt;&lt;/titles&gt;&lt;dates&gt;&lt;year&gt;2010&lt;/year&gt;&lt;pub-dates&gt;&lt;date&gt;16-17 November 2009&lt;/date&gt;&lt;/pub-dates&gt;&lt;/dates&gt;&lt;pub-location&gt;Geneva&lt;/pub-location&gt;&lt;publisher&gt;WHO&lt;/publisher&gt;&lt;urls&gt;&lt;/urls&gt;&lt;/record&gt;&lt;/Cite&gt;&lt;/EndNote&gt;</w:instrText>
        </w:r>
        <w:r w:rsidR="00F27F90" w:rsidRPr="003408A6">
          <w:rPr>
            <w:lang w:val="en-AU"/>
          </w:rPr>
          <w:fldChar w:fldCharType="separate"/>
        </w:r>
        <w:r w:rsidR="00F27F90" w:rsidRPr="00F27F90">
          <w:rPr>
            <w:noProof/>
            <w:vertAlign w:val="superscript"/>
            <w:lang w:val="en-AU"/>
          </w:rPr>
          <w:t>103</w:t>
        </w:r>
        <w:r w:rsidR="00F27F90" w:rsidRPr="003408A6">
          <w:rPr>
            <w:lang w:val="en-AU"/>
          </w:rPr>
          <w:fldChar w:fldCharType="end"/>
        </w:r>
      </w:hyperlink>
      <w:r w:rsidRPr="003408A6">
        <w:rPr>
          <w:lang w:val="en-AU"/>
        </w:rPr>
        <w:t xml:space="preserve"> however</w:t>
      </w:r>
      <w:r w:rsidR="006A0439" w:rsidRPr="003408A6">
        <w:rPr>
          <w:lang w:val="en-AU"/>
        </w:rPr>
        <w:t>,</w:t>
      </w:r>
      <w:r w:rsidRPr="003408A6">
        <w:rPr>
          <w:lang w:val="en-AU"/>
        </w:rPr>
        <w:t xml:space="preserve"> the high costs of this method</w:t>
      </w:r>
      <w:hyperlink w:anchor="_ENREF_101" w:tooltip="World Health Organization International Agency for Research on Cancer, 2005 #1265" w:history="1">
        <w:r w:rsidR="00F27F90" w:rsidRPr="003408A6">
          <w:rPr>
            <w:lang w:val="en-AU"/>
          </w:rPr>
          <w:fldChar w:fldCharType="begin"/>
        </w:r>
        <w:r w:rsidR="00F27F90">
          <w:rPr>
            <w:lang w:val="en-AU"/>
          </w:rPr>
          <w:instrText xml:space="preserve"> ADDIN EN.CITE &lt;EndNote&gt;&lt;Cite&gt;&lt;Author&gt;World Health Organization International Agency for Research on Cancer&lt;/Author&gt;&lt;Year&gt;2005&lt;/Year&gt;&lt;RecNum&gt;1265&lt;/RecNum&gt;&lt;DisplayText&gt;&lt;style face="superscript"&gt;101&lt;/style&gt;&lt;/DisplayText&gt;&lt;record&gt;&lt;rec-number&gt;1265&lt;/rec-number&gt;&lt;foreign-keys&gt;&lt;key app="EN" db-id="dda0wweazfww9besetpx2r5pt0asp9ztvs95"&gt;1265&lt;/key&gt;&lt;/foreign-keys&gt;&lt;ref-type name="Report"&gt;27&lt;/ref-type&gt;&lt;contributors&gt;&lt;authors&gt;&lt;author&gt;World Health Organization International Agency for Research on Cancer,&lt;/author&gt;&lt;/authors&gt;&lt;/contributors&gt;&lt;titles&gt;&lt;title&gt;IARC handbooks of cancer prevention: cervix cancer screening&lt;/title&gt;&lt;/titles&gt;&lt;volume&gt;10&lt;/volume&gt;&lt;dates&gt;&lt;year&gt;2005&lt;/year&gt;&lt;/dates&gt;&lt;pub-location&gt;Lyon&lt;/pub-location&gt;&lt;publisher&gt; IARC Press&lt;/publisher&gt;&lt;urls&gt;&lt;/urls&gt;&lt;/record&gt;&lt;/Cite&gt;&lt;/EndNote&gt;</w:instrText>
        </w:r>
        <w:r w:rsidR="00F27F90" w:rsidRPr="003408A6">
          <w:rPr>
            <w:lang w:val="en-AU"/>
          </w:rPr>
          <w:fldChar w:fldCharType="separate"/>
        </w:r>
        <w:r w:rsidR="00F27F90" w:rsidRPr="00F27F90">
          <w:rPr>
            <w:noProof/>
            <w:vertAlign w:val="superscript"/>
            <w:lang w:val="en-AU"/>
          </w:rPr>
          <w:t>101</w:t>
        </w:r>
        <w:r w:rsidR="00F27F90" w:rsidRPr="003408A6">
          <w:rPr>
            <w:lang w:val="en-AU"/>
          </w:rPr>
          <w:fldChar w:fldCharType="end"/>
        </w:r>
      </w:hyperlink>
      <w:hyperlink w:anchor="_ENREF_22" w:tooltip="Mullins, 2013 #1262" w:history="1"/>
      <w:r w:rsidRPr="003408A6">
        <w:rPr>
          <w:lang w:val="en-AU"/>
        </w:rPr>
        <w:t xml:space="preserve"> need to be considered.</w:t>
      </w:r>
      <w:r w:rsidRPr="003408A6" w:rsidDel="00D74182">
        <w:rPr>
          <w:lang w:val="en-AU"/>
        </w:rPr>
        <w:t xml:space="preserve"> </w:t>
      </w:r>
    </w:p>
    <w:p w:rsidR="002B01FE" w:rsidRPr="003408A6" w:rsidRDefault="002B01FE" w:rsidP="007F15D6">
      <w:pPr>
        <w:pStyle w:val="BodyText"/>
        <w:rPr>
          <w:lang w:val="en-AU"/>
        </w:rPr>
      </w:pPr>
      <w:r w:rsidRPr="003408A6">
        <w:rPr>
          <w:lang w:val="en-AU"/>
        </w:rPr>
        <w:t>The results of our analysis are also consistent with the high vaccine coverage obtained in the school</w:t>
      </w:r>
      <w:r w:rsidR="00414E05" w:rsidRPr="003408A6">
        <w:rPr>
          <w:lang w:val="en-AU"/>
        </w:rPr>
        <w:t>-</w:t>
      </w:r>
      <w:r w:rsidRPr="003408A6">
        <w:rPr>
          <w:lang w:val="en-AU"/>
        </w:rPr>
        <w:t xml:space="preserve">based HPV </w:t>
      </w:r>
      <w:r w:rsidR="00B27DFA">
        <w:rPr>
          <w:lang w:val="en-AU"/>
        </w:rPr>
        <w:t>v</w:t>
      </w:r>
      <w:r w:rsidRPr="003408A6">
        <w:rPr>
          <w:lang w:val="en-AU"/>
        </w:rPr>
        <w:t xml:space="preserve">accination </w:t>
      </w:r>
      <w:r w:rsidR="00B27DFA">
        <w:rPr>
          <w:lang w:val="en-AU"/>
        </w:rPr>
        <w:t>p</w:t>
      </w:r>
      <w:r w:rsidRPr="003408A6">
        <w:rPr>
          <w:lang w:val="en-AU"/>
        </w:rPr>
        <w:t>rogram</w:t>
      </w:r>
      <w:hyperlink w:anchor="_ENREF_39" w:tooltip="Gertig, 2011 #43" w:history="1">
        <w:r w:rsidR="00F27F90" w:rsidRPr="003408A6">
          <w:rPr>
            <w:lang w:val="en-AU"/>
          </w:rPr>
          <w:fldChar w:fldCharType="begin"/>
        </w:r>
        <w:r w:rsidR="00F27F90" w:rsidRPr="003408A6">
          <w:rPr>
            <w:lang w:val="en-AU"/>
          </w:rPr>
          <w:instrText xml:space="preserve"> ADDIN EN.CITE &lt;EndNote&gt;&lt;Cite&gt;&lt;Author&gt;Gertig&lt;/Author&gt;&lt;Year&gt;2011&lt;/Year&gt;&lt;RecNum&gt;43&lt;/RecNum&gt;&lt;DisplayText&gt;&lt;style face="superscript"&gt;39&lt;/style&gt;&lt;/DisplayText&gt;&lt;record&gt;&lt;rec-number&gt;43&lt;/rec-number&gt;&lt;foreign-keys&gt;&lt;key app="EN" db-id="dda0wweazfww9besetpx2r5pt0asp9ztvs95"&gt;43&lt;/key&gt;&lt;/foreign-keys&gt;&lt;ref-type name="Journal Article"&gt;17&lt;/ref-type&gt;&lt;contributors&gt;&lt;authors&gt;&lt;author&gt;Gertig, D. M.&lt;/author&gt;&lt;author&gt;Brotherton, J. M.&lt;/author&gt;&lt;author&gt;Saville, M.&lt;/author&gt;&lt;/authors&gt;&lt;/contributors&gt;&lt;auth-address&gt;Victorian Cytology Service, PO Box 161, Carlton South, Vic. 3053, Australia.&lt;/auth-address&gt;&lt;titles&gt;&lt;title&gt;Measuring human papillomavirus (HPV) vaccination coverage and the role of the National HPV Vaccination Program Register, Australia&lt;/title&gt;&lt;secondary-title&gt;Sexual Health&lt;/secondary-title&gt;&lt;alt-title&gt;Sexual health&lt;/alt-title&gt;&lt;/titles&gt;&lt;periodical&gt;&lt;full-title&gt;Sexual Health&lt;/full-title&gt;&lt;abbr-1&gt;Sex. Health&lt;/abbr-1&gt;&lt;abbr-2&gt;Sex Health&lt;/abbr-2&gt;&lt;/periodical&gt;&lt;alt-periodical&gt;&lt;full-title&gt;Sexual Health&lt;/full-title&gt;&lt;abbr-1&gt;Sex. Health&lt;/abbr-1&gt;&lt;abbr-2&gt;Sex Health&lt;/abbr-2&gt;&lt;/alt-periodical&gt;&lt;pages&gt;171-8&lt;/pages&gt;&lt;volume&gt;8&lt;/volume&gt;&lt;number&gt;2&lt;/number&gt;&lt;edition&gt;2011/05/20&lt;/edition&gt;&lt;keywords&gt;&lt;keyword&gt;Adolescent&lt;/keyword&gt;&lt;keyword&gt;Australia/epidemiology&lt;/keyword&gt;&lt;keyword&gt;Child&lt;/keyword&gt;&lt;keyword&gt;Condylomata Acuminata/epidemiology/prevention &amp;amp; control/virology&lt;/keyword&gt;&lt;keyword&gt;Female&lt;/keyword&gt;&lt;keyword&gt;Human papillomavirus 16/immunology&lt;/keyword&gt;&lt;keyword&gt;Humans&lt;/keyword&gt;&lt;keyword&gt;Papillomavirus Infections/epidemiology/ prevention &amp;amp; control/virology&lt;/keyword&gt;&lt;keyword&gt;Papillomavirus Vaccines/ administration &amp;amp; dosage/immunology&lt;/keyword&gt;&lt;keyword&gt;Vaccination/ statistics &amp;amp; numerical data&lt;/keyword&gt;&lt;/keywords&gt;&lt;dates&gt;&lt;year&gt;2011&lt;/year&gt;&lt;pub-dates&gt;&lt;date&gt;Jun&lt;/date&gt;&lt;/pub-dates&gt;&lt;/dates&gt;&lt;isbn&gt;1448-5028 (Print)&amp;#xD;1448-5028 (Linking)&lt;/isbn&gt;&lt;accession-num&gt;21592430&lt;/accession-num&gt;&lt;urls&gt;&lt;/urls&gt;&lt;electronic-resource-num&gt;10.1071/sh10001&lt;/electronic-resource-num&gt;&lt;remote-database-provider&gt;NLM&lt;/remote-database-provider&gt;&lt;language&gt;eng&lt;/language&gt;&lt;/record&gt;&lt;/Cite&gt;&lt;/EndNote&gt;</w:instrText>
        </w:r>
        <w:r w:rsidR="00F27F90" w:rsidRPr="003408A6">
          <w:rPr>
            <w:lang w:val="en-AU"/>
          </w:rPr>
          <w:fldChar w:fldCharType="separate"/>
        </w:r>
        <w:r w:rsidR="00F27F90" w:rsidRPr="003408A6">
          <w:rPr>
            <w:noProof/>
            <w:vertAlign w:val="superscript"/>
            <w:lang w:val="en-AU"/>
          </w:rPr>
          <w:t>39</w:t>
        </w:r>
        <w:r w:rsidR="00F27F90" w:rsidRPr="003408A6">
          <w:rPr>
            <w:lang w:val="en-AU"/>
          </w:rPr>
          <w:fldChar w:fldCharType="end"/>
        </w:r>
      </w:hyperlink>
      <w:r w:rsidRPr="003408A6">
        <w:rPr>
          <w:lang w:val="en-AU"/>
        </w:rPr>
        <w:t xml:space="preserve"> in </w:t>
      </w:r>
      <w:r w:rsidR="00382CB5" w:rsidRPr="003408A6">
        <w:rPr>
          <w:lang w:val="en-AU"/>
        </w:rPr>
        <w:t xml:space="preserve">females </w:t>
      </w:r>
      <w:r w:rsidRPr="003408A6">
        <w:rPr>
          <w:lang w:val="en-AU"/>
        </w:rPr>
        <w:t>under 18 years of age and the lower expected vaccine effectiveness in women vaccinated post sexual debut.</w:t>
      </w:r>
      <w:hyperlink w:anchor="_ENREF_104" w:tooltip="Markowitz, 2007 #722" w:history="1">
        <w:r w:rsidR="00F27F90" w:rsidRPr="003408A6">
          <w:rPr>
            <w:lang w:val="en-AU"/>
          </w:rPr>
          <w:fldChar w:fldCharType="begin">
            <w:fldData xml:space="preserve">PEVuZE5vdGU+PENpdGU+PEF1dGhvcj5NYXJrb3dpdHo8L0F1dGhvcj48WWVhcj4yMDA3PC9ZZWFy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=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PEVuZE5vdGU+PENpdGU+PEF1dGhvcj5NYXJrb3dpdHo8L0F1dGhvcj48WWVhcj4yMDA3PC9ZZWFy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=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104</w:t>
        </w:r>
        <w:r w:rsidR="00F27F90" w:rsidRPr="003408A6">
          <w:rPr>
            <w:lang w:val="en-AU"/>
          </w:rPr>
          <w:fldChar w:fldCharType="end"/>
        </w:r>
      </w:hyperlink>
      <w:r w:rsidRPr="003408A6">
        <w:rPr>
          <w:vertAlign w:val="superscript"/>
          <w:lang w:val="en-AU"/>
        </w:rPr>
        <w:t>,</w:t>
      </w:r>
      <w:hyperlink w:anchor="_ENREF_105" w:tooltip="Markowitz, 2013 #1256" w:history="1">
        <w:r w:rsidR="00F27F90" w:rsidRPr="003408A6">
          <w:rPr>
            <w:lang w:val="en-AU"/>
          </w:rPr>
          <w:fldChar w:fldCharType="begin"/>
        </w:r>
        <w:r w:rsidR="00F27F90">
          <w:rPr>
            <w:lang w:val="en-AU"/>
          </w:rPr>
          <w:instrText xml:space="preserve"> ADDIN EN.CITE &lt;EndNote&gt;&lt;Cite&gt;&lt;Author&gt;Markowitz&lt;/Author&gt;&lt;Year&gt;2013&lt;/Year&gt;&lt;RecNum&gt;1256&lt;/RecNum&gt;&lt;DisplayText&gt;&lt;style face="superscript"&gt;105&lt;/style&gt;&lt;/DisplayText&gt;&lt;record&gt;&lt;rec-number&gt;1256&lt;/rec-number&gt;&lt;foreign-keys&gt;&lt;key app="EN" db-id="dda0wweazfww9besetpx2r5pt0asp9ztvs95"&gt;1256&lt;/key&gt;&lt;/foreign-keys&gt;&lt;ref-type name="Journal Article"&gt;17&lt;/ref-type&gt;&lt;contributors&gt;&lt;authors&gt;&lt;author&gt;Markowitz, L.&lt;/author&gt;&lt;author&gt;Hariri, S.&lt;/author&gt;&lt;author&gt;Lin, C.&lt;/author&gt;&lt;author&gt;Dunne, E. F.&lt;/author&gt;&lt;author&gt;Steinau, M.&lt;/author&gt;&lt;author&gt;McQuillan, G.&lt;/author&gt;&lt;author&gt;Unger, E. R.&lt;/author&gt;&lt;/authors&gt;&lt;/contributors&gt;&lt;titles&gt;&lt;title&gt;Reduction in human papillomavirus (HPV) prevalence among young women following HPV vaccine introduction in the United States, National Health and Nutrition Examinatiion Surveys, 2003-2010&lt;/title&gt;&lt;secondary-title&gt;Journal of Infectious Diseases&lt;/secondary-title&gt;&lt;/titles&gt;&lt;periodical&gt;&lt;full-title&gt;Journal of Infectious Diseases&lt;/full-title&gt;&lt;abbr-1&gt;J. Infect. Dis.&lt;/abbr-1&gt;&lt;abbr-2&gt;J Infect Dis&lt;/abbr-2&gt;&lt;/periodical&gt;&lt;pages&gt;385-93&lt;/pages&gt;&lt;volume&gt;208&lt;/volume&gt;&lt;number&gt;3&lt;/number&gt;&lt;section&gt;385&lt;/section&gt;&lt;dates&gt;&lt;year&gt;2013&lt;/year&gt;&lt;/dates&gt;&lt;urls&gt;&lt;related-urls&gt;&lt;url&gt;http://jid.oxfordjournals.org/content/208/3/385.long&lt;/url&gt;&lt;/related-urls&gt;&lt;/urls&gt;&lt;/record&gt;&lt;/Cite&gt;&lt;/EndNote&gt;</w:instrText>
        </w:r>
        <w:r w:rsidR="00F27F90" w:rsidRPr="003408A6">
          <w:rPr>
            <w:lang w:val="en-AU"/>
          </w:rPr>
          <w:fldChar w:fldCharType="separate"/>
        </w:r>
        <w:r w:rsidR="00F27F90" w:rsidRPr="00F27F90">
          <w:rPr>
            <w:noProof/>
            <w:vertAlign w:val="superscript"/>
            <w:lang w:val="en-AU"/>
          </w:rPr>
          <w:t>105</w:t>
        </w:r>
        <w:r w:rsidR="00F27F90" w:rsidRPr="003408A6">
          <w:rPr>
            <w:lang w:val="en-AU"/>
          </w:rPr>
          <w:fldChar w:fldCharType="end"/>
        </w:r>
      </w:hyperlink>
      <w:r w:rsidRPr="003408A6">
        <w:rPr>
          <w:lang w:val="en-AU"/>
        </w:rPr>
        <w:t xml:space="preserve"> </w:t>
      </w:r>
    </w:p>
    <w:p w:rsidR="002B01FE" w:rsidRPr="003408A6" w:rsidRDefault="002B01FE" w:rsidP="007F15D6">
      <w:pPr>
        <w:pStyle w:val="BodyText"/>
        <w:rPr>
          <w:lang w:val="en-AU"/>
        </w:rPr>
      </w:pPr>
      <w:r w:rsidRPr="003408A6">
        <w:rPr>
          <w:lang w:val="en-AU"/>
        </w:rPr>
        <w:t>A number of limitations have been discussed previously in using cervical cancer screening program data as a method of assessing the impact of HPV vaccines.</w:t>
      </w:r>
      <w:hyperlink w:anchor="_ENREF_98" w:tooltip="Brotherton, 2011 #234" w:history="1">
        <w:r w:rsidR="00F27F90" w:rsidRPr="003408A6">
          <w:rPr>
            <w:lang w:val="en-AU"/>
          </w:rPr>
          <w:fldChar w:fldCharType="begin">
            <w:fldData xml:space="preserve">PEVuZE5vdGU+PENpdGU+PEF1dGhvcj5Ccm90aGVydG9uPC9BdXRob3I+PFllYXI+MjAxMTwvWWVh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</w:fldData>
          </w:fldChar>
        </w:r>
        <w:r w:rsidR="00F27F90">
          <w:rPr>
            <w:lang w:val="en-AU"/>
          </w:rPr>
          <w:instrText xml:space="preserve"> ADDIN EN.CITE </w:instrText>
        </w:r>
        <w:r w:rsidR="00F27F90">
          <w:rPr>
            <w:lang w:val="en-AU"/>
          </w:rPr>
          <w:fldChar w:fldCharType="begin">
            <w:fldData xml:space="preserve">PEVuZE5vdGU+PENpdGU+PEF1dGhvcj5Ccm90aGVydG9uPC9BdXRob3I+PFllYXI+MjAxMTwvWWVh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98</w:t>
        </w:r>
        <w:r w:rsidR="00F27F90" w:rsidRPr="003408A6">
          <w:rPr>
            <w:lang w:val="en-AU"/>
          </w:rPr>
          <w:fldChar w:fldCharType="end"/>
        </w:r>
      </w:hyperlink>
      <w:r w:rsidRPr="003408A6">
        <w:rPr>
          <w:lang w:val="en-AU"/>
        </w:rPr>
        <w:t xml:space="preserve"> Our results may have been affected by screening participation, particularly as there was a reduction in participation among our age group of interest (&lt;20 years). We attempted to control for this by including non-screened women and assuming the same rates of HGA detection as observed in 2004–200</w:t>
      </w:r>
      <w:r w:rsidR="006A0439" w:rsidRPr="003408A6">
        <w:rPr>
          <w:lang w:val="en-AU"/>
        </w:rPr>
        <w:t>7</w:t>
      </w:r>
      <w:r w:rsidRPr="003408A6">
        <w:rPr>
          <w:lang w:val="en-AU"/>
        </w:rPr>
        <w:t xml:space="preserve"> in our analysis. This inclusion is likely to be the most extreme situation, overestimating the rate of HGA detected</w:t>
      </w:r>
      <w:r w:rsidR="006A0439" w:rsidRPr="003408A6">
        <w:rPr>
          <w:lang w:val="en-AU"/>
        </w:rPr>
        <w:t>,</w:t>
      </w:r>
      <w:r w:rsidRPr="003408A6">
        <w:rPr>
          <w:lang w:val="en-AU"/>
        </w:rPr>
        <w:t xml:space="preserve"> as not all females aged &lt;20 years are sexually active. A 2008 survey of secondary students in Year 10 and Year 12 in Australia found that approximately 40% of students had experienced sexual intercourse.</w:t>
      </w:r>
      <w:hyperlink w:anchor="_ENREF_95" w:tooltip="Smith, 2009 #1257" w:history="1">
        <w:r w:rsidR="00F27F90" w:rsidRPr="003408A6">
          <w:rPr>
            <w:lang w:val="en-AU"/>
          </w:rPr>
          <w:fldChar w:fldCharType="begin"/>
        </w:r>
        <w:r w:rsidR="00F27F90">
          <w:rPr>
            <w:lang w:val="en-AU"/>
          </w:rPr>
          <w:instrText xml:space="preserve"> ADDIN EN.CITE &lt;EndNote&gt;&lt;Cite&gt;&lt;Author&gt;Smith&lt;/Author&gt;&lt;Year&gt;2009&lt;/Year&gt;&lt;RecNum&gt;1257&lt;/RecNum&gt;&lt;DisplayText&gt;&lt;style face="superscript"&gt;95&lt;/style&gt;&lt;/DisplayText&gt;&lt;record&gt;&lt;rec-number&gt;1257&lt;/rec-number&gt;&lt;foreign-keys&gt;&lt;key app="EN" db-id="dda0wweazfww9besetpx2r5pt0asp9ztvs95"&gt;1257&lt;/key&gt;&lt;/foreign-keys&gt;&lt;ref-type name="Report"&gt;27&lt;/ref-type&gt;&lt;contributors&gt;&lt;authors&gt;&lt;author&gt;Smith, A. &lt;/author&gt;&lt;author&gt;Agius, P. &lt;/author&gt;&lt;author&gt;Mitchell, A.&lt;/author&gt;&lt;author&gt;Barrett, C.&lt;/author&gt;&lt;author&gt;Pitts, M.&lt;/author&gt;&lt;/authors&gt;&lt;/contributors&gt;&lt;titles&gt;&lt;title&gt;Secondary students and sexual health report 2008, Monograph Series No. 70&lt;/title&gt;&lt;/titles&gt;&lt;dates&gt;&lt;year&gt;2009&lt;/year&gt;&lt;/dates&gt;&lt;pub-location&gt;Melbourne&lt;/pub-location&gt;&lt;publisher&gt;Australian Research Centre in Sex, Health  &amp;amp; Society, La Trobe University&lt;/publisher&gt;&lt;urls&gt;&lt;/urls&gt;&lt;/record&gt;&lt;/Cite&gt;&lt;/EndNote&gt;</w:instrText>
        </w:r>
        <w:r w:rsidR="00F27F90" w:rsidRPr="003408A6">
          <w:rPr>
            <w:lang w:val="en-AU"/>
          </w:rPr>
          <w:fldChar w:fldCharType="separate"/>
        </w:r>
        <w:r w:rsidR="00F27F90" w:rsidRPr="00F27F90">
          <w:rPr>
            <w:noProof/>
            <w:vertAlign w:val="superscript"/>
            <w:lang w:val="en-AU"/>
          </w:rPr>
          <w:t>95</w:t>
        </w:r>
        <w:r w:rsidR="00F27F90" w:rsidRPr="003408A6">
          <w:rPr>
            <w:lang w:val="en-AU"/>
          </w:rPr>
          <w:fldChar w:fldCharType="end"/>
        </w:r>
      </w:hyperlink>
      <w:r w:rsidRPr="003408A6">
        <w:rPr>
          <w:lang w:val="en-AU"/>
        </w:rPr>
        <w:t xml:space="preserve"> Despite this likely overestimation, a reduction in rate of HGA detected was still observed. </w:t>
      </w:r>
    </w:p>
    <w:p w:rsidR="002B01FE" w:rsidRPr="003408A6" w:rsidRDefault="002B01FE" w:rsidP="007F15D6">
      <w:pPr>
        <w:pStyle w:val="BodyText"/>
        <w:rPr>
          <w:lang w:val="en-AU"/>
        </w:rPr>
      </w:pPr>
      <w:r w:rsidRPr="003408A6">
        <w:rPr>
          <w:lang w:val="en-AU"/>
        </w:rPr>
        <w:t>Changes in screening rates, access to screening and screening behaviour have been described previously as factors affecting the number of lesions detected.</w:t>
      </w:r>
      <w:hyperlink w:anchor="_ENREF_103" w:tooltip="World Health Organization (WHO), 2010 #1241" w:history="1">
        <w:r w:rsidR="00F27F90" w:rsidRPr="003408A6">
          <w:rPr>
            <w:lang w:val="en-AU"/>
          </w:rPr>
          <w:fldChar w:fldCharType="begin"/>
        </w:r>
        <w:r w:rsidR="00F27F90">
          <w:rPr>
            <w:lang w:val="en-AU"/>
          </w:rPr>
          <w:instrText xml:space="preserve"> ADDIN EN.CITE &lt;EndNote&gt;&lt;Cite&gt;&lt;Author&gt;World Health Organization&lt;/Author&gt;&lt;Year&gt;2010&lt;/Year&gt;&lt;RecNum&gt;1241&lt;/RecNum&gt;&lt;DisplayText&gt;&lt;style face="superscript"&gt;103&lt;/style&gt;&lt;/DisplayText&gt;&lt;record&gt;&lt;rec-number&gt;1241&lt;/rec-number&gt;&lt;foreign-keys&gt;&lt;key app="EN" db-id="dda0wweazfww9besetpx2r5pt0asp9ztvs95"&gt;1241&lt;/key&gt;&lt;/foreign-keys&gt;&lt;ref-type name="Report"&gt;27&lt;/ref-type&gt;&lt;contributors&gt;&lt;authors&gt;&lt;author&gt;World Health Organization (WHO),&lt;/author&gt;&lt;/authors&gt;&lt;/contributors&gt;&lt;titles&gt;&lt;title&gt;Report of the meeting on HPV Vaccine Coverage and Impact Monitoring&lt;/title&gt;&lt;/titles&gt;&lt;dates&gt;&lt;year&gt;2010&lt;/year&gt;&lt;pub-dates&gt;&lt;date&gt;16-17 November 2009&lt;/date&gt;&lt;/pub-dates&gt;&lt;/dates&gt;&lt;pub-location&gt;Geneva&lt;/pub-location&gt;&lt;publisher&gt;WHO&lt;/publisher&gt;&lt;urls&gt;&lt;/urls&gt;&lt;/record&gt;&lt;/Cite&gt;&lt;/EndNote&gt;</w:instrText>
        </w:r>
        <w:r w:rsidR="00F27F90" w:rsidRPr="003408A6">
          <w:rPr>
            <w:lang w:val="en-AU"/>
          </w:rPr>
          <w:fldChar w:fldCharType="separate"/>
        </w:r>
        <w:r w:rsidR="00F27F90" w:rsidRPr="00F27F90">
          <w:rPr>
            <w:noProof/>
            <w:vertAlign w:val="superscript"/>
            <w:lang w:val="en-AU"/>
          </w:rPr>
          <w:t>103</w:t>
        </w:r>
        <w:r w:rsidR="00F27F90" w:rsidRPr="003408A6">
          <w:rPr>
            <w:lang w:val="en-AU"/>
          </w:rPr>
          <w:fldChar w:fldCharType="end"/>
        </w:r>
      </w:hyperlink>
      <w:r w:rsidRPr="003408A6">
        <w:rPr>
          <w:lang w:val="en-AU"/>
        </w:rPr>
        <w:t xml:space="preserve"> These factors may be influenced by health promotion campaigns targeting under</w:t>
      </w:r>
      <w:r w:rsidR="006A0439" w:rsidRPr="003408A6">
        <w:rPr>
          <w:lang w:val="en-AU"/>
        </w:rPr>
        <w:t>-</w:t>
      </w:r>
      <w:r w:rsidRPr="003408A6">
        <w:rPr>
          <w:lang w:val="en-AU"/>
        </w:rPr>
        <w:t>screened women, which have been demonstrated to increase participation in the Australian setting</w:t>
      </w:r>
      <w:r w:rsidR="006A0439" w:rsidRPr="003408A6">
        <w:rPr>
          <w:lang w:val="en-AU"/>
        </w:rPr>
        <w:t>.</w:t>
      </w:r>
      <w:hyperlink w:anchor="_ENREF_106" w:tooltip="Mullins, 2013 #1262" w:history="1">
        <w:r w:rsidR="00F27F90" w:rsidRPr="003408A6">
          <w:rPr>
            <w:lang w:val="en-AU"/>
          </w:rPr>
          <w:fldChar w:fldCharType="begin"/>
        </w:r>
        <w:r w:rsidR="00F27F90">
          <w:rPr>
            <w:lang w:val="en-AU"/>
          </w:rPr>
          <w:instrText xml:space="preserve"> ADDIN EN.CITE &lt;EndNote&gt;&lt;Cite&gt;&lt;Author&gt;Mullins&lt;/Author&gt;&lt;Year&gt;2013&lt;/Year&gt;&lt;RecNum&gt;1262&lt;/RecNum&gt;&lt;DisplayText&gt;&lt;style face="superscript"&gt;106&lt;/style&gt;&lt;/DisplayText&gt;&lt;record&gt;&lt;rec-number&gt;1262&lt;/rec-number&gt;&lt;foreign-keys&gt;&lt;key app="EN" db-id="dda0wweazfww9besetpx2r5pt0asp9ztvs95"&gt;1262&lt;/key&gt;&lt;/foreign-keys&gt;&lt;ref-type name="Journal Article"&gt;17&lt;/ref-type&gt;&lt;contributors&gt;&lt;authors&gt;&lt;author&gt;Mullins, R&lt;/author&gt;&lt;author&gt;Coomber, K&lt;/author&gt;&lt;author&gt;Broun, K&lt;/author&gt;&lt;author&gt;Wakefield, M&lt;/author&gt;&lt;/authors&gt;&lt;/contributors&gt;&lt;titles&gt;&lt;title&gt;Promoting cervical screening after introduction of the human papillomavirus vaccine: the effect of repeated mass media campaigns&lt;/title&gt;&lt;secondary-title&gt;Journal of Medical Screening&lt;/secondary-title&gt;&lt;/titles&gt;&lt;periodical&gt;&lt;full-title&gt;Journal of Medical Screening&lt;/full-title&gt;&lt;abbr-1&gt;J. Med. Screen.&lt;/abbr-1&gt;&lt;abbr-2&gt;J Med Screen&lt;/abbr-2&gt;&lt;/periodical&gt;&lt;pages&gt;27-32&lt;/pages&gt;&lt;volume&gt;20&lt;/volume&gt;&lt;number&gt;1&lt;/number&gt;&lt;dates&gt;&lt;year&gt;2013&lt;/year&gt;&lt;/dates&gt;&lt;isbn&gt;0969-1413&lt;/isbn&gt;&lt;urls&gt;&lt;related-urls&gt;&lt;url&gt;http://msc.sagepub.com/content/early/2013/05/13/0969141313478588&lt;/url&gt;&lt;/related-urls&gt;&lt;/urls&gt;&lt;/record&gt;&lt;/Cite&gt;&lt;/EndNote&gt;</w:instrText>
        </w:r>
        <w:r w:rsidR="00F27F90" w:rsidRPr="003408A6">
          <w:rPr>
            <w:lang w:val="en-AU"/>
          </w:rPr>
          <w:fldChar w:fldCharType="separate"/>
        </w:r>
        <w:r w:rsidR="00F27F90" w:rsidRPr="00F27F90">
          <w:rPr>
            <w:noProof/>
            <w:vertAlign w:val="superscript"/>
            <w:lang w:val="en-AU"/>
          </w:rPr>
          <w:t>106</w:t>
        </w:r>
        <w:r w:rsidR="00F27F90" w:rsidRPr="003408A6">
          <w:rPr>
            <w:lang w:val="en-AU"/>
          </w:rPr>
          <w:fldChar w:fldCharType="end"/>
        </w:r>
      </w:hyperlink>
      <w:r w:rsidRPr="003408A6">
        <w:rPr>
          <w:lang w:val="en-AU"/>
        </w:rPr>
        <w:t xml:space="preserve"> </w:t>
      </w:r>
      <w:r w:rsidR="006A0439" w:rsidRPr="003408A6">
        <w:rPr>
          <w:lang w:val="en-AU"/>
        </w:rPr>
        <w:t>This</w:t>
      </w:r>
      <w:r w:rsidRPr="003408A6">
        <w:rPr>
          <w:lang w:val="en-AU"/>
        </w:rPr>
        <w:t xml:space="preserve"> may subsequently raise detection rates as under</w:t>
      </w:r>
      <w:r w:rsidR="006A0439" w:rsidRPr="003408A6">
        <w:rPr>
          <w:lang w:val="en-AU"/>
        </w:rPr>
        <w:t>-</w:t>
      </w:r>
      <w:r w:rsidRPr="003408A6">
        <w:rPr>
          <w:lang w:val="en-AU"/>
        </w:rPr>
        <w:t xml:space="preserve">screened women are more likely to have prevalent disease. This may be why a peak in screening rates was observed in 2007, coinciding with the commencement of the </w:t>
      </w:r>
      <w:r w:rsidR="006A0439" w:rsidRPr="003408A6">
        <w:rPr>
          <w:lang w:val="en-AU"/>
        </w:rPr>
        <w:t>N</w:t>
      </w:r>
      <w:r w:rsidRPr="003408A6">
        <w:rPr>
          <w:lang w:val="en-AU"/>
        </w:rPr>
        <w:t xml:space="preserve">ational </w:t>
      </w:r>
      <w:r w:rsidR="006A0439" w:rsidRPr="003408A6">
        <w:rPr>
          <w:lang w:val="en-AU"/>
        </w:rPr>
        <w:t>HPV Vaccination P</w:t>
      </w:r>
      <w:r w:rsidRPr="003408A6">
        <w:rPr>
          <w:lang w:val="en-AU"/>
        </w:rPr>
        <w:t xml:space="preserve">rogram. </w:t>
      </w:r>
    </w:p>
    <w:p w:rsidR="002B01FE" w:rsidRPr="003408A6" w:rsidRDefault="002B01FE" w:rsidP="007F15D6">
      <w:pPr>
        <w:pStyle w:val="BodyText"/>
        <w:rPr>
          <w:color w:val="000000"/>
          <w:lang w:val="en-AU"/>
        </w:rPr>
      </w:pPr>
      <w:r w:rsidRPr="003408A6">
        <w:rPr>
          <w:lang w:val="en-AU"/>
        </w:rPr>
        <w:t>We are not aware of which jurisdictions ran particular media/health promotion campaigns during the time periods under review</w:t>
      </w:r>
      <w:r w:rsidR="006A0439" w:rsidRPr="003408A6">
        <w:rPr>
          <w:lang w:val="en-AU"/>
        </w:rPr>
        <w:t>;</w:t>
      </w:r>
      <w:r w:rsidRPr="003408A6">
        <w:rPr>
          <w:lang w:val="en-AU"/>
        </w:rPr>
        <w:t xml:space="preserve"> </w:t>
      </w:r>
      <w:r w:rsidR="006A0439" w:rsidRPr="003408A6">
        <w:rPr>
          <w:lang w:val="en-AU"/>
        </w:rPr>
        <w:t>such campaigns</w:t>
      </w:r>
      <w:r w:rsidRPr="003408A6">
        <w:rPr>
          <w:lang w:val="en-AU"/>
        </w:rPr>
        <w:t xml:space="preserve"> could have influenced participation and detection rates. Other factors such as prominent media coverage of celebrities with cancer can also affect screening rates in a dramatic fashion. This was observed with the diagnosis and subsequent death of a young British reality television star from cervical cancer in 2008 and 2009.</w:t>
      </w:r>
      <w:hyperlink w:anchor="_ENREF_107" w:tooltip="Bowring, 2010 #1263" w:history="1">
        <w:r w:rsidR="00F27F90" w:rsidRPr="003408A6">
          <w:rPr>
            <w:lang w:val="en-AU"/>
          </w:rPr>
          <w:fldChar w:fldCharType="begin"/>
        </w:r>
        <w:r w:rsidR="00F27F90">
          <w:rPr>
            <w:lang w:val="en-AU"/>
          </w:rPr>
          <w:instrText xml:space="preserve"> ADDIN EN.CITE &lt;EndNote&gt;&lt;Cite&gt;&lt;Author&gt;Bowring&lt;/Author&gt;&lt;Year&gt;2010&lt;/Year&gt;&lt;RecNum&gt;1263&lt;/RecNum&gt;&lt;DisplayText&gt;&lt;style face="superscript"&gt;107&lt;/style&gt;&lt;/DisplayText&gt;&lt;record&gt;&lt;rec-number&gt;1263&lt;/rec-number&gt;&lt;foreign-keys&gt;&lt;key app="EN" db-id="dda0wweazfww9besetpx2r5pt0asp9ztvs95"&gt;1263&lt;/key&gt;&lt;/foreign-keys&gt;&lt;ref-type name="Journal Article"&gt;17&lt;/ref-type&gt;&lt;contributors&gt;&lt;authors&gt;&lt;author&gt;Bowring, Julie&lt;/author&gt;&lt;author&gt;Walker, Patrick&lt;/author&gt;&lt;/authors&gt;&lt;/contributors&gt;&lt;titles&gt;&lt;title&gt;The “Jade Goody effect”: what now for cervical cancer prevention?&lt;/title&gt;&lt;secondary-title&gt;Journal of Family Planning and Reproductive Health Care&lt;/secondary-title&gt;&lt;/titles&gt;&lt;periodical&gt;&lt;full-title&gt;Journal of Family Planning and Reproductive Health Care&lt;/full-title&gt;&lt;abbr-1&gt;J. Fam. Plann. Reprod. Health Care&lt;/abbr-1&gt;&lt;abbr-2&gt;J Fam Plann Reprod Health Care&lt;/abbr-2&gt;&lt;abbr-3&gt;Journal of Family Planning &amp;amp; Reproductive Health Care&lt;/abbr-3&gt;&lt;/periodical&gt;&lt;pages&gt;51-54&lt;/pages&gt;&lt;volume&gt;36&lt;/volume&gt;&lt;number&gt;2&lt;/number&gt;&lt;dates&gt;&lt;year&gt;2010&lt;/year&gt;&lt;/dates&gt;&lt;isbn&gt;1471-1893&lt;/isbn&gt;&lt;urls&gt;&lt;/urls&gt;&lt;/record&gt;&lt;/Cite&gt;&lt;/EndNote&gt;</w:instrText>
        </w:r>
        <w:r w:rsidR="00F27F90" w:rsidRPr="003408A6">
          <w:rPr>
            <w:lang w:val="en-AU"/>
          </w:rPr>
          <w:fldChar w:fldCharType="separate"/>
        </w:r>
        <w:r w:rsidR="00F27F90" w:rsidRPr="00F27F90">
          <w:rPr>
            <w:noProof/>
            <w:vertAlign w:val="superscript"/>
            <w:lang w:val="en-AU"/>
          </w:rPr>
          <w:t>107</w:t>
        </w:r>
        <w:r w:rsidR="00F27F90" w:rsidRPr="003408A6">
          <w:rPr>
            <w:lang w:val="en-AU"/>
          </w:rPr>
          <w:fldChar w:fldCharType="end"/>
        </w:r>
      </w:hyperlink>
      <w:r w:rsidRPr="003408A6">
        <w:rPr>
          <w:lang w:val="en-AU"/>
        </w:rPr>
        <w:t xml:space="preserve"> </w:t>
      </w:r>
    </w:p>
    <w:p w:rsidR="002B01FE" w:rsidRPr="003408A6" w:rsidRDefault="002B01FE" w:rsidP="007F15D6">
      <w:pPr>
        <w:pStyle w:val="BodyText"/>
        <w:rPr>
          <w:color w:val="000000"/>
          <w:lang w:val="en-AU"/>
        </w:rPr>
      </w:pPr>
      <w:r w:rsidRPr="003408A6">
        <w:rPr>
          <w:color w:val="000000"/>
          <w:lang w:val="en-AU"/>
        </w:rPr>
        <w:t xml:space="preserve">Our analysis included 2007 in the pre-vaccine/baseline years, although the </w:t>
      </w:r>
      <w:r w:rsidR="006A0439" w:rsidRPr="003408A6">
        <w:rPr>
          <w:color w:val="000000"/>
          <w:lang w:val="en-AU"/>
        </w:rPr>
        <w:t>N</w:t>
      </w:r>
      <w:r w:rsidRPr="003408A6">
        <w:rPr>
          <w:color w:val="000000"/>
          <w:lang w:val="en-AU"/>
        </w:rPr>
        <w:t xml:space="preserve">ational </w:t>
      </w:r>
      <w:r w:rsidR="006A0439" w:rsidRPr="003408A6">
        <w:rPr>
          <w:color w:val="000000"/>
          <w:lang w:val="en-AU"/>
        </w:rPr>
        <w:t>HPV Vaccination P</w:t>
      </w:r>
      <w:r w:rsidRPr="003408A6">
        <w:rPr>
          <w:color w:val="000000"/>
          <w:lang w:val="en-AU"/>
        </w:rPr>
        <w:t xml:space="preserve">rogram commenced in </w:t>
      </w:r>
      <w:r w:rsidRPr="003408A6">
        <w:rPr>
          <w:lang w:val="en-AU"/>
        </w:rPr>
        <w:t>April</w:t>
      </w:r>
      <w:r w:rsidRPr="003408A6">
        <w:rPr>
          <w:color w:val="000000"/>
          <w:lang w:val="en-AU"/>
        </w:rPr>
        <w:t xml:space="preserve"> of that year. Given the vaccine schedule and time between exposure and detection of HGA, we concluded that including 2007 in the pre-vaccine/baseline period was appropriate. Previous cohort studies have estimated the time between development </w:t>
      </w:r>
      <w:r w:rsidR="006A0439" w:rsidRPr="003408A6">
        <w:rPr>
          <w:color w:val="000000"/>
          <w:lang w:val="en-AU"/>
        </w:rPr>
        <w:t xml:space="preserve">of </w:t>
      </w:r>
      <w:r w:rsidRPr="003408A6">
        <w:rPr>
          <w:color w:val="000000"/>
          <w:lang w:val="en-AU"/>
        </w:rPr>
        <w:t xml:space="preserve">high-grade lesions following exposure to HPV infection. A cohort study in the </w:t>
      </w:r>
      <w:r w:rsidR="006A0439" w:rsidRPr="003408A6">
        <w:rPr>
          <w:color w:val="000000"/>
          <w:lang w:val="en-AU"/>
        </w:rPr>
        <w:t>UK</w:t>
      </w:r>
      <w:r w:rsidRPr="003408A6">
        <w:rPr>
          <w:color w:val="000000"/>
          <w:lang w:val="en-AU"/>
        </w:rPr>
        <w:t xml:space="preserve"> among female</w:t>
      </w:r>
      <w:r w:rsidR="006A0439" w:rsidRPr="003408A6">
        <w:rPr>
          <w:color w:val="000000"/>
          <w:lang w:val="en-AU"/>
        </w:rPr>
        <w:t>s aged</w:t>
      </w:r>
      <w:r w:rsidRPr="003408A6">
        <w:rPr>
          <w:color w:val="000000"/>
          <w:lang w:val="en-AU"/>
        </w:rPr>
        <w:t xml:space="preserve"> 15–19 years found the risk of high-grade cervical intraepithelial neoplasia was 18 times greater in females exposed to HPV (type 16) 6–12 months ago (relative hazards ratio 18.02 [95% CI</w:t>
      </w:r>
      <w:r w:rsidR="006A0439" w:rsidRPr="003408A6">
        <w:rPr>
          <w:color w:val="000000"/>
          <w:lang w:val="en-AU"/>
        </w:rPr>
        <w:t>:</w:t>
      </w:r>
      <w:r w:rsidRPr="003408A6">
        <w:rPr>
          <w:color w:val="000000"/>
          <w:lang w:val="en-AU"/>
        </w:rPr>
        <w:t xml:space="preserve"> 5.50</w:t>
      </w:r>
      <w:r w:rsidR="006A0439" w:rsidRPr="003408A6">
        <w:rPr>
          <w:color w:val="000000"/>
          <w:lang w:val="en-AU"/>
        </w:rPr>
        <w:t>–</w:t>
      </w:r>
      <w:r w:rsidRPr="003408A6">
        <w:rPr>
          <w:color w:val="000000"/>
          <w:lang w:val="en-AU"/>
        </w:rPr>
        <w:t>59.0]) compared to unexposed females.</w:t>
      </w:r>
      <w:hyperlink w:anchor="_ENREF_108" w:tooltip="Woodman, 2001 #1258" w:history="1">
        <w:r w:rsidR="00F27F90" w:rsidRPr="003408A6">
          <w:rPr>
            <w:color w:val="000000"/>
            <w:lang w:val="en-AU"/>
          </w:rPr>
          <w:fldChar w:fldCharType="begin"/>
        </w:r>
        <w:r w:rsidR="00F27F90">
          <w:rPr>
            <w:color w:val="000000"/>
            <w:lang w:val="en-AU"/>
          </w:rPr>
          <w:instrText xml:space="preserve"> ADDIN EN.CITE &lt;EndNote&gt;&lt;Cite&gt;&lt;Author&gt;Woodman&lt;/Author&gt;&lt;Year&gt;2001&lt;/Year&gt;&lt;RecNum&gt;1258&lt;/RecNum&gt;&lt;DisplayText&gt;&lt;style face="superscript"&gt;108&lt;/style&gt;&lt;/DisplayText&gt;&lt;record&gt;&lt;rec-number&gt;1258&lt;/rec-number&gt;&lt;foreign-keys&gt;&lt;key app="EN" db-id="dda0wweazfww9besetpx2r5pt0asp9ztvs95"&gt;1258&lt;/key&gt;&lt;/foreign-keys&gt;&lt;ref-type name="Journal Article"&gt;17&lt;/ref-type&gt;&lt;contributors&gt;&lt;authors&gt;&lt;author&gt;Woodman, Ciaran BJ&lt;/author&gt;&lt;author&gt;Collins, Stuart&lt;/author&gt;&lt;author&gt;Winter, Heather&lt;/author&gt;&lt;author&gt;Bailey, Andrew&lt;/author&gt;&lt;author&gt;Ellis, John&lt;/author&gt;&lt;author&gt;Prior, Pat&lt;/author&gt;&lt;author&gt;Yates, Marie&lt;/author&gt;&lt;author&gt;Rollason, Terry P&lt;/author&gt;&lt;author&gt;Young, Lawrence S&lt;/author&gt;&lt;/authors&gt;&lt;/contributors&gt;&lt;titles&gt;&lt;title&gt;Natural history of cervical human papillomavirus infection in young women: a longitudinal cohort study&lt;/title&gt;&lt;secondary-title&gt;Lancet&lt;/secondary-title&gt;&lt;/titles&gt;&lt;periodical&gt;&lt;full-title&gt;Lancet&lt;/full-title&gt;&lt;abbr-1&gt;Lancet&lt;/abbr-1&gt;&lt;abbr-2&gt;Lancet&lt;/abbr-2&gt;&lt;/periodical&gt;&lt;pages&gt;1831-1836&lt;/pages&gt;&lt;volume&gt;357&lt;/volume&gt;&lt;number&gt;9271&lt;/number&gt;&lt;dates&gt;&lt;year&gt;2001&lt;/year&gt;&lt;/dates&gt;&lt;isbn&gt;0140-6736&lt;/isbn&gt;&lt;urls&gt;&lt;/urls&gt;&lt;/record&gt;&lt;/Cite&gt;&lt;/EndNote&gt;</w:instrText>
        </w:r>
        <w:r w:rsidR="00F27F90" w:rsidRPr="003408A6">
          <w:rPr>
            <w:color w:val="000000"/>
            <w:lang w:val="en-AU"/>
          </w:rPr>
          <w:fldChar w:fldCharType="separate"/>
        </w:r>
        <w:r w:rsidR="00F27F90" w:rsidRPr="00F27F90">
          <w:rPr>
            <w:noProof/>
            <w:color w:val="000000"/>
            <w:vertAlign w:val="superscript"/>
            <w:lang w:val="en-AU"/>
          </w:rPr>
          <w:t>108</w:t>
        </w:r>
        <w:r w:rsidR="00F27F90" w:rsidRPr="003408A6">
          <w:rPr>
            <w:color w:val="000000"/>
            <w:lang w:val="en-AU"/>
          </w:rPr>
          <w:fldChar w:fldCharType="end"/>
        </w:r>
      </w:hyperlink>
      <w:r w:rsidRPr="003408A6">
        <w:rPr>
          <w:color w:val="000000"/>
          <w:lang w:val="en-AU"/>
        </w:rPr>
        <w:t xml:space="preserve"> Furthermore, a cohort study in the </w:t>
      </w:r>
      <w:r w:rsidR="001320B0" w:rsidRPr="003408A6">
        <w:rPr>
          <w:color w:val="000000"/>
          <w:lang w:val="en-AU"/>
        </w:rPr>
        <w:t>USA</w:t>
      </w:r>
      <w:r w:rsidRPr="003408A6">
        <w:rPr>
          <w:color w:val="000000"/>
          <w:lang w:val="en-AU"/>
        </w:rPr>
        <w:t xml:space="preserve"> of 241 women identified all HPV associated CIN 2 and 3 detected occurred within the first 24 month</w:t>
      </w:r>
      <w:r w:rsidR="006A0439" w:rsidRPr="003408A6">
        <w:rPr>
          <w:color w:val="000000"/>
          <w:lang w:val="en-AU"/>
        </w:rPr>
        <w:t>s</w:t>
      </w:r>
      <w:r w:rsidRPr="003408A6">
        <w:rPr>
          <w:color w:val="000000"/>
          <w:lang w:val="en-AU"/>
        </w:rPr>
        <w:t xml:space="preserve"> of initial detection </w:t>
      </w:r>
      <w:r w:rsidR="006A0439" w:rsidRPr="003408A6">
        <w:rPr>
          <w:color w:val="000000"/>
          <w:lang w:val="en-AU"/>
        </w:rPr>
        <w:t xml:space="preserve">of </w:t>
      </w:r>
      <w:r w:rsidRPr="003408A6">
        <w:rPr>
          <w:color w:val="000000"/>
          <w:lang w:val="en-AU"/>
        </w:rPr>
        <w:t>HPV infection.</w:t>
      </w:r>
      <w:hyperlink w:anchor="_ENREF_109" w:tooltip="Koutsky, 1992 #1259" w:history="1">
        <w:r w:rsidR="00F27F90" w:rsidRPr="003408A6">
          <w:rPr>
            <w:color w:val="000000"/>
            <w:lang w:val="en-AU"/>
          </w:rPr>
          <w:fldChar w:fldCharType="begin"/>
        </w:r>
        <w:r w:rsidR="00F27F90">
          <w:rPr>
            <w:color w:val="000000"/>
            <w:lang w:val="en-AU"/>
          </w:rPr>
          <w:instrText xml:space="preserve"> ADDIN EN.CITE &lt;EndNote&gt;&lt;Cite&gt;&lt;Author&gt;Koutsky&lt;/Author&gt;&lt;Year&gt;1992&lt;/Year&gt;&lt;RecNum&gt;1259&lt;/RecNum&gt;&lt;DisplayText&gt;&lt;style face="superscript"&gt;109&lt;/style&gt;&lt;/DisplayText&gt;&lt;record&gt;&lt;rec-number&gt;1259&lt;/rec-number&gt;&lt;foreign-keys&gt;&lt;key app="EN" db-id="dda0wweazfww9besetpx2r5pt0asp9ztvs95"&gt;1259&lt;/key&gt;&lt;/foreign-keys&gt;&lt;ref-type name="Journal Article"&gt;17&lt;/ref-type&gt;&lt;contributors&gt;&lt;authors&gt;&lt;author&gt;Koutsky, Laura A&lt;/author&gt;&lt;author&gt;Holmes, King K&lt;/author&gt;&lt;author&gt;Critchlow, Cathy W&lt;/author&gt;&lt;author&gt;Stevens, Claire E&lt;/author&gt;&lt;author&gt;Paavonen, Jorma&lt;/author&gt;&lt;author&gt;Beckmann, Anna Marie&lt;/author&gt;&lt;author&gt;DeRouen, Timothy A&lt;/author&gt;&lt;author&gt;Galloway, Denise A&lt;/author&gt;&lt;author&gt;Vernon, Debra&lt;/author&gt;&lt;author&gt;Kiviat, Nancy B&lt;/author&gt;&lt;/authors&gt;&lt;/contributors&gt;&lt;titles&gt;&lt;title&gt;A cohort study of the risk of cervical intraepithelial neoplasia grade 2 or 3 in relation to papillomavirus infection&lt;/title&gt;&lt;secondary-title&gt;New England Journal of Medicine&lt;/secondary-title&gt;&lt;/titles&gt;&lt;periodical&gt;&lt;full-title&gt;New England Journal of Medicine&lt;/full-title&gt;&lt;abbr-1&gt;N. Engl. J. Med.&lt;/abbr-1&gt;&lt;abbr-2&gt;N Engl J Med&lt;/abbr-2&gt;&lt;/periodical&gt;&lt;pages&gt;1272-1278&lt;/pages&gt;&lt;volume&gt;327&lt;/volume&gt;&lt;number&gt;18&lt;/number&gt;&lt;dates&gt;&lt;year&gt;1992&lt;/year&gt;&lt;/dates&gt;&lt;isbn&gt;0028-4793&lt;/isbn&gt;&lt;urls&gt;&lt;/urls&gt;&lt;/record&gt;&lt;/Cite&gt;&lt;/EndNote&gt;</w:instrText>
        </w:r>
        <w:r w:rsidR="00F27F90" w:rsidRPr="003408A6">
          <w:rPr>
            <w:color w:val="000000"/>
            <w:lang w:val="en-AU"/>
          </w:rPr>
          <w:fldChar w:fldCharType="separate"/>
        </w:r>
        <w:r w:rsidR="00F27F90" w:rsidRPr="00F27F90">
          <w:rPr>
            <w:noProof/>
            <w:color w:val="000000"/>
            <w:vertAlign w:val="superscript"/>
            <w:lang w:val="en-AU"/>
          </w:rPr>
          <w:t>109</w:t>
        </w:r>
        <w:r w:rsidR="00F27F90" w:rsidRPr="003408A6">
          <w:rPr>
            <w:color w:val="000000"/>
            <w:lang w:val="en-AU"/>
          </w:rPr>
          <w:fldChar w:fldCharType="end"/>
        </w:r>
      </w:hyperlink>
      <w:r w:rsidRPr="003408A6">
        <w:rPr>
          <w:color w:val="000000"/>
          <w:lang w:val="en-AU"/>
        </w:rPr>
        <w:t xml:space="preserve"> More recently, a median time of 4 months for detection of cervical squamous intraepithelial lesions following first incident HPV infection was reported in a cohort study of female university students in the US</w:t>
      </w:r>
      <w:r w:rsidR="009B406F" w:rsidRPr="003408A6">
        <w:rPr>
          <w:color w:val="000000"/>
          <w:lang w:val="en-AU"/>
        </w:rPr>
        <w:t>A</w:t>
      </w:r>
      <w:r w:rsidRPr="003408A6">
        <w:rPr>
          <w:color w:val="000000"/>
          <w:lang w:val="en-AU"/>
        </w:rPr>
        <w:t>.</w:t>
      </w:r>
      <w:hyperlink w:anchor="_ENREF_110" w:tooltip="Winer, 2005 #1260" w:history="1">
        <w:r w:rsidR="00F27F90" w:rsidRPr="003408A6">
          <w:rPr>
            <w:color w:val="000000"/>
            <w:lang w:val="en-AU"/>
          </w:rPr>
          <w:fldChar w:fldCharType="begin"/>
        </w:r>
        <w:r w:rsidR="00F27F90">
          <w:rPr>
            <w:color w:val="000000"/>
            <w:lang w:val="en-AU"/>
          </w:rPr>
          <w:instrText xml:space="preserve"> ADDIN EN.CITE &lt;EndNote&gt;&lt;Cite&gt;&lt;Author&gt;Winer&lt;/Author&gt;&lt;Year&gt;2005&lt;/Year&gt;&lt;RecNum&gt;1260&lt;/RecNum&gt;&lt;DisplayText&gt;&lt;style face="superscript"&gt;110&lt;/style&gt;&lt;/DisplayText&gt;&lt;record&gt;&lt;rec-number&gt;1260&lt;/rec-number&gt;&lt;foreign-keys&gt;&lt;key app="EN" db-id="dda0wweazfww9besetpx2r5pt0asp9ztvs95"&gt;1260&lt;/key&gt;&lt;/foreign-keys&gt;&lt;ref-type name="Journal Article"&gt;17&lt;/ref-type&gt;&lt;contributors&gt;&lt;authors&gt;&lt;author&gt;Winer, Rachel L&lt;/author&gt;&lt;author&gt;Kiviat, Nancy B&lt;/author&gt;&lt;author&gt;Hughes, James P&lt;/author&gt;&lt;author&gt;Adam, Diane E&lt;/author&gt;&lt;author&gt;Lee, Shu-Kuang&lt;/author&gt;&lt;author&gt;Kuypers, Jane M&lt;/author&gt;&lt;author&gt;Koutsky, Laura A&lt;/author&gt;&lt;/authors&gt;&lt;/contributors&gt;&lt;titles&gt;&lt;title&gt;Development and duration of human papillomavirus lesions, after initial infection&lt;/title&gt;&lt;secondary-title&gt;Journal of Infectious Diseases&lt;/secondary-title&gt;&lt;/titles&gt;&lt;periodical&gt;&lt;full-title&gt;Journal of Infectious Diseases&lt;/full-title&gt;&lt;abbr-1&gt;J. Infect. Dis.&lt;/abbr-1&gt;&lt;abbr-2&gt;J Infect Dis&lt;/abbr-2&gt;&lt;/periodical&gt;&lt;pages&gt;731-738&lt;/pages&gt;&lt;volume&gt;191&lt;/volume&gt;&lt;number&gt;5&lt;/number&gt;&lt;dates&gt;&lt;year&gt;2005&lt;/year&gt;&lt;/dates&gt;&lt;isbn&gt;0022-1899&lt;/isbn&gt;&lt;urls&gt;&lt;/urls&gt;&lt;/record&gt;&lt;/Cite&gt;&lt;/EndNote&gt;</w:instrText>
        </w:r>
        <w:r w:rsidR="00F27F90" w:rsidRPr="003408A6">
          <w:rPr>
            <w:color w:val="000000"/>
            <w:lang w:val="en-AU"/>
          </w:rPr>
          <w:fldChar w:fldCharType="separate"/>
        </w:r>
        <w:r w:rsidR="00F27F90" w:rsidRPr="00F27F90">
          <w:rPr>
            <w:noProof/>
            <w:color w:val="000000"/>
            <w:vertAlign w:val="superscript"/>
            <w:lang w:val="en-AU"/>
          </w:rPr>
          <w:t>110</w:t>
        </w:r>
        <w:r w:rsidR="00F27F90" w:rsidRPr="003408A6">
          <w:rPr>
            <w:color w:val="000000"/>
            <w:lang w:val="en-AU"/>
          </w:rPr>
          <w:fldChar w:fldCharType="end"/>
        </w:r>
      </w:hyperlink>
    </w:p>
    <w:p w:rsidR="002B01FE" w:rsidRPr="003408A6" w:rsidRDefault="002B01FE" w:rsidP="007F15D6">
      <w:pPr>
        <w:pStyle w:val="BodyText"/>
        <w:rPr>
          <w:lang w:val="en-AU"/>
        </w:rPr>
      </w:pPr>
      <w:r w:rsidRPr="003408A6">
        <w:rPr>
          <w:lang w:val="en-AU"/>
        </w:rPr>
        <w:t xml:space="preserve">HGA detection may vary between </w:t>
      </w:r>
      <w:r w:rsidR="009B406F" w:rsidRPr="003408A6">
        <w:rPr>
          <w:lang w:val="en-AU"/>
        </w:rPr>
        <w:t>jurisdictions</w:t>
      </w:r>
      <w:r w:rsidRPr="003408A6">
        <w:rPr>
          <w:lang w:val="en-AU"/>
        </w:rPr>
        <w:t xml:space="preserve"> due to random variation with small populations; underlying differences in HPV exposure or persistence (due to different sexual behaviours or mixing patterns due to age structures or geography or cofactors such as smoking); differences in the completeness of histology reporting from laboratories to the registers</w:t>
      </w:r>
      <w:r w:rsidR="009B406F" w:rsidRPr="003408A6">
        <w:rPr>
          <w:lang w:val="en-AU"/>
        </w:rPr>
        <w:t>;</w:t>
      </w:r>
      <w:r w:rsidRPr="003408A6">
        <w:rPr>
          <w:lang w:val="en-AU"/>
        </w:rPr>
        <w:t xml:space="preserve"> or differences in the quality of specimen collection, processing and interpretation. The NCSP has standards for laboratories to maintain in relation to the detection rates of HGAs. Monitoring and feedback can result in changes in detection rates from particular laboratories over time, which may have the potential to influence average detection rates. </w:t>
      </w:r>
    </w:p>
    <w:p w:rsidR="002B01FE" w:rsidRPr="003408A6" w:rsidRDefault="002B01FE" w:rsidP="007F15D6">
      <w:pPr>
        <w:pStyle w:val="BodyText"/>
        <w:rPr>
          <w:lang w:val="en-AU"/>
        </w:rPr>
      </w:pPr>
      <w:r w:rsidRPr="003408A6">
        <w:rPr>
          <w:lang w:val="en-AU"/>
        </w:rPr>
        <w:t xml:space="preserve">The </w:t>
      </w:r>
      <w:r w:rsidR="008B39E1" w:rsidRPr="003408A6">
        <w:rPr>
          <w:rFonts w:eastAsia="Calibri"/>
          <w:color w:val="000000"/>
          <w:lang w:val="en-AU"/>
        </w:rPr>
        <w:t>Northern Territory</w:t>
      </w:r>
      <w:r w:rsidRPr="003408A6">
        <w:rPr>
          <w:lang w:val="en-AU"/>
        </w:rPr>
        <w:t xml:space="preserve"> appeared to experience one of the highest rates of HGA</w:t>
      </w:r>
      <w:r w:rsidR="00B27DFA">
        <w:rPr>
          <w:lang w:val="en-AU"/>
        </w:rPr>
        <w:t>s</w:t>
      </w:r>
      <w:r w:rsidRPr="003408A6">
        <w:rPr>
          <w:lang w:val="en-AU"/>
        </w:rPr>
        <w:t xml:space="preserve"> in </w:t>
      </w:r>
      <w:r w:rsidR="00382CB5" w:rsidRPr="003408A6">
        <w:rPr>
          <w:lang w:val="en-AU"/>
        </w:rPr>
        <w:t xml:space="preserve">females </w:t>
      </w:r>
      <w:r w:rsidRPr="003408A6">
        <w:rPr>
          <w:lang w:val="en-AU"/>
        </w:rPr>
        <w:t>aged &lt;20 year</w:t>
      </w:r>
      <w:r w:rsidR="00382CB5" w:rsidRPr="003408A6">
        <w:rPr>
          <w:lang w:val="en-AU"/>
        </w:rPr>
        <w:t>s</w:t>
      </w:r>
      <w:r w:rsidRPr="003408A6">
        <w:rPr>
          <w:lang w:val="en-AU"/>
        </w:rPr>
        <w:t xml:space="preserve"> and 20–24 years of all the jurisdictions.</w:t>
      </w:r>
      <w:r w:rsidRPr="003408A6">
        <w:rPr>
          <w:color w:val="000000"/>
          <w:shd w:val="clear" w:color="auto" w:fill="FFFFFF"/>
          <w:lang w:val="en-AU"/>
        </w:rPr>
        <w:t xml:space="preserve"> One explanation for this is that </w:t>
      </w:r>
      <w:r w:rsidRPr="003408A6">
        <w:rPr>
          <w:lang w:val="en-AU"/>
        </w:rPr>
        <w:t xml:space="preserve">the </w:t>
      </w:r>
      <w:r w:rsidR="008B39E1" w:rsidRPr="003408A6">
        <w:rPr>
          <w:rFonts w:eastAsia="Calibri"/>
          <w:color w:val="000000"/>
          <w:lang w:val="en-AU"/>
        </w:rPr>
        <w:t>Northern Territory</w:t>
      </w:r>
      <w:r w:rsidRPr="003408A6">
        <w:rPr>
          <w:lang w:val="en-AU"/>
        </w:rPr>
        <w:t xml:space="preserve"> has the highest proportion of Indigenous residents of all the </w:t>
      </w:r>
      <w:r w:rsidR="009B406F" w:rsidRPr="003408A6">
        <w:rPr>
          <w:lang w:val="en-AU"/>
        </w:rPr>
        <w:t>s</w:t>
      </w:r>
      <w:r w:rsidRPr="003408A6">
        <w:rPr>
          <w:lang w:val="en-AU"/>
        </w:rPr>
        <w:t xml:space="preserve">tates and </w:t>
      </w:r>
      <w:r w:rsidR="009B406F" w:rsidRPr="003408A6">
        <w:rPr>
          <w:lang w:val="en-AU"/>
        </w:rPr>
        <w:t>t</w:t>
      </w:r>
      <w:r w:rsidRPr="003408A6">
        <w:rPr>
          <w:lang w:val="en-AU"/>
        </w:rPr>
        <w:t>erritories</w:t>
      </w:r>
      <w:hyperlink w:anchor="_ENREF_111" w:tooltip="Australian Bureau of Statistics, 2010 #1254" w:history="1">
        <w:r w:rsidR="00F27F90" w:rsidRPr="003408A6">
          <w:rPr>
            <w:lang w:val="en-AU"/>
          </w:rPr>
          <w:fldChar w:fldCharType="begin"/>
        </w:r>
        <w:r w:rsidR="00F27F90">
          <w:rPr>
            <w:lang w:val="en-AU"/>
          </w:rPr>
          <w:instrText xml:space="preserve"> ADDIN EN.CITE &lt;EndNote&gt;&lt;Cite&gt;&lt;Author&gt;Australian Bureau of Statistics&lt;/Author&gt;&lt;Year&gt;2010&lt;/Year&gt;&lt;RecNum&gt;1254&lt;/RecNum&gt;&lt;DisplayText&gt;&lt;style face="superscript"&gt;111&lt;/style&gt;&lt;/DisplayText&gt;&lt;record&gt;&lt;rec-number&gt;1254&lt;/rec-number&gt;&lt;foreign-keys&gt;&lt;key app="EN" db-id="dda0wweazfww9besetpx2r5pt0asp9ztvs95"&gt;1254&lt;/key&gt;&lt;/foreign-keys&gt;&lt;ref-type name="Web Page"&gt;12&lt;/ref-type&gt;&lt;contributors&gt;&lt;authors&gt;&lt;author&gt;Australian Bureau of Statistics,&lt;/author&gt;&lt;/authors&gt;&lt;/contributors&gt;&lt;titles&gt;&lt;title&gt;Demographic, social and economic characteristics overview: Aboriginal and Torres Strait Islander people and where they live&lt;/title&gt;&lt;/titles&gt;&lt;volume&gt;2013&lt;/volume&gt;&lt;number&gt;16 June 2013&lt;/number&gt;&lt;dates&gt;&lt;year&gt;2010&lt;/year&gt;&lt;pub-dates&gt;&lt;date&gt; 19 December 2012&lt;/date&gt;&lt;/pub-dates&gt;&lt;/dates&gt;&lt;urls&gt;&lt;related-urls&gt;&lt;url&gt;http://www.abs.gov.au/AUSSTATS/abs@.nsf/lookup/4704.0Chapter210Oct+2010&lt;/url&gt;&lt;/related-urls&gt;&lt;/urls&gt;&lt;custom1&gt;2013&lt;/custom1&gt;&lt;custom2&gt;16 June&lt;/custom2&gt;&lt;/record&gt;&lt;/Cite&gt;&lt;/EndNote&gt;</w:instrText>
        </w:r>
        <w:r w:rsidR="00F27F90" w:rsidRPr="003408A6">
          <w:rPr>
            <w:lang w:val="en-AU"/>
          </w:rPr>
          <w:fldChar w:fldCharType="separate"/>
        </w:r>
        <w:r w:rsidR="00F27F90" w:rsidRPr="00F27F90">
          <w:rPr>
            <w:noProof/>
            <w:vertAlign w:val="superscript"/>
            <w:lang w:val="en-AU"/>
          </w:rPr>
          <w:t>111</w:t>
        </w:r>
        <w:r w:rsidR="00F27F90" w:rsidRPr="003408A6">
          <w:rPr>
            <w:lang w:val="en-AU"/>
          </w:rPr>
          <w:fldChar w:fldCharType="end"/>
        </w:r>
      </w:hyperlink>
      <w:r w:rsidRPr="003408A6">
        <w:rPr>
          <w:lang w:val="en-AU"/>
        </w:rPr>
        <w:t xml:space="preserve"> and it has also been well</w:t>
      </w:r>
      <w:r w:rsidR="009B406F" w:rsidRPr="003408A6">
        <w:rPr>
          <w:lang w:val="en-AU"/>
        </w:rPr>
        <w:t xml:space="preserve"> </w:t>
      </w:r>
      <w:r w:rsidRPr="003408A6">
        <w:rPr>
          <w:lang w:val="en-AU"/>
        </w:rPr>
        <w:t xml:space="preserve">documented that the incidence of cervical cancer is twice as high among Indigenous women </w:t>
      </w:r>
      <w:r w:rsidR="009B406F" w:rsidRPr="003408A6">
        <w:rPr>
          <w:lang w:val="en-AU"/>
        </w:rPr>
        <w:t>as it is in</w:t>
      </w:r>
      <w:r w:rsidRPr="003408A6">
        <w:rPr>
          <w:lang w:val="en-AU"/>
        </w:rPr>
        <w:t xml:space="preserve"> non-Indigenous women.</w:t>
      </w:r>
      <w:hyperlink w:anchor="_ENREF_10" w:tooltip="Australian Institute of Health and Welfare (AIHW), 2012 #1212" w:history="1">
        <w:r w:rsidR="00F27F90" w:rsidRPr="003408A6">
          <w:rPr>
            <w:lang w:val="en-AU"/>
          </w:rPr>
          <w:fldChar w:fldCharType="begin"/>
        </w:r>
        <w:r w:rsidR="00F27F90" w:rsidRPr="003408A6">
          <w:rPr>
            <w:lang w:val="en-AU"/>
          </w:rPr>
          <w:instrText xml:space="preserve"> ADDIN EN.CITE &lt;EndNote&gt;&lt;Cite&gt;&lt;Author&gt;Australian Institute of Health and Welfare (AIHW)&lt;/Author&gt;&lt;Year&gt;2012&lt;/Year&gt;&lt;RecNum&gt;1212&lt;/RecNum&gt;&lt;DisplayText&gt;&lt;style face="superscript"&gt;10&lt;/style&gt;&lt;/DisplayText&gt;&lt;record&gt;&lt;rec-number&gt;1212&lt;/rec-number&gt;&lt;foreign-keys&gt;&lt;key app="EN" db-id="dda0wweazfww9besetpx2r5pt0asp9ztvs95"&gt;1212&lt;/key&gt;&lt;/foreign-keys&gt;&lt;ref-type name="Report"&gt;27&lt;/ref-type&gt;&lt;contributors&gt;&lt;authors&gt;&lt;author&gt;Australian Institute of Health and Welfare (AIHW),&lt;/author&gt;&lt;/authors&gt;&lt;/contributors&gt;&lt;titles&gt;&lt;title&gt;Cervical screening in Australia 2009-2010. Cancer series no. 67. Cat. no. CAN 63&lt;/title&gt;&lt;/titles&gt;&lt;dates&gt;&lt;year&gt;2012&lt;/year&gt;&lt;/dates&gt;&lt;pub-location&gt;Canberra&lt;/pub-location&gt;&lt;publisher&gt;AIHW&lt;/publisher&gt;&lt;urls&gt;&lt;/urls&gt;&lt;/record&gt;&lt;/Cite&gt;&lt;/EndNote&gt;</w:instrText>
        </w:r>
        <w:r w:rsidR="00F27F90" w:rsidRPr="003408A6">
          <w:rPr>
            <w:lang w:val="en-AU"/>
          </w:rPr>
          <w:fldChar w:fldCharType="separate"/>
        </w:r>
        <w:r w:rsidR="00F27F90" w:rsidRPr="003408A6">
          <w:rPr>
            <w:noProof/>
            <w:vertAlign w:val="superscript"/>
            <w:lang w:val="en-AU"/>
          </w:rPr>
          <w:t>10</w:t>
        </w:r>
        <w:r w:rsidR="00F27F90" w:rsidRPr="003408A6">
          <w:rPr>
            <w:lang w:val="en-AU"/>
          </w:rPr>
          <w:fldChar w:fldCharType="end"/>
        </w:r>
      </w:hyperlink>
      <w:r w:rsidRPr="003408A6">
        <w:rPr>
          <w:lang w:val="en-AU"/>
        </w:rPr>
        <w:t xml:space="preserve"> A study of </w:t>
      </w:r>
      <w:r w:rsidR="009B406F" w:rsidRPr="003408A6">
        <w:rPr>
          <w:lang w:val="en-AU"/>
        </w:rPr>
        <w:t xml:space="preserve">pre-vaccination </w:t>
      </w:r>
      <w:r w:rsidRPr="003408A6">
        <w:rPr>
          <w:lang w:val="en-AU"/>
        </w:rPr>
        <w:t>HPV prevalence did not find any significant difference in HPV prevalence or prevalence of vaccine</w:t>
      </w:r>
      <w:r w:rsidR="00B27DFA">
        <w:rPr>
          <w:lang w:val="en-AU"/>
        </w:rPr>
        <w:t>-</w:t>
      </w:r>
      <w:r w:rsidRPr="003408A6">
        <w:rPr>
          <w:lang w:val="en-AU"/>
        </w:rPr>
        <w:t xml:space="preserve">preventable </w:t>
      </w:r>
      <w:r w:rsidR="009B406F" w:rsidRPr="003408A6">
        <w:rPr>
          <w:lang w:val="en-AU"/>
        </w:rPr>
        <w:t xml:space="preserve">HPV </w:t>
      </w:r>
      <w:r w:rsidRPr="003408A6">
        <w:rPr>
          <w:lang w:val="en-AU"/>
        </w:rPr>
        <w:t>types between young Indigenous and non-Indigenous Australian women.</w:t>
      </w:r>
      <w:hyperlink w:anchor="_ENREF_112" w:tooltip="Garland, 2011 #465" w:history="1">
        <w:r w:rsidR="00F27F90" w:rsidRPr="003408A6">
          <w:rPr>
            <w:lang w:val="en-AU"/>
          </w:rPr>
          <w:fldChar w:fldCharType="begin">
            <w:fldData xml:space="preserve">PEVuZE5vdGU+PENpdGU+PEF1dGhvcj5HYXJsYW5kPC9BdXRob3I+PFllYXI+MjAxMTwvWWVhcj48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PEVuZE5vdGU+PENpdGU+PEF1dGhvcj5HYXJsYW5kPC9BdXRob3I+PFllYXI+MjAxMTwvWWVhcj48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112</w:t>
        </w:r>
        <w:r w:rsidR="00F27F90" w:rsidRPr="003408A6">
          <w:rPr>
            <w:lang w:val="en-AU"/>
          </w:rPr>
          <w:fldChar w:fldCharType="end"/>
        </w:r>
      </w:hyperlink>
      <w:r w:rsidRPr="003408A6">
        <w:rPr>
          <w:lang w:val="en-AU"/>
        </w:rPr>
        <w:t xml:space="preserve"> Cofactors such as smoking, other </w:t>
      </w:r>
      <w:r w:rsidR="00E91561" w:rsidRPr="003408A6">
        <w:rPr>
          <w:lang w:val="en-AU"/>
        </w:rPr>
        <w:t xml:space="preserve">sexually transmissible infections </w:t>
      </w:r>
      <w:r w:rsidRPr="003408A6">
        <w:rPr>
          <w:lang w:val="en-AU"/>
        </w:rPr>
        <w:t xml:space="preserve">and early age of first pregnancy/high parity may be important in explaining different rates of abnormalities and the development of cancer. Indigenous status is not currently able to be collected in the national cervical screening data. If it could be captured in the future, that would enable research on Indigenous status and cervical screening participation to occur. </w:t>
      </w:r>
    </w:p>
    <w:p w:rsidR="002B01FE" w:rsidRPr="003408A6" w:rsidRDefault="002B01FE" w:rsidP="007F15D6">
      <w:pPr>
        <w:pStyle w:val="BodyText"/>
        <w:rPr>
          <w:lang w:val="en-AU"/>
        </w:rPr>
      </w:pPr>
      <w:r w:rsidRPr="003408A6">
        <w:rPr>
          <w:lang w:val="en-AU"/>
        </w:rPr>
        <w:t>It must be noted that other factors</w:t>
      </w:r>
      <w:r w:rsidR="006D1565" w:rsidRPr="003408A6">
        <w:fldChar w:fldCharType="begin"/>
      </w:r>
      <w:r w:rsidR="00F27F90">
        <w:instrText xml:space="preserve"> ADDIN EN.CITE &lt;EndNote&gt;&lt;Cite&gt;&lt;Author&gt;World Health Organization&lt;/Author&gt;&lt;Year&gt;2010&lt;/Year&gt;&lt;RecNum&gt;1241&lt;/RecNum&gt;&lt;DisplayText&gt;&lt;style face="superscript"&gt;103,106&lt;/style&gt;&lt;/DisplayText&gt;&lt;record&gt;&lt;rec-number&gt;1241&lt;/rec-number&gt;&lt;foreign-keys&gt;&lt;key app="EN" db-id="dda0wweazfww9besetpx2r5pt0asp9ztvs95"&gt;1241&lt;/key&gt;&lt;/foreign-keys&gt;&lt;ref-type name="Report"&gt;27&lt;/ref-type&gt;&lt;contributors&gt;&lt;authors&gt;&lt;author&gt;World Health Organization (WHO),&lt;/author&gt;&lt;/authors&gt;&lt;/contributors&gt;&lt;titles&gt;&lt;title&gt;Report of the meeting on HPV Vaccine Coverage and Impact Monitoring&lt;/title&gt;&lt;/titles&gt;&lt;dates&gt;&lt;year&gt;2010&lt;/year&gt;&lt;pub-dates&gt;&lt;date&gt;16-17 November 2009&lt;/date&gt;&lt;/pub-dates&gt;&lt;/dates&gt;&lt;pub-location&gt;Geneva&lt;/pub-location&gt;&lt;publisher&gt;WHO&lt;/publisher&gt;&lt;urls&gt;&lt;/urls&gt;&lt;/record&gt;&lt;/Cite&gt;&lt;Cite&gt;&lt;Author&gt;Mullins&lt;/Author&gt;&lt;Year&gt;2013&lt;/Year&gt;&lt;RecNum&gt;1262&lt;/RecNum&gt;&lt;record&gt;&lt;rec-number&gt;1262&lt;/rec-number&gt;&lt;foreign-keys&gt;&lt;key app="EN" db-id="dda0wweazfww9besetpx2r5pt0asp9ztvs95"&gt;1262&lt;/key&gt;&lt;/foreign-keys&gt;&lt;ref-type name="Journal Article"&gt;17&lt;/ref-type&gt;&lt;contributors&gt;&lt;authors&gt;&lt;author&gt;Mullins, R&lt;/author&gt;&lt;author&gt;Coomber, K&lt;/author&gt;&lt;author&gt;Broun, K&lt;/author&gt;&lt;author&gt;Wakefield, M&lt;/author&gt;&lt;/authors&gt;&lt;/contributors&gt;&lt;titles&gt;&lt;title&gt;Promoting cervical screening after introduction of the human papillomavirus vaccine: the effect of repeated mass media campaigns&lt;/title&gt;&lt;secondary-title&gt;Journal of Medical Screening&lt;/secondary-title&gt;&lt;/titles&gt;&lt;periodical&gt;&lt;full-title&gt;Journal of Medical Screening&lt;/full-title&gt;&lt;abbr-1&gt;J. Med. Screen.&lt;/abbr-1&gt;&lt;abbr-2&gt;J Med Screen&lt;/abbr-2&gt;&lt;/periodical&gt;&lt;pages&gt;27-32&lt;/pages&gt;&lt;volume&gt;20&lt;/volume&gt;&lt;number&gt;1&lt;/number&gt;&lt;dates&gt;&lt;year&gt;2013&lt;/year&gt;&lt;/dates&gt;&lt;isbn&gt;0969-1413&lt;/isbn&gt;&lt;urls&gt;&lt;related-urls&gt;&lt;url&gt;http://msc.sagepub.com/content/early/2013/05/13/0969141313478588&lt;/url&gt;&lt;/related-urls&gt;&lt;/urls&gt;&lt;/record&gt;&lt;/Cite&gt;&lt;/EndNote&gt;</w:instrText>
      </w:r>
      <w:r w:rsidR="006D1565" w:rsidRPr="003408A6">
        <w:fldChar w:fldCharType="separate"/>
      </w:r>
      <w:hyperlink w:anchor="_ENREF_103" w:tooltip="World Health Organization (WHO), 2010 #1241" w:history="1">
        <w:r w:rsidR="00F27F90" w:rsidRPr="00F27F90">
          <w:rPr>
            <w:noProof/>
            <w:vertAlign w:val="superscript"/>
          </w:rPr>
          <w:t>103</w:t>
        </w:r>
      </w:hyperlink>
      <w:r w:rsidR="00F27F90" w:rsidRPr="00F27F90">
        <w:rPr>
          <w:noProof/>
          <w:vertAlign w:val="superscript"/>
        </w:rPr>
        <w:t>,</w:t>
      </w:r>
      <w:hyperlink w:anchor="_ENREF_106" w:tooltip="Mullins, 2013 #1262" w:history="1">
        <w:r w:rsidR="00F27F90" w:rsidRPr="00F27F90">
          <w:rPr>
            <w:noProof/>
            <w:vertAlign w:val="superscript"/>
          </w:rPr>
          <w:t>106</w:t>
        </w:r>
      </w:hyperlink>
      <w:r w:rsidR="006D1565" w:rsidRPr="003408A6">
        <w:fldChar w:fldCharType="end"/>
      </w:r>
      <w:r w:rsidRPr="003408A6">
        <w:rPr>
          <w:lang w:val="en-AU"/>
        </w:rPr>
        <w:t xml:space="preserve"> may have played a role in the observed declines </w:t>
      </w:r>
      <w:r w:rsidR="009B406F" w:rsidRPr="003408A6">
        <w:rPr>
          <w:lang w:val="en-AU"/>
        </w:rPr>
        <w:t xml:space="preserve">in rates of HGAs </w:t>
      </w:r>
      <w:r w:rsidRPr="003408A6">
        <w:rPr>
          <w:lang w:val="en-AU"/>
        </w:rPr>
        <w:t>which limits inferences from reduction</w:t>
      </w:r>
      <w:r w:rsidR="009B406F" w:rsidRPr="003408A6">
        <w:rPr>
          <w:lang w:val="en-AU"/>
        </w:rPr>
        <w:t>s</w:t>
      </w:r>
      <w:r w:rsidRPr="003408A6">
        <w:rPr>
          <w:lang w:val="en-AU"/>
        </w:rPr>
        <w:t xml:space="preserve"> observed in our ecological analysis. A more definitive analysis, to causally establish the role of HPV vaccination in the reduction of HGAs, requires data linkage between the NHVPR and the </w:t>
      </w:r>
      <w:r w:rsidR="001320B0" w:rsidRPr="003408A6">
        <w:rPr>
          <w:lang w:val="en-AU"/>
        </w:rPr>
        <w:t>s</w:t>
      </w:r>
      <w:r w:rsidRPr="003408A6">
        <w:rPr>
          <w:lang w:val="en-AU"/>
        </w:rPr>
        <w:t xml:space="preserve">tate Pap </w:t>
      </w:r>
      <w:r w:rsidR="00B27DFA">
        <w:rPr>
          <w:lang w:val="en-AU"/>
        </w:rPr>
        <w:t>t</w:t>
      </w:r>
      <w:r w:rsidRPr="003408A6">
        <w:rPr>
          <w:lang w:val="en-AU"/>
        </w:rPr>
        <w:t xml:space="preserve">est </w:t>
      </w:r>
      <w:r w:rsidR="00B27DFA">
        <w:rPr>
          <w:lang w:val="en-AU"/>
        </w:rPr>
        <w:t>r</w:t>
      </w:r>
      <w:r w:rsidRPr="003408A6">
        <w:rPr>
          <w:lang w:val="en-AU"/>
        </w:rPr>
        <w:t xml:space="preserve">egisters to classify women according to their vaccination status and directly compare rates of abnormalities by vaccination status. </w:t>
      </w:r>
    </w:p>
    <w:p w:rsidR="002B01FE" w:rsidRPr="003408A6" w:rsidRDefault="00260AF7" w:rsidP="007F15D6">
      <w:pPr>
        <w:pStyle w:val="Heading2"/>
        <w:rPr>
          <w:sz w:val="22"/>
          <w:szCs w:val="22"/>
        </w:rPr>
      </w:pPr>
      <w:hyperlink w:anchor="_ENREF_5" w:tooltip="Theraputic Goods Administration, 2011 #1205" w:history="1"/>
      <w:bookmarkStart w:id="205" w:name="_Toc368480202"/>
      <w:bookmarkStart w:id="206" w:name="_Toc396926141"/>
      <w:r w:rsidR="002B01FE" w:rsidRPr="003408A6">
        <w:t>Conclusion</w:t>
      </w:r>
      <w:bookmarkEnd w:id="205"/>
      <w:bookmarkEnd w:id="206"/>
    </w:p>
    <w:p w:rsidR="002B01FE" w:rsidRPr="003408A6" w:rsidRDefault="002B01FE" w:rsidP="007F15D6">
      <w:pPr>
        <w:pStyle w:val="BodyText"/>
        <w:rPr>
          <w:b/>
          <w:lang w:val="en-AU"/>
        </w:rPr>
      </w:pPr>
      <w:r w:rsidRPr="003408A6">
        <w:rPr>
          <w:lang w:val="en-AU"/>
        </w:rPr>
        <w:t xml:space="preserve">Our analysis </w:t>
      </w:r>
      <w:r w:rsidR="009B406F" w:rsidRPr="003408A6">
        <w:rPr>
          <w:lang w:val="en-AU"/>
        </w:rPr>
        <w:t xml:space="preserve">is </w:t>
      </w:r>
      <w:r w:rsidRPr="003408A6">
        <w:rPr>
          <w:lang w:val="en-AU"/>
        </w:rPr>
        <w:t xml:space="preserve">the first </w:t>
      </w:r>
      <w:r w:rsidR="009B406F" w:rsidRPr="003408A6">
        <w:rPr>
          <w:lang w:val="en-AU"/>
        </w:rPr>
        <w:t>to</w:t>
      </w:r>
      <w:r w:rsidRPr="003408A6">
        <w:rPr>
          <w:lang w:val="en-AU"/>
        </w:rPr>
        <w:t xml:space="preserve"> explicitly </w:t>
      </w:r>
      <w:r w:rsidR="009B406F" w:rsidRPr="003408A6">
        <w:rPr>
          <w:lang w:val="en-AU"/>
        </w:rPr>
        <w:t xml:space="preserve">examine national and jurisdictional </w:t>
      </w:r>
      <w:r w:rsidRPr="003408A6">
        <w:rPr>
          <w:lang w:val="en-AU"/>
        </w:rPr>
        <w:t>screening data on changes in rates of HGA detected in women following the introduction of the National HPV Vaccination Program. The rate of HGA</w:t>
      </w:r>
      <w:r w:rsidR="00B27DFA">
        <w:rPr>
          <w:lang w:val="en-AU"/>
        </w:rPr>
        <w:t>s</w:t>
      </w:r>
      <w:r w:rsidRPr="003408A6">
        <w:rPr>
          <w:lang w:val="en-AU"/>
        </w:rPr>
        <w:t xml:space="preserve"> detected in females eligible for HPV vaccination through the national program, particularly females aged &lt;20 years, was significantly lower following the implementation of the vaccination program </w:t>
      </w:r>
      <w:r w:rsidR="009B406F" w:rsidRPr="003408A6">
        <w:rPr>
          <w:lang w:val="en-AU"/>
        </w:rPr>
        <w:t>than</w:t>
      </w:r>
      <w:r w:rsidRPr="003408A6">
        <w:rPr>
          <w:lang w:val="en-AU"/>
        </w:rPr>
        <w:t xml:space="preserve"> during the pre-vaccine era, even after adjusting for screening participation. The ecological nature of the study prevents definitive conclusions from being made; however, our results identify the need for future analytical studies to be conducted. Ideally, data linkage studies hold the key in providing substantiated evidence of the impact</w:t>
      </w:r>
      <w:r w:rsidR="00B27DFA">
        <w:rPr>
          <w:lang w:val="en-AU"/>
        </w:rPr>
        <w:t xml:space="preserve"> of</w:t>
      </w:r>
      <w:r w:rsidRPr="003408A6">
        <w:rPr>
          <w:lang w:val="en-AU"/>
        </w:rPr>
        <w:t xml:space="preserve"> HPV vaccination on pre-cancerous cervical lesions. Supplemented by HPV typing studies, which can monitor the types causing HGA in Australia over time, such studies will contribute greatly to the assessment of the impact of HPV vaccination in Australia.  </w:t>
      </w:r>
    </w:p>
    <w:p w:rsidR="002B01FE" w:rsidRPr="003408A6" w:rsidRDefault="002B01FE" w:rsidP="00CE0A90">
      <w:pPr>
        <w:spacing w:line="360" w:lineRule="auto"/>
        <w:rPr>
          <w:rFonts w:cs="Arial"/>
          <w:szCs w:val="22"/>
        </w:rPr>
      </w:pPr>
      <w:r w:rsidRPr="003408A6">
        <w:rPr>
          <w:rFonts w:cs="Arial"/>
          <w:szCs w:val="22"/>
        </w:rPr>
        <w:br w:type="page"/>
      </w:r>
    </w:p>
    <w:p w:rsidR="006869FF" w:rsidRPr="003408A6" w:rsidRDefault="00563E90" w:rsidP="006D1A8B">
      <w:pPr>
        <w:pStyle w:val="Heading1"/>
        <w:rPr>
          <w:rFonts w:eastAsiaTheme="majorEastAsia"/>
          <w:lang w:eastAsia="en-US"/>
        </w:rPr>
      </w:pPr>
      <w:bookmarkStart w:id="207" w:name="_Toc396926142"/>
      <w:r w:rsidRPr="003408A6">
        <w:rPr>
          <w:rFonts w:eastAsiaTheme="majorEastAsia"/>
          <w:lang w:eastAsia="en-US"/>
        </w:rPr>
        <w:t>CHAPTER 6</w:t>
      </w:r>
      <w:r w:rsidR="006869FF" w:rsidRPr="003408A6">
        <w:rPr>
          <w:rFonts w:eastAsiaTheme="majorEastAsia"/>
          <w:lang w:eastAsia="en-US"/>
        </w:rPr>
        <w:t xml:space="preserve">: </w:t>
      </w:r>
      <w:r w:rsidRPr="003408A6">
        <w:rPr>
          <w:rFonts w:eastAsiaTheme="majorEastAsia"/>
          <w:lang w:eastAsia="en-US"/>
        </w:rPr>
        <w:t xml:space="preserve">Disease impact: </w:t>
      </w:r>
      <w:r w:rsidR="00097421" w:rsidRPr="003408A6">
        <w:rPr>
          <w:rFonts w:eastAsiaTheme="majorEastAsia"/>
          <w:lang w:eastAsia="en-US"/>
        </w:rPr>
        <w:t>A</w:t>
      </w:r>
      <w:r w:rsidR="006869FF" w:rsidRPr="003408A6">
        <w:rPr>
          <w:rFonts w:eastAsiaTheme="majorEastAsia"/>
          <w:lang w:eastAsia="en-US"/>
        </w:rPr>
        <w:t>nogenital warts</w:t>
      </w:r>
      <w:bookmarkEnd w:id="207"/>
    </w:p>
    <w:p w:rsidR="00563E90" w:rsidRPr="003408A6" w:rsidRDefault="00563E90">
      <w:pPr>
        <w:rPr>
          <w:rFonts w:eastAsiaTheme="majorEastAsia"/>
          <w:lang w:eastAsia="en-US"/>
        </w:rPr>
      </w:pPr>
      <w:r w:rsidRPr="003408A6">
        <w:rPr>
          <w:rFonts w:eastAsiaTheme="majorEastAsia"/>
          <w:lang w:eastAsia="en-US"/>
        </w:rPr>
        <w:br w:type="page"/>
      </w:r>
    </w:p>
    <w:p w:rsidR="00097421" w:rsidRPr="003408A6" w:rsidRDefault="00097421" w:rsidP="00097421">
      <w:pPr>
        <w:pStyle w:val="Heading2"/>
      </w:pPr>
      <w:bookmarkStart w:id="208" w:name="_Toc396926143"/>
      <w:bookmarkStart w:id="209" w:name="_Toc372811162"/>
      <w:bookmarkStart w:id="210" w:name="_Toc305598753"/>
      <w:r w:rsidRPr="003408A6">
        <w:t>A</w:t>
      </w:r>
      <w:r w:rsidR="00DF7DE0" w:rsidRPr="003408A6">
        <w:t>ims</w:t>
      </w:r>
      <w:bookmarkEnd w:id="208"/>
    </w:p>
    <w:p w:rsidR="00097421" w:rsidRPr="003408A6" w:rsidRDefault="00097421" w:rsidP="007F15D6">
      <w:pPr>
        <w:pStyle w:val="BodyText"/>
        <w:rPr>
          <w:lang w:val="en-AU"/>
        </w:rPr>
      </w:pPr>
      <w:r w:rsidRPr="003408A6">
        <w:rPr>
          <w:lang w:val="en-AU"/>
        </w:rPr>
        <w:t xml:space="preserve">To compare trends in hospitalisations coded as involving a diagnosis of genital warts </w:t>
      </w:r>
      <w:r w:rsidR="00162DBD" w:rsidRPr="003408A6">
        <w:rPr>
          <w:lang w:val="en-AU"/>
        </w:rPr>
        <w:t>before and after</w:t>
      </w:r>
      <w:r w:rsidRPr="003408A6">
        <w:rPr>
          <w:lang w:val="en-AU"/>
        </w:rPr>
        <w:t xml:space="preserve"> implementation of the </w:t>
      </w:r>
      <w:r w:rsidR="00162DBD" w:rsidRPr="003408A6">
        <w:rPr>
          <w:lang w:val="en-AU"/>
        </w:rPr>
        <w:t>National HPV Vaccination Program</w:t>
      </w:r>
      <w:r w:rsidRPr="003408A6">
        <w:rPr>
          <w:lang w:val="en-AU"/>
        </w:rPr>
        <w:t>.</w:t>
      </w:r>
    </w:p>
    <w:p w:rsidR="00FD5559" w:rsidRPr="003408A6" w:rsidRDefault="00FD5559" w:rsidP="00FD5559">
      <w:pPr>
        <w:pStyle w:val="Heading2"/>
      </w:pPr>
      <w:bookmarkStart w:id="211" w:name="_Toc396926144"/>
      <w:r w:rsidRPr="003408A6">
        <w:t>Methods</w:t>
      </w:r>
      <w:bookmarkEnd w:id="209"/>
      <w:bookmarkEnd w:id="211"/>
    </w:p>
    <w:p w:rsidR="00FD5559" w:rsidRPr="003408A6" w:rsidRDefault="00FD5559" w:rsidP="00FD5559">
      <w:pPr>
        <w:pStyle w:val="Heading3"/>
      </w:pPr>
      <w:bookmarkStart w:id="212" w:name="_Toc372811163"/>
      <w:r w:rsidRPr="003408A6">
        <w:t>Data source</w:t>
      </w:r>
      <w:bookmarkEnd w:id="212"/>
    </w:p>
    <w:p w:rsidR="00FD5559" w:rsidRPr="003408A6" w:rsidRDefault="00FD5559" w:rsidP="007F15D6">
      <w:pPr>
        <w:pStyle w:val="BodyText"/>
        <w:rPr>
          <w:lang w:val="en-AU"/>
        </w:rPr>
      </w:pPr>
      <w:r w:rsidRPr="003408A6">
        <w:rPr>
          <w:lang w:val="en-AU"/>
        </w:rPr>
        <w:t>Data from the N</w:t>
      </w:r>
      <w:r w:rsidR="009F562E" w:rsidRPr="003408A6">
        <w:rPr>
          <w:lang w:val="en-AU"/>
        </w:rPr>
        <w:t xml:space="preserve">ational </w:t>
      </w:r>
      <w:r w:rsidRPr="003408A6">
        <w:rPr>
          <w:lang w:val="en-AU"/>
        </w:rPr>
        <w:t>H</w:t>
      </w:r>
      <w:r w:rsidR="009F562E" w:rsidRPr="003408A6">
        <w:rPr>
          <w:lang w:val="en-AU"/>
        </w:rPr>
        <w:t xml:space="preserve">ospital </w:t>
      </w:r>
      <w:r w:rsidRPr="003408A6">
        <w:rPr>
          <w:lang w:val="en-AU"/>
        </w:rPr>
        <w:t>M</w:t>
      </w:r>
      <w:r w:rsidR="009F562E" w:rsidRPr="003408A6">
        <w:rPr>
          <w:lang w:val="en-AU"/>
        </w:rPr>
        <w:t xml:space="preserve">orbidity </w:t>
      </w:r>
      <w:r w:rsidRPr="003408A6">
        <w:rPr>
          <w:lang w:val="en-AU"/>
        </w:rPr>
        <w:t>D</w:t>
      </w:r>
      <w:r w:rsidR="009F562E" w:rsidRPr="003408A6">
        <w:rPr>
          <w:lang w:val="en-AU"/>
        </w:rPr>
        <w:t xml:space="preserve">atabase </w:t>
      </w:r>
      <w:r w:rsidRPr="003408A6">
        <w:rPr>
          <w:lang w:val="en-AU"/>
        </w:rPr>
        <w:t>was obtained from AIHW.</w:t>
      </w:r>
      <w:r w:rsidR="00AA5BBB" w:rsidRPr="00AA5BBB">
        <w:rPr>
          <w:color w:val="000000"/>
          <w:lang w:val="en-AU"/>
        </w:rPr>
        <w:t xml:space="preserve"> </w:t>
      </w:r>
      <w:r w:rsidR="00AA5BBB" w:rsidRPr="003408A6">
        <w:rPr>
          <w:color w:val="000000"/>
          <w:lang w:val="en-AU"/>
        </w:rPr>
        <w:t>The NHMD includes public an</w:t>
      </w:r>
      <w:r w:rsidR="00AA5BBB">
        <w:rPr>
          <w:color w:val="000000"/>
          <w:lang w:val="en-AU"/>
        </w:rPr>
        <w:t>d private hospital separations.</w:t>
      </w:r>
      <w:hyperlink w:anchor="_ENREF_93" w:tooltip="Australian Institute of Health and Welfare, 2013 #1278" w:history="1">
        <w:r w:rsidR="00F27F90" w:rsidRPr="003408A6">
          <w:rPr>
            <w:lang w:val="en-AU"/>
          </w:rPr>
          <w:fldChar w:fldCharType="begin"/>
        </w:r>
        <w:r w:rsidR="00F27F90">
          <w:rPr>
            <w:lang w:val="en-AU"/>
          </w:rPr>
          <w:instrText xml:space="preserve"> ADDIN EN.CITE &lt;EndNote&gt;&lt;Cite&gt;&lt;Author&gt;Australian Institute of Health and Welfare&lt;/Author&gt;&lt;Year&gt;2013&lt;/Year&gt;&lt;RecNum&gt;1278&lt;/RecNum&gt;&lt;DisplayText&gt;&lt;style face="superscript"&gt;93&lt;/style&gt;&lt;/DisplayText&gt;&lt;record&gt;&lt;rec-number&gt;1278&lt;/rec-number&gt;&lt;foreign-keys&gt;&lt;key app="EN" db-id="dda0wweazfww9besetpx2r5pt0asp9ztvs95"&gt;1278&lt;/key&gt;&lt;/foreign-keys&gt;&lt;ref-type name="Web Page"&gt;12&lt;/ref-type&gt;&lt;contributors&gt;&lt;authors&gt;&lt;author&gt;Australian Institute of Health and Welfare,&lt;/author&gt;&lt;/authors&gt;&lt;/contributors&gt;&lt;titles&gt;&lt;title&gt;National Hospital Morbidity Database: scope of the database&lt;/title&gt;&lt;/titles&gt;&lt;number&gt;24 October 2013&lt;/number&gt;&lt;dates&gt;&lt;year&gt;2013&lt;/year&gt;&lt;pub-dates&gt;&lt;date&gt;2013&lt;/date&gt;&lt;/pub-dates&gt;&lt;/dates&gt;&lt;urls&gt;&lt;related-urls&gt;&lt;url&gt;http://www.aihw.gov.au/data-source/#scope&lt;/url&gt;&lt;/related-urls&gt;&lt;/urls&gt;&lt;custom2&gt;24/10/2013&lt;/custom2&gt;&lt;/record&gt;&lt;/Cite&gt;&lt;/EndNote&gt;</w:instrText>
        </w:r>
        <w:r w:rsidR="00F27F90" w:rsidRPr="003408A6">
          <w:rPr>
            <w:lang w:val="en-AU"/>
          </w:rPr>
          <w:fldChar w:fldCharType="separate"/>
        </w:r>
        <w:r w:rsidR="00F27F90" w:rsidRPr="00F27F90">
          <w:rPr>
            <w:noProof/>
            <w:vertAlign w:val="superscript"/>
            <w:lang w:val="en-AU"/>
          </w:rPr>
          <w:t>93</w:t>
        </w:r>
        <w:r w:rsidR="00F27F90" w:rsidRPr="003408A6">
          <w:rPr>
            <w:lang w:val="en-AU"/>
          </w:rPr>
          <w:fldChar w:fldCharType="end"/>
        </w:r>
      </w:hyperlink>
      <w:r w:rsidRPr="003408A6">
        <w:rPr>
          <w:lang w:val="en-AU"/>
        </w:rPr>
        <w:t xml:space="preserve"> Each record includes the admission and separation date, information about procedures performed, the principal diagnosis responsible for the admission</w:t>
      </w:r>
      <w:r w:rsidR="00162DBD" w:rsidRPr="003408A6">
        <w:rPr>
          <w:lang w:val="en-AU"/>
        </w:rPr>
        <w:t>,</w:t>
      </w:r>
      <w:r w:rsidRPr="003408A6">
        <w:rPr>
          <w:lang w:val="en-AU"/>
        </w:rPr>
        <w:t xml:space="preserve"> and up to fifty diagnoses in total which contributed to the admission, coded using ICD</w:t>
      </w:r>
      <w:r w:rsidR="00162DBD" w:rsidRPr="003408A6">
        <w:rPr>
          <w:lang w:val="en-AU"/>
        </w:rPr>
        <w:t>-</w:t>
      </w:r>
      <w:r w:rsidRPr="003408A6">
        <w:rPr>
          <w:lang w:val="en-AU"/>
        </w:rPr>
        <w:t xml:space="preserve">10-AM.  </w:t>
      </w:r>
    </w:p>
    <w:p w:rsidR="00FD5559" w:rsidRPr="003408A6" w:rsidRDefault="00FD5559" w:rsidP="007F15D6">
      <w:pPr>
        <w:pStyle w:val="BodyText"/>
        <w:rPr>
          <w:lang w:val="en-AU"/>
        </w:rPr>
      </w:pPr>
      <w:r w:rsidRPr="003408A6">
        <w:rPr>
          <w:lang w:val="en-AU"/>
        </w:rPr>
        <w:t xml:space="preserve">All admissions for genital warts (including those where genital warts was not the principal diagnosis, but was included in other diagnosis categories) between 1 July 1999 and 30 June 2011 were included. It should be noted though that admissions which were </w:t>
      </w:r>
      <w:r w:rsidRPr="003408A6">
        <w:rPr>
          <w:i/>
          <w:lang w:val="en-AU"/>
        </w:rPr>
        <w:t>primarily</w:t>
      </w:r>
      <w:r w:rsidRPr="003408A6">
        <w:rPr>
          <w:lang w:val="en-AU"/>
        </w:rPr>
        <w:t xml:space="preserve"> for genital warts were not coded consistently as the principal diagnosis over this time period. The ICD-10</w:t>
      </w:r>
      <w:r w:rsidR="00162DBD" w:rsidRPr="003408A6">
        <w:rPr>
          <w:lang w:val="en-AU"/>
        </w:rPr>
        <w:t>-</w:t>
      </w:r>
      <w:r w:rsidRPr="003408A6">
        <w:rPr>
          <w:lang w:val="en-AU"/>
        </w:rPr>
        <w:t xml:space="preserve">AM code for genital warts is A63.0. Between July 1998 and June 2002, Australian </w:t>
      </w:r>
      <w:r w:rsidR="00162DBD" w:rsidRPr="003408A6">
        <w:rPr>
          <w:lang w:val="en-AU"/>
        </w:rPr>
        <w:t>C</w:t>
      </w:r>
      <w:r w:rsidRPr="003408A6">
        <w:rPr>
          <w:lang w:val="en-AU"/>
        </w:rPr>
        <w:t xml:space="preserve">oding </w:t>
      </w:r>
      <w:r w:rsidR="00162DBD" w:rsidRPr="003408A6">
        <w:rPr>
          <w:lang w:val="en-AU"/>
        </w:rPr>
        <w:t>S</w:t>
      </w:r>
      <w:r w:rsidRPr="003408A6">
        <w:rPr>
          <w:lang w:val="en-AU"/>
        </w:rPr>
        <w:t>tandards (ICD</w:t>
      </w:r>
      <w:r w:rsidR="00162DBD" w:rsidRPr="003408A6">
        <w:rPr>
          <w:lang w:val="en-AU"/>
        </w:rPr>
        <w:t>-</w:t>
      </w:r>
      <w:r w:rsidRPr="003408A6">
        <w:rPr>
          <w:lang w:val="en-AU"/>
        </w:rPr>
        <w:t xml:space="preserve">10-AM First (1998) and Second (2000) </w:t>
      </w:r>
      <w:r w:rsidR="00006FDF" w:rsidRPr="003408A6">
        <w:rPr>
          <w:lang w:val="en-AU"/>
        </w:rPr>
        <w:t>E</w:t>
      </w:r>
      <w:r w:rsidRPr="003408A6">
        <w:rPr>
          <w:lang w:val="en-AU"/>
        </w:rPr>
        <w:t>dition</w:t>
      </w:r>
      <w:r w:rsidR="00006FDF" w:rsidRPr="003408A6">
        <w:rPr>
          <w:lang w:val="en-AU"/>
        </w:rPr>
        <w:t>s</w:t>
      </w:r>
      <w:r w:rsidRPr="003408A6">
        <w:rPr>
          <w:lang w:val="en-AU"/>
        </w:rPr>
        <w:t xml:space="preserve">) advised that anogenital warts should be coded using codes for other specified diseases/disorders relating to the relevant site as the principal diagnosis (K62.8 </w:t>
      </w:r>
      <w:r w:rsidR="00162DBD" w:rsidRPr="003408A6">
        <w:rPr>
          <w:lang w:val="en-AU"/>
        </w:rPr>
        <w:t>[</w:t>
      </w:r>
      <w:r w:rsidRPr="003408A6">
        <w:rPr>
          <w:lang w:val="en-AU"/>
        </w:rPr>
        <w:t>perianal</w:t>
      </w:r>
      <w:r w:rsidR="00162DBD" w:rsidRPr="003408A6">
        <w:rPr>
          <w:lang w:val="en-AU"/>
        </w:rPr>
        <w:t>]</w:t>
      </w:r>
      <w:r w:rsidRPr="003408A6">
        <w:rPr>
          <w:lang w:val="en-AU"/>
        </w:rPr>
        <w:t xml:space="preserve">, N48.8 </w:t>
      </w:r>
      <w:r w:rsidR="00162DBD" w:rsidRPr="003408A6">
        <w:rPr>
          <w:lang w:val="en-AU"/>
        </w:rPr>
        <w:t>[</w:t>
      </w:r>
      <w:r w:rsidRPr="003408A6">
        <w:rPr>
          <w:lang w:val="en-AU"/>
        </w:rPr>
        <w:t>penile</w:t>
      </w:r>
      <w:r w:rsidR="00162DBD" w:rsidRPr="003408A6">
        <w:rPr>
          <w:lang w:val="en-AU"/>
        </w:rPr>
        <w:t>]</w:t>
      </w:r>
      <w:r w:rsidRPr="003408A6">
        <w:rPr>
          <w:lang w:val="en-AU"/>
        </w:rPr>
        <w:t xml:space="preserve">, N88.8 </w:t>
      </w:r>
      <w:r w:rsidR="00162DBD" w:rsidRPr="003408A6">
        <w:rPr>
          <w:lang w:val="en-AU"/>
        </w:rPr>
        <w:t>[</w:t>
      </w:r>
      <w:r w:rsidRPr="003408A6">
        <w:rPr>
          <w:lang w:val="en-AU"/>
        </w:rPr>
        <w:t>cervical</w:t>
      </w:r>
      <w:r w:rsidR="00162DBD" w:rsidRPr="003408A6">
        <w:rPr>
          <w:lang w:val="en-AU"/>
        </w:rPr>
        <w:t>]</w:t>
      </w:r>
      <w:r w:rsidRPr="003408A6">
        <w:rPr>
          <w:lang w:val="en-AU"/>
        </w:rPr>
        <w:t xml:space="preserve">, N89.8 </w:t>
      </w:r>
      <w:r w:rsidR="00162DBD" w:rsidRPr="003408A6">
        <w:rPr>
          <w:lang w:val="en-AU"/>
        </w:rPr>
        <w:t>[</w:t>
      </w:r>
      <w:r w:rsidRPr="003408A6">
        <w:rPr>
          <w:lang w:val="en-AU"/>
        </w:rPr>
        <w:t>vaginal</w:t>
      </w:r>
      <w:r w:rsidR="00162DBD" w:rsidRPr="003408A6">
        <w:rPr>
          <w:lang w:val="en-AU"/>
        </w:rPr>
        <w:t>]</w:t>
      </w:r>
      <w:r w:rsidRPr="003408A6">
        <w:rPr>
          <w:lang w:val="en-AU"/>
        </w:rPr>
        <w:t xml:space="preserve">, N90.8 </w:t>
      </w:r>
      <w:r w:rsidR="00162DBD" w:rsidRPr="003408A6">
        <w:rPr>
          <w:lang w:val="en-AU"/>
        </w:rPr>
        <w:t>[</w:t>
      </w:r>
      <w:r w:rsidRPr="003408A6">
        <w:rPr>
          <w:lang w:val="en-AU"/>
        </w:rPr>
        <w:t>vulval</w:t>
      </w:r>
      <w:r w:rsidR="00162DBD" w:rsidRPr="003408A6">
        <w:rPr>
          <w:lang w:val="en-AU"/>
        </w:rPr>
        <w:t>]</w:t>
      </w:r>
      <w:r w:rsidRPr="003408A6">
        <w:rPr>
          <w:lang w:val="en-AU"/>
        </w:rPr>
        <w:t>), and A63.0 as an additional diagnosis. From 1 July 2002 (</w:t>
      </w:r>
      <w:r w:rsidR="00162DBD" w:rsidRPr="003408A6">
        <w:rPr>
          <w:lang w:val="en-AU"/>
        </w:rPr>
        <w:t xml:space="preserve">ICD-10-AM </w:t>
      </w:r>
      <w:r w:rsidRPr="003408A6">
        <w:rPr>
          <w:lang w:val="en-AU"/>
        </w:rPr>
        <w:t xml:space="preserve">Third to Sixth </w:t>
      </w:r>
      <w:r w:rsidR="00006FDF" w:rsidRPr="003408A6">
        <w:rPr>
          <w:lang w:val="en-AU"/>
        </w:rPr>
        <w:t>E</w:t>
      </w:r>
      <w:r w:rsidRPr="003408A6">
        <w:rPr>
          <w:lang w:val="en-AU"/>
        </w:rPr>
        <w:t>dition</w:t>
      </w:r>
      <w:r w:rsidR="00006FDF" w:rsidRPr="003408A6">
        <w:rPr>
          <w:lang w:val="en-AU"/>
        </w:rPr>
        <w:t>s</w:t>
      </w:r>
      <w:r w:rsidRPr="003408A6">
        <w:rPr>
          <w:lang w:val="en-AU"/>
        </w:rPr>
        <w:t>) an additional code for “other specified disorders of urethra” (N36.8) was added to the Australian Coding Standard</w:t>
      </w:r>
      <w:r w:rsidR="00162DBD" w:rsidRPr="003408A6">
        <w:rPr>
          <w:lang w:val="en-AU"/>
        </w:rPr>
        <w:t>s</w:t>
      </w:r>
      <w:r w:rsidRPr="003408A6">
        <w:rPr>
          <w:lang w:val="en-AU"/>
        </w:rPr>
        <w:t xml:space="preserve"> to be used in an equivalent way for urethral warts. From 1 July 2010 (ICD</w:t>
      </w:r>
      <w:r w:rsidR="00162DBD" w:rsidRPr="003408A6">
        <w:rPr>
          <w:lang w:val="en-AU"/>
        </w:rPr>
        <w:t>-</w:t>
      </w:r>
      <w:r w:rsidRPr="003408A6">
        <w:rPr>
          <w:lang w:val="en-AU"/>
        </w:rPr>
        <w:t>10-AM Seventh Edition), however, a fifth character was added to the existing four characters for anogenital warts (A63.0) in order to indicate the site of the warts (A63.01</w:t>
      </w:r>
      <w:r w:rsidR="00162DBD" w:rsidRPr="003408A6">
        <w:rPr>
          <w:lang w:val="en-AU"/>
        </w:rPr>
        <w:t>–</w:t>
      </w:r>
      <w:r w:rsidRPr="003408A6">
        <w:rPr>
          <w:lang w:val="en-AU"/>
        </w:rPr>
        <w:t>A63.07; A63.00 and A63.09 indicated other or unspecified sites</w:t>
      </w:r>
      <w:r w:rsidR="00162DBD" w:rsidRPr="003408A6">
        <w:rPr>
          <w:lang w:val="en-AU"/>
        </w:rPr>
        <w:t>, respectively</w:t>
      </w:r>
      <w:r w:rsidRPr="003408A6">
        <w:rPr>
          <w:lang w:val="en-AU"/>
        </w:rPr>
        <w:t xml:space="preserve">), and the additional chapter codes for site were no longer required </w:t>
      </w:r>
      <w:r w:rsidR="000B23D5">
        <w:rPr>
          <w:lang w:val="en-AU"/>
        </w:rPr>
        <w:t>by</w:t>
      </w:r>
      <w:r w:rsidRPr="003408A6">
        <w:rPr>
          <w:lang w:val="en-AU"/>
        </w:rPr>
        <w:t xml:space="preserve"> the Australian Coding Standard</w:t>
      </w:r>
      <w:r w:rsidR="00162DBD" w:rsidRPr="003408A6">
        <w:rPr>
          <w:lang w:val="en-AU"/>
        </w:rPr>
        <w:t>s</w:t>
      </w:r>
      <w:r w:rsidRPr="003408A6">
        <w:rPr>
          <w:lang w:val="en-AU"/>
        </w:rPr>
        <w:t xml:space="preserve">. Furthermore, admissions prior to July 2010 were not always coded consistently with the Australian </w:t>
      </w:r>
      <w:r w:rsidR="00162DBD" w:rsidRPr="003408A6">
        <w:rPr>
          <w:lang w:val="en-AU"/>
        </w:rPr>
        <w:t>C</w:t>
      </w:r>
      <w:r w:rsidRPr="003408A6">
        <w:rPr>
          <w:lang w:val="en-AU"/>
        </w:rPr>
        <w:t xml:space="preserve">oding </w:t>
      </w:r>
      <w:r w:rsidR="00162DBD" w:rsidRPr="003408A6">
        <w:rPr>
          <w:lang w:val="en-AU"/>
        </w:rPr>
        <w:t>S</w:t>
      </w:r>
      <w:r w:rsidRPr="003408A6">
        <w:rPr>
          <w:lang w:val="en-AU"/>
        </w:rPr>
        <w:t>tandards current at that time. As a result, this analysis considers all admissions involving a diagnosis of genital warts, without stratification by whether or not a genital wart code was listed as the principal diagnosis. The anatomical site of warts was ascertained based on diagnosis and procedure codes involved (</w:t>
      </w:r>
      <w:r w:rsidR="00CF2101" w:rsidRPr="003408A6">
        <w:rPr>
          <w:b/>
          <w:lang w:val="en-AU"/>
        </w:rPr>
        <w:t xml:space="preserve">Table </w:t>
      </w:r>
      <w:r w:rsidR="000B23D5">
        <w:rPr>
          <w:b/>
          <w:lang w:val="en-AU"/>
        </w:rPr>
        <w:t>A</w:t>
      </w:r>
      <w:r w:rsidR="00CF2101" w:rsidRPr="003408A6">
        <w:rPr>
          <w:b/>
          <w:lang w:val="en-AU"/>
        </w:rPr>
        <w:t>6.</w:t>
      </w:r>
      <w:r w:rsidR="00653668">
        <w:rPr>
          <w:b/>
          <w:lang w:val="en-AU"/>
        </w:rPr>
        <w:t>1</w:t>
      </w:r>
      <w:r w:rsidR="000B23D5">
        <w:rPr>
          <w:b/>
          <w:lang w:val="en-AU"/>
        </w:rPr>
        <w:t>.</w:t>
      </w:r>
      <w:r w:rsidR="00CF2101" w:rsidRPr="003408A6">
        <w:rPr>
          <w:b/>
          <w:lang w:val="en-AU"/>
        </w:rPr>
        <w:t>1</w:t>
      </w:r>
      <w:r w:rsidR="009C68E2" w:rsidRPr="003408A6">
        <w:rPr>
          <w:lang w:val="en-AU"/>
        </w:rPr>
        <w:t xml:space="preserve"> in </w:t>
      </w:r>
      <w:r w:rsidR="009C68E2" w:rsidRPr="003408A6">
        <w:rPr>
          <w:b/>
          <w:lang w:val="en-AU"/>
        </w:rPr>
        <w:t>Appendix 6.</w:t>
      </w:r>
      <w:r w:rsidR="00653668">
        <w:rPr>
          <w:b/>
          <w:lang w:val="en-AU"/>
        </w:rPr>
        <w:t>1</w:t>
      </w:r>
      <w:r w:rsidRPr="003408A6">
        <w:rPr>
          <w:lang w:val="en-AU"/>
        </w:rPr>
        <w:t>).</w:t>
      </w:r>
    </w:p>
    <w:p w:rsidR="00FD5559" w:rsidRPr="003408A6" w:rsidRDefault="00FD5559" w:rsidP="007F15D6">
      <w:pPr>
        <w:pStyle w:val="BodyText"/>
        <w:rPr>
          <w:lang w:val="en-AU"/>
        </w:rPr>
      </w:pPr>
      <w:r w:rsidRPr="003408A6">
        <w:rPr>
          <w:lang w:val="en-AU"/>
        </w:rPr>
        <w:t>Admission rates were derived per 100,000 individuals in the population, based on total admissions over a year period (July</w:t>
      </w:r>
      <w:r w:rsidR="00162DBD" w:rsidRPr="003408A6">
        <w:rPr>
          <w:lang w:val="en-AU"/>
        </w:rPr>
        <w:t>–</w:t>
      </w:r>
      <w:r w:rsidRPr="003408A6">
        <w:rPr>
          <w:lang w:val="en-AU"/>
        </w:rPr>
        <w:t>June</w:t>
      </w:r>
      <w:r w:rsidR="00162DBD" w:rsidRPr="003408A6">
        <w:rPr>
          <w:lang w:val="en-AU"/>
        </w:rPr>
        <w:t>,</w:t>
      </w:r>
      <w:r w:rsidRPr="003408A6">
        <w:rPr>
          <w:lang w:val="en-AU"/>
        </w:rPr>
        <w:t xml:space="preserve"> consistent with the time period for the data provided) and estimates of the Australian resident population by single year of age at the end of each calendar year (i</w:t>
      </w:r>
      <w:r w:rsidR="00162DBD" w:rsidRPr="003408A6">
        <w:rPr>
          <w:lang w:val="en-AU"/>
        </w:rPr>
        <w:t>.</w:t>
      </w:r>
      <w:r w:rsidRPr="003408A6">
        <w:rPr>
          <w:lang w:val="en-AU"/>
        </w:rPr>
        <w:t>e</w:t>
      </w:r>
      <w:r w:rsidR="00162DBD" w:rsidRPr="003408A6">
        <w:rPr>
          <w:lang w:val="en-AU"/>
        </w:rPr>
        <w:t>.</w:t>
      </w:r>
      <w:r w:rsidRPr="003408A6">
        <w:rPr>
          <w:lang w:val="en-AU"/>
        </w:rPr>
        <w:t xml:space="preserve"> mid-period).</w:t>
      </w:r>
      <w:hyperlink w:anchor="_ENREF_113" w:tooltip="Australian Bureau of Statistics, 2013 #1274" w:history="1">
        <w:r w:rsidR="00F27F90" w:rsidRPr="003408A6">
          <w:rPr>
            <w:lang w:val="en-AU"/>
          </w:rPr>
          <w:fldChar w:fldCharType="begin"/>
        </w:r>
        <w:r w:rsidR="00F27F90">
          <w:rPr>
            <w:lang w:val="en-AU"/>
          </w:rPr>
          <w:instrText xml:space="preserve"> ADDIN EN.CITE &lt;EndNote&gt;&lt;Cite&gt;&lt;Author&gt;Australian Bureau of Statistics&lt;/Author&gt;&lt;Year&gt;2013&lt;/Year&gt;&lt;RecNum&gt;1274&lt;/RecNum&gt;&lt;DisplayText&gt;&lt;style face="superscript"&gt;113&lt;/style&gt;&lt;/DisplayText&gt;&lt;record&gt;&lt;rec-number&gt;1274&lt;/rec-number&gt;&lt;foreign-keys&gt;&lt;key app="EN" db-id="dda0wweazfww9besetpx2r5pt0asp9ztvs95"&gt;1274&lt;/key&gt;&lt;/foreign-keys&gt;&lt;ref-type name="Web Page"&gt;12&lt;/ref-type&gt;&lt;contributors&gt;&lt;authors&gt;&lt;author&gt;Australian Bureau of Statistics,&lt;/author&gt;&lt;/authors&gt;&lt;/contributors&gt;&lt;titles&gt;&lt;title&gt;3101.0 - Australian Demographic Statistics, March quarter 2013&lt;/title&gt;&lt;/titles&gt;&lt;number&gt;9 October 2013&lt;/number&gt;&lt;keywords&gt;&lt;keyword&gt;Age&lt;/keyword&gt;&lt;keyword&gt;Australia&lt;/keyword&gt;&lt;keyword&gt;Population&lt;/keyword&gt;&lt;keyword&gt;Sex&lt;/keyword&gt;&lt;keyword&gt;state&lt;/keyword&gt;&lt;keyword&gt;Statistics&lt;/keyword&gt;&lt;keyword&gt;New South Wales&lt;/keyword&gt;&lt;/keywords&gt;&lt;dates&gt;&lt;year&gt;2013&lt;/year&gt;&lt;pub-dates&gt;&lt;date&gt;2013&lt;/date&gt;&lt;/pub-dates&gt;&lt;/dates&gt;&lt;urls&gt;&lt;related-urls&gt;&lt;url&gt;http://www.abs.gov.au/AUSSTATS/abs@.nsf/DetailsPage/3101.0Mar%202013?OpenDocument&lt;/url&gt;&lt;/related-urls&gt;&lt;/urls&gt;&lt;/record&gt;&lt;/Cite&gt;&lt;/EndNote&gt;</w:instrText>
        </w:r>
        <w:r w:rsidR="00F27F90" w:rsidRPr="003408A6">
          <w:rPr>
            <w:lang w:val="en-AU"/>
          </w:rPr>
          <w:fldChar w:fldCharType="separate"/>
        </w:r>
        <w:r w:rsidR="00F27F90" w:rsidRPr="00F27F90">
          <w:rPr>
            <w:noProof/>
            <w:vertAlign w:val="superscript"/>
            <w:lang w:val="en-AU"/>
          </w:rPr>
          <w:t>113</w:t>
        </w:r>
        <w:r w:rsidR="00F27F90" w:rsidRPr="003408A6">
          <w:rPr>
            <w:lang w:val="en-AU"/>
          </w:rPr>
          <w:fldChar w:fldCharType="end"/>
        </w:r>
      </w:hyperlink>
      <w:r w:rsidRPr="003408A6">
        <w:rPr>
          <w:lang w:val="en-AU"/>
        </w:rPr>
        <w:t xml:space="preserve"> </w:t>
      </w:r>
    </w:p>
    <w:p w:rsidR="00FD5559" w:rsidRPr="003408A6" w:rsidRDefault="00FD5559" w:rsidP="00FD5559">
      <w:pPr>
        <w:pStyle w:val="Heading3"/>
      </w:pPr>
      <w:bookmarkStart w:id="213" w:name="_Toc372811164"/>
      <w:r w:rsidRPr="003408A6">
        <w:t>Analyses by age</w:t>
      </w:r>
      <w:bookmarkEnd w:id="213"/>
    </w:p>
    <w:p w:rsidR="00FD5559" w:rsidRPr="003408A6" w:rsidRDefault="00FD5559" w:rsidP="007F15D6">
      <w:pPr>
        <w:pStyle w:val="BodyText"/>
        <w:rPr>
          <w:lang w:val="en-AU"/>
        </w:rPr>
      </w:pPr>
      <w:r w:rsidRPr="003408A6">
        <w:rPr>
          <w:lang w:val="en-AU"/>
        </w:rPr>
        <w:t xml:space="preserve">Subjects were categorised into four age groups, based on their likely exposure to HPV vaccination during this time period, to investigate the potential impact of HPV vaccination on admissions for genital </w:t>
      </w:r>
      <w:r w:rsidR="00F541FC" w:rsidRPr="003408A6">
        <w:rPr>
          <w:lang w:val="en-AU"/>
        </w:rPr>
        <w:t>warts (</w:t>
      </w:r>
      <w:r w:rsidR="00F541FC" w:rsidRPr="003408A6">
        <w:rPr>
          <w:b/>
          <w:lang w:val="en-AU"/>
        </w:rPr>
        <w:t>Table 6.1</w:t>
      </w:r>
      <w:r w:rsidR="00F541FC" w:rsidRPr="003408A6">
        <w:rPr>
          <w:lang w:val="en-AU"/>
        </w:rPr>
        <w:t xml:space="preserve">). </w:t>
      </w:r>
      <w:r w:rsidRPr="003408A6">
        <w:rPr>
          <w:lang w:val="en-AU"/>
        </w:rPr>
        <w:t xml:space="preserve">Age was defined as the age at the time of the hospital admission. Age is associated with HPV prevalence, and therefore birth cohorts would have variations in their risk of genital warts as they age, even in the absence of vaccination. Estimated vaccine uptake </w:t>
      </w:r>
      <w:r w:rsidR="004E397F" w:rsidRPr="003408A6">
        <w:rPr>
          <w:lang w:val="en-AU"/>
        </w:rPr>
        <w:t>by</w:t>
      </w:r>
      <w:r w:rsidRPr="003408A6">
        <w:rPr>
          <w:lang w:val="en-AU"/>
        </w:rPr>
        <w:t xml:space="preserve"> </w:t>
      </w:r>
      <w:r w:rsidR="004E397F" w:rsidRPr="003408A6">
        <w:rPr>
          <w:lang w:val="en-AU"/>
        </w:rPr>
        <w:t>females</w:t>
      </w:r>
      <w:r w:rsidRPr="003408A6">
        <w:rPr>
          <w:lang w:val="en-AU"/>
        </w:rPr>
        <w:t xml:space="preserve"> in these age groups as at mid-2011 is also presented in </w:t>
      </w:r>
      <w:r w:rsidR="004B5BC4" w:rsidRPr="003408A6">
        <w:rPr>
          <w:b/>
          <w:lang w:val="en-AU"/>
        </w:rPr>
        <w:t>Table 6.1</w:t>
      </w:r>
      <w:r w:rsidRPr="003408A6">
        <w:rPr>
          <w:lang w:val="en-AU"/>
        </w:rPr>
        <w:t xml:space="preserve"> based on published coverage data and population estimates for mid-2011</w:t>
      </w:r>
      <w:r w:rsidR="00162DBD" w:rsidRPr="003408A6">
        <w:rPr>
          <w:lang w:val="en-AU"/>
        </w:rPr>
        <w:t>.</w:t>
      </w:r>
      <w:r w:rsidR="006D1565" w:rsidRPr="003408A6">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 </w:instrText>
      </w:r>
      <w:r w:rsidR="00F27F90">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EN.CITE.DATA </w:instrText>
      </w:r>
      <w:r w:rsidR="00F27F90">
        <w:rPr>
          <w:lang w:val="en-AU"/>
        </w:rPr>
      </w:r>
      <w:r w:rsidR="00F27F90">
        <w:rPr>
          <w:lang w:val="en-AU"/>
        </w:rPr>
        <w:fldChar w:fldCharType="end"/>
      </w:r>
      <w:r w:rsidR="006D1565" w:rsidRPr="003408A6">
        <w:rPr>
          <w:lang w:val="en-AU"/>
        </w:rPr>
      </w:r>
      <w:r w:rsidR="006D1565" w:rsidRPr="003408A6">
        <w:rPr>
          <w:lang w:val="en-AU"/>
        </w:rPr>
        <w:fldChar w:fldCharType="separate"/>
      </w:r>
      <w:hyperlink w:anchor="_ENREF_38" w:tooltip="Brotherton, 2011 #1269" w:history="1">
        <w:r w:rsidR="00F27F90" w:rsidRPr="00F27F90">
          <w:rPr>
            <w:noProof/>
            <w:vertAlign w:val="superscript"/>
            <w:lang w:val="en-AU"/>
          </w:rPr>
          <w:t>38</w:t>
        </w:r>
      </w:hyperlink>
      <w:r w:rsidR="00F27F90" w:rsidRPr="00F27F90">
        <w:rPr>
          <w:noProof/>
          <w:vertAlign w:val="superscript"/>
          <w:lang w:val="en-AU"/>
        </w:rPr>
        <w:t>,</w:t>
      </w:r>
      <w:hyperlink w:anchor="_ENREF_41" w:tooltip="Brotherton, 2013 #1297" w:history="1">
        <w:r w:rsidR="00F27F90" w:rsidRPr="00F27F90">
          <w:rPr>
            <w:noProof/>
            <w:vertAlign w:val="superscript"/>
            <w:lang w:val="en-AU"/>
          </w:rPr>
          <w:t>41</w:t>
        </w:r>
      </w:hyperlink>
      <w:r w:rsidR="00F27F90" w:rsidRPr="00F27F90">
        <w:rPr>
          <w:noProof/>
          <w:vertAlign w:val="superscript"/>
          <w:lang w:val="en-AU"/>
        </w:rPr>
        <w:t>,</w:t>
      </w:r>
      <w:hyperlink w:anchor="_ENREF_113" w:tooltip="Australian Bureau of Statistics, 2013 #1274" w:history="1">
        <w:r w:rsidR="00F27F90" w:rsidRPr="00F27F90">
          <w:rPr>
            <w:noProof/>
            <w:vertAlign w:val="superscript"/>
            <w:lang w:val="en-AU"/>
          </w:rPr>
          <w:t>113</w:t>
        </w:r>
      </w:hyperlink>
      <w:r w:rsidR="00F27F90" w:rsidRPr="00F27F90">
        <w:rPr>
          <w:noProof/>
          <w:vertAlign w:val="superscript"/>
          <w:lang w:val="en-AU"/>
        </w:rPr>
        <w:t>,</w:t>
      </w:r>
      <w:hyperlink w:anchor="_ENREF_114" w:tooltip="Australian Government Department of Health, 2013 #1286" w:history="1">
        <w:r w:rsidR="00F27F90" w:rsidRPr="00F27F90">
          <w:rPr>
            <w:noProof/>
            <w:vertAlign w:val="superscript"/>
            <w:lang w:val="en-AU"/>
          </w:rPr>
          <w:t>114</w:t>
        </w:r>
      </w:hyperlink>
      <w:r w:rsidR="006D1565" w:rsidRPr="003408A6">
        <w:rPr>
          <w:lang w:val="en-AU"/>
        </w:rPr>
        <w:fldChar w:fldCharType="end"/>
      </w:r>
      <w:r w:rsidRPr="003408A6">
        <w:rPr>
          <w:lang w:val="en-AU"/>
        </w:rPr>
        <w:t xml:space="preserve"> Estimates are presented both for uptake of the full schedule of </w:t>
      </w:r>
      <w:r w:rsidR="00006FDF" w:rsidRPr="003408A6">
        <w:rPr>
          <w:lang w:val="en-AU"/>
        </w:rPr>
        <w:t xml:space="preserve">3 </w:t>
      </w:r>
      <w:r w:rsidRPr="003408A6">
        <w:rPr>
          <w:lang w:val="en-AU"/>
        </w:rPr>
        <w:t xml:space="preserve">doses and also for uptake of at least </w:t>
      </w:r>
      <w:r w:rsidR="00006FDF" w:rsidRPr="003408A6">
        <w:rPr>
          <w:lang w:val="en-AU"/>
        </w:rPr>
        <w:t xml:space="preserve">2 </w:t>
      </w:r>
      <w:r w:rsidRPr="003408A6">
        <w:rPr>
          <w:lang w:val="en-AU"/>
        </w:rPr>
        <w:t xml:space="preserve">doses, as recent data suggest the possibility that </w:t>
      </w:r>
      <w:r w:rsidR="00006FDF" w:rsidRPr="003408A6">
        <w:rPr>
          <w:lang w:val="en-AU"/>
        </w:rPr>
        <w:t>2</w:t>
      </w:r>
      <w:r w:rsidRPr="003408A6">
        <w:rPr>
          <w:lang w:val="en-AU"/>
        </w:rPr>
        <w:t xml:space="preserve">-dose efficacy may be comparable to </w:t>
      </w:r>
      <w:r w:rsidR="00006FDF" w:rsidRPr="003408A6">
        <w:rPr>
          <w:lang w:val="en-AU"/>
        </w:rPr>
        <w:t>3</w:t>
      </w:r>
      <w:r w:rsidRPr="003408A6">
        <w:rPr>
          <w:lang w:val="en-AU"/>
        </w:rPr>
        <w:t>-dose efficacy</w:t>
      </w:r>
      <w:r w:rsidR="00162DBD" w:rsidRPr="003408A6">
        <w:rPr>
          <w:lang w:val="en-AU"/>
        </w:rPr>
        <w:t>,</w:t>
      </w:r>
      <w:r w:rsidR="006D1565" w:rsidRPr="003408A6">
        <w:rPr>
          <w:lang w:val="en-AU"/>
        </w:rPr>
        <w:fldChar w:fldCharType="begin">
          <w:fldData xml:space="preserve">PEVuZE5vdGU+PENpdGU+PEF1dGhvcj5LcmVpbWVyPC9BdXRob3I+PFllYXI+MjAxMTwvWWVhcj48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</w:fldData>
        </w:fldChar>
      </w:r>
      <w:r w:rsidR="00F27F90">
        <w:rPr>
          <w:lang w:val="en-AU"/>
        </w:rPr>
        <w:instrText xml:space="preserve"> ADDIN EN.CITE </w:instrText>
      </w:r>
      <w:r w:rsidR="00F27F90">
        <w:rPr>
          <w:lang w:val="en-AU"/>
        </w:rPr>
        <w:fldChar w:fldCharType="begin">
          <w:fldData xml:space="preserve">PEVuZE5vdGU+PENpdGU+PEF1dGhvcj5LcmVpbWVyPC9BdXRob3I+PFllYXI+MjAxMTwvWWVhcj48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</w:fldData>
        </w:fldChar>
      </w:r>
      <w:r w:rsidR="00F27F90">
        <w:rPr>
          <w:lang w:val="en-AU"/>
        </w:rPr>
        <w:instrText xml:space="preserve"> ADDIN EN.CITE.DATA </w:instrText>
      </w:r>
      <w:r w:rsidR="00F27F90">
        <w:rPr>
          <w:lang w:val="en-AU"/>
        </w:rPr>
      </w:r>
      <w:r w:rsidR="00F27F90">
        <w:rPr>
          <w:lang w:val="en-AU"/>
        </w:rPr>
        <w:fldChar w:fldCharType="end"/>
      </w:r>
      <w:r w:rsidR="006D1565" w:rsidRPr="003408A6">
        <w:rPr>
          <w:lang w:val="en-AU"/>
        </w:rPr>
      </w:r>
      <w:r w:rsidR="006D1565" w:rsidRPr="003408A6">
        <w:rPr>
          <w:lang w:val="en-AU"/>
        </w:rPr>
        <w:fldChar w:fldCharType="separate"/>
      </w:r>
      <w:hyperlink w:anchor="_ENREF_115" w:tooltip="Kreimer, 2011 #1292" w:history="1">
        <w:r w:rsidR="00F27F90" w:rsidRPr="00F27F90">
          <w:rPr>
            <w:noProof/>
            <w:vertAlign w:val="superscript"/>
            <w:lang w:val="en-AU"/>
          </w:rPr>
          <w:t>115</w:t>
        </w:r>
      </w:hyperlink>
      <w:r w:rsidR="00F27F90" w:rsidRPr="00F27F90">
        <w:rPr>
          <w:noProof/>
          <w:vertAlign w:val="superscript"/>
          <w:lang w:val="en-AU"/>
        </w:rPr>
        <w:t>,</w:t>
      </w:r>
      <w:hyperlink w:anchor="_ENREF_116" w:tooltip="Dobson, 2013 #1287" w:history="1">
        <w:r w:rsidR="00F27F90" w:rsidRPr="00F27F90">
          <w:rPr>
            <w:noProof/>
            <w:vertAlign w:val="superscript"/>
            <w:lang w:val="en-AU"/>
          </w:rPr>
          <w:t>116</w:t>
        </w:r>
      </w:hyperlink>
      <w:r w:rsidR="006D1565" w:rsidRPr="003408A6">
        <w:rPr>
          <w:lang w:val="en-AU"/>
        </w:rPr>
        <w:fldChar w:fldCharType="end"/>
      </w:r>
      <w:r w:rsidRPr="003408A6">
        <w:rPr>
          <w:lang w:val="en-AU"/>
        </w:rPr>
        <w:t xml:space="preserve"> at least in the short term. The estimated proportion of </w:t>
      </w:r>
      <w:r w:rsidR="004E397F" w:rsidRPr="003408A6">
        <w:rPr>
          <w:lang w:val="en-AU"/>
        </w:rPr>
        <w:t xml:space="preserve">females </w:t>
      </w:r>
      <w:r w:rsidRPr="003408A6">
        <w:rPr>
          <w:lang w:val="en-AU"/>
        </w:rPr>
        <w:t xml:space="preserve">in each of these age groups ever vaccinated in the intervening years since the commencement of the </w:t>
      </w:r>
      <w:r w:rsidR="00162DBD" w:rsidRPr="003408A6">
        <w:rPr>
          <w:lang w:val="en-AU"/>
        </w:rPr>
        <w:t xml:space="preserve">National HPV Vaccination Program </w:t>
      </w:r>
      <w:r w:rsidRPr="003408A6">
        <w:rPr>
          <w:lang w:val="en-AU"/>
        </w:rPr>
        <w:t>in 2007 appear in supplementary data (</w:t>
      </w:r>
      <w:r w:rsidR="00F3427D" w:rsidRPr="003408A6">
        <w:rPr>
          <w:b/>
          <w:lang w:val="en-AU"/>
        </w:rPr>
        <w:t>Appendix</w:t>
      </w:r>
      <w:r w:rsidR="004B5BC4" w:rsidRPr="003408A6">
        <w:rPr>
          <w:b/>
          <w:lang w:val="en-AU"/>
        </w:rPr>
        <w:t xml:space="preserve"> 6.</w:t>
      </w:r>
      <w:r w:rsidR="00653668">
        <w:rPr>
          <w:b/>
          <w:lang w:val="en-AU"/>
        </w:rPr>
        <w:t>2</w:t>
      </w:r>
      <w:r w:rsidRPr="003408A6">
        <w:rPr>
          <w:lang w:val="en-AU"/>
        </w:rPr>
        <w:t xml:space="preserve">). </w:t>
      </w:r>
    </w:p>
    <w:p w:rsidR="00FD5559" w:rsidRPr="003408A6" w:rsidRDefault="00FD5559" w:rsidP="00FD5559">
      <w:pPr>
        <w:spacing w:line="360" w:lineRule="auto"/>
      </w:pPr>
    </w:p>
    <w:p w:rsidR="00C2177D" w:rsidRPr="003408A6" w:rsidRDefault="00C2177D">
      <w:pPr>
        <w:rPr>
          <w:b/>
          <w:szCs w:val="24"/>
          <w:lang w:eastAsia="en-US"/>
        </w:rPr>
      </w:pPr>
      <w:r w:rsidRPr="003408A6">
        <w:br w:type="page"/>
      </w:r>
    </w:p>
    <w:p w:rsidR="00FD5559" w:rsidRPr="003408A6" w:rsidRDefault="00DD00AD" w:rsidP="000A2125">
      <w:pPr>
        <w:pStyle w:val="Tableheading"/>
        <w:rPr>
          <w:lang w:val="en-AU"/>
        </w:rPr>
      </w:pPr>
      <w:bookmarkStart w:id="214" w:name="_Toc396475556"/>
      <w:bookmarkStart w:id="215" w:name="_Toc397000784"/>
      <w:r w:rsidRPr="003408A6">
        <w:rPr>
          <w:lang w:val="en-AU"/>
        </w:rPr>
        <w:t>Table 6.1</w:t>
      </w:r>
      <w:r w:rsidR="00A254B5" w:rsidRPr="003408A6">
        <w:rPr>
          <w:lang w:val="en-AU"/>
        </w:rPr>
        <w:t>.</w:t>
      </w:r>
      <w:r w:rsidR="00D861BD" w:rsidRPr="003408A6">
        <w:rPr>
          <w:lang w:val="en-AU"/>
        </w:rPr>
        <w:tab/>
      </w:r>
      <w:r w:rsidRPr="003408A6">
        <w:rPr>
          <w:lang w:val="en-AU"/>
        </w:rPr>
        <w:t>Age groups used in the analysis (based on age at admission)</w:t>
      </w:r>
      <w:bookmarkEnd w:id="214"/>
      <w:bookmarkEnd w:id="215"/>
    </w:p>
    <w:tbl>
      <w:tblPr>
        <w:tblStyle w:val="TableGrid"/>
        <w:tblW w:w="9639" w:type="dxa"/>
        <w:tblBorders>
          <w:insideH w:val="none" w:sz="0" w:space="0" w:color="auto"/>
          <w:insideV w:val="none" w:sz="0" w:space="0" w:color="auto"/>
        </w:tblBorders>
        <w:tblLook w:val="04A0" w:firstRow="1" w:lastRow="0" w:firstColumn="1" w:lastColumn="0" w:noHBand="0" w:noVBand="1"/>
        <w:tblCaption w:val="Age groups used in the analysis (based on age at admission)"/>
      </w:tblPr>
      <w:tblGrid>
        <w:gridCol w:w="1101"/>
        <w:gridCol w:w="6378"/>
        <w:gridCol w:w="2160"/>
      </w:tblGrid>
      <w:tr w:rsidR="00FD5559" w:rsidRPr="003408A6" w:rsidTr="009D2B74">
        <w:trPr>
          <w:tblHeader/>
        </w:trPr>
        <w:tc>
          <w:tcPr>
            <w:tcW w:w="1101" w:type="dxa"/>
            <w:tcBorders>
              <w:top w:val="single" w:sz="4" w:space="0" w:color="auto"/>
              <w:bottom w:val="single" w:sz="4" w:space="0" w:color="auto"/>
              <w:right w:val="single" w:sz="4" w:space="0" w:color="auto"/>
            </w:tcBorders>
            <w:shd w:val="clear" w:color="auto" w:fill="auto"/>
            <w:vAlign w:val="center"/>
          </w:tcPr>
          <w:p w:rsidR="00FD5559" w:rsidRPr="003408A6" w:rsidRDefault="00FD5559" w:rsidP="006240EB">
            <w:pPr>
              <w:pStyle w:val="Tablecolumnheading"/>
              <w:rPr>
                <w:lang w:val="en-AU"/>
              </w:rPr>
            </w:pPr>
            <w:r w:rsidRPr="003408A6">
              <w:rPr>
                <w:lang w:val="en-AU"/>
              </w:rPr>
              <w:t>Age group (years)</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D5559" w:rsidRPr="003408A6" w:rsidRDefault="00FD5559" w:rsidP="006240EB">
            <w:pPr>
              <w:pStyle w:val="Tablecolumnheading"/>
              <w:rPr>
                <w:lang w:val="en-AU"/>
              </w:rPr>
            </w:pPr>
            <w:r w:rsidRPr="003408A6">
              <w:rPr>
                <w:lang w:val="en-AU"/>
              </w:rPr>
              <w:t>Likely exposure to vaccination by 30 June 2011</w:t>
            </w:r>
          </w:p>
        </w:tc>
        <w:tc>
          <w:tcPr>
            <w:tcW w:w="2160" w:type="dxa"/>
            <w:tcBorders>
              <w:top w:val="single" w:sz="4" w:space="0" w:color="auto"/>
              <w:left w:val="single" w:sz="4" w:space="0" w:color="auto"/>
              <w:bottom w:val="single" w:sz="4" w:space="0" w:color="auto"/>
            </w:tcBorders>
            <w:shd w:val="clear" w:color="auto" w:fill="auto"/>
          </w:tcPr>
          <w:p w:rsidR="00FD5559" w:rsidRPr="003408A6" w:rsidRDefault="00FD5559" w:rsidP="006240EB">
            <w:pPr>
              <w:pStyle w:val="Tablecolumnheading"/>
              <w:rPr>
                <w:lang w:val="en-AU"/>
              </w:rPr>
            </w:pPr>
            <w:r w:rsidRPr="003408A6">
              <w:rPr>
                <w:lang w:val="en-AU"/>
              </w:rPr>
              <w:t xml:space="preserve">Estimated* </w:t>
            </w:r>
            <w:r w:rsidR="00006FDF" w:rsidRPr="003408A6">
              <w:rPr>
                <w:lang w:val="en-AU"/>
              </w:rPr>
              <w:t>3</w:t>
            </w:r>
            <w:r w:rsidRPr="003408A6">
              <w:rPr>
                <w:lang w:val="en-AU"/>
              </w:rPr>
              <w:t>-dose (</w:t>
            </w:r>
            <w:r w:rsidR="00006FDF" w:rsidRPr="003408A6">
              <w:rPr>
                <w:i/>
                <w:lang w:val="en-AU"/>
              </w:rPr>
              <w:t>2</w:t>
            </w:r>
            <w:r w:rsidRPr="003408A6">
              <w:rPr>
                <w:i/>
                <w:lang w:val="en-AU"/>
              </w:rPr>
              <w:t>-dose</w:t>
            </w:r>
            <w:r w:rsidRPr="003408A6">
              <w:rPr>
                <w:lang w:val="en-AU"/>
              </w:rPr>
              <w:t>) vaccin</w:t>
            </w:r>
            <w:r w:rsidR="00DE56C1" w:rsidRPr="003408A6">
              <w:rPr>
                <w:lang w:val="en-AU"/>
              </w:rPr>
              <w:t>ation</w:t>
            </w:r>
            <w:r w:rsidRPr="003408A6">
              <w:rPr>
                <w:lang w:val="en-AU"/>
              </w:rPr>
              <w:t xml:space="preserve"> coverage in this age group as at 30 June 2011</w:t>
            </w:r>
          </w:p>
        </w:tc>
      </w:tr>
      <w:tr w:rsidR="00FD5559" w:rsidRPr="003408A6" w:rsidTr="00956E40">
        <w:tc>
          <w:tcPr>
            <w:tcW w:w="1101" w:type="dxa"/>
            <w:tcBorders>
              <w:top w:val="single" w:sz="4" w:space="0" w:color="auto"/>
              <w:right w:val="single" w:sz="4" w:space="0" w:color="auto"/>
            </w:tcBorders>
          </w:tcPr>
          <w:p w:rsidR="00FD5559" w:rsidRPr="003408A6" w:rsidRDefault="00FD5559" w:rsidP="006240EB">
            <w:pPr>
              <w:pStyle w:val="Tabletext"/>
              <w:rPr>
                <w:lang w:val="en-AU"/>
              </w:rPr>
            </w:pPr>
            <w:r w:rsidRPr="003408A6">
              <w:rPr>
                <w:lang w:val="en-AU"/>
              </w:rPr>
              <w:t>12</w:t>
            </w:r>
            <w:r w:rsidR="00162DBD" w:rsidRPr="003408A6">
              <w:rPr>
                <w:lang w:val="en-AU"/>
              </w:rPr>
              <w:t>–</w:t>
            </w:r>
            <w:r w:rsidRPr="003408A6">
              <w:rPr>
                <w:lang w:val="en-AU"/>
              </w:rPr>
              <w:t xml:space="preserve">17 </w:t>
            </w:r>
          </w:p>
        </w:tc>
        <w:tc>
          <w:tcPr>
            <w:tcW w:w="6378" w:type="dxa"/>
            <w:tcBorders>
              <w:top w:val="single" w:sz="4" w:space="0" w:color="auto"/>
              <w:left w:val="single" w:sz="4" w:space="0" w:color="auto"/>
              <w:right w:val="single" w:sz="4" w:space="0" w:color="auto"/>
            </w:tcBorders>
          </w:tcPr>
          <w:p w:rsidR="00FD5559" w:rsidRPr="003408A6" w:rsidRDefault="00FD5559" w:rsidP="006240EB">
            <w:pPr>
              <w:pStyle w:val="Tabletext"/>
              <w:rPr>
                <w:lang w:val="en-AU"/>
              </w:rPr>
            </w:pPr>
            <w:r w:rsidRPr="003408A6">
              <w:rPr>
                <w:lang w:val="en-AU"/>
              </w:rPr>
              <w:t xml:space="preserve">From 2007 onwards, this age group will include females who were offered HPV vaccination through the school-based program. Coverage is higher and exposure to HPV prior to vaccination is likely to be less than in older age groups. In females, approximately half of this age category would have been offered vaccination in 2007, mostly at school, and the remainder in 2008 or subsequent years (also at school).  </w:t>
            </w:r>
          </w:p>
        </w:tc>
        <w:tc>
          <w:tcPr>
            <w:tcW w:w="2160" w:type="dxa"/>
            <w:tcBorders>
              <w:top w:val="single" w:sz="4" w:space="0" w:color="auto"/>
              <w:left w:val="single" w:sz="4" w:space="0" w:color="auto"/>
            </w:tcBorders>
          </w:tcPr>
          <w:p w:rsidR="00FD5559" w:rsidRPr="003408A6" w:rsidRDefault="00FD5559" w:rsidP="006240EB">
            <w:pPr>
              <w:pStyle w:val="Tabletextcentred"/>
              <w:rPr>
                <w:lang w:val="en-AU"/>
              </w:rPr>
            </w:pPr>
            <w:r w:rsidRPr="003408A6">
              <w:rPr>
                <w:lang w:val="en-AU"/>
              </w:rPr>
              <w:t>71%</w:t>
            </w:r>
            <w:r w:rsidR="006240EB" w:rsidRPr="003408A6">
              <w:rPr>
                <w:lang w:val="en-AU"/>
              </w:rPr>
              <w:t xml:space="preserve"> </w:t>
            </w:r>
            <w:r w:rsidRPr="003408A6">
              <w:rPr>
                <w:lang w:val="en-AU"/>
              </w:rPr>
              <w:t>(</w:t>
            </w:r>
            <w:r w:rsidRPr="003408A6">
              <w:rPr>
                <w:i/>
                <w:lang w:val="en-AU"/>
              </w:rPr>
              <w:t>77%</w:t>
            </w:r>
            <w:r w:rsidRPr="003408A6">
              <w:rPr>
                <w:lang w:val="en-AU"/>
              </w:rPr>
              <w:t>)</w:t>
            </w:r>
          </w:p>
        </w:tc>
      </w:tr>
      <w:tr w:rsidR="00FD5559" w:rsidRPr="003408A6" w:rsidTr="00956E40">
        <w:tc>
          <w:tcPr>
            <w:tcW w:w="1101" w:type="dxa"/>
            <w:tcBorders>
              <w:right w:val="single" w:sz="4" w:space="0" w:color="auto"/>
            </w:tcBorders>
          </w:tcPr>
          <w:p w:rsidR="00FD5559" w:rsidRPr="003408A6" w:rsidRDefault="00FD5559" w:rsidP="006240EB">
            <w:pPr>
              <w:pStyle w:val="Tabletext"/>
              <w:rPr>
                <w:lang w:val="en-AU"/>
              </w:rPr>
            </w:pPr>
            <w:r w:rsidRPr="003408A6">
              <w:rPr>
                <w:lang w:val="en-AU"/>
              </w:rPr>
              <w:t>18</w:t>
            </w:r>
            <w:r w:rsidR="00162DBD" w:rsidRPr="003408A6">
              <w:rPr>
                <w:lang w:val="en-AU"/>
              </w:rPr>
              <w:t>–</w:t>
            </w:r>
            <w:r w:rsidRPr="003408A6">
              <w:rPr>
                <w:lang w:val="en-AU"/>
              </w:rPr>
              <w:t xml:space="preserve">26 </w:t>
            </w:r>
          </w:p>
        </w:tc>
        <w:tc>
          <w:tcPr>
            <w:tcW w:w="6378" w:type="dxa"/>
            <w:tcBorders>
              <w:left w:val="single" w:sz="4" w:space="0" w:color="auto"/>
              <w:right w:val="single" w:sz="4" w:space="0" w:color="auto"/>
            </w:tcBorders>
          </w:tcPr>
          <w:p w:rsidR="00FD5559" w:rsidRPr="003408A6" w:rsidRDefault="00FD5559" w:rsidP="006240EB">
            <w:pPr>
              <w:pStyle w:val="Tabletext"/>
              <w:rPr>
                <w:lang w:val="en-AU"/>
              </w:rPr>
            </w:pPr>
            <w:r w:rsidRPr="003408A6">
              <w:rPr>
                <w:lang w:val="en-AU"/>
              </w:rPr>
              <w:t>Catch-up vaccination was offered to females in this age group between 2007</w:t>
            </w:r>
            <w:r w:rsidR="00162DBD" w:rsidRPr="003408A6">
              <w:rPr>
                <w:lang w:val="en-AU"/>
              </w:rPr>
              <w:t xml:space="preserve"> and </w:t>
            </w:r>
            <w:r w:rsidRPr="003408A6">
              <w:rPr>
                <w:lang w:val="en-AU"/>
              </w:rPr>
              <w:t>2009, although coverage is lower and exposure to HPV prior to vaccination is more likely than in the younger age group. Over time, females vaccinated in school will start to move into this age group. By 30 June 2011 the females in this age group would have been offered vaccination between the ages of approximately 15</w:t>
            </w:r>
            <w:r w:rsidR="00162DBD" w:rsidRPr="003408A6">
              <w:rPr>
                <w:lang w:val="en-AU"/>
              </w:rPr>
              <w:t xml:space="preserve"> and </w:t>
            </w:r>
            <w:r w:rsidRPr="003408A6">
              <w:rPr>
                <w:lang w:val="en-AU"/>
              </w:rPr>
              <w:t>24 years.</w:t>
            </w:r>
          </w:p>
        </w:tc>
        <w:tc>
          <w:tcPr>
            <w:tcW w:w="2160" w:type="dxa"/>
            <w:tcBorders>
              <w:left w:val="single" w:sz="4" w:space="0" w:color="auto"/>
            </w:tcBorders>
          </w:tcPr>
          <w:p w:rsidR="00FD5559" w:rsidRPr="003408A6" w:rsidRDefault="00FD5559" w:rsidP="00622B62">
            <w:pPr>
              <w:pStyle w:val="Tabletextcentred"/>
              <w:rPr>
                <w:lang w:val="en-AU"/>
              </w:rPr>
            </w:pPr>
            <w:r w:rsidRPr="003408A6">
              <w:rPr>
                <w:lang w:val="en-AU"/>
              </w:rPr>
              <w:t>45%</w:t>
            </w:r>
            <w:r w:rsidR="006240EB" w:rsidRPr="003408A6">
              <w:rPr>
                <w:lang w:val="en-AU"/>
              </w:rPr>
              <w:t xml:space="preserve"> </w:t>
            </w:r>
            <w:r w:rsidRPr="003408A6">
              <w:rPr>
                <w:lang w:val="en-AU"/>
              </w:rPr>
              <w:t>(</w:t>
            </w:r>
            <w:r w:rsidRPr="003408A6">
              <w:rPr>
                <w:i/>
                <w:lang w:val="en-AU"/>
              </w:rPr>
              <w:t>56%</w:t>
            </w:r>
            <w:r w:rsidRPr="003408A6">
              <w:rPr>
                <w:lang w:val="en-AU"/>
              </w:rPr>
              <w:t>)</w:t>
            </w:r>
          </w:p>
        </w:tc>
      </w:tr>
      <w:tr w:rsidR="00FD5559" w:rsidRPr="003408A6" w:rsidTr="00956E40">
        <w:tc>
          <w:tcPr>
            <w:tcW w:w="1101" w:type="dxa"/>
            <w:tcBorders>
              <w:right w:val="single" w:sz="4" w:space="0" w:color="auto"/>
            </w:tcBorders>
          </w:tcPr>
          <w:p w:rsidR="00FD5559" w:rsidRPr="003408A6" w:rsidRDefault="00FD5559" w:rsidP="006240EB">
            <w:pPr>
              <w:pStyle w:val="Tabletext"/>
              <w:rPr>
                <w:lang w:val="en-AU"/>
              </w:rPr>
            </w:pPr>
            <w:r w:rsidRPr="003408A6">
              <w:rPr>
                <w:lang w:val="en-AU"/>
              </w:rPr>
              <w:t>27</w:t>
            </w:r>
            <w:r w:rsidR="00162DBD" w:rsidRPr="003408A6">
              <w:rPr>
                <w:lang w:val="en-AU"/>
              </w:rPr>
              <w:t>–</w:t>
            </w:r>
            <w:r w:rsidRPr="003408A6">
              <w:rPr>
                <w:lang w:val="en-AU"/>
              </w:rPr>
              <w:t xml:space="preserve">30 </w:t>
            </w:r>
          </w:p>
        </w:tc>
        <w:tc>
          <w:tcPr>
            <w:tcW w:w="6378" w:type="dxa"/>
            <w:tcBorders>
              <w:left w:val="single" w:sz="4" w:space="0" w:color="auto"/>
              <w:right w:val="single" w:sz="4" w:space="0" w:color="auto"/>
            </w:tcBorders>
          </w:tcPr>
          <w:p w:rsidR="00FD5559" w:rsidRPr="003408A6" w:rsidRDefault="00FD5559" w:rsidP="006240EB">
            <w:pPr>
              <w:pStyle w:val="Tabletext"/>
              <w:rPr>
                <w:lang w:val="en-AU"/>
              </w:rPr>
            </w:pPr>
            <w:r w:rsidRPr="003408A6">
              <w:rPr>
                <w:lang w:val="en-AU"/>
              </w:rPr>
              <w:t>This represents an age group which will progressively include some vaccinated cohorts over the period 2008</w:t>
            </w:r>
            <w:r w:rsidR="00162DBD" w:rsidRPr="003408A6">
              <w:rPr>
                <w:lang w:val="en-AU"/>
              </w:rPr>
              <w:t>–</w:t>
            </w:r>
            <w:r w:rsidRPr="003408A6">
              <w:rPr>
                <w:lang w:val="en-AU"/>
              </w:rPr>
              <w:t>2011, but the proportion who have been effectively vaccinated is likely to be smaller than in the younger age groups, due to low coverage and higher prior exposure. By 30 June 2011</w:t>
            </w:r>
            <w:r w:rsidR="00162DBD" w:rsidRPr="003408A6">
              <w:rPr>
                <w:lang w:val="en-AU"/>
              </w:rPr>
              <w:t>,</w:t>
            </w:r>
            <w:r w:rsidRPr="003408A6">
              <w:rPr>
                <w:lang w:val="en-AU"/>
              </w:rPr>
              <w:t xml:space="preserve"> the females in this age group would have been offered vaccination between the ages of approximately 23</w:t>
            </w:r>
            <w:r w:rsidR="00162DBD" w:rsidRPr="003408A6">
              <w:rPr>
                <w:lang w:val="en-AU"/>
              </w:rPr>
              <w:t xml:space="preserve"> and </w:t>
            </w:r>
            <w:r w:rsidRPr="003408A6">
              <w:rPr>
                <w:lang w:val="en-AU"/>
              </w:rPr>
              <w:t>26 years.</w:t>
            </w:r>
          </w:p>
        </w:tc>
        <w:tc>
          <w:tcPr>
            <w:tcW w:w="2160" w:type="dxa"/>
            <w:tcBorders>
              <w:left w:val="single" w:sz="4" w:space="0" w:color="auto"/>
            </w:tcBorders>
          </w:tcPr>
          <w:p w:rsidR="00FD5559" w:rsidRPr="003408A6" w:rsidRDefault="00FD5559" w:rsidP="006240EB">
            <w:pPr>
              <w:pStyle w:val="Tabletextcentred"/>
              <w:rPr>
                <w:lang w:val="en-AU"/>
              </w:rPr>
            </w:pPr>
            <w:r w:rsidRPr="003408A6">
              <w:rPr>
                <w:lang w:val="en-AU"/>
              </w:rPr>
              <w:t>25%</w:t>
            </w:r>
            <w:r w:rsidR="006240EB" w:rsidRPr="003408A6">
              <w:rPr>
                <w:lang w:val="en-AU"/>
              </w:rPr>
              <w:t xml:space="preserve"> </w:t>
            </w:r>
            <w:r w:rsidRPr="003408A6">
              <w:rPr>
                <w:lang w:val="en-AU"/>
              </w:rPr>
              <w:t>(</w:t>
            </w:r>
            <w:r w:rsidRPr="003408A6">
              <w:rPr>
                <w:i/>
                <w:lang w:val="en-AU"/>
              </w:rPr>
              <w:t>35%</w:t>
            </w:r>
            <w:r w:rsidRPr="003408A6">
              <w:rPr>
                <w:lang w:val="en-AU"/>
              </w:rPr>
              <w:t>)</w:t>
            </w:r>
          </w:p>
        </w:tc>
      </w:tr>
      <w:tr w:rsidR="00FD5559" w:rsidRPr="003408A6" w:rsidTr="00956E40">
        <w:tc>
          <w:tcPr>
            <w:tcW w:w="1101" w:type="dxa"/>
            <w:tcBorders>
              <w:bottom w:val="single" w:sz="4" w:space="0" w:color="auto"/>
              <w:right w:val="single" w:sz="4" w:space="0" w:color="auto"/>
            </w:tcBorders>
          </w:tcPr>
          <w:p w:rsidR="00FD5559" w:rsidRPr="003408A6" w:rsidRDefault="00FD5559" w:rsidP="006240EB">
            <w:pPr>
              <w:pStyle w:val="Tabletext"/>
              <w:rPr>
                <w:lang w:val="en-AU"/>
              </w:rPr>
            </w:pPr>
            <w:r w:rsidRPr="003408A6">
              <w:rPr>
                <w:lang w:val="en-AU"/>
              </w:rPr>
              <w:t>31</w:t>
            </w:r>
            <w:r w:rsidR="00162DBD" w:rsidRPr="003408A6">
              <w:rPr>
                <w:lang w:val="en-AU"/>
              </w:rPr>
              <w:t>–</w:t>
            </w:r>
            <w:r w:rsidRPr="003408A6">
              <w:rPr>
                <w:lang w:val="en-AU"/>
              </w:rPr>
              <w:t xml:space="preserve">69 </w:t>
            </w:r>
          </w:p>
        </w:tc>
        <w:tc>
          <w:tcPr>
            <w:tcW w:w="6378" w:type="dxa"/>
            <w:tcBorders>
              <w:left w:val="single" w:sz="4" w:space="0" w:color="auto"/>
              <w:bottom w:val="single" w:sz="4" w:space="0" w:color="auto"/>
              <w:right w:val="single" w:sz="4" w:space="0" w:color="auto"/>
            </w:tcBorders>
          </w:tcPr>
          <w:p w:rsidR="00FD5559" w:rsidRPr="003408A6" w:rsidRDefault="00FD5559" w:rsidP="006240EB">
            <w:pPr>
              <w:pStyle w:val="Tabletext"/>
              <w:rPr>
                <w:lang w:val="en-AU"/>
              </w:rPr>
            </w:pPr>
            <w:r w:rsidRPr="003408A6">
              <w:rPr>
                <w:lang w:val="en-AU"/>
              </w:rPr>
              <w:t>This represents an age group who have never been offered HPV vaccination through the public program (by 30 June 2011, the oldest females offered vaccinat</w:t>
            </w:r>
            <w:r w:rsidR="00162DBD" w:rsidRPr="003408A6">
              <w:rPr>
                <w:lang w:val="en-AU"/>
              </w:rPr>
              <w:t>ion</w:t>
            </w:r>
            <w:r w:rsidRPr="003408A6">
              <w:rPr>
                <w:lang w:val="en-AU"/>
              </w:rPr>
              <w:t xml:space="preserve"> would be aged 30 years). Some elective uptake is possible in this group, but is likely to be small. </w:t>
            </w:r>
          </w:p>
        </w:tc>
        <w:tc>
          <w:tcPr>
            <w:tcW w:w="2160" w:type="dxa"/>
            <w:tcBorders>
              <w:left w:val="single" w:sz="4" w:space="0" w:color="auto"/>
            </w:tcBorders>
          </w:tcPr>
          <w:p w:rsidR="00FD5559" w:rsidRPr="003408A6" w:rsidRDefault="00FD5559" w:rsidP="006240EB">
            <w:pPr>
              <w:pStyle w:val="Tabletextcentred"/>
              <w:rPr>
                <w:lang w:val="en-AU"/>
              </w:rPr>
            </w:pPr>
            <w:r w:rsidRPr="003408A6">
              <w:rPr>
                <w:lang w:val="en-AU"/>
              </w:rPr>
              <w:t>Minimal</w:t>
            </w:r>
            <w:r w:rsidRPr="003408A6">
              <w:rPr>
                <w:vertAlign w:val="superscript"/>
                <w:lang w:val="en-AU"/>
              </w:rPr>
              <w:t>†</w:t>
            </w:r>
          </w:p>
        </w:tc>
      </w:tr>
    </w:tbl>
    <w:p w:rsidR="00162DBD" w:rsidRPr="003408A6" w:rsidRDefault="006240EB" w:rsidP="006240EB">
      <w:pPr>
        <w:pStyle w:val="Tablefootnote"/>
      </w:pPr>
      <w:r w:rsidRPr="003408A6">
        <w:t>*</w:t>
      </w:r>
      <w:r w:rsidRPr="003408A6">
        <w:tab/>
      </w:r>
      <w:r w:rsidR="00FD5559" w:rsidRPr="003408A6">
        <w:t>Estimated from published coverage data and population estimates for mid-2011</w:t>
      </w:r>
      <w:r w:rsidR="00162DBD" w:rsidRPr="003408A6">
        <w:t>.</w:t>
      </w:r>
      <w:r w:rsidR="006D1565" w:rsidRPr="003408A6">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instrText xml:space="preserve"> ADDIN EN.CITE </w:instrText>
      </w:r>
      <w:r w:rsidR="00F27F90">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instrText xml:space="preserve"> ADDIN EN.CITE.DATA </w:instrText>
      </w:r>
      <w:r w:rsidR="00F27F90">
        <w:fldChar w:fldCharType="end"/>
      </w:r>
      <w:r w:rsidR="006D1565" w:rsidRPr="003408A6">
        <w:fldChar w:fldCharType="separate"/>
      </w:r>
      <w:hyperlink w:anchor="_ENREF_38" w:tooltip="Brotherton, 2011 #1269" w:history="1">
        <w:r w:rsidR="00F27F90" w:rsidRPr="00F27F90">
          <w:rPr>
            <w:noProof/>
            <w:vertAlign w:val="superscript"/>
          </w:rPr>
          <w:t>38</w:t>
        </w:r>
      </w:hyperlink>
      <w:r w:rsidR="00F27F90" w:rsidRPr="00F27F90">
        <w:rPr>
          <w:noProof/>
          <w:vertAlign w:val="superscript"/>
        </w:rPr>
        <w:t>,</w:t>
      </w:r>
      <w:hyperlink w:anchor="_ENREF_41" w:tooltip="Brotherton, 2013 #1297" w:history="1">
        <w:r w:rsidR="00F27F90" w:rsidRPr="00F27F90">
          <w:rPr>
            <w:noProof/>
            <w:vertAlign w:val="superscript"/>
          </w:rPr>
          <w:t>41</w:t>
        </w:r>
      </w:hyperlink>
      <w:r w:rsidR="00F27F90" w:rsidRPr="00F27F90">
        <w:rPr>
          <w:noProof/>
          <w:vertAlign w:val="superscript"/>
        </w:rPr>
        <w:t>,</w:t>
      </w:r>
      <w:hyperlink w:anchor="_ENREF_113" w:tooltip="Australian Bureau of Statistics, 2013 #1274" w:history="1">
        <w:r w:rsidR="00F27F90" w:rsidRPr="00F27F90">
          <w:rPr>
            <w:noProof/>
            <w:vertAlign w:val="superscript"/>
          </w:rPr>
          <w:t>113</w:t>
        </w:r>
      </w:hyperlink>
      <w:r w:rsidR="00F27F90" w:rsidRPr="00F27F90">
        <w:rPr>
          <w:noProof/>
          <w:vertAlign w:val="superscript"/>
        </w:rPr>
        <w:t>,</w:t>
      </w:r>
      <w:hyperlink w:anchor="_ENREF_114" w:tooltip="Australian Government Department of Health, 2013 #1286" w:history="1">
        <w:r w:rsidR="00F27F90" w:rsidRPr="00F27F90">
          <w:rPr>
            <w:noProof/>
            <w:vertAlign w:val="superscript"/>
          </w:rPr>
          <w:t>114</w:t>
        </w:r>
      </w:hyperlink>
      <w:r w:rsidR="006D1565" w:rsidRPr="003408A6">
        <w:fldChar w:fldCharType="end"/>
      </w:r>
      <w:r w:rsidR="00FD5559" w:rsidRPr="003408A6">
        <w:t xml:space="preserve"> Coverage data for females aged 12</w:t>
      </w:r>
      <w:r w:rsidR="00162DBD" w:rsidRPr="003408A6">
        <w:t>–</w:t>
      </w:r>
      <w:r w:rsidR="00FD5559" w:rsidRPr="003408A6">
        <w:t>13 years in 2011 is not yet available so estimates are based on similar coverage to those aged 14</w:t>
      </w:r>
      <w:r w:rsidR="00162DBD" w:rsidRPr="003408A6">
        <w:t>–</w:t>
      </w:r>
      <w:r w:rsidR="00FD5559" w:rsidRPr="003408A6">
        <w:t>15 years.</w:t>
      </w:r>
    </w:p>
    <w:p w:rsidR="00FD5559" w:rsidRPr="003408A6" w:rsidRDefault="00FD5559" w:rsidP="006240EB">
      <w:pPr>
        <w:pStyle w:val="Tablefootnote"/>
      </w:pPr>
      <w:r w:rsidRPr="003408A6">
        <w:t>†</w:t>
      </w:r>
      <w:r w:rsidR="006240EB" w:rsidRPr="003408A6">
        <w:tab/>
      </w:r>
      <w:r w:rsidRPr="003408A6">
        <w:t>Elective uptake only; cost of vaccine would have been entirely out-of-pocket.</w:t>
      </w:r>
    </w:p>
    <w:p w:rsidR="006240EB" w:rsidRPr="003408A6" w:rsidRDefault="006240EB" w:rsidP="006240EB">
      <w:pPr>
        <w:pStyle w:val="BodyText"/>
        <w:rPr>
          <w:lang w:val="en-AU"/>
        </w:rPr>
      </w:pPr>
    </w:p>
    <w:p w:rsidR="00FD5559" w:rsidRPr="003408A6" w:rsidRDefault="00FD5559" w:rsidP="00FD5559">
      <w:pPr>
        <w:pStyle w:val="Heading3"/>
      </w:pPr>
      <w:bookmarkStart w:id="216" w:name="_Toc372811165"/>
      <w:r w:rsidRPr="003408A6">
        <w:t>Sensitivity analysis</w:t>
      </w:r>
      <w:bookmarkEnd w:id="216"/>
    </w:p>
    <w:p w:rsidR="00FD5559" w:rsidRPr="003408A6" w:rsidRDefault="00FD5559" w:rsidP="006240EB">
      <w:pPr>
        <w:pStyle w:val="BodyText"/>
        <w:rPr>
          <w:lang w:val="en-AU"/>
        </w:rPr>
      </w:pPr>
      <w:r w:rsidRPr="003408A6">
        <w:rPr>
          <w:lang w:val="en-AU"/>
        </w:rPr>
        <w:t xml:space="preserve">Previous analyses of trends in genital warts </w:t>
      </w:r>
      <w:r w:rsidR="00622B62">
        <w:rPr>
          <w:lang w:val="en-AU"/>
        </w:rPr>
        <w:t xml:space="preserve">in the </w:t>
      </w:r>
      <w:r w:rsidRPr="003408A6">
        <w:rPr>
          <w:lang w:val="en-AU"/>
        </w:rPr>
        <w:t>post</w:t>
      </w:r>
      <w:r w:rsidR="00622B62">
        <w:rPr>
          <w:lang w:val="en-AU"/>
        </w:rPr>
        <w:t>-</w:t>
      </w:r>
      <w:r w:rsidRPr="003408A6">
        <w:rPr>
          <w:lang w:val="en-AU"/>
        </w:rPr>
        <w:t>vaccin</w:t>
      </w:r>
      <w:r w:rsidR="00622B62">
        <w:rPr>
          <w:lang w:val="en-AU"/>
        </w:rPr>
        <w:t>e period</w:t>
      </w:r>
      <w:r w:rsidRPr="003408A6">
        <w:rPr>
          <w:lang w:val="en-AU"/>
        </w:rPr>
        <w:t xml:space="preserve"> have reported reductions in heterosexual males, but not males with a recent male sex partner</w:t>
      </w:r>
      <w:r w:rsidR="00162DBD" w:rsidRPr="003408A6">
        <w:rPr>
          <w:lang w:val="en-AU"/>
        </w:rPr>
        <w:t>.</w:t>
      </w:r>
      <w:hyperlink w:anchor="_ENREF_117" w:tooltip="Donovan, 2011 #1288" w:history="1">
        <w:r w:rsidR="00F27F90" w:rsidRPr="003408A6">
          <w:rPr>
            <w:lang w:val="en-AU"/>
          </w:rPr>
          <w:fldChar w:fldCharType="begin">
            <w:fldData xml:space="preserve">PEVuZE5vdGU+PENpdGU+PEF1dGhvcj5Eb25vdmFuPC9BdXRob3I+PFllYXI+MjAxMTwvWWVhcj48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</w:fldData>
          </w:fldChar>
        </w:r>
        <w:r w:rsidR="00F27F90">
          <w:rPr>
            <w:lang w:val="en-AU"/>
          </w:rPr>
          <w:instrText xml:space="preserve"> ADDIN EN.CITE </w:instrText>
        </w:r>
        <w:r w:rsidR="00F27F90">
          <w:rPr>
            <w:lang w:val="en-AU"/>
          </w:rPr>
          <w:fldChar w:fldCharType="begin">
            <w:fldData xml:space="preserve">PEVuZE5vdGU+PENpdGU+PEF1dGhvcj5Eb25vdmFuPC9BdXRob3I+PFllYXI+MjAxMTwvWWVhcj48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117</w:t>
        </w:r>
        <w:r w:rsidR="00F27F90" w:rsidRPr="003408A6">
          <w:rPr>
            <w:lang w:val="en-AU"/>
          </w:rPr>
          <w:fldChar w:fldCharType="end"/>
        </w:r>
      </w:hyperlink>
      <w:r w:rsidRPr="003408A6">
        <w:rPr>
          <w:lang w:val="en-AU"/>
        </w:rPr>
        <w:t xml:space="preserve"> Data on sexual behaviour is not available from the NHMD and so this could not be examined directly in this analysis. However</w:t>
      </w:r>
      <w:r w:rsidR="00162DBD" w:rsidRPr="003408A6">
        <w:rPr>
          <w:lang w:val="en-AU"/>
        </w:rPr>
        <w:t>,</w:t>
      </w:r>
      <w:r w:rsidRPr="003408A6">
        <w:rPr>
          <w:lang w:val="en-AU"/>
        </w:rPr>
        <w:t xml:space="preserve"> in a sensitivity analysis we examined trends in admissions in males, stratified based on the genital warts site. Admissions were analysed separately based on whether they involved a diagnosis or procedure code associated with anal warts or whether only non-anal sites were recorded. An admission was classified as related to anal warts if it included either one of the procedure codes for treatment of anal warts (32177, 32180) or a diagnosis code related to anal warts (including perianal and perineal warts</w:t>
      </w:r>
      <w:r w:rsidR="00162DBD" w:rsidRPr="003408A6">
        <w:rPr>
          <w:lang w:val="en-AU"/>
        </w:rPr>
        <w:t>:</w:t>
      </w:r>
      <w:r w:rsidRPr="003408A6">
        <w:rPr>
          <w:lang w:val="en-AU"/>
        </w:rPr>
        <w:t xml:space="preserve"> A63.01, A63.09 or K62.8).</w:t>
      </w:r>
    </w:p>
    <w:p w:rsidR="00FD5559" w:rsidRPr="003408A6" w:rsidRDefault="00FD5559" w:rsidP="00DA10AE">
      <w:pPr>
        <w:pStyle w:val="Heading3"/>
      </w:pPr>
      <w:bookmarkStart w:id="217" w:name="_Toc372811166"/>
      <w:r w:rsidRPr="003408A6">
        <w:t>Analyses by Indigenous status</w:t>
      </w:r>
      <w:bookmarkEnd w:id="217"/>
    </w:p>
    <w:p w:rsidR="00FD5559" w:rsidRPr="003408A6" w:rsidRDefault="00FD5559" w:rsidP="006240EB">
      <w:pPr>
        <w:pStyle w:val="BodyText"/>
        <w:rPr>
          <w:lang w:val="en-AU"/>
        </w:rPr>
      </w:pPr>
      <w:r w:rsidRPr="003408A6">
        <w:rPr>
          <w:lang w:val="en-AU"/>
        </w:rPr>
        <w:t>Additional analyses were conducted to examine whether there was also variation in rates by Indigenous status and</w:t>
      </w:r>
      <w:r w:rsidR="00162DBD" w:rsidRPr="003408A6">
        <w:rPr>
          <w:lang w:val="en-AU"/>
        </w:rPr>
        <w:t>,</w:t>
      </w:r>
      <w:r w:rsidRPr="003408A6">
        <w:rPr>
          <w:lang w:val="en-AU"/>
        </w:rPr>
        <w:t xml:space="preserve"> in particular</w:t>
      </w:r>
      <w:r w:rsidR="00162DBD" w:rsidRPr="003408A6">
        <w:rPr>
          <w:lang w:val="en-AU"/>
        </w:rPr>
        <w:t>,</w:t>
      </w:r>
      <w:r w:rsidRPr="003408A6">
        <w:rPr>
          <w:lang w:val="en-AU"/>
        </w:rPr>
        <w:t xml:space="preserve"> if any changes in admissions in the post-vaccin</w:t>
      </w:r>
      <w:r w:rsidR="00622B62">
        <w:rPr>
          <w:lang w:val="en-AU"/>
        </w:rPr>
        <w:t>e</w:t>
      </w:r>
      <w:r w:rsidRPr="003408A6">
        <w:rPr>
          <w:lang w:val="en-AU"/>
        </w:rPr>
        <w:t xml:space="preserve"> period in age groups exposed to HPV vaccination differed in Indigenous Australians compared to other Australians. AIHW reports note that the quality and completeness of fields capturing Indigenous status has varied over time and between states</w:t>
      </w:r>
      <w:r w:rsidR="00D12522" w:rsidRPr="003408A6">
        <w:rPr>
          <w:lang w:val="en-AU"/>
        </w:rPr>
        <w:t xml:space="preserve"> and territories</w:t>
      </w:r>
      <w:r w:rsidR="00162DBD" w:rsidRPr="003408A6">
        <w:rPr>
          <w:lang w:val="en-AU"/>
        </w:rPr>
        <w:t>.</w:t>
      </w:r>
      <w:hyperlink w:anchor="_ENREF_118" w:tooltip="Australian Institute of Health and Welfare (AIHW), 2005 #1275" w:history="1">
        <w:r w:rsidR="00F27F90" w:rsidRPr="003408A6">
          <w:rPr>
            <w:lang w:val="en-AU"/>
          </w:rPr>
          <w:fldChar w:fldCharType="begin">
            <w:fldData xml:space="preserve">PEVuZE5vdGU+PENpdGU+PEF1dGhvcj5BdXN0cmFsaWFuIEluc3RpdHV0ZSBvZiBIZWFsdGggYW5k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</w:fldData>
          </w:fldChar>
        </w:r>
        <w:r w:rsidR="00F27F90">
          <w:rPr>
            <w:lang w:val="en-AU"/>
          </w:rPr>
          <w:instrText xml:space="preserve"> ADDIN EN.CITE </w:instrText>
        </w:r>
        <w:r w:rsidR="00F27F90">
          <w:rPr>
            <w:lang w:val="en-AU"/>
          </w:rPr>
          <w:fldChar w:fldCharType="begin">
            <w:fldData xml:space="preserve">PEVuZE5vdGU+PENpdGU+PEF1dGhvcj5BdXN0cmFsaWFuIEluc3RpdHV0ZSBvZiBIZWFsdGggYW5k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118-120</w:t>
        </w:r>
        <w:r w:rsidR="00F27F90" w:rsidRPr="003408A6">
          <w:rPr>
            <w:lang w:val="en-AU"/>
          </w:rPr>
          <w:fldChar w:fldCharType="end"/>
        </w:r>
      </w:hyperlink>
      <w:r w:rsidRPr="003408A6">
        <w:rPr>
          <w:lang w:val="en-AU"/>
        </w:rPr>
        <w:t xml:space="preserve"> Based on recommendations from these reports, analyses by Indigenous status were restricted to data from hospitals in New South Wales, Victoria, Queensland, South Australia, Western Australia and the Northern Territory for the period from 1 July 2004. Data prior to July 2004 were excluded because AIHW recommended that data from New South Wales and Victoria not be analysed by Indigenous status prior to this time</w:t>
      </w:r>
      <w:r w:rsidR="00162DBD" w:rsidRPr="003408A6">
        <w:rPr>
          <w:lang w:val="en-AU"/>
        </w:rPr>
        <w:t>.</w:t>
      </w:r>
      <w:r w:rsidR="006D1565" w:rsidRPr="003408A6">
        <w:rPr>
          <w:lang w:val="en-AU"/>
        </w:rPr>
        <w:fldChar w:fldCharType="begin"/>
      </w:r>
      <w:r w:rsidR="00F27F90">
        <w:rPr>
          <w:lang w:val="en-AU"/>
        </w:rPr>
        <w:instrText xml:space="preserve"> ADDIN EN.CITE &lt;EndNote&gt;&lt;Cite&gt;&lt;Author&gt;Australian Institute of Health and Welfare&lt;/Author&gt;&lt;Year&gt;2005&lt;/Year&gt;&lt;RecNum&gt;1275&lt;/RecNum&gt;&lt;DisplayText&gt;&lt;style face="superscript"&gt;118,119&lt;/style&gt;&lt;/DisplayText&gt;&lt;record&gt;&lt;rec-number&gt;1275&lt;/rec-number&gt;&lt;foreign-keys&gt;&lt;key app="EN" db-id="dda0wweazfww9besetpx2r5pt0asp9ztvs95"&gt;1275&lt;/key&gt;&lt;/foreign-keys&gt;&lt;ref-type name="Report"&gt;27&lt;/ref-type&gt;&lt;contributors&gt;&lt;authors&gt;&lt;author&gt;Australian Institute of Health and Welfare (AIHW),&lt;/author&gt;&lt;/authors&gt;&lt;tertiary-authors&gt;&lt;author&gt;AIHW (Health Services Series no. 25)&lt;/author&gt;&lt;/tertiary-authors&gt;&lt;/contributors&gt;&lt;titles&gt;&lt;title&gt;Improving the quality of Indigenous identification in hospital separations data. Health Services Series no. 25. Cat. no. HSE 101&lt;/title&gt;&lt;/titles&gt;&lt;dates&gt;&lt;year&gt;2005&lt;/year&gt;&lt;/dates&gt;&lt;pub-location&gt;Canberra&lt;/pub-location&gt;&lt;publisher&gt;AIHW&lt;/publisher&gt;&lt;urls&gt;&lt;/urls&gt;&lt;/record&gt;&lt;/Cite&gt;&lt;Cite&gt;&lt;Author&gt;Australian Institute of Health and Welfare&lt;/Author&gt;&lt;Year&gt;2010&lt;/Year&gt;&lt;RecNum&gt;1276&lt;/RecNum&gt;&lt;record&gt;&lt;rec-number&gt;1276&lt;/rec-number&gt;&lt;foreign-keys&gt;&lt;key app="EN" db-id="dda0wweazfww9besetpx2r5pt0asp9ztvs95"&gt;1276&lt;/key&gt;&lt;/foreign-keys&gt;&lt;ref-type name="Report"&gt;27&lt;/ref-type&gt;&lt;contributors&gt;&lt;authors&gt;&lt;author&gt;Australian Institute of Health and Welfare (AIHW),&lt;/author&gt;&lt;/authors&gt;&lt;/contributors&gt;&lt;titles&gt;&lt;title&gt;Indigenous identification in hospital separations data—quality report. Health Services Series no. 35. Cat. no. HSE 85.&lt;/title&gt;&lt;/titles&gt;&lt;dates&gt;&lt;year&gt;2010&lt;/year&gt;&lt;/dates&gt;&lt;pub-location&gt;Canberra&lt;/pub-location&gt;&lt;publisher&gt;AIHW&lt;/publisher&gt;&lt;urls&gt;&lt;/urls&gt;&lt;/record&gt;&lt;/Cite&gt;&lt;/EndNote&gt;</w:instrText>
      </w:r>
      <w:r w:rsidR="006D1565" w:rsidRPr="003408A6">
        <w:rPr>
          <w:lang w:val="en-AU"/>
        </w:rPr>
        <w:fldChar w:fldCharType="separate"/>
      </w:r>
      <w:hyperlink w:anchor="_ENREF_118" w:tooltip="Australian Institute of Health and Welfare (AIHW), 2005 #1275" w:history="1">
        <w:r w:rsidR="00F27F90" w:rsidRPr="00F27F90">
          <w:rPr>
            <w:noProof/>
            <w:vertAlign w:val="superscript"/>
            <w:lang w:val="en-AU"/>
          </w:rPr>
          <w:t>118</w:t>
        </w:r>
      </w:hyperlink>
      <w:r w:rsidR="00F27F90" w:rsidRPr="00F27F90">
        <w:rPr>
          <w:noProof/>
          <w:vertAlign w:val="superscript"/>
          <w:lang w:val="en-AU"/>
        </w:rPr>
        <w:t>,</w:t>
      </w:r>
      <w:hyperlink w:anchor="_ENREF_119" w:tooltip="Australian Institute of Health and Welfare (AIHW), 2010 #1276" w:history="1">
        <w:r w:rsidR="00F27F90" w:rsidRPr="00F27F90">
          <w:rPr>
            <w:noProof/>
            <w:vertAlign w:val="superscript"/>
            <w:lang w:val="en-AU"/>
          </w:rPr>
          <w:t>119</w:t>
        </w:r>
      </w:hyperlink>
      <w:r w:rsidR="006D1565" w:rsidRPr="003408A6">
        <w:rPr>
          <w:lang w:val="en-AU"/>
        </w:rPr>
        <w:fldChar w:fldCharType="end"/>
      </w:r>
      <w:r w:rsidRPr="003408A6">
        <w:rPr>
          <w:lang w:val="en-AU"/>
        </w:rPr>
        <w:t xml:space="preserve"> Data from hospitals in Tasmania and the Australian Capital Territory were excluded based on the AIHW report recommendations; data from hospitals in these </w:t>
      </w:r>
      <w:r w:rsidR="00D12522" w:rsidRPr="003408A6">
        <w:rPr>
          <w:lang w:val="en-AU"/>
        </w:rPr>
        <w:t xml:space="preserve">states and territories </w:t>
      </w:r>
      <w:r w:rsidRPr="003408A6">
        <w:rPr>
          <w:lang w:val="en-AU"/>
        </w:rPr>
        <w:t>represented a comparatively small number of admission</w:t>
      </w:r>
      <w:r w:rsidR="00622B62">
        <w:rPr>
          <w:lang w:val="en-AU"/>
        </w:rPr>
        <w:t>s</w:t>
      </w:r>
      <w:r w:rsidRPr="003408A6">
        <w:rPr>
          <w:lang w:val="en-AU"/>
        </w:rPr>
        <w:t xml:space="preserve"> (3.7% and 5.9% </w:t>
      </w:r>
      <w:r w:rsidR="00162DBD" w:rsidRPr="003408A6">
        <w:rPr>
          <w:lang w:val="en-AU"/>
        </w:rPr>
        <w:t xml:space="preserve">of </w:t>
      </w:r>
      <w:r w:rsidR="00622B62">
        <w:rPr>
          <w:lang w:val="en-AU"/>
        </w:rPr>
        <w:t xml:space="preserve">all </w:t>
      </w:r>
      <w:r w:rsidRPr="003408A6">
        <w:rPr>
          <w:lang w:val="en-AU"/>
        </w:rPr>
        <w:t>admissions</w:t>
      </w:r>
      <w:r w:rsidR="00622B62">
        <w:rPr>
          <w:lang w:val="en-AU"/>
        </w:rPr>
        <w:t>, respectively,</w:t>
      </w:r>
      <w:r w:rsidRPr="003408A6">
        <w:rPr>
          <w:lang w:val="en-AU"/>
        </w:rPr>
        <w:t xml:space="preserve"> in Indigenous Australians since 1 July 2004). Admissions where Indigenous status was not reported (not accommodated in the data systems of certain jurisdictions) were amalgamated with admissions for non-Indigenous Australians</w:t>
      </w:r>
      <w:r w:rsidR="00162DBD" w:rsidRPr="003408A6">
        <w:rPr>
          <w:lang w:val="en-AU"/>
        </w:rPr>
        <w:t>.</w:t>
      </w:r>
      <w:hyperlink w:anchor="_ENREF_119" w:tooltip="Australian Institute of Health and Welfare (AIHW), 2010 #1276" w:history="1">
        <w:r w:rsidR="00F27F90" w:rsidRPr="003408A6">
          <w:rPr>
            <w:lang w:val="en-AU"/>
          </w:rPr>
          <w:fldChar w:fldCharType="begin"/>
        </w:r>
        <w:r w:rsidR="00F27F90">
          <w:rPr>
            <w:lang w:val="en-AU"/>
          </w:rPr>
          <w:instrText xml:space="preserve"> ADDIN EN.CITE &lt;EndNote&gt;&lt;Cite&gt;&lt;Author&gt;Australian Institute of Health and Welfare&lt;/Author&gt;&lt;Year&gt;2010&lt;/Year&gt;&lt;RecNum&gt;1276&lt;/RecNum&gt;&lt;DisplayText&gt;&lt;style face="superscript"&gt;119&lt;/style&gt;&lt;/DisplayText&gt;&lt;record&gt;&lt;rec-number&gt;1276&lt;/rec-number&gt;&lt;foreign-keys&gt;&lt;key app="EN" db-id="dda0wweazfww9besetpx2r5pt0asp9ztvs95"&gt;1276&lt;/key&gt;&lt;/foreign-keys&gt;&lt;ref-type name="Report"&gt;27&lt;/ref-type&gt;&lt;contributors&gt;&lt;authors&gt;&lt;author&gt;Australian Institute of Health and Welfare (AIHW),&lt;/author&gt;&lt;/authors&gt;&lt;/contributors&gt;&lt;titles&gt;&lt;title&gt;Indigenous identification in hospital separations data—quality report. Health Services Series no. 35. Cat. no. HSE 85.&lt;/title&gt;&lt;/titles&gt;&lt;dates&gt;&lt;year&gt;2010&lt;/year&gt;&lt;/dates&gt;&lt;pub-location&gt;Canberra&lt;/pub-location&gt;&lt;publisher&gt;AIHW&lt;/publisher&gt;&lt;urls&gt;&lt;/urls&gt;&lt;/record&gt;&lt;/Cite&gt;&lt;/EndNote&gt;</w:instrText>
        </w:r>
        <w:r w:rsidR="00F27F90" w:rsidRPr="003408A6">
          <w:rPr>
            <w:lang w:val="en-AU"/>
          </w:rPr>
          <w:fldChar w:fldCharType="separate"/>
        </w:r>
        <w:r w:rsidR="00F27F90" w:rsidRPr="00F27F90">
          <w:rPr>
            <w:noProof/>
            <w:vertAlign w:val="superscript"/>
            <w:lang w:val="en-AU"/>
          </w:rPr>
          <w:t>119</w:t>
        </w:r>
        <w:r w:rsidR="00F27F90" w:rsidRPr="003408A6">
          <w:rPr>
            <w:lang w:val="en-AU"/>
          </w:rPr>
          <w:fldChar w:fldCharType="end"/>
        </w:r>
      </w:hyperlink>
      <w:r w:rsidRPr="003408A6">
        <w:rPr>
          <w:lang w:val="en-AU"/>
        </w:rPr>
        <w:t xml:space="preserve">  </w:t>
      </w:r>
    </w:p>
    <w:p w:rsidR="00FD5559" w:rsidRPr="003408A6" w:rsidRDefault="00FD5559" w:rsidP="006240EB">
      <w:pPr>
        <w:pStyle w:val="BodyText"/>
        <w:rPr>
          <w:lang w:val="en-AU"/>
        </w:rPr>
      </w:pPr>
      <w:r w:rsidRPr="003408A6">
        <w:rPr>
          <w:lang w:val="en-AU"/>
        </w:rPr>
        <w:t xml:space="preserve">Estimates of the Australian population by Indigenous status, </w:t>
      </w:r>
      <w:r w:rsidR="002C4496" w:rsidRPr="003408A6">
        <w:rPr>
          <w:lang w:val="en-AU"/>
        </w:rPr>
        <w:t>state/territory</w:t>
      </w:r>
      <w:r w:rsidRPr="003408A6">
        <w:rPr>
          <w:lang w:val="en-AU"/>
        </w:rPr>
        <w:t xml:space="preserve">, sex and age were sourced from the </w:t>
      </w:r>
      <w:r w:rsidR="00270D0B" w:rsidRPr="003408A6">
        <w:rPr>
          <w:lang w:val="en-AU"/>
        </w:rPr>
        <w:t>ABS</w:t>
      </w:r>
      <w:r w:rsidRPr="003408A6">
        <w:rPr>
          <w:lang w:val="en-AU"/>
        </w:rPr>
        <w:t xml:space="preserve"> (consistent with ABS and AIHW recommendations, series B was used for Indigenous population estimates)</w:t>
      </w:r>
      <w:r w:rsidR="00162DBD" w:rsidRPr="003408A6">
        <w:rPr>
          <w:lang w:val="en-AU"/>
        </w:rPr>
        <w:t>.</w:t>
      </w:r>
      <w:r w:rsidR="006D1565" w:rsidRPr="003408A6">
        <w:rPr>
          <w:lang w:val="en-AU"/>
        </w:rPr>
        <w:fldChar w:fldCharType="begin"/>
      </w:r>
      <w:r w:rsidR="00F27F90">
        <w:rPr>
          <w:lang w:val="en-AU"/>
        </w:rPr>
        <w:instrText xml:space="preserve"> ADDIN EN.CITE &lt;EndNote&gt;&lt;Cite&gt;&lt;Author&gt;Australian Bureau of Statistics&lt;/Author&gt;&lt;Year&gt;2009&lt;/Year&gt;&lt;RecNum&gt;1273&lt;/RecNum&gt;&lt;DisplayText&gt;&lt;style face="superscript"&gt;120,121&lt;/style&gt;&lt;/DisplayText&gt;&lt;record&gt;&lt;rec-number&gt;1273&lt;/rec-number&gt;&lt;foreign-keys&gt;&lt;key app="EN" db-id="dda0wweazfww9besetpx2r5pt0asp9ztvs95"&gt;1273&lt;/key&gt;&lt;/foreign-keys&gt;&lt;ref-type name="Report"&gt;27&lt;/ref-type&gt;&lt;contributors&gt;&lt;authors&gt;&lt;author&gt;Australian Bureau of Statistics (ABS),&lt;/author&gt;&lt;/authors&gt;&lt;/contributors&gt;&lt;titles&gt;&lt;title&gt;3238.0 Experimental estimates and projections, Aboriginal and Torres Strait Islander Australians, 1991 to 2021&lt;/title&gt;&lt;/titles&gt;&lt;number&gt;9 October 2013&lt;/number&gt;&lt;dates&gt;&lt;year&gt;2009&lt;/year&gt;&lt;/dates&gt;&lt;pub-location&gt;Canberra&lt;/pub-location&gt;&lt;publisher&gt;ABS&lt;/publisher&gt;&lt;urls&gt;&lt;related-urls&gt;&lt;url&gt;http://www.abs.gov.au/AUSSTATS/abs@.nsf/DetailsPage/3238.01991%20to%202021?OpenDocument&lt;/url&gt;&lt;/related-urls&gt;&lt;/urls&gt;&lt;access-date&gt;9 October 2013&lt;/access-date&gt;&lt;/record&gt;&lt;/Cite&gt;&lt;Cite&gt;&lt;Author&gt;Australian Institute of Health and Welfare&lt;/Author&gt;&lt;Year&gt;2013&lt;/Year&gt;&lt;RecNum&gt;1279&lt;/RecNum&gt;&lt;record&gt;&lt;rec-number&gt;1279&lt;/rec-number&gt;&lt;foreign-keys&gt;&lt;key app="EN" db-id="dda0wweazfww9besetpx2r5pt0asp9ztvs95"&gt;1279&lt;/key&gt;&lt;/foreign-keys&gt;&lt;ref-type name="Report"&gt;27&lt;/ref-type&gt;&lt;contributors&gt;&lt;authors&gt;&lt;author&gt;Australian Institute of Health and Welfare (AIHW),&lt;/author&gt;&lt;/authors&gt;&lt;/contributors&gt;&lt;titles&gt;&lt;title&gt;Indigenous identification in hospital separations data–quality report. Cat. no. IHW 90&lt;/title&gt;&lt;/titles&gt;&lt;dates&gt;&lt;year&gt;2013&lt;/year&gt;&lt;/dates&gt;&lt;pub-location&gt;Canberra&lt;/pub-location&gt;&lt;publisher&gt;AIHW&lt;/publisher&gt;&lt;urls&gt;&lt;/urls&gt;&lt;/record&gt;&lt;/Cite&gt;&lt;/EndNote&gt;</w:instrText>
      </w:r>
      <w:r w:rsidR="006D1565" w:rsidRPr="003408A6">
        <w:rPr>
          <w:lang w:val="en-AU"/>
        </w:rPr>
        <w:fldChar w:fldCharType="separate"/>
      </w:r>
      <w:hyperlink w:anchor="_ENREF_120" w:tooltip="Australian Institute of Health and Welfare (AIHW), 2013 #1279" w:history="1">
        <w:r w:rsidR="00F27F90" w:rsidRPr="00F27F90">
          <w:rPr>
            <w:noProof/>
            <w:vertAlign w:val="superscript"/>
            <w:lang w:val="en-AU"/>
          </w:rPr>
          <w:t>120</w:t>
        </w:r>
      </w:hyperlink>
      <w:r w:rsidR="00F27F90" w:rsidRPr="00F27F90">
        <w:rPr>
          <w:noProof/>
          <w:vertAlign w:val="superscript"/>
          <w:lang w:val="en-AU"/>
        </w:rPr>
        <w:t>,</w:t>
      </w:r>
      <w:hyperlink w:anchor="_ENREF_121" w:tooltip="Australian Bureau of Statistics (ABS), 2009 #1273" w:history="1">
        <w:r w:rsidR="00F27F90" w:rsidRPr="00F27F90">
          <w:rPr>
            <w:noProof/>
            <w:vertAlign w:val="superscript"/>
            <w:lang w:val="en-AU"/>
          </w:rPr>
          <w:t>121</w:t>
        </w:r>
      </w:hyperlink>
      <w:r w:rsidR="006D1565" w:rsidRPr="003408A6">
        <w:rPr>
          <w:lang w:val="en-AU"/>
        </w:rPr>
        <w:fldChar w:fldCharType="end"/>
      </w:r>
    </w:p>
    <w:p w:rsidR="00FD5559" w:rsidRPr="003408A6" w:rsidRDefault="00FD5559" w:rsidP="006240EB">
      <w:pPr>
        <w:pStyle w:val="BodyText"/>
        <w:rPr>
          <w:lang w:val="en-AU"/>
        </w:rPr>
      </w:pPr>
      <w:r w:rsidRPr="003408A6">
        <w:rPr>
          <w:lang w:val="en-AU"/>
        </w:rPr>
        <w:t>For analyses by Indigenous status wider age groups were used in the analyses (15</w:t>
      </w:r>
      <w:r w:rsidR="00162DBD" w:rsidRPr="003408A6">
        <w:rPr>
          <w:lang w:val="en-AU"/>
        </w:rPr>
        <w:t>–</w:t>
      </w:r>
      <w:r w:rsidRPr="003408A6">
        <w:rPr>
          <w:lang w:val="en-AU"/>
        </w:rPr>
        <w:t>24, 25</w:t>
      </w:r>
      <w:r w:rsidR="00162DBD" w:rsidRPr="003408A6">
        <w:rPr>
          <w:lang w:val="en-AU"/>
        </w:rPr>
        <w:t>–</w:t>
      </w:r>
      <w:r w:rsidRPr="003408A6">
        <w:rPr>
          <w:lang w:val="en-AU"/>
        </w:rPr>
        <w:t>34 and 35</w:t>
      </w:r>
      <w:r w:rsidR="00162DBD" w:rsidRPr="003408A6">
        <w:rPr>
          <w:lang w:val="en-AU"/>
        </w:rPr>
        <w:t>–</w:t>
      </w:r>
      <w:r w:rsidRPr="003408A6">
        <w:rPr>
          <w:lang w:val="en-AU"/>
        </w:rPr>
        <w:t xml:space="preserve">69 years). This was due to comparatively small numbers of admissions in Indigenous Australians and the lack of availability of population estimates by </w:t>
      </w:r>
      <w:r w:rsidR="002C4496" w:rsidRPr="003408A6">
        <w:rPr>
          <w:lang w:val="en-AU"/>
        </w:rPr>
        <w:t>state/territory</w:t>
      </w:r>
      <w:r w:rsidR="002C4496" w:rsidRPr="003408A6" w:rsidDel="002C4496">
        <w:rPr>
          <w:lang w:val="en-AU"/>
        </w:rPr>
        <w:t xml:space="preserve"> </w:t>
      </w:r>
      <w:r w:rsidRPr="003408A6">
        <w:rPr>
          <w:lang w:val="en-AU"/>
        </w:rPr>
        <w:t>and single year of age. However</w:t>
      </w:r>
      <w:r w:rsidR="00162DBD" w:rsidRPr="003408A6">
        <w:rPr>
          <w:lang w:val="en-AU"/>
        </w:rPr>
        <w:t>,</w:t>
      </w:r>
      <w:r w:rsidRPr="003408A6">
        <w:rPr>
          <w:lang w:val="en-AU"/>
        </w:rPr>
        <w:t xml:space="preserve"> the age groups selected will still broadly represent (in females) a group offered vaccination from mid-2007 on</w:t>
      </w:r>
      <w:r w:rsidR="00622B62">
        <w:rPr>
          <w:lang w:val="en-AU"/>
        </w:rPr>
        <w:t>wards</w:t>
      </w:r>
      <w:r w:rsidRPr="003408A6">
        <w:rPr>
          <w:lang w:val="en-AU"/>
        </w:rPr>
        <w:t>, often at school and with moderate uptake (15</w:t>
      </w:r>
      <w:r w:rsidR="00162DBD" w:rsidRPr="003408A6">
        <w:rPr>
          <w:lang w:val="en-AU"/>
        </w:rPr>
        <w:t>–</w:t>
      </w:r>
      <w:r w:rsidRPr="003408A6">
        <w:rPr>
          <w:lang w:val="en-AU"/>
        </w:rPr>
        <w:t>24 years); a group with lower uptake of vaccination and where those vaccinated were more likely to have been previously exposed to HPV than the younger age group (25</w:t>
      </w:r>
      <w:r w:rsidR="00162DBD" w:rsidRPr="003408A6">
        <w:rPr>
          <w:lang w:val="en-AU"/>
        </w:rPr>
        <w:t>–</w:t>
      </w:r>
      <w:r w:rsidRPr="003408A6">
        <w:rPr>
          <w:lang w:val="en-AU"/>
        </w:rPr>
        <w:t xml:space="preserve">34 years); and a group </w:t>
      </w:r>
      <w:r w:rsidRPr="003408A6">
        <w:rPr>
          <w:rFonts w:cstheme="minorHAnsi"/>
          <w:lang w:val="en-AU"/>
        </w:rPr>
        <w:t>never offered HPV vaccination through the public program</w:t>
      </w:r>
      <w:r w:rsidRPr="003408A6">
        <w:rPr>
          <w:lang w:val="en-AU"/>
        </w:rPr>
        <w:t xml:space="preserve"> and where uptake, if any, is likely to be extremely low (35</w:t>
      </w:r>
      <w:r w:rsidR="00162DBD" w:rsidRPr="003408A6">
        <w:rPr>
          <w:lang w:val="en-AU"/>
        </w:rPr>
        <w:t>–</w:t>
      </w:r>
      <w:r w:rsidRPr="003408A6">
        <w:rPr>
          <w:lang w:val="en-AU"/>
        </w:rPr>
        <w:t xml:space="preserve">69 years). For context, based on available uptake data, </w:t>
      </w:r>
      <w:r w:rsidR="00006FDF" w:rsidRPr="003408A6">
        <w:rPr>
          <w:lang w:val="en-AU"/>
        </w:rPr>
        <w:t>3</w:t>
      </w:r>
      <w:r w:rsidRPr="003408A6">
        <w:rPr>
          <w:lang w:val="en-AU"/>
        </w:rPr>
        <w:t>-dose (</w:t>
      </w:r>
      <w:r w:rsidR="00006FDF" w:rsidRPr="003408A6">
        <w:rPr>
          <w:lang w:val="en-AU"/>
        </w:rPr>
        <w:t>2</w:t>
      </w:r>
      <w:r w:rsidRPr="003408A6">
        <w:rPr>
          <w:lang w:val="en-AU"/>
        </w:rPr>
        <w:t xml:space="preserve">-dose) population uptake rates as at mid-2011 in </w:t>
      </w:r>
      <w:r w:rsidR="004E397F" w:rsidRPr="003408A6">
        <w:rPr>
          <w:lang w:val="en-AU"/>
        </w:rPr>
        <w:t xml:space="preserve">females </w:t>
      </w:r>
      <w:r w:rsidRPr="003408A6">
        <w:rPr>
          <w:lang w:val="en-AU"/>
        </w:rPr>
        <w:t>aged 15</w:t>
      </w:r>
      <w:r w:rsidR="00162DBD" w:rsidRPr="003408A6">
        <w:rPr>
          <w:lang w:val="en-AU"/>
        </w:rPr>
        <w:t>–</w:t>
      </w:r>
      <w:r w:rsidRPr="003408A6">
        <w:rPr>
          <w:lang w:val="en-AU"/>
        </w:rPr>
        <w:t>24 years, 25</w:t>
      </w:r>
      <w:r w:rsidR="00162DBD" w:rsidRPr="003408A6">
        <w:rPr>
          <w:lang w:val="en-AU"/>
        </w:rPr>
        <w:t>–</w:t>
      </w:r>
      <w:r w:rsidRPr="003408A6">
        <w:rPr>
          <w:lang w:val="en-AU"/>
        </w:rPr>
        <w:t>34 years and 35</w:t>
      </w:r>
      <w:r w:rsidR="00162DBD" w:rsidRPr="003408A6">
        <w:rPr>
          <w:lang w:val="en-AU"/>
        </w:rPr>
        <w:t>–</w:t>
      </w:r>
      <w:r w:rsidRPr="003408A6">
        <w:rPr>
          <w:lang w:val="en-AU"/>
        </w:rPr>
        <w:t>69 years are estimated as 56% (65%), 16% (23%) and 0%</w:t>
      </w:r>
      <w:r w:rsidR="00162DBD" w:rsidRPr="003408A6">
        <w:rPr>
          <w:lang w:val="en-AU"/>
        </w:rPr>
        <w:t>,</w:t>
      </w:r>
      <w:r w:rsidRPr="003408A6">
        <w:rPr>
          <w:lang w:val="en-AU"/>
        </w:rPr>
        <w:t xml:space="preserve"> respectively</w:t>
      </w:r>
      <w:r w:rsidR="00162DBD" w:rsidRPr="003408A6">
        <w:rPr>
          <w:lang w:val="en-AU"/>
        </w:rPr>
        <w:t>.</w:t>
      </w:r>
      <w:r w:rsidR="006D1565" w:rsidRPr="003408A6">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 </w:instrText>
      </w:r>
      <w:r w:rsidR="00F27F90">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EN.CITE.DATA </w:instrText>
      </w:r>
      <w:r w:rsidR="00F27F90">
        <w:rPr>
          <w:lang w:val="en-AU"/>
        </w:rPr>
      </w:r>
      <w:r w:rsidR="00F27F90">
        <w:rPr>
          <w:lang w:val="en-AU"/>
        </w:rPr>
        <w:fldChar w:fldCharType="end"/>
      </w:r>
      <w:r w:rsidR="006D1565" w:rsidRPr="003408A6">
        <w:rPr>
          <w:lang w:val="en-AU"/>
        </w:rPr>
      </w:r>
      <w:r w:rsidR="006D1565" w:rsidRPr="003408A6">
        <w:rPr>
          <w:lang w:val="en-AU"/>
        </w:rPr>
        <w:fldChar w:fldCharType="separate"/>
      </w:r>
      <w:hyperlink w:anchor="_ENREF_38" w:tooltip="Brotherton, 2011 #1269" w:history="1">
        <w:r w:rsidR="00F27F90" w:rsidRPr="00F27F90">
          <w:rPr>
            <w:noProof/>
            <w:vertAlign w:val="superscript"/>
            <w:lang w:val="en-AU"/>
          </w:rPr>
          <w:t>38</w:t>
        </w:r>
      </w:hyperlink>
      <w:r w:rsidR="00F27F90" w:rsidRPr="00F27F90">
        <w:rPr>
          <w:noProof/>
          <w:vertAlign w:val="superscript"/>
          <w:lang w:val="en-AU"/>
        </w:rPr>
        <w:t>,</w:t>
      </w:r>
      <w:hyperlink w:anchor="_ENREF_41" w:tooltip="Brotherton, 2013 #1297" w:history="1">
        <w:r w:rsidR="00F27F90" w:rsidRPr="00F27F90">
          <w:rPr>
            <w:noProof/>
            <w:vertAlign w:val="superscript"/>
            <w:lang w:val="en-AU"/>
          </w:rPr>
          <w:t>41</w:t>
        </w:r>
      </w:hyperlink>
      <w:r w:rsidR="00F27F90" w:rsidRPr="00F27F90">
        <w:rPr>
          <w:noProof/>
          <w:vertAlign w:val="superscript"/>
          <w:lang w:val="en-AU"/>
        </w:rPr>
        <w:t>,</w:t>
      </w:r>
      <w:hyperlink w:anchor="_ENREF_113" w:tooltip="Australian Bureau of Statistics, 2013 #1274" w:history="1">
        <w:r w:rsidR="00F27F90" w:rsidRPr="00F27F90">
          <w:rPr>
            <w:noProof/>
            <w:vertAlign w:val="superscript"/>
            <w:lang w:val="en-AU"/>
          </w:rPr>
          <w:t>113</w:t>
        </w:r>
      </w:hyperlink>
      <w:r w:rsidR="00F27F90" w:rsidRPr="00F27F90">
        <w:rPr>
          <w:noProof/>
          <w:vertAlign w:val="superscript"/>
          <w:lang w:val="en-AU"/>
        </w:rPr>
        <w:t>,</w:t>
      </w:r>
      <w:hyperlink w:anchor="_ENREF_114" w:tooltip="Australian Government Department of Health, 2013 #1286" w:history="1">
        <w:r w:rsidR="00F27F90" w:rsidRPr="00F27F90">
          <w:rPr>
            <w:noProof/>
            <w:vertAlign w:val="superscript"/>
            <w:lang w:val="en-AU"/>
          </w:rPr>
          <w:t>114</w:t>
        </w:r>
      </w:hyperlink>
      <w:r w:rsidR="006D1565" w:rsidRPr="003408A6">
        <w:rPr>
          <w:lang w:val="en-AU"/>
        </w:rPr>
        <w:fldChar w:fldCharType="end"/>
      </w:r>
    </w:p>
    <w:p w:rsidR="00FD5559" w:rsidRPr="003408A6" w:rsidRDefault="00FD5559" w:rsidP="00DA10AE">
      <w:pPr>
        <w:pStyle w:val="Heading3"/>
      </w:pPr>
      <w:bookmarkStart w:id="218" w:name="_Toc372811167"/>
      <w:r w:rsidRPr="003408A6">
        <w:t>Statistical analysis</w:t>
      </w:r>
      <w:bookmarkEnd w:id="218"/>
    </w:p>
    <w:p w:rsidR="00FD5559" w:rsidRPr="003408A6" w:rsidRDefault="00FD5559" w:rsidP="006240EB">
      <w:pPr>
        <w:pStyle w:val="BodyText"/>
        <w:rPr>
          <w:lang w:val="en-AU"/>
        </w:rPr>
      </w:pPr>
      <w:r w:rsidRPr="003408A6">
        <w:rPr>
          <w:lang w:val="en-AU"/>
        </w:rPr>
        <w:t xml:space="preserve">Poisson and negative binomial regression were used to assess trends in admission rates since the commencement of the vaccination program by year of admission, age group and sex. This was done in order to examine an </w:t>
      </w:r>
      <w:r w:rsidRPr="003408A6">
        <w:rPr>
          <w:i/>
          <w:lang w:val="en-AU"/>
        </w:rPr>
        <w:t>a priori</w:t>
      </w:r>
      <w:r w:rsidRPr="003408A6">
        <w:rPr>
          <w:lang w:val="en-AU"/>
        </w:rPr>
        <w:t xml:space="preserve"> hypothesis that admission rates could have been changed in some age groups by the introduction of the National HPV Vaccination Program. Specifically, the fitted models were used to estimate the overall reduction between the last pre-</w:t>
      </w:r>
      <w:r w:rsidR="00622B62" w:rsidRPr="003408A6">
        <w:rPr>
          <w:lang w:val="en-AU"/>
        </w:rPr>
        <w:t>vaccin</w:t>
      </w:r>
      <w:r w:rsidR="00622B62">
        <w:rPr>
          <w:lang w:val="en-AU"/>
        </w:rPr>
        <w:t>e</w:t>
      </w:r>
      <w:r w:rsidR="00622B62" w:rsidRPr="003408A6">
        <w:rPr>
          <w:lang w:val="en-AU"/>
        </w:rPr>
        <w:t xml:space="preserve"> </w:t>
      </w:r>
      <w:r w:rsidRPr="003408A6">
        <w:rPr>
          <w:lang w:val="en-AU"/>
        </w:rPr>
        <w:t xml:space="preserve">year (July 2006 to June 2007) and the most recent data available (July 2010 to June 2011).  </w:t>
      </w:r>
    </w:p>
    <w:p w:rsidR="00FD5559" w:rsidRPr="003408A6" w:rsidRDefault="00FD5559" w:rsidP="006240EB">
      <w:pPr>
        <w:pStyle w:val="BodyText"/>
        <w:rPr>
          <w:lang w:val="en-AU"/>
        </w:rPr>
      </w:pPr>
      <w:r w:rsidRPr="003408A6">
        <w:rPr>
          <w:lang w:val="en-AU"/>
        </w:rPr>
        <w:t>Rate ratios were also calculated for post-</w:t>
      </w:r>
      <w:r w:rsidR="00622B62" w:rsidRPr="003408A6">
        <w:rPr>
          <w:lang w:val="en-AU"/>
        </w:rPr>
        <w:t>vaccin</w:t>
      </w:r>
      <w:r w:rsidR="00622B62">
        <w:rPr>
          <w:lang w:val="en-AU"/>
        </w:rPr>
        <w:t>e</w:t>
      </w:r>
      <w:r w:rsidR="00622B62" w:rsidRPr="003408A6">
        <w:rPr>
          <w:lang w:val="en-AU"/>
        </w:rPr>
        <w:t xml:space="preserve"> </w:t>
      </w:r>
      <w:r w:rsidRPr="003408A6">
        <w:rPr>
          <w:lang w:val="en-AU"/>
        </w:rPr>
        <w:t>admission rates relative to pre-</w:t>
      </w:r>
      <w:r w:rsidR="00622B62" w:rsidRPr="003408A6">
        <w:rPr>
          <w:lang w:val="en-AU"/>
        </w:rPr>
        <w:t>vaccin</w:t>
      </w:r>
      <w:r w:rsidR="00622B62">
        <w:rPr>
          <w:lang w:val="en-AU"/>
        </w:rPr>
        <w:t>e</w:t>
      </w:r>
      <w:r w:rsidR="00622B62" w:rsidRPr="003408A6">
        <w:rPr>
          <w:lang w:val="en-AU"/>
        </w:rPr>
        <w:t xml:space="preserve"> </w:t>
      </w:r>
      <w:r w:rsidRPr="003408A6">
        <w:rPr>
          <w:lang w:val="en-AU"/>
        </w:rPr>
        <w:t>admission rates. Pre-</w:t>
      </w:r>
      <w:r w:rsidR="00622B62" w:rsidRPr="003408A6">
        <w:rPr>
          <w:lang w:val="en-AU"/>
        </w:rPr>
        <w:t>vaccin</w:t>
      </w:r>
      <w:r w:rsidR="00622B62">
        <w:rPr>
          <w:lang w:val="en-AU"/>
        </w:rPr>
        <w:t>e</w:t>
      </w:r>
      <w:r w:rsidR="00622B62" w:rsidRPr="003408A6">
        <w:rPr>
          <w:lang w:val="en-AU"/>
        </w:rPr>
        <w:t xml:space="preserve"> </w:t>
      </w:r>
      <w:r w:rsidRPr="003408A6">
        <w:rPr>
          <w:lang w:val="en-AU"/>
        </w:rPr>
        <w:t xml:space="preserve">admission rates were calculated as the average in the </w:t>
      </w:r>
      <w:r w:rsidR="00006FDF" w:rsidRPr="003408A6">
        <w:rPr>
          <w:lang w:val="en-AU"/>
        </w:rPr>
        <w:t>3-</w:t>
      </w:r>
      <w:r w:rsidRPr="003408A6">
        <w:rPr>
          <w:lang w:val="en-AU"/>
        </w:rPr>
        <w:t>year period 1 July 2004 to 30 June 2007. Post-</w:t>
      </w:r>
      <w:r w:rsidR="00622B62" w:rsidRPr="003408A6">
        <w:rPr>
          <w:lang w:val="en-AU"/>
        </w:rPr>
        <w:t>vaccin</w:t>
      </w:r>
      <w:r w:rsidR="00622B62">
        <w:rPr>
          <w:lang w:val="en-AU"/>
        </w:rPr>
        <w:t>e</w:t>
      </w:r>
      <w:r w:rsidR="00622B62" w:rsidRPr="003408A6">
        <w:rPr>
          <w:lang w:val="en-AU"/>
        </w:rPr>
        <w:t xml:space="preserve"> </w:t>
      </w:r>
      <w:r w:rsidRPr="003408A6">
        <w:rPr>
          <w:lang w:val="en-AU"/>
        </w:rPr>
        <w:t xml:space="preserve">rate ratios were calculated for each successive </w:t>
      </w:r>
      <w:r w:rsidR="00513C1B" w:rsidRPr="003408A6">
        <w:rPr>
          <w:lang w:val="en-AU"/>
        </w:rPr>
        <w:t>12-</w:t>
      </w:r>
      <w:r w:rsidRPr="003408A6">
        <w:rPr>
          <w:lang w:val="en-AU"/>
        </w:rPr>
        <w:t xml:space="preserve">month period from 1 July 2007, and also to compare the </w:t>
      </w:r>
      <w:r w:rsidR="00006FDF" w:rsidRPr="003408A6">
        <w:rPr>
          <w:lang w:val="en-AU"/>
        </w:rPr>
        <w:t>3</w:t>
      </w:r>
      <w:r w:rsidRPr="003408A6">
        <w:rPr>
          <w:lang w:val="en-AU"/>
        </w:rPr>
        <w:t xml:space="preserve">-year post-vaccine average (1 July 2008 to 30 June 2011) with the </w:t>
      </w:r>
      <w:r w:rsidR="00006FDF" w:rsidRPr="003408A6">
        <w:rPr>
          <w:lang w:val="en-AU"/>
        </w:rPr>
        <w:t>3</w:t>
      </w:r>
      <w:r w:rsidRPr="003408A6">
        <w:rPr>
          <w:lang w:val="en-AU"/>
        </w:rPr>
        <w:t xml:space="preserve">-year pre-vaccine average.  </w:t>
      </w:r>
    </w:p>
    <w:p w:rsidR="00FD5559" w:rsidRPr="003408A6" w:rsidRDefault="00FD5559" w:rsidP="006240EB">
      <w:pPr>
        <w:pStyle w:val="BodyText"/>
        <w:rPr>
          <w:lang w:val="en-AU"/>
        </w:rPr>
      </w:pPr>
      <w:r w:rsidRPr="003408A6">
        <w:rPr>
          <w:lang w:val="en-AU"/>
        </w:rPr>
        <w:t>Additionally, Join</w:t>
      </w:r>
      <w:r w:rsidR="00D50A27" w:rsidRPr="003408A6">
        <w:rPr>
          <w:lang w:val="en-AU"/>
        </w:rPr>
        <w:t>t</w:t>
      </w:r>
      <w:r w:rsidRPr="003408A6">
        <w:rPr>
          <w:lang w:val="en-AU"/>
        </w:rPr>
        <w:t>point Poisson analysis was performed to determine whether there was a significant change in admission rates at any point in time in the period July 1999 to June 2011 and</w:t>
      </w:r>
      <w:r w:rsidR="00513C1B" w:rsidRPr="003408A6">
        <w:rPr>
          <w:lang w:val="en-AU"/>
        </w:rPr>
        <w:t>,</w:t>
      </w:r>
      <w:r w:rsidRPr="003408A6">
        <w:rPr>
          <w:lang w:val="en-AU"/>
        </w:rPr>
        <w:t xml:space="preserve"> if so, when this was estimated to have occurred and the annual percentage change in the rate of admissions from that time. It was also used to examine any pre-</w:t>
      </w:r>
      <w:r w:rsidR="00622B62" w:rsidRPr="003408A6">
        <w:rPr>
          <w:lang w:val="en-AU"/>
        </w:rPr>
        <w:t>vaccin</w:t>
      </w:r>
      <w:r w:rsidR="00622B62">
        <w:rPr>
          <w:lang w:val="en-AU"/>
        </w:rPr>
        <w:t>e</w:t>
      </w:r>
      <w:r w:rsidR="00622B62" w:rsidRPr="003408A6">
        <w:rPr>
          <w:lang w:val="en-AU"/>
        </w:rPr>
        <w:t xml:space="preserve"> </w:t>
      </w:r>
      <w:r w:rsidRPr="003408A6">
        <w:rPr>
          <w:lang w:val="en-AU"/>
        </w:rPr>
        <w:t>trends and whether any observed post-vaccine declines may represent the continuation of pre-existing trends.</w:t>
      </w:r>
    </w:p>
    <w:p w:rsidR="00FD5559" w:rsidRPr="003408A6" w:rsidRDefault="00FD5559" w:rsidP="006240EB">
      <w:pPr>
        <w:pStyle w:val="BodyText"/>
        <w:rPr>
          <w:lang w:val="en-AU"/>
        </w:rPr>
      </w:pPr>
      <w:r w:rsidRPr="003408A6">
        <w:rPr>
          <w:lang w:val="en-AU"/>
        </w:rPr>
        <w:t>Analyses were performed using SAS 9.3 (SAS Institute Inc., Cary, NC, USA), and Jointpoint 4.0.1 (Surveillance Research, National Cancer Institute, USA).</w:t>
      </w:r>
    </w:p>
    <w:p w:rsidR="00FD5559" w:rsidRPr="003408A6" w:rsidRDefault="00FD5559" w:rsidP="00DA10AE">
      <w:pPr>
        <w:pStyle w:val="Heading2"/>
      </w:pPr>
      <w:bookmarkStart w:id="219" w:name="_Toc372811168"/>
      <w:bookmarkStart w:id="220" w:name="_Toc396926145"/>
      <w:r w:rsidRPr="003408A6">
        <w:t>Results</w:t>
      </w:r>
      <w:bookmarkEnd w:id="219"/>
      <w:bookmarkEnd w:id="220"/>
    </w:p>
    <w:p w:rsidR="00FD5559" w:rsidRPr="003408A6" w:rsidRDefault="00FD5559" w:rsidP="00DA10AE">
      <w:pPr>
        <w:pStyle w:val="Heading3"/>
      </w:pPr>
      <w:bookmarkStart w:id="221" w:name="_Toc372811169"/>
      <w:r w:rsidRPr="003408A6">
        <w:t>Admissions for genital warts</w:t>
      </w:r>
      <w:bookmarkEnd w:id="221"/>
    </w:p>
    <w:p w:rsidR="00FD5559" w:rsidRPr="003408A6" w:rsidRDefault="00FD5559" w:rsidP="006240EB">
      <w:pPr>
        <w:pStyle w:val="BodyText"/>
        <w:rPr>
          <w:lang w:val="en-AU"/>
        </w:rPr>
      </w:pPr>
      <w:r w:rsidRPr="003408A6">
        <w:rPr>
          <w:lang w:val="en-AU"/>
        </w:rPr>
        <w:t xml:space="preserve">In total over the period 1 July 1999 </w:t>
      </w:r>
      <w:r w:rsidR="00C2120B" w:rsidRPr="003408A6">
        <w:rPr>
          <w:lang w:val="en-AU"/>
        </w:rPr>
        <w:t>to</w:t>
      </w:r>
      <w:r w:rsidRPr="003408A6">
        <w:rPr>
          <w:lang w:val="en-AU"/>
        </w:rPr>
        <w:t xml:space="preserve"> 30 June 2011, there were 39,350 admissions for genital warts (24,811 in females and 14,539 in males). The most common warts sites were vulval/vaginal in females (15,194 admissions) and anal/perianal</w:t>
      </w:r>
      <w:r w:rsidR="005D21AE">
        <w:rPr>
          <w:lang w:val="en-AU"/>
        </w:rPr>
        <w:t>/perineal</w:t>
      </w:r>
      <w:r w:rsidRPr="003408A6">
        <w:rPr>
          <w:lang w:val="en-AU"/>
        </w:rPr>
        <w:t xml:space="preserve"> in males (6,959 admissions</w:t>
      </w:r>
      <w:r w:rsidR="00C2120B" w:rsidRPr="003408A6">
        <w:rPr>
          <w:lang w:val="en-AU"/>
        </w:rPr>
        <w:t>)</w:t>
      </w:r>
      <w:r w:rsidR="0041699C" w:rsidRPr="003408A6">
        <w:rPr>
          <w:lang w:val="en-AU"/>
        </w:rPr>
        <w:t xml:space="preserve"> </w:t>
      </w:r>
      <w:r w:rsidR="00C2120B" w:rsidRPr="003408A6">
        <w:rPr>
          <w:lang w:val="en-AU"/>
        </w:rPr>
        <w:t>(</w:t>
      </w:r>
      <w:r w:rsidR="0041699C" w:rsidRPr="003408A6">
        <w:rPr>
          <w:b/>
          <w:lang w:val="en-AU"/>
        </w:rPr>
        <w:t>Table 6.2</w:t>
      </w:r>
      <w:r w:rsidRPr="003408A6">
        <w:rPr>
          <w:lang w:val="en-AU"/>
        </w:rPr>
        <w:t xml:space="preserve">). Approximately 57% of admissions in females and 75% of admissions in males appeared to </w:t>
      </w:r>
      <w:r w:rsidR="005D21AE">
        <w:rPr>
          <w:lang w:val="en-AU"/>
        </w:rPr>
        <w:t>include a</w:t>
      </w:r>
      <w:r w:rsidR="005D21AE" w:rsidRPr="003408A6">
        <w:rPr>
          <w:lang w:val="en-AU"/>
        </w:rPr>
        <w:t xml:space="preserve"> </w:t>
      </w:r>
      <w:r w:rsidRPr="003408A6">
        <w:rPr>
          <w:lang w:val="en-AU"/>
        </w:rPr>
        <w:t>principal diagnos</w:t>
      </w:r>
      <w:r w:rsidR="005D21AE">
        <w:rPr>
          <w:lang w:val="en-AU"/>
        </w:rPr>
        <w:t>i</w:t>
      </w:r>
      <w:r w:rsidRPr="003408A6">
        <w:rPr>
          <w:lang w:val="en-AU"/>
        </w:rPr>
        <w:t>s of warts, based on either a primary diagnosis of A63.0 or another primary diagnosis consistent with the Australian Coding Standards for ICD-10-AM. However</w:t>
      </w:r>
      <w:r w:rsidR="00C2120B" w:rsidRPr="003408A6">
        <w:rPr>
          <w:lang w:val="en-AU"/>
        </w:rPr>
        <w:t>,</w:t>
      </w:r>
      <w:r w:rsidRPr="003408A6">
        <w:rPr>
          <w:lang w:val="en-AU"/>
        </w:rPr>
        <w:t xml:space="preserve"> only a minority</w:t>
      </w:r>
      <w:r w:rsidR="00C2120B" w:rsidRPr="003408A6">
        <w:rPr>
          <w:lang w:val="en-AU"/>
        </w:rPr>
        <w:t xml:space="preserve"> of</w:t>
      </w:r>
      <w:r w:rsidRPr="003408A6">
        <w:rPr>
          <w:lang w:val="en-AU"/>
        </w:rPr>
        <w:t xml:space="preserve"> these apparent principal diagnoses of warts involved a warts-related procedure (33% in females; 17% in males). A very large proportion of these apparent principal diagnoses of warts involved only non-warts procedures (58% in females; 73% in males). As a result, we considered that the data did not appear to accord well with the coding standard in ascertaining whether or not warts was the principal diagnosis, and this analysis did not perform any stratification by whether or not warts was the principal diagnosis.</w:t>
      </w:r>
    </w:p>
    <w:p w:rsidR="00FD5559" w:rsidRPr="003408A6" w:rsidRDefault="00FD5559" w:rsidP="006240EB">
      <w:pPr>
        <w:pStyle w:val="BodyText"/>
        <w:rPr>
          <w:lang w:val="en-AU"/>
        </w:rPr>
      </w:pPr>
      <w:r w:rsidRPr="003408A6">
        <w:rPr>
          <w:lang w:val="en-AU"/>
        </w:rPr>
        <w:t>The median age at admission was 26 years in females (</w:t>
      </w:r>
      <w:r w:rsidR="00C61B14">
        <w:rPr>
          <w:lang w:val="en-AU"/>
        </w:rPr>
        <w:t>interquartile range [</w:t>
      </w:r>
      <w:r w:rsidRPr="003408A6">
        <w:rPr>
          <w:lang w:val="en-AU"/>
        </w:rPr>
        <w:t>IQR</w:t>
      </w:r>
      <w:r w:rsidR="00C61B14">
        <w:rPr>
          <w:lang w:val="en-AU"/>
        </w:rPr>
        <w:t>]</w:t>
      </w:r>
      <w:r w:rsidRPr="003408A6">
        <w:rPr>
          <w:lang w:val="en-AU"/>
        </w:rPr>
        <w:t>: 21</w:t>
      </w:r>
      <w:r w:rsidR="00C2120B" w:rsidRPr="003408A6">
        <w:rPr>
          <w:lang w:val="en-AU"/>
        </w:rPr>
        <w:t>–</w:t>
      </w:r>
      <w:r w:rsidRPr="003408A6">
        <w:rPr>
          <w:lang w:val="en-AU"/>
        </w:rPr>
        <w:t>37 years) and 35 years in males (IQR: 26</w:t>
      </w:r>
      <w:r w:rsidR="00C2120B" w:rsidRPr="003408A6">
        <w:rPr>
          <w:lang w:val="en-AU"/>
        </w:rPr>
        <w:t>–</w:t>
      </w:r>
      <w:r w:rsidRPr="003408A6">
        <w:rPr>
          <w:lang w:val="en-AU"/>
        </w:rPr>
        <w:t xml:space="preserve">46 years). The distribution of age at admission over the period July 1999 </w:t>
      </w:r>
      <w:r w:rsidR="00C2120B" w:rsidRPr="003408A6">
        <w:rPr>
          <w:lang w:val="en-AU"/>
        </w:rPr>
        <w:t xml:space="preserve">to </w:t>
      </w:r>
      <w:r w:rsidRPr="003408A6">
        <w:rPr>
          <w:lang w:val="en-AU"/>
        </w:rPr>
        <w:t xml:space="preserve">June 2011 </w:t>
      </w:r>
      <w:r w:rsidR="005D21AE">
        <w:rPr>
          <w:lang w:val="en-AU"/>
        </w:rPr>
        <w:t>is</w:t>
      </w:r>
      <w:r w:rsidR="005D21AE" w:rsidRPr="003408A6">
        <w:rPr>
          <w:lang w:val="en-AU"/>
        </w:rPr>
        <w:t xml:space="preserve"> </w:t>
      </w:r>
      <w:r w:rsidRPr="003408A6">
        <w:rPr>
          <w:lang w:val="en-AU"/>
        </w:rPr>
        <w:t>shown</w:t>
      </w:r>
      <w:r w:rsidR="00C2120B" w:rsidRPr="003408A6">
        <w:rPr>
          <w:lang w:val="en-AU"/>
        </w:rPr>
        <w:t xml:space="preserve">, by sex, </w:t>
      </w:r>
      <w:r w:rsidRPr="003408A6">
        <w:rPr>
          <w:lang w:val="en-AU"/>
        </w:rPr>
        <w:t xml:space="preserve">in </w:t>
      </w:r>
      <w:r w:rsidR="00C2120B" w:rsidRPr="003408A6">
        <w:rPr>
          <w:b/>
          <w:lang w:val="en-AU"/>
        </w:rPr>
        <w:t>Figure 6.1</w:t>
      </w:r>
      <w:r w:rsidRPr="003408A6">
        <w:rPr>
          <w:lang w:val="en-AU"/>
        </w:rPr>
        <w:t xml:space="preserve">.  </w:t>
      </w:r>
    </w:p>
    <w:p w:rsidR="00FD5559" w:rsidRPr="003408A6" w:rsidRDefault="00FD5559" w:rsidP="006240EB">
      <w:pPr>
        <w:pStyle w:val="BodyText"/>
        <w:rPr>
          <w:lang w:val="en-AU"/>
        </w:rPr>
      </w:pPr>
      <w:r w:rsidRPr="003408A6">
        <w:rPr>
          <w:lang w:val="en-AU"/>
        </w:rPr>
        <w:t>Age-standardised admission rates in females were lower in 2010/2011 (11.4 per 100,000) than in 1999/2000 (25.4 per 100,000), while admission rates in males were relatively unchanged over the same period (11.5 per 100,000 in 1999/2000; 10.9 per 100,000 in 2010/</w:t>
      </w:r>
      <w:r w:rsidR="00C2120B" w:rsidRPr="003408A6">
        <w:rPr>
          <w:lang w:val="en-AU"/>
        </w:rPr>
        <w:t>20</w:t>
      </w:r>
      <w:r w:rsidRPr="003408A6">
        <w:rPr>
          <w:lang w:val="en-AU"/>
        </w:rPr>
        <w:t>11) (</w:t>
      </w:r>
      <w:r w:rsidR="00881527" w:rsidRPr="003408A6">
        <w:rPr>
          <w:b/>
          <w:lang w:val="en-AU"/>
        </w:rPr>
        <w:t>Figure 6.2</w:t>
      </w:r>
      <w:r w:rsidRPr="003408A6">
        <w:rPr>
          <w:lang w:val="en-AU"/>
        </w:rPr>
        <w:t>).</w:t>
      </w:r>
    </w:p>
    <w:p w:rsidR="00FD5559" w:rsidRPr="003408A6" w:rsidRDefault="0041699C" w:rsidP="00C2177D">
      <w:pPr>
        <w:pStyle w:val="Tableheading"/>
        <w:rPr>
          <w:lang w:val="en-AU"/>
        </w:rPr>
      </w:pPr>
      <w:bookmarkStart w:id="222" w:name="_Toc396475557"/>
      <w:bookmarkStart w:id="223" w:name="_Toc397000785"/>
      <w:r w:rsidRPr="003408A6">
        <w:rPr>
          <w:lang w:val="en-AU"/>
        </w:rPr>
        <w:t>Table 6.2</w:t>
      </w:r>
      <w:r w:rsidR="00EF3AA0" w:rsidRPr="003408A6">
        <w:rPr>
          <w:lang w:val="en-AU"/>
        </w:rPr>
        <w:t>.</w:t>
      </w:r>
      <w:r w:rsidR="00D861BD" w:rsidRPr="003408A6">
        <w:rPr>
          <w:lang w:val="en-AU"/>
        </w:rPr>
        <w:tab/>
      </w:r>
      <w:r w:rsidRPr="003408A6">
        <w:rPr>
          <w:lang w:val="en-AU"/>
        </w:rPr>
        <w:t>Hospital admissions involving a diagnosis of genital warts by sex and anatomical site</w:t>
      </w:r>
      <w:r w:rsidR="00204397">
        <w:rPr>
          <w:lang w:val="en-AU"/>
        </w:rPr>
        <w:t>,</w:t>
      </w:r>
      <w:r w:rsidRPr="003408A6">
        <w:rPr>
          <w:lang w:val="en-AU"/>
        </w:rPr>
        <w:t xml:space="preserve"> July 1999 </w:t>
      </w:r>
      <w:r w:rsidR="00C2120B" w:rsidRPr="003408A6">
        <w:rPr>
          <w:lang w:val="en-AU"/>
        </w:rPr>
        <w:t>to</w:t>
      </w:r>
      <w:r w:rsidRPr="003408A6">
        <w:rPr>
          <w:lang w:val="en-AU"/>
        </w:rPr>
        <w:t xml:space="preserve"> June 2011</w:t>
      </w:r>
      <w:r w:rsidR="006240EB" w:rsidRPr="003408A6">
        <w:rPr>
          <w:lang w:val="en-AU"/>
        </w:rPr>
        <w:t>*</w:t>
      </w:r>
      <w:bookmarkEnd w:id="222"/>
      <w:bookmarkEnd w:id="223"/>
    </w:p>
    <w:tbl>
      <w:tblPr>
        <w:tblStyle w:val="TableGrid"/>
        <w:tblW w:w="0" w:type="auto"/>
        <w:tblLook w:val="04A0" w:firstRow="1" w:lastRow="0" w:firstColumn="1" w:lastColumn="0" w:noHBand="0" w:noVBand="1"/>
        <w:tblCaption w:val="Hospital admissions involving a diagnosis of genital warts by sex and anatomical site, July 1999 to June 2011"/>
      </w:tblPr>
      <w:tblGrid>
        <w:gridCol w:w="2943"/>
        <w:gridCol w:w="2127"/>
        <w:gridCol w:w="2268"/>
      </w:tblGrid>
      <w:tr w:rsidR="00FD5559" w:rsidRPr="003408A6" w:rsidTr="009D2B74">
        <w:trPr>
          <w:tblHeader/>
        </w:trPr>
        <w:tc>
          <w:tcPr>
            <w:tcW w:w="2943" w:type="dxa"/>
            <w:tcBorders>
              <w:bottom w:val="single" w:sz="4" w:space="0" w:color="auto"/>
              <w:right w:val="nil"/>
            </w:tcBorders>
            <w:shd w:val="clear" w:color="auto" w:fill="auto"/>
          </w:tcPr>
          <w:p w:rsidR="00FD5559" w:rsidRPr="003408A6" w:rsidRDefault="00FD5559" w:rsidP="006240EB">
            <w:pPr>
              <w:pStyle w:val="Tablecolumnheading"/>
              <w:rPr>
                <w:lang w:val="en-AU"/>
              </w:rPr>
            </w:pPr>
            <w:r w:rsidRPr="003408A6">
              <w:rPr>
                <w:lang w:val="en-AU"/>
              </w:rPr>
              <w:t>Warts site</w:t>
            </w:r>
          </w:p>
        </w:tc>
        <w:tc>
          <w:tcPr>
            <w:tcW w:w="2127" w:type="dxa"/>
            <w:tcBorders>
              <w:left w:val="nil"/>
              <w:bottom w:val="single" w:sz="4" w:space="0" w:color="auto"/>
              <w:right w:val="nil"/>
            </w:tcBorders>
            <w:shd w:val="clear" w:color="auto" w:fill="auto"/>
          </w:tcPr>
          <w:p w:rsidR="00FD5559" w:rsidRPr="003408A6" w:rsidRDefault="00FD5559" w:rsidP="006240EB">
            <w:pPr>
              <w:pStyle w:val="Tablecolumnheadings"/>
              <w:rPr>
                <w:lang w:val="en-AU"/>
              </w:rPr>
            </w:pPr>
            <w:r w:rsidRPr="003408A6">
              <w:rPr>
                <w:lang w:val="en-AU"/>
              </w:rPr>
              <w:t>Females</w:t>
            </w:r>
          </w:p>
        </w:tc>
        <w:tc>
          <w:tcPr>
            <w:tcW w:w="2268" w:type="dxa"/>
            <w:tcBorders>
              <w:left w:val="nil"/>
              <w:bottom w:val="single" w:sz="4" w:space="0" w:color="auto"/>
            </w:tcBorders>
            <w:shd w:val="clear" w:color="auto" w:fill="auto"/>
          </w:tcPr>
          <w:p w:rsidR="00FD5559" w:rsidRPr="003408A6" w:rsidRDefault="00FD5559" w:rsidP="006240EB">
            <w:pPr>
              <w:pStyle w:val="Tablecolumnheadings"/>
              <w:rPr>
                <w:lang w:val="en-AU"/>
              </w:rPr>
            </w:pPr>
            <w:r w:rsidRPr="003408A6">
              <w:rPr>
                <w:lang w:val="en-AU"/>
              </w:rPr>
              <w:t>Males</w:t>
            </w:r>
          </w:p>
        </w:tc>
      </w:tr>
      <w:tr w:rsidR="00FD5559" w:rsidRPr="003408A6" w:rsidTr="006240EB">
        <w:tc>
          <w:tcPr>
            <w:tcW w:w="2943" w:type="dxa"/>
            <w:tcBorders>
              <w:bottom w:val="nil"/>
              <w:right w:val="nil"/>
            </w:tcBorders>
          </w:tcPr>
          <w:p w:rsidR="00FD5559" w:rsidRPr="003408A6" w:rsidRDefault="00FD5559" w:rsidP="006240EB">
            <w:pPr>
              <w:pStyle w:val="Tabletext"/>
              <w:rPr>
                <w:lang w:val="en-AU"/>
              </w:rPr>
            </w:pPr>
            <w:r w:rsidRPr="003408A6">
              <w:rPr>
                <w:lang w:val="en-AU"/>
              </w:rPr>
              <w:t>Vulval/vaginal</w:t>
            </w:r>
          </w:p>
        </w:tc>
        <w:tc>
          <w:tcPr>
            <w:tcW w:w="2127" w:type="dxa"/>
            <w:tcBorders>
              <w:left w:val="nil"/>
              <w:bottom w:val="nil"/>
              <w:right w:val="nil"/>
            </w:tcBorders>
          </w:tcPr>
          <w:p w:rsidR="00FD5559" w:rsidRPr="003408A6" w:rsidRDefault="00FD5559" w:rsidP="006240EB">
            <w:pPr>
              <w:pStyle w:val="Tabletextcentred"/>
              <w:rPr>
                <w:lang w:val="en-AU"/>
              </w:rPr>
            </w:pPr>
            <w:r w:rsidRPr="003408A6">
              <w:rPr>
                <w:lang w:val="en-AU"/>
              </w:rPr>
              <w:t>15,194</w:t>
            </w:r>
          </w:p>
        </w:tc>
        <w:tc>
          <w:tcPr>
            <w:tcW w:w="2268" w:type="dxa"/>
            <w:tcBorders>
              <w:left w:val="nil"/>
              <w:bottom w:val="nil"/>
            </w:tcBorders>
          </w:tcPr>
          <w:p w:rsidR="00FD5559" w:rsidRPr="003408A6" w:rsidRDefault="006240EB" w:rsidP="006240EB">
            <w:pPr>
              <w:pStyle w:val="Tabletextcentred"/>
              <w:rPr>
                <w:lang w:val="en-AU"/>
              </w:rPr>
            </w:pPr>
            <w:r w:rsidRPr="003408A6">
              <w:rPr>
                <w:lang w:val="en-AU"/>
              </w:rPr>
              <w:t>–</w:t>
            </w:r>
          </w:p>
        </w:tc>
      </w:tr>
      <w:tr w:rsidR="00FD5559" w:rsidRPr="003408A6" w:rsidTr="006240EB">
        <w:tc>
          <w:tcPr>
            <w:tcW w:w="2943" w:type="dxa"/>
            <w:tcBorders>
              <w:top w:val="nil"/>
              <w:bottom w:val="nil"/>
              <w:right w:val="nil"/>
            </w:tcBorders>
          </w:tcPr>
          <w:p w:rsidR="00FD5559" w:rsidRPr="003408A6" w:rsidRDefault="00FD5559" w:rsidP="006240EB">
            <w:pPr>
              <w:pStyle w:val="Tabletext"/>
              <w:rPr>
                <w:lang w:val="en-AU"/>
              </w:rPr>
            </w:pPr>
            <w:r w:rsidRPr="003408A6">
              <w:rPr>
                <w:lang w:val="en-AU"/>
              </w:rPr>
              <w:t>Anal/perianal/perineal</w:t>
            </w:r>
          </w:p>
        </w:tc>
        <w:tc>
          <w:tcPr>
            <w:tcW w:w="2127" w:type="dxa"/>
            <w:tcBorders>
              <w:top w:val="nil"/>
              <w:left w:val="nil"/>
              <w:bottom w:val="nil"/>
              <w:right w:val="nil"/>
            </w:tcBorders>
          </w:tcPr>
          <w:p w:rsidR="00FD5559" w:rsidRPr="003408A6" w:rsidRDefault="00FD5559" w:rsidP="006240EB">
            <w:pPr>
              <w:pStyle w:val="Tabletextcentred"/>
              <w:rPr>
                <w:lang w:val="en-AU"/>
              </w:rPr>
            </w:pPr>
            <w:r w:rsidRPr="003408A6">
              <w:rPr>
                <w:lang w:val="en-AU"/>
              </w:rPr>
              <w:t>4,785</w:t>
            </w:r>
          </w:p>
        </w:tc>
        <w:tc>
          <w:tcPr>
            <w:tcW w:w="2268" w:type="dxa"/>
            <w:tcBorders>
              <w:top w:val="nil"/>
              <w:left w:val="nil"/>
              <w:bottom w:val="nil"/>
            </w:tcBorders>
          </w:tcPr>
          <w:p w:rsidR="00FD5559" w:rsidRPr="003408A6" w:rsidRDefault="00FD5559" w:rsidP="006240EB">
            <w:pPr>
              <w:pStyle w:val="Tabletextcentred"/>
              <w:rPr>
                <w:lang w:val="en-AU"/>
              </w:rPr>
            </w:pPr>
            <w:r w:rsidRPr="003408A6">
              <w:rPr>
                <w:lang w:val="en-AU"/>
              </w:rPr>
              <w:t>6,959</w:t>
            </w:r>
          </w:p>
        </w:tc>
      </w:tr>
      <w:tr w:rsidR="00FD5559" w:rsidRPr="003408A6" w:rsidTr="006240EB">
        <w:tc>
          <w:tcPr>
            <w:tcW w:w="2943" w:type="dxa"/>
            <w:tcBorders>
              <w:top w:val="nil"/>
              <w:bottom w:val="nil"/>
              <w:right w:val="nil"/>
            </w:tcBorders>
          </w:tcPr>
          <w:p w:rsidR="00FD5559" w:rsidRPr="003408A6" w:rsidRDefault="00FD5559" w:rsidP="006240EB">
            <w:pPr>
              <w:pStyle w:val="Tabletext"/>
              <w:rPr>
                <w:lang w:val="en-AU"/>
              </w:rPr>
            </w:pPr>
            <w:r w:rsidRPr="003408A6">
              <w:rPr>
                <w:lang w:val="en-AU"/>
              </w:rPr>
              <w:t>Cervical</w:t>
            </w:r>
          </w:p>
        </w:tc>
        <w:tc>
          <w:tcPr>
            <w:tcW w:w="2127" w:type="dxa"/>
            <w:tcBorders>
              <w:top w:val="nil"/>
              <w:left w:val="nil"/>
              <w:bottom w:val="nil"/>
              <w:right w:val="nil"/>
            </w:tcBorders>
          </w:tcPr>
          <w:p w:rsidR="00FD5559" w:rsidRPr="003408A6" w:rsidRDefault="00FD5559" w:rsidP="006240EB">
            <w:pPr>
              <w:pStyle w:val="Tabletextcentred"/>
              <w:rPr>
                <w:lang w:val="en-AU"/>
              </w:rPr>
            </w:pPr>
            <w:r w:rsidRPr="003408A6">
              <w:rPr>
                <w:lang w:val="en-AU"/>
              </w:rPr>
              <w:t>3,397</w:t>
            </w:r>
          </w:p>
        </w:tc>
        <w:tc>
          <w:tcPr>
            <w:tcW w:w="2268" w:type="dxa"/>
            <w:tcBorders>
              <w:top w:val="nil"/>
              <w:left w:val="nil"/>
              <w:bottom w:val="nil"/>
            </w:tcBorders>
          </w:tcPr>
          <w:p w:rsidR="00FD5559" w:rsidRPr="003408A6" w:rsidRDefault="006240EB" w:rsidP="006240EB">
            <w:pPr>
              <w:pStyle w:val="Tabletextcentred"/>
              <w:rPr>
                <w:lang w:val="en-AU"/>
              </w:rPr>
            </w:pPr>
            <w:r w:rsidRPr="003408A6">
              <w:rPr>
                <w:lang w:val="en-AU"/>
              </w:rPr>
              <w:t>–</w:t>
            </w:r>
          </w:p>
        </w:tc>
      </w:tr>
      <w:tr w:rsidR="00FD5559" w:rsidRPr="003408A6" w:rsidTr="006240EB">
        <w:tc>
          <w:tcPr>
            <w:tcW w:w="2943" w:type="dxa"/>
            <w:tcBorders>
              <w:top w:val="nil"/>
              <w:bottom w:val="nil"/>
              <w:right w:val="nil"/>
            </w:tcBorders>
          </w:tcPr>
          <w:p w:rsidR="00FD5559" w:rsidRPr="003408A6" w:rsidRDefault="00FD5559" w:rsidP="006240EB">
            <w:pPr>
              <w:pStyle w:val="Tabletext"/>
              <w:rPr>
                <w:lang w:val="en-AU"/>
              </w:rPr>
            </w:pPr>
            <w:r w:rsidRPr="003408A6">
              <w:rPr>
                <w:lang w:val="en-AU"/>
              </w:rPr>
              <w:t>Urethral</w:t>
            </w:r>
          </w:p>
        </w:tc>
        <w:tc>
          <w:tcPr>
            <w:tcW w:w="2127" w:type="dxa"/>
            <w:tcBorders>
              <w:top w:val="nil"/>
              <w:left w:val="nil"/>
              <w:bottom w:val="nil"/>
              <w:right w:val="nil"/>
            </w:tcBorders>
          </w:tcPr>
          <w:p w:rsidR="00FD5559" w:rsidRPr="003408A6" w:rsidRDefault="00FD5559" w:rsidP="006240EB">
            <w:pPr>
              <w:pStyle w:val="Tabletextcentred"/>
              <w:rPr>
                <w:lang w:val="en-AU"/>
              </w:rPr>
            </w:pPr>
            <w:r w:rsidRPr="003408A6">
              <w:rPr>
                <w:lang w:val="en-AU"/>
              </w:rPr>
              <w:t>279</w:t>
            </w:r>
          </w:p>
        </w:tc>
        <w:tc>
          <w:tcPr>
            <w:tcW w:w="2268" w:type="dxa"/>
            <w:tcBorders>
              <w:top w:val="nil"/>
              <w:left w:val="nil"/>
              <w:bottom w:val="nil"/>
            </w:tcBorders>
          </w:tcPr>
          <w:p w:rsidR="00FD5559" w:rsidRPr="003408A6" w:rsidRDefault="005D21AE" w:rsidP="006240EB">
            <w:pPr>
              <w:pStyle w:val="Tabletextcentred"/>
              <w:rPr>
                <w:lang w:val="en-AU"/>
              </w:rPr>
            </w:pPr>
            <w:r>
              <w:rPr>
                <w:lang w:val="en-AU"/>
              </w:rPr>
              <w:t>–</w:t>
            </w:r>
          </w:p>
        </w:tc>
      </w:tr>
      <w:tr w:rsidR="00FD5559" w:rsidRPr="003408A6" w:rsidTr="006240EB">
        <w:tc>
          <w:tcPr>
            <w:tcW w:w="2943" w:type="dxa"/>
            <w:tcBorders>
              <w:top w:val="nil"/>
              <w:bottom w:val="nil"/>
              <w:right w:val="nil"/>
            </w:tcBorders>
          </w:tcPr>
          <w:p w:rsidR="00FD5559" w:rsidRPr="003408A6" w:rsidRDefault="00FD5559" w:rsidP="006240EB">
            <w:pPr>
              <w:pStyle w:val="Tabletext"/>
              <w:rPr>
                <w:lang w:val="en-AU"/>
              </w:rPr>
            </w:pPr>
            <w:r w:rsidRPr="003408A6">
              <w:rPr>
                <w:lang w:val="en-AU"/>
              </w:rPr>
              <w:t>Urethral/penile/scrotal</w:t>
            </w:r>
          </w:p>
        </w:tc>
        <w:tc>
          <w:tcPr>
            <w:tcW w:w="2127" w:type="dxa"/>
            <w:tcBorders>
              <w:top w:val="nil"/>
              <w:left w:val="nil"/>
              <w:bottom w:val="nil"/>
              <w:right w:val="nil"/>
            </w:tcBorders>
          </w:tcPr>
          <w:p w:rsidR="00FD5559" w:rsidRPr="003408A6" w:rsidRDefault="006240EB" w:rsidP="006240EB">
            <w:pPr>
              <w:pStyle w:val="Tabletextcentred"/>
              <w:rPr>
                <w:lang w:val="en-AU"/>
              </w:rPr>
            </w:pPr>
            <w:r w:rsidRPr="003408A6">
              <w:rPr>
                <w:lang w:val="en-AU"/>
              </w:rPr>
              <w:t>–</w:t>
            </w:r>
          </w:p>
        </w:tc>
        <w:tc>
          <w:tcPr>
            <w:tcW w:w="2268" w:type="dxa"/>
            <w:tcBorders>
              <w:top w:val="nil"/>
              <w:left w:val="nil"/>
              <w:bottom w:val="nil"/>
            </w:tcBorders>
          </w:tcPr>
          <w:p w:rsidR="00FD5559" w:rsidRPr="003408A6" w:rsidRDefault="00FD5559" w:rsidP="006240EB">
            <w:pPr>
              <w:pStyle w:val="Tabletextcentred"/>
              <w:rPr>
                <w:lang w:val="en-AU"/>
              </w:rPr>
            </w:pPr>
            <w:r w:rsidRPr="003408A6">
              <w:rPr>
                <w:lang w:val="en-AU"/>
              </w:rPr>
              <w:t>4,093</w:t>
            </w:r>
          </w:p>
        </w:tc>
      </w:tr>
      <w:tr w:rsidR="00FD5559" w:rsidRPr="003408A6" w:rsidTr="006240EB">
        <w:tc>
          <w:tcPr>
            <w:tcW w:w="2943" w:type="dxa"/>
            <w:tcBorders>
              <w:top w:val="nil"/>
              <w:right w:val="nil"/>
            </w:tcBorders>
          </w:tcPr>
          <w:p w:rsidR="00FD5559" w:rsidRPr="003408A6" w:rsidRDefault="00FD5559" w:rsidP="006240EB">
            <w:pPr>
              <w:pStyle w:val="Tabletext"/>
              <w:rPr>
                <w:i/>
                <w:lang w:val="en-AU"/>
              </w:rPr>
            </w:pPr>
            <w:r w:rsidRPr="003408A6">
              <w:rPr>
                <w:i/>
                <w:lang w:val="en-AU"/>
              </w:rPr>
              <w:t>Unspecified</w:t>
            </w:r>
          </w:p>
        </w:tc>
        <w:tc>
          <w:tcPr>
            <w:tcW w:w="2127" w:type="dxa"/>
            <w:tcBorders>
              <w:top w:val="nil"/>
              <w:left w:val="nil"/>
              <w:right w:val="nil"/>
            </w:tcBorders>
          </w:tcPr>
          <w:p w:rsidR="00FD5559" w:rsidRPr="003408A6" w:rsidRDefault="00FD5559" w:rsidP="006240EB">
            <w:pPr>
              <w:pStyle w:val="Tabletextcentred"/>
              <w:rPr>
                <w:i/>
                <w:lang w:val="en-AU"/>
              </w:rPr>
            </w:pPr>
            <w:r w:rsidRPr="003408A6">
              <w:rPr>
                <w:i/>
                <w:lang w:val="en-AU"/>
              </w:rPr>
              <w:t>4,762</w:t>
            </w:r>
          </w:p>
        </w:tc>
        <w:tc>
          <w:tcPr>
            <w:tcW w:w="2268" w:type="dxa"/>
            <w:tcBorders>
              <w:top w:val="nil"/>
              <w:left w:val="nil"/>
            </w:tcBorders>
          </w:tcPr>
          <w:p w:rsidR="00FD5559" w:rsidRPr="003408A6" w:rsidRDefault="00FD5559" w:rsidP="006240EB">
            <w:pPr>
              <w:pStyle w:val="Tabletextcentred"/>
              <w:rPr>
                <w:i/>
                <w:lang w:val="en-AU"/>
              </w:rPr>
            </w:pPr>
            <w:r w:rsidRPr="003408A6">
              <w:rPr>
                <w:i/>
                <w:lang w:val="en-AU"/>
              </w:rPr>
              <w:t>3,895</w:t>
            </w:r>
          </w:p>
        </w:tc>
      </w:tr>
    </w:tbl>
    <w:p w:rsidR="00FD5559" w:rsidRPr="003408A6" w:rsidRDefault="006240EB" w:rsidP="006240EB">
      <w:pPr>
        <w:pStyle w:val="Tablefootnote"/>
      </w:pPr>
      <w:r w:rsidRPr="003408A6">
        <w:t>*</w:t>
      </w:r>
      <w:r w:rsidRPr="003408A6">
        <w:tab/>
      </w:r>
      <w:r w:rsidR="00FD5559" w:rsidRPr="003408A6">
        <w:t>Multiple sites were involved in some admissions so counts in this table sum to more than total number of admissions. Diagnosis and procedure codes used to assign site appear in</w:t>
      </w:r>
      <w:r w:rsidR="000179C1" w:rsidRPr="003408A6">
        <w:t xml:space="preserve"> </w:t>
      </w:r>
      <w:r w:rsidR="000179C1" w:rsidRPr="003408A6">
        <w:rPr>
          <w:b/>
        </w:rPr>
        <w:t xml:space="preserve">Table </w:t>
      </w:r>
      <w:r w:rsidR="005D21AE">
        <w:rPr>
          <w:b/>
        </w:rPr>
        <w:t>A</w:t>
      </w:r>
      <w:r w:rsidR="000179C1" w:rsidRPr="003408A6">
        <w:rPr>
          <w:b/>
        </w:rPr>
        <w:t>6.</w:t>
      </w:r>
      <w:r w:rsidR="00653668">
        <w:rPr>
          <w:b/>
        </w:rPr>
        <w:t>1</w:t>
      </w:r>
      <w:r w:rsidR="005D21AE">
        <w:rPr>
          <w:b/>
        </w:rPr>
        <w:t>.</w:t>
      </w:r>
      <w:r w:rsidR="000179C1" w:rsidRPr="003408A6">
        <w:rPr>
          <w:b/>
        </w:rPr>
        <w:t>1</w:t>
      </w:r>
      <w:r w:rsidR="000179C1" w:rsidRPr="003408A6">
        <w:t xml:space="preserve"> in </w:t>
      </w:r>
      <w:r w:rsidR="000179C1" w:rsidRPr="003408A6">
        <w:rPr>
          <w:b/>
        </w:rPr>
        <w:t>Appendix 6.</w:t>
      </w:r>
      <w:r w:rsidR="00653668">
        <w:rPr>
          <w:b/>
        </w:rPr>
        <w:t>1</w:t>
      </w:r>
      <w:r w:rsidR="00FD5559" w:rsidRPr="003408A6">
        <w:t>.</w:t>
      </w:r>
    </w:p>
    <w:p w:rsidR="00682316" w:rsidRPr="003408A6" w:rsidRDefault="00682316" w:rsidP="006240EB">
      <w:pPr>
        <w:pStyle w:val="BodyText"/>
        <w:rPr>
          <w:lang w:val="en-AU"/>
        </w:rPr>
      </w:pPr>
      <w:r w:rsidRPr="003408A6">
        <w:rPr>
          <w:lang w:val="en-AU"/>
        </w:rPr>
        <w:br w:type="page"/>
      </w:r>
    </w:p>
    <w:p w:rsidR="00682316" w:rsidRPr="003408A6" w:rsidRDefault="00881527" w:rsidP="00C2177D">
      <w:pPr>
        <w:pStyle w:val="Figureheading"/>
      </w:pPr>
      <w:bookmarkStart w:id="224" w:name="_Toc396475587"/>
      <w:bookmarkStart w:id="225" w:name="_Toc397000815"/>
      <w:r w:rsidRPr="003408A6">
        <w:t>Figure 6.1</w:t>
      </w:r>
      <w:r w:rsidR="00EF3AA0" w:rsidRPr="003408A6">
        <w:t>.</w:t>
      </w:r>
      <w:r w:rsidR="002B7A0C" w:rsidRPr="003408A6">
        <w:tab/>
      </w:r>
      <w:r w:rsidRPr="003408A6">
        <w:t>Age distribution of admissions involving anogenital warts by sex</w:t>
      </w:r>
      <w:r w:rsidR="003554CF">
        <w:t>,</w:t>
      </w:r>
      <w:r w:rsidRPr="003408A6">
        <w:t xml:space="preserve"> all admissions</w:t>
      </w:r>
      <w:r w:rsidR="003554CF">
        <w:t>,</w:t>
      </w:r>
      <w:r w:rsidRPr="003408A6">
        <w:t xml:space="preserve"> July 1999 </w:t>
      </w:r>
      <w:r w:rsidR="00C2120B" w:rsidRPr="003408A6">
        <w:t>to</w:t>
      </w:r>
      <w:r w:rsidRPr="003408A6">
        <w:t xml:space="preserve"> June 2011</w:t>
      </w:r>
      <w:bookmarkEnd w:id="224"/>
      <w:bookmarkEnd w:id="225"/>
    </w:p>
    <w:p w:rsidR="00FD5559" w:rsidRPr="003408A6" w:rsidRDefault="00FD5559" w:rsidP="006240EB">
      <w:pPr>
        <w:pStyle w:val="BodyText"/>
        <w:rPr>
          <w:lang w:val="en-AU"/>
        </w:rPr>
      </w:pPr>
      <w:r w:rsidRPr="003408A6">
        <w:rPr>
          <w:noProof/>
          <w:sz w:val="24"/>
          <w:lang w:val="en-AU" w:eastAsia="en-AU"/>
        </w:rPr>
        <w:drawing>
          <wp:inline distT="0" distB="0" distL="0" distR="0" wp14:anchorId="483320A1" wp14:editId="6C77AEA1">
            <wp:extent cx="4954137" cy="3717927"/>
            <wp:effectExtent l="0" t="0" r="0" b="0"/>
            <wp:docPr id="14" name="Picture 14" title="Age distribution of admissions involving anogenital warts by sex, all admissions, July 1999 to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6760" cy="3719895"/>
                    </a:xfrm>
                    <a:prstGeom prst="rect">
                      <a:avLst/>
                    </a:prstGeom>
                    <a:noFill/>
                    <a:ln>
                      <a:noFill/>
                    </a:ln>
                  </pic:spPr>
                </pic:pic>
              </a:graphicData>
            </a:graphic>
          </wp:inline>
        </w:drawing>
      </w:r>
    </w:p>
    <w:p w:rsidR="00FD5559" w:rsidRPr="003408A6" w:rsidRDefault="00FD5559" w:rsidP="006240EB">
      <w:pPr>
        <w:pStyle w:val="BodyText"/>
        <w:rPr>
          <w:lang w:val="en-AU"/>
        </w:rPr>
      </w:pPr>
    </w:p>
    <w:p w:rsidR="00682316" w:rsidRPr="003408A6" w:rsidRDefault="00881527" w:rsidP="00C2177D">
      <w:pPr>
        <w:pStyle w:val="Figureheading"/>
      </w:pPr>
      <w:bookmarkStart w:id="226" w:name="_Toc396475588"/>
      <w:bookmarkStart w:id="227" w:name="_Toc397000816"/>
      <w:r w:rsidRPr="003408A6">
        <w:t>Figure 6.2</w:t>
      </w:r>
      <w:r w:rsidR="00EF3AA0" w:rsidRPr="003408A6">
        <w:t>.</w:t>
      </w:r>
      <w:r w:rsidR="002B7A0C" w:rsidRPr="003408A6">
        <w:tab/>
      </w:r>
      <w:r w:rsidRPr="003408A6">
        <w:t>Rates</w:t>
      </w:r>
      <w:r w:rsidR="005C5374">
        <w:t>*</w:t>
      </w:r>
      <w:r w:rsidRPr="003408A6">
        <w:t xml:space="preserve"> of admissions involving genital warts</w:t>
      </w:r>
      <w:r w:rsidR="003554CF">
        <w:t>,</w:t>
      </w:r>
      <w:r w:rsidRPr="003408A6">
        <w:t xml:space="preserve"> July 1999 </w:t>
      </w:r>
      <w:r w:rsidR="009A06E2" w:rsidRPr="003408A6">
        <w:t>to</w:t>
      </w:r>
      <w:r w:rsidRPr="003408A6">
        <w:t xml:space="preserve"> June 2011, by sex</w:t>
      </w:r>
      <w:bookmarkEnd w:id="226"/>
      <w:bookmarkEnd w:id="227"/>
    </w:p>
    <w:p w:rsidR="00FD5559" w:rsidRPr="003408A6" w:rsidRDefault="00FD5559" w:rsidP="00682316">
      <w:pPr>
        <w:spacing w:line="360" w:lineRule="auto"/>
        <w:rPr>
          <w:rStyle w:val="BodyTextChar"/>
          <w:lang w:val="en-AU"/>
        </w:rPr>
      </w:pPr>
      <w:r w:rsidRPr="003408A6">
        <w:rPr>
          <w:noProof/>
        </w:rPr>
        <w:drawing>
          <wp:inline distT="0" distB="0" distL="0" distR="0" wp14:anchorId="46735724" wp14:editId="51E2D545">
            <wp:extent cx="4570942" cy="3324225"/>
            <wp:effectExtent l="0" t="0" r="20320" b="9525"/>
            <wp:docPr id="10" name="Chart 10" title="Rates* of admissions involving genital warts, July 1999 to June 2011,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C5374" w:rsidRDefault="006240EB" w:rsidP="006240EB">
      <w:pPr>
        <w:pStyle w:val="Tablefootnote"/>
        <w:spacing w:before="0"/>
      </w:pPr>
      <w:r w:rsidRPr="003408A6">
        <w:t>*</w:t>
      </w:r>
      <w:r w:rsidRPr="003408A6">
        <w:tab/>
      </w:r>
      <w:r w:rsidR="005C5374">
        <w:t xml:space="preserve">Rates </w:t>
      </w:r>
      <w:r w:rsidR="005C5374" w:rsidRPr="003408A6">
        <w:t>age-standardised, per 100,000 population</w:t>
      </w:r>
      <w:r w:rsidR="005C5374">
        <w:t xml:space="preserve">, </w:t>
      </w:r>
      <w:r w:rsidR="00FD5559" w:rsidRPr="003408A6">
        <w:t xml:space="preserve">using the Australia 2001 </w:t>
      </w:r>
      <w:r w:rsidR="005C5374">
        <w:t>s</w:t>
      </w:r>
      <w:r w:rsidR="00FD5559" w:rsidRPr="003408A6">
        <w:t>tandard population</w:t>
      </w:r>
      <w:r w:rsidR="00875C99">
        <w:t>.</w:t>
      </w:r>
    </w:p>
    <w:p w:rsidR="00FD5559" w:rsidRPr="003408A6" w:rsidRDefault="00FD5559" w:rsidP="006240EB">
      <w:pPr>
        <w:pStyle w:val="Tablefootnote"/>
        <w:spacing w:before="0"/>
        <w:rPr>
          <w:rFonts w:asciiTheme="majorHAnsi" w:eastAsiaTheme="majorEastAsia" w:hAnsiTheme="majorHAnsi" w:cstheme="majorBidi"/>
          <w:b/>
          <w:bCs/>
          <w:color w:val="4F81BD" w:themeColor="accent1"/>
          <w:sz w:val="26"/>
          <w:szCs w:val="26"/>
        </w:rPr>
      </w:pPr>
      <w:r w:rsidRPr="003408A6">
        <w:br w:type="page"/>
      </w:r>
    </w:p>
    <w:p w:rsidR="00FD5559" w:rsidRPr="003408A6" w:rsidRDefault="00FD5559" w:rsidP="00DA10AE">
      <w:pPr>
        <w:pStyle w:val="Heading3"/>
      </w:pPr>
      <w:bookmarkStart w:id="228" w:name="_Toc372811170"/>
      <w:r w:rsidRPr="003408A6">
        <w:t>Concurrent diagnoses</w:t>
      </w:r>
      <w:bookmarkEnd w:id="228"/>
    </w:p>
    <w:p w:rsidR="00FD5559" w:rsidRPr="003408A6" w:rsidRDefault="00FD5559" w:rsidP="006240EB">
      <w:pPr>
        <w:pStyle w:val="BodyText"/>
        <w:rPr>
          <w:lang w:val="en-AU"/>
        </w:rPr>
      </w:pPr>
      <w:r w:rsidRPr="003408A6">
        <w:rPr>
          <w:lang w:val="en-AU"/>
        </w:rPr>
        <w:t>Most admissions involved multiple diagnos</w:t>
      </w:r>
      <w:r w:rsidR="00875C99">
        <w:rPr>
          <w:lang w:val="en-AU"/>
        </w:rPr>
        <w:t>i</w:t>
      </w:r>
      <w:r w:rsidRPr="003408A6">
        <w:rPr>
          <w:lang w:val="en-AU"/>
        </w:rPr>
        <w:t>s codes (91% of admissions in females; 86% in males). The median number of additional diagnoses (</w:t>
      </w:r>
      <w:r w:rsidR="009A06E2" w:rsidRPr="003408A6">
        <w:rPr>
          <w:lang w:val="en-AU"/>
        </w:rPr>
        <w:t>i.e.</w:t>
      </w:r>
      <w:r w:rsidRPr="003408A6">
        <w:rPr>
          <w:lang w:val="en-AU"/>
        </w:rPr>
        <w:t xml:space="preserve"> those other than diagnoses relating to genital warts) was </w:t>
      </w:r>
      <w:r w:rsidR="00006FDF" w:rsidRPr="003408A6">
        <w:rPr>
          <w:lang w:val="en-AU"/>
        </w:rPr>
        <w:t xml:space="preserve">2 </w:t>
      </w:r>
      <w:r w:rsidRPr="003408A6">
        <w:rPr>
          <w:lang w:val="en-AU"/>
        </w:rPr>
        <w:t xml:space="preserve">for both females and males. </w:t>
      </w:r>
      <w:r w:rsidR="00881527" w:rsidRPr="003408A6">
        <w:rPr>
          <w:b/>
          <w:lang w:val="en-AU"/>
        </w:rPr>
        <w:t>Table 6.3</w:t>
      </w:r>
      <w:r w:rsidR="00881527" w:rsidRPr="003408A6">
        <w:rPr>
          <w:lang w:val="en-AU"/>
        </w:rPr>
        <w:t xml:space="preserve"> </w:t>
      </w:r>
      <w:r w:rsidRPr="003408A6">
        <w:rPr>
          <w:lang w:val="en-AU"/>
        </w:rPr>
        <w:t>shows the most common other diagnoses which were associated with admissions involving a diagnosis of genital warts. Many of these refer to general diagnoses relating to sites commonly associated with genital warts (N90.8 vulva, N89.8 vagina, N88.8 cervix, K62.8 anus, N48.8 penis and N36.8 urethra). Prior to July 2010, the Australian Coding Standard</w:t>
      </w:r>
      <w:r w:rsidR="009A06E2" w:rsidRPr="003408A6">
        <w:rPr>
          <w:lang w:val="en-AU"/>
        </w:rPr>
        <w:t>s</w:t>
      </w:r>
      <w:r w:rsidRPr="003408A6">
        <w:rPr>
          <w:lang w:val="en-AU"/>
        </w:rPr>
        <w:t xml:space="preserve"> advised that these general diagnoses be used in order to capture the site of the genital warts. From July 2010, the more detailed A63 codes allowed the site to be captured directly, and thus these </w:t>
      </w:r>
      <w:r w:rsidR="009A06E2" w:rsidRPr="003408A6">
        <w:rPr>
          <w:lang w:val="en-AU"/>
        </w:rPr>
        <w:t>‘</w:t>
      </w:r>
      <w:r w:rsidRPr="003408A6">
        <w:rPr>
          <w:lang w:val="en-AU"/>
        </w:rPr>
        <w:t>other diagnoses</w:t>
      </w:r>
      <w:r w:rsidR="009A06E2" w:rsidRPr="003408A6">
        <w:rPr>
          <w:lang w:val="en-AU"/>
        </w:rPr>
        <w:t>’</w:t>
      </w:r>
      <w:r w:rsidRPr="003408A6">
        <w:rPr>
          <w:lang w:val="en-AU"/>
        </w:rPr>
        <w:t xml:space="preserve"> codes were no longer used for this purpose (these diagnoses virtually disappeared from this dataset in July 2010, whereas they had been very common prior to then).  </w:t>
      </w:r>
    </w:p>
    <w:p w:rsidR="00C2177D" w:rsidRPr="003408A6" w:rsidRDefault="00C2177D">
      <w:pPr>
        <w:rPr>
          <w:b/>
          <w:szCs w:val="24"/>
          <w:lang w:eastAsia="en-US"/>
        </w:rPr>
      </w:pPr>
      <w:r w:rsidRPr="003408A6">
        <w:br w:type="page"/>
      </w:r>
    </w:p>
    <w:p w:rsidR="00FD5559" w:rsidRPr="003408A6" w:rsidRDefault="00881527" w:rsidP="00C2177D">
      <w:pPr>
        <w:pStyle w:val="Tableheading"/>
        <w:rPr>
          <w:lang w:val="en-AU"/>
        </w:rPr>
      </w:pPr>
      <w:bookmarkStart w:id="229" w:name="_Toc396475558"/>
      <w:bookmarkStart w:id="230" w:name="_Toc397000786"/>
      <w:r w:rsidRPr="003408A6">
        <w:rPr>
          <w:lang w:val="en-AU"/>
        </w:rPr>
        <w:t>Table 6.3</w:t>
      </w:r>
      <w:r w:rsidR="009A06E2" w:rsidRPr="003408A6">
        <w:rPr>
          <w:lang w:val="en-AU"/>
        </w:rPr>
        <w:t>.</w:t>
      </w:r>
      <w:r w:rsidR="00D861BD" w:rsidRPr="003408A6">
        <w:rPr>
          <w:lang w:val="en-AU"/>
        </w:rPr>
        <w:tab/>
      </w:r>
      <w:r w:rsidRPr="003408A6">
        <w:rPr>
          <w:lang w:val="en-AU"/>
        </w:rPr>
        <w:t>Most common concurrent diagnoses among patients admitted with a diagnosis involving genital warts</w:t>
      </w:r>
      <w:bookmarkEnd w:id="229"/>
      <w:bookmarkEnd w:id="230"/>
    </w:p>
    <w:tbl>
      <w:tblPr>
        <w:tblStyle w:val="TableGrid"/>
        <w:tblW w:w="0" w:type="auto"/>
        <w:tblLook w:val="04A0" w:firstRow="1" w:lastRow="0" w:firstColumn="1" w:lastColumn="0" w:noHBand="0" w:noVBand="1"/>
        <w:tblCaption w:val="Most common concurrent diagnoses among patients admitted with a diagnosis involving genital warts"/>
      </w:tblPr>
      <w:tblGrid>
        <w:gridCol w:w="3319"/>
        <w:gridCol w:w="1042"/>
        <w:gridCol w:w="3748"/>
        <w:gridCol w:w="1071"/>
      </w:tblGrid>
      <w:tr w:rsidR="00347C38" w:rsidRPr="003408A6" w:rsidTr="00E9659D">
        <w:trPr>
          <w:tblHeader/>
        </w:trPr>
        <w:tc>
          <w:tcPr>
            <w:tcW w:w="3319" w:type="dxa"/>
            <w:tcBorders>
              <w:top w:val="single" w:sz="4" w:space="0" w:color="auto"/>
              <w:left w:val="single" w:sz="4" w:space="0" w:color="auto"/>
              <w:bottom w:val="single" w:sz="4" w:space="0" w:color="auto"/>
              <w:right w:val="nil"/>
            </w:tcBorders>
            <w:shd w:val="clear" w:color="auto" w:fill="auto"/>
          </w:tcPr>
          <w:p w:rsidR="00347C38" w:rsidRPr="003408A6" w:rsidRDefault="00380920" w:rsidP="00E501D4">
            <w:pPr>
              <w:pStyle w:val="Tablecolumnheading"/>
              <w:rPr>
                <w:lang w:val="en-AU"/>
              </w:rPr>
            </w:pPr>
            <w:r w:rsidRPr="003408A6">
              <w:rPr>
                <w:lang w:val="en-AU"/>
              </w:rPr>
              <w:t>Females</w:t>
            </w:r>
          </w:p>
        </w:tc>
        <w:tc>
          <w:tcPr>
            <w:tcW w:w="1042" w:type="dxa"/>
            <w:tcBorders>
              <w:top w:val="single" w:sz="4" w:space="0" w:color="auto"/>
              <w:left w:val="nil"/>
              <w:bottom w:val="single" w:sz="4" w:space="0" w:color="auto"/>
              <w:right w:val="single" w:sz="4" w:space="0" w:color="auto"/>
            </w:tcBorders>
            <w:shd w:val="clear" w:color="auto" w:fill="auto"/>
            <w:vAlign w:val="center"/>
          </w:tcPr>
          <w:p w:rsidR="00347C38" w:rsidRPr="003408A6" w:rsidRDefault="00347C38" w:rsidP="00E501D4">
            <w:pPr>
              <w:pStyle w:val="Tablecolumnheading"/>
              <w:jc w:val="center"/>
              <w:rPr>
                <w:lang w:val="en-AU"/>
              </w:rPr>
            </w:pPr>
          </w:p>
        </w:tc>
        <w:tc>
          <w:tcPr>
            <w:tcW w:w="3748" w:type="dxa"/>
            <w:tcBorders>
              <w:top w:val="single" w:sz="4" w:space="0" w:color="auto"/>
              <w:left w:val="single" w:sz="4" w:space="0" w:color="auto"/>
              <w:bottom w:val="single" w:sz="4" w:space="0" w:color="auto"/>
              <w:right w:val="nil"/>
            </w:tcBorders>
            <w:shd w:val="clear" w:color="auto" w:fill="auto"/>
          </w:tcPr>
          <w:p w:rsidR="00347C38" w:rsidRPr="003408A6" w:rsidRDefault="00380920" w:rsidP="00E501D4">
            <w:pPr>
              <w:pStyle w:val="Tablecolumnheading"/>
              <w:rPr>
                <w:lang w:val="en-AU"/>
              </w:rPr>
            </w:pPr>
            <w:r w:rsidRPr="003408A6">
              <w:rPr>
                <w:lang w:val="en-AU"/>
              </w:rPr>
              <w:t>Males</w:t>
            </w:r>
          </w:p>
        </w:tc>
        <w:tc>
          <w:tcPr>
            <w:tcW w:w="1071" w:type="dxa"/>
            <w:tcBorders>
              <w:top w:val="single" w:sz="4" w:space="0" w:color="auto"/>
              <w:left w:val="nil"/>
              <w:bottom w:val="single" w:sz="4" w:space="0" w:color="auto"/>
              <w:right w:val="single" w:sz="4" w:space="0" w:color="auto"/>
            </w:tcBorders>
            <w:shd w:val="clear" w:color="auto" w:fill="auto"/>
            <w:vAlign w:val="center"/>
          </w:tcPr>
          <w:p w:rsidR="00347C38" w:rsidRPr="003408A6" w:rsidRDefault="00347C38" w:rsidP="00E501D4">
            <w:pPr>
              <w:pStyle w:val="Tablecolumnheading"/>
              <w:jc w:val="center"/>
              <w:rPr>
                <w:lang w:val="en-AU"/>
              </w:rPr>
            </w:pPr>
          </w:p>
        </w:tc>
      </w:tr>
      <w:tr w:rsidR="00380920" w:rsidRPr="003408A6" w:rsidTr="00E9659D">
        <w:tc>
          <w:tcPr>
            <w:tcW w:w="3319"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Diagnosis</w:t>
            </w:r>
          </w:p>
        </w:tc>
        <w:tc>
          <w:tcPr>
            <w:tcW w:w="1042" w:type="dxa"/>
            <w:tcBorders>
              <w:top w:val="single" w:sz="4" w:space="0" w:color="auto"/>
            </w:tcBorders>
            <w:shd w:val="clear" w:color="auto" w:fill="auto"/>
            <w:vAlign w:val="center"/>
          </w:tcPr>
          <w:p w:rsidR="00380920" w:rsidRPr="003408A6" w:rsidRDefault="00380920" w:rsidP="00E501D4">
            <w:pPr>
              <w:pStyle w:val="Tablecolumnheading"/>
              <w:jc w:val="center"/>
              <w:rPr>
                <w:lang w:val="en-AU"/>
              </w:rPr>
            </w:pPr>
            <w:r w:rsidRPr="003408A6">
              <w:rPr>
                <w:lang w:val="en-AU"/>
              </w:rPr>
              <w:t>Count</w:t>
            </w:r>
          </w:p>
        </w:tc>
        <w:tc>
          <w:tcPr>
            <w:tcW w:w="3748"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Diagnosis</w:t>
            </w:r>
          </w:p>
        </w:tc>
        <w:tc>
          <w:tcPr>
            <w:tcW w:w="1071" w:type="dxa"/>
            <w:tcBorders>
              <w:top w:val="single" w:sz="4" w:space="0" w:color="auto"/>
            </w:tcBorders>
            <w:shd w:val="clear" w:color="auto" w:fill="auto"/>
            <w:vAlign w:val="center"/>
          </w:tcPr>
          <w:p w:rsidR="00380920" w:rsidRPr="003408A6" w:rsidRDefault="00380920" w:rsidP="00E501D4">
            <w:pPr>
              <w:pStyle w:val="Tablecolumnheading"/>
              <w:jc w:val="center"/>
              <w:rPr>
                <w:lang w:val="en-AU"/>
              </w:rPr>
            </w:pPr>
            <w:r w:rsidRPr="003408A6">
              <w:rPr>
                <w:lang w:val="en-AU"/>
              </w:rPr>
              <w:t>Count</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N90.8 Other specified noninflammatory disorders of vulva and perineum*</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11,049</w:t>
            </w:r>
          </w:p>
        </w:tc>
        <w:tc>
          <w:tcPr>
            <w:tcW w:w="3748" w:type="dxa"/>
          </w:tcPr>
          <w:p w:rsidR="00380920" w:rsidRPr="003408A6" w:rsidRDefault="00380920" w:rsidP="006240EB">
            <w:pPr>
              <w:pStyle w:val="Tabletext"/>
              <w:rPr>
                <w:lang w:val="en-AU"/>
              </w:rPr>
            </w:pPr>
            <w:r w:rsidRPr="003408A6">
              <w:rPr>
                <w:lang w:val="en-AU"/>
              </w:rPr>
              <w:t>K62.8 Other specified diseases of the anus and rectum*</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6,022</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 xml:space="preserve">Z72.0 Tobacco use </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8,341</w:t>
            </w:r>
          </w:p>
        </w:tc>
        <w:tc>
          <w:tcPr>
            <w:tcW w:w="3748" w:type="dxa"/>
          </w:tcPr>
          <w:p w:rsidR="00380920" w:rsidRPr="003408A6" w:rsidRDefault="00380920" w:rsidP="006240EB">
            <w:pPr>
              <w:pStyle w:val="Tabletext"/>
              <w:rPr>
                <w:lang w:val="en-AU"/>
              </w:rPr>
            </w:pPr>
            <w:r w:rsidRPr="003408A6">
              <w:rPr>
                <w:lang w:val="en-AU"/>
              </w:rPr>
              <w:t>Z72.0 Tobacco use</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4,812</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N89.8 Other specified noninflammatory disorders of vagina*</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4,069</w:t>
            </w:r>
          </w:p>
        </w:tc>
        <w:tc>
          <w:tcPr>
            <w:tcW w:w="3748" w:type="dxa"/>
          </w:tcPr>
          <w:p w:rsidR="00380920" w:rsidRPr="003408A6" w:rsidRDefault="00380920" w:rsidP="006240EB">
            <w:pPr>
              <w:pStyle w:val="Tabletext"/>
              <w:rPr>
                <w:lang w:val="en-AU"/>
              </w:rPr>
            </w:pPr>
            <w:r w:rsidRPr="003408A6">
              <w:rPr>
                <w:lang w:val="en-AU"/>
              </w:rPr>
              <w:t>N48.8 Other specified disorders of the penis*</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3,079</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K62.8 Other specified diseases of anus and rectum*</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3,921</w:t>
            </w:r>
          </w:p>
        </w:tc>
        <w:tc>
          <w:tcPr>
            <w:tcW w:w="3748" w:type="dxa"/>
          </w:tcPr>
          <w:p w:rsidR="00380920" w:rsidRPr="003408A6" w:rsidRDefault="00380920" w:rsidP="006240EB">
            <w:pPr>
              <w:pStyle w:val="Tabletext"/>
              <w:rPr>
                <w:lang w:val="en-AU"/>
              </w:rPr>
            </w:pPr>
            <w:r w:rsidRPr="003408A6">
              <w:rPr>
                <w:lang w:val="en-AU"/>
              </w:rPr>
              <w:t>Z86.43 Personal history of tobacco use disorder</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958</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N88.8 Other specified noninflammatory disorders of cervix uteri*</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3,517</w:t>
            </w:r>
          </w:p>
        </w:tc>
        <w:tc>
          <w:tcPr>
            <w:tcW w:w="3748" w:type="dxa"/>
          </w:tcPr>
          <w:p w:rsidR="00380920" w:rsidRPr="003408A6" w:rsidRDefault="00380920" w:rsidP="006240EB">
            <w:pPr>
              <w:pStyle w:val="Tabletext"/>
              <w:rPr>
                <w:lang w:val="en-AU"/>
              </w:rPr>
            </w:pPr>
            <w:r w:rsidRPr="003408A6">
              <w:rPr>
                <w:lang w:val="en-AU"/>
              </w:rPr>
              <w:t>N36.8 Other specified disorders of urethra*</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790</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B97.7 Papillomavirus as the cause of diseases classified to other chapters</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2,778</w:t>
            </w:r>
          </w:p>
        </w:tc>
        <w:tc>
          <w:tcPr>
            <w:tcW w:w="3748" w:type="dxa"/>
          </w:tcPr>
          <w:p w:rsidR="00380920" w:rsidRPr="003408A6" w:rsidRDefault="00380920" w:rsidP="006240EB">
            <w:pPr>
              <w:pStyle w:val="Tabletext"/>
              <w:rPr>
                <w:lang w:val="en-AU"/>
              </w:rPr>
            </w:pPr>
            <w:r w:rsidRPr="003408A6">
              <w:rPr>
                <w:lang w:val="en-AU"/>
              </w:rPr>
              <w:t>B20 HIV resulting in infectious and parasitic diseases</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527</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N87.0 Mild cervical dysplasia (CIN1)</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2,243</w:t>
            </w:r>
          </w:p>
        </w:tc>
        <w:tc>
          <w:tcPr>
            <w:tcW w:w="3748" w:type="dxa"/>
          </w:tcPr>
          <w:p w:rsidR="00380920" w:rsidRPr="003408A6" w:rsidRDefault="00380920" w:rsidP="006240EB">
            <w:pPr>
              <w:pStyle w:val="Tabletext"/>
              <w:rPr>
                <w:lang w:val="en-AU"/>
              </w:rPr>
            </w:pPr>
            <w:r w:rsidRPr="003408A6">
              <w:rPr>
                <w:lang w:val="en-AU"/>
              </w:rPr>
              <w:t>Z21 Asymptomatic HIV positive</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513</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N87.1 Moderate cervical dysplasia (CIN2)</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1,602</w:t>
            </w:r>
          </w:p>
        </w:tc>
        <w:tc>
          <w:tcPr>
            <w:tcW w:w="3748" w:type="dxa"/>
          </w:tcPr>
          <w:p w:rsidR="00380920" w:rsidRPr="003408A6" w:rsidRDefault="00380920" w:rsidP="006240EB">
            <w:pPr>
              <w:pStyle w:val="Tabletext"/>
              <w:rPr>
                <w:lang w:val="en-AU"/>
              </w:rPr>
            </w:pPr>
            <w:r w:rsidRPr="003408A6">
              <w:rPr>
                <w:lang w:val="en-AU"/>
              </w:rPr>
              <w:t>I84.6 Residual haemorrhoidal skin tags of anus or rectum</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359</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D06.9 Carcinoma in situ of cervix uteri (CIN3)</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1,078</w:t>
            </w:r>
          </w:p>
        </w:tc>
        <w:tc>
          <w:tcPr>
            <w:tcW w:w="3748" w:type="dxa"/>
          </w:tcPr>
          <w:p w:rsidR="00380920" w:rsidRPr="003408A6" w:rsidRDefault="00380920" w:rsidP="006240EB">
            <w:pPr>
              <w:pStyle w:val="Tabletext"/>
              <w:rPr>
                <w:lang w:val="en-AU"/>
              </w:rPr>
            </w:pPr>
            <w:r w:rsidRPr="003408A6">
              <w:rPr>
                <w:lang w:val="en-AU"/>
              </w:rPr>
              <w:t>I84.9 Unspecified haemorrhoids without complication</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344</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Z86.43 Personal history of tobacco use disorder</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1,040</w:t>
            </w:r>
          </w:p>
        </w:tc>
        <w:tc>
          <w:tcPr>
            <w:tcW w:w="3748" w:type="dxa"/>
          </w:tcPr>
          <w:p w:rsidR="00380920" w:rsidRPr="003408A6" w:rsidRDefault="00380920" w:rsidP="006240EB">
            <w:pPr>
              <w:pStyle w:val="Tabletext"/>
              <w:rPr>
                <w:lang w:val="en-AU"/>
              </w:rPr>
            </w:pPr>
            <w:r w:rsidRPr="003408A6">
              <w:rPr>
                <w:lang w:val="en-AU"/>
              </w:rPr>
              <w:t>I10 Primary hypertension</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302</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N72 Inflammatory disease of cervix uteri (incl. cervicitis)</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1,016</w:t>
            </w:r>
          </w:p>
        </w:tc>
        <w:tc>
          <w:tcPr>
            <w:tcW w:w="3748" w:type="dxa"/>
          </w:tcPr>
          <w:p w:rsidR="00380920" w:rsidRPr="003408A6" w:rsidRDefault="00380920" w:rsidP="006240EB">
            <w:pPr>
              <w:pStyle w:val="Tabletext"/>
              <w:rPr>
                <w:lang w:val="en-AU"/>
              </w:rPr>
            </w:pPr>
            <w:r w:rsidRPr="003408A6">
              <w:rPr>
                <w:lang w:val="en-AU"/>
              </w:rPr>
              <w:t>I84(.2) Haemorrhoids</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299</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Z37.0 Single live birth</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941</w:t>
            </w:r>
          </w:p>
        </w:tc>
        <w:tc>
          <w:tcPr>
            <w:tcW w:w="3748" w:type="dxa"/>
          </w:tcPr>
          <w:p w:rsidR="00380920" w:rsidRPr="003408A6" w:rsidRDefault="00380920" w:rsidP="006240EB">
            <w:pPr>
              <w:pStyle w:val="Tabletext"/>
              <w:rPr>
                <w:lang w:val="en-AU"/>
              </w:rPr>
            </w:pPr>
            <w:r w:rsidRPr="003408A6">
              <w:rPr>
                <w:lang w:val="en-AU"/>
              </w:rPr>
              <w:t>Z30.2 Sterilisation (vasectomy)</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285</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O98.3 Other infections with a predominantly sexual mode of transmission complicating pregnancy, childbirth and the puerperium</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662</w:t>
            </w:r>
          </w:p>
        </w:tc>
        <w:tc>
          <w:tcPr>
            <w:tcW w:w="3748" w:type="dxa"/>
          </w:tcPr>
          <w:p w:rsidR="00380920" w:rsidRPr="003408A6" w:rsidRDefault="00380920" w:rsidP="006240EB">
            <w:pPr>
              <w:pStyle w:val="Tabletext"/>
              <w:rPr>
                <w:lang w:val="en-AU"/>
              </w:rPr>
            </w:pPr>
            <w:r w:rsidRPr="003408A6">
              <w:rPr>
                <w:lang w:val="en-AU"/>
              </w:rPr>
              <w:t>B07 Viral warts (excl. anogenital/papilloma)</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279</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O09.1 Duration of pregnancy 5–13 completed weeks</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543</w:t>
            </w:r>
          </w:p>
        </w:tc>
        <w:tc>
          <w:tcPr>
            <w:tcW w:w="3748" w:type="dxa"/>
          </w:tcPr>
          <w:p w:rsidR="00380920" w:rsidRPr="003408A6" w:rsidRDefault="00380920" w:rsidP="006240EB">
            <w:pPr>
              <w:pStyle w:val="Tabletext"/>
              <w:rPr>
                <w:lang w:val="en-AU"/>
              </w:rPr>
            </w:pPr>
            <w:r w:rsidRPr="003408A6">
              <w:rPr>
                <w:lang w:val="en-AU"/>
              </w:rPr>
              <w:t>K92.2 Gastrointestinal haemorrhage, unspecified</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277</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N92.0 Excessive and frequent menstruation with regular cycle</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373</w:t>
            </w:r>
          </w:p>
        </w:tc>
        <w:tc>
          <w:tcPr>
            <w:tcW w:w="3748" w:type="dxa"/>
          </w:tcPr>
          <w:p w:rsidR="00380920" w:rsidRPr="003408A6" w:rsidRDefault="00380920" w:rsidP="006240EB">
            <w:pPr>
              <w:pStyle w:val="Tabletext"/>
              <w:rPr>
                <w:lang w:val="en-AU"/>
              </w:rPr>
            </w:pPr>
            <w:r w:rsidRPr="003408A6">
              <w:rPr>
                <w:lang w:val="en-AU"/>
              </w:rPr>
              <w:t>K60.2, .3 Anal fissure/fistula</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414</w:t>
            </w:r>
          </w:p>
        </w:tc>
      </w:tr>
      <w:tr w:rsidR="00380920" w:rsidRPr="003408A6" w:rsidTr="007C4EBE">
        <w:tc>
          <w:tcPr>
            <w:tcW w:w="3319" w:type="dxa"/>
          </w:tcPr>
          <w:p w:rsidR="00380920" w:rsidRPr="003408A6" w:rsidRDefault="00380920" w:rsidP="006240EB">
            <w:pPr>
              <w:pStyle w:val="Tabletext"/>
              <w:rPr>
                <w:lang w:val="en-AU"/>
              </w:rPr>
            </w:pPr>
            <w:r w:rsidRPr="003408A6">
              <w:rPr>
                <w:lang w:val="en-AU"/>
              </w:rPr>
              <w:t>J45.9 Asthma, unspecified</w:t>
            </w:r>
          </w:p>
        </w:tc>
        <w:tc>
          <w:tcPr>
            <w:tcW w:w="1042" w:type="dxa"/>
            <w:tcMar>
              <w:right w:w="170" w:type="dxa"/>
            </w:tcMar>
            <w:vAlign w:val="center"/>
          </w:tcPr>
          <w:p w:rsidR="00380920" w:rsidRPr="003408A6" w:rsidRDefault="00380920" w:rsidP="00875C99">
            <w:pPr>
              <w:pStyle w:val="Tabletext"/>
              <w:jc w:val="right"/>
              <w:rPr>
                <w:lang w:val="en-AU"/>
              </w:rPr>
            </w:pPr>
            <w:r w:rsidRPr="003408A6">
              <w:rPr>
                <w:lang w:val="en-AU"/>
              </w:rPr>
              <w:t>319</w:t>
            </w:r>
          </w:p>
        </w:tc>
        <w:tc>
          <w:tcPr>
            <w:tcW w:w="3748" w:type="dxa"/>
          </w:tcPr>
          <w:p w:rsidR="00380920" w:rsidRPr="003408A6" w:rsidRDefault="00380920" w:rsidP="006240EB">
            <w:pPr>
              <w:pStyle w:val="Tabletext"/>
              <w:rPr>
                <w:lang w:val="en-AU"/>
              </w:rPr>
            </w:pPr>
            <w:r w:rsidRPr="003408A6">
              <w:rPr>
                <w:lang w:val="en-AU"/>
              </w:rPr>
              <w:t>D01.3 Anal carcinoma in situ (AIN3)</w:t>
            </w:r>
          </w:p>
        </w:tc>
        <w:tc>
          <w:tcPr>
            <w:tcW w:w="1071" w:type="dxa"/>
            <w:tcMar>
              <w:right w:w="170" w:type="dxa"/>
            </w:tcMar>
            <w:vAlign w:val="center"/>
          </w:tcPr>
          <w:p w:rsidR="00380920" w:rsidRPr="003408A6" w:rsidRDefault="00380920" w:rsidP="00875C99">
            <w:pPr>
              <w:pStyle w:val="Tabletext"/>
              <w:jc w:val="right"/>
              <w:rPr>
                <w:lang w:val="en-AU"/>
              </w:rPr>
            </w:pPr>
            <w:r w:rsidRPr="003408A6">
              <w:rPr>
                <w:lang w:val="en-AU"/>
              </w:rPr>
              <w:t>205</w:t>
            </w:r>
          </w:p>
        </w:tc>
      </w:tr>
    </w:tbl>
    <w:p w:rsidR="00FD5559" w:rsidRDefault="006240EB" w:rsidP="006240EB">
      <w:pPr>
        <w:pStyle w:val="Tablefootnote"/>
      </w:pPr>
      <w:r w:rsidRPr="003408A6">
        <w:t>*</w:t>
      </w:r>
      <w:r w:rsidRPr="003408A6">
        <w:tab/>
      </w:r>
      <w:r w:rsidR="00FD5559" w:rsidRPr="003408A6">
        <w:t xml:space="preserve">Australian Coding Standards recommended that these codes be used as principal diagnoses in admissions primarily related to genital warts from July 1998 </w:t>
      </w:r>
      <w:r w:rsidR="009A06E2" w:rsidRPr="003408A6">
        <w:t>to</w:t>
      </w:r>
      <w:r w:rsidR="00FD5559" w:rsidRPr="003408A6">
        <w:t xml:space="preserve"> June 2010 (July 2002 </w:t>
      </w:r>
      <w:r w:rsidR="009A06E2" w:rsidRPr="003408A6">
        <w:t>to</w:t>
      </w:r>
      <w:r w:rsidR="00FD5559" w:rsidRPr="003408A6">
        <w:t xml:space="preserve"> June 2010 for N36.8 urethra), to identify the site.</w:t>
      </w:r>
    </w:p>
    <w:p w:rsidR="00875C99" w:rsidRPr="003408A6" w:rsidRDefault="00875C99" w:rsidP="006240EB">
      <w:pPr>
        <w:pStyle w:val="Tablefootnote"/>
      </w:pPr>
    </w:p>
    <w:p w:rsidR="00FD5559" w:rsidRPr="003408A6" w:rsidRDefault="00FD5559" w:rsidP="006240EB">
      <w:pPr>
        <w:pStyle w:val="Heading3"/>
      </w:pPr>
      <w:bookmarkStart w:id="231" w:name="_Toc372811171"/>
      <w:r w:rsidRPr="003408A6">
        <w:t xml:space="preserve">Procedures </w:t>
      </w:r>
      <w:bookmarkEnd w:id="231"/>
    </w:p>
    <w:p w:rsidR="00FD5559" w:rsidRPr="003408A6" w:rsidRDefault="00FD5559" w:rsidP="006240EB">
      <w:pPr>
        <w:pStyle w:val="BodyText"/>
        <w:rPr>
          <w:lang w:val="en-AU"/>
        </w:rPr>
      </w:pPr>
      <w:r w:rsidRPr="003408A6">
        <w:rPr>
          <w:lang w:val="en-AU"/>
        </w:rPr>
        <w:t>The most common procedures performed during admissions involving a diagnosis of genital warts are shown in</w:t>
      </w:r>
      <w:r w:rsidR="00881527" w:rsidRPr="003408A6">
        <w:rPr>
          <w:lang w:val="en-AU"/>
        </w:rPr>
        <w:t xml:space="preserve"> </w:t>
      </w:r>
      <w:r w:rsidR="00881527" w:rsidRPr="003408A6">
        <w:rPr>
          <w:b/>
          <w:lang w:val="en-AU"/>
        </w:rPr>
        <w:t>Table 6.4</w:t>
      </w:r>
      <w:r w:rsidRPr="003408A6">
        <w:rPr>
          <w:lang w:val="en-AU"/>
        </w:rPr>
        <w:t xml:space="preserve">, by sex. Many admissions involved multiple procedures (60% of admissions in females; 43% in males), so the counts in </w:t>
      </w:r>
      <w:r w:rsidR="00881527" w:rsidRPr="003408A6">
        <w:rPr>
          <w:b/>
          <w:lang w:val="en-AU"/>
        </w:rPr>
        <w:t>Table 6.4</w:t>
      </w:r>
      <w:r w:rsidR="00881527" w:rsidRPr="003408A6">
        <w:rPr>
          <w:lang w:val="en-AU"/>
        </w:rPr>
        <w:t xml:space="preserve"> </w:t>
      </w:r>
      <w:r w:rsidRPr="003408A6">
        <w:rPr>
          <w:lang w:val="en-AU"/>
        </w:rPr>
        <w:t>total more than the number of admissions. However</w:t>
      </w:r>
      <w:r w:rsidR="006F707D" w:rsidRPr="003408A6">
        <w:rPr>
          <w:lang w:val="en-AU"/>
        </w:rPr>
        <w:t>,</w:t>
      </w:r>
      <w:r w:rsidRPr="003408A6">
        <w:rPr>
          <w:lang w:val="en-AU"/>
        </w:rPr>
        <w:t xml:space="preserve"> a proportion of admissions did not have any procedures recorded (2,185 in females, 1,358 in males; approximately 9% in both sexes).  </w:t>
      </w:r>
    </w:p>
    <w:p w:rsidR="00FD5559" w:rsidRPr="003408A6" w:rsidRDefault="00881527" w:rsidP="00C2177D">
      <w:pPr>
        <w:pStyle w:val="Tableheading"/>
        <w:rPr>
          <w:lang w:val="en-AU"/>
        </w:rPr>
      </w:pPr>
      <w:bookmarkStart w:id="232" w:name="_Toc396475559"/>
      <w:bookmarkStart w:id="233" w:name="_Toc397000787"/>
      <w:r w:rsidRPr="003408A6">
        <w:rPr>
          <w:lang w:val="en-AU"/>
        </w:rPr>
        <w:t>Table 6.4</w:t>
      </w:r>
      <w:r w:rsidR="006F707D" w:rsidRPr="003408A6">
        <w:rPr>
          <w:lang w:val="en-AU"/>
        </w:rPr>
        <w:t>.</w:t>
      </w:r>
      <w:r w:rsidR="00D861BD" w:rsidRPr="003408A6">
        <w:rPr>
          <w:lang w:val="en-AU"/>
        </w:rPr>
        <w:tab/>
      </w:r>
      <w:r w:rsidRPr="003408A6">
        <w:rPr>
          <w:lang w:val="en-AU"/>
        </w:rPr>
        <w:t>Most common procedures* performed among patients admitted with a diagnosis involving genital warts</w:t>
      </w:r>
      <w:bookmarkEnd w:id="232"/>
      <w:bookmarkEnd w:id="233"/>
    </w:p>
    <w:tbl>
      <w:tblPr>
        <w:tblStyle w:val="TableGrid"/>
        <w:tblW w:w="9180" w:type="dxa"/>
        <w:tblLayout w:type="fixed"/>
        <w:tblLook w:val="04A0" w:firstRow="1" w:lastRow="0" w:firstColumn="1" w:lastColumn="0" w:noHBand="0" w:noVBand="1"/>
        <w:tblCaption w:val="Most common procedures* performed among patients admitted with a diagnosis involving genital warts"/>
      </w:tblPr>
      <w:tblGrid>
        <w:gridCol w:w="3369"/>
        <w:gridCol w:w="992"/>
        <w:gridCol w:w="3685"/>
        <w:gridCol w:w="1134"/>
      </w:tblGrid>
      <w:tr w:rsidR="00FD5559" w:rsidRPr="003408A6" w:rsidTr="00E9659D">
        <w:trPr>
          <w:tblHeader/>
        </w:trPr>
        <w:tc>
          <w:tcPr>
            <w:tcW w:w="3369" w:type="dxa"/>
            <w:tcBorders>
              <w:top w:val="single" w:sz="4" w:space="0" w:color="auto"/>
              <w:left w:val="single" w:sz="4" w:space="0" w:color="auto"/>
              <w:bottom w:val="single" w:sz="4" w:space="0" w:color="auto"/>
              <w:right w:val="nil"/>
            </w:tcBorders>
            <w:shd w:val="clear" w:color="auto" w:fill="auto"/>
          </w:tcPr>
          <w:p w:rsidR="00FD5559" w:rsidRPr="003408A6" w:rsidRDefault="00380920" w:rsidP="006240EB">
            <w:pPr>
              <w:pStyle w:val="Tablecolumnheading"/>
              <w:rPr>
                <w:lang w:val="en-AU"/>
              </w:rPr>
            </w:pPr>
            <w:r w:rsidRPr="003408A6">
              <w:rPr>
                <w:lang w:val="en-AU"/>
              </w:rPr>
              <w:t>Females</w:t>
            </w:r>
          </w:p>
        </w:tc>
        <w:tc>
          <w:tcPr>
            <w:tcW w:w="992" w:type="dxa"/>
            <w:tcBorders>
              <w:top w:val="single" w:sz="4" w:space="0" w:color="auto"/>
              <w:left w:val="nil"/>
              <w:bottom w:val="single" w:sz="4" w:space="0" w:color="auto"/>
              <w:right w:val="single" w:sz="4" w:space="0" w:color="auto"/>
            </w:tcBorders>
            <w:shd w:val="clear" w:color="auto" w:fill="auto"/>
          </w:tcPr>
          <w:p w:rsidR="00FD5559" w:rsidRPr="003408A6" w:rsidRDefault="00FD5559" w:rsidP="006240EB">
            <w:pPr>
              <w:pStyle w:val="Tablecolumnheading"/>
              <w:rPr>
                <w:lang w:val="en-AU"/>
              </w:rPr>
            </w:pPr>
          </w:p>
        </w:tc>
        <w:tc>
          <w:tcPr>
            <w:tcW w:w="3685" w:type="dxa"/>
            <w:tcBorders>
              <w:top w:val="single" w:sz="4" w:space="0" w:color="auto"/>
              <w:left w:val="single" w:sz="4" w:space="0" w:color="auto"/>
              <w:bottom w:val="single" w:sz="4" w:space="0" w:color="auto"/>
              <w:right w:val="nil"/>
            </w:tcBorders>
            <w:shd w:val="clear" w:color="auto" w:fill="auto"/>
          </w:tcPr>
          <w:p w:rsidR="00FD5559" w:rsidRPr="003408A6" w:rsidRDefault="00380920" w:rsidP="006240EB">
            <w:pPr>
              <w:pStyle w:val="Tablecolumnheading"/>
              <w:rPr>
                <w:lang w:val="en-AU"/>
              </w:rPr>
            </w:pPr>
            <w:r w:rsidRPr="003408A6">
              <w:rPr>
                <w:lang w:val="en-AU"/>
              </w:rPr>
              <w:t>Males</w:t>
            </w:r>
          </w:p>
        </w:tc>
        <w:tc>
          <w:tcPr>
            <w:tcW w:w="1134" w:type="dxa"/>
            <w:tcBorders>
              <w:top w:val="single" w:sz="4" w:space="0" w:color="auto"/>
              <w:left w:val="nil"/>
              <w:bottom w:val="single" w:sz="4" w:space="0" w:color="auto"/>
              <w:right w:val="single" w:sz="4" w:space="0" w:color="auto"/>
            </w:tcBorders>
            <w:shd w:val="clear" w:color="auto" w:fill="auto"/>
          </w:tcPr>
          <w:p w:rsidR="00FD5559" w:rsidRPr="003408A6" w:rsidRDefault="00FD5559" w:rsidP="006240EB">
            <w:pPr>
              <w:pStyle w:val="Tablecolumnheading"/>
              <w:rPr>
                <w:lang w:val="en-AU"/>
              </w:rPr>
            </w:pPr>
          </w:p>
        </w:tc>
      </w:tr>
      <w:tr w:rsidR="00380920" w:rsidRPr="003408A6" w:rsidTr="00E9659D">
        <w:tc>
          <w:tcPr>
            <w:tcW w:w="3369"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Procedure</w:t>
            </w:r>
          </w:p>
        </w:tc>
        <w:tc>
          <w:tcPr>
            <w:tcW w:w="992"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Count</w:t>
            </w:r>
          </w:p>
        </w:tc>
        <w:tc>
          <w:tcPr>
            <w:tcW w:w="3685"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Procedure</w:t>
            </w:r>
          </w:p>
        </w:tc>
        <w:tc>
          <w:tcPr>
            <w:tcW w:w="1134" w:type="dxa"/>
            <w:tcBorders>
              <w:top w:val="single" w:sz="4" w:space="0" w:color="auto"/>
            </w:tcBorders>
            <w:shd w:val="clear" w:color="auto" w:fill="auto"/>
          </w:tcPr>
          <w:p w:rsidR="00380920" w:rsidRPr="003408A6" w:rsidRDefault="00380920" w:rsidP="00E501D4">
            <w:pPr>
              <w:pStyle w:val="Tablecolumnheading"/>
              <w:rPr>
                <w:lang w:val="en-AU"/>
              </w:rPr>
            </w:pPr>
            <w:r w:rsidRPr="003408A6">
              <w:rPr>
                <w:lang w:val="en-AU"/>
              </w:rPr>
              <w:t>Count</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Destruction of vulval wart</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5,969</w:t>
            </w:r>
          </w:p>
        </w:tc>
        <w:tc>
          <w:tcPr>
            <w:tcW w:w="3685" w:type="dxa"/>
          </w:tcPr>
          <w:p w:rsidR="00380920" w:rsidRPr="003408A6" w:rsidRDefault="00380920" w:rsidP="006240EB">
            <w:pPr>
              <w:pStyle w:val="Tabletext"/>
              <w:rPr>
                <w:lang w:val="en-AU"/>
              </w:rPr>
            </w:pPr>
            <w:r w:rsidRPr="003408A6">
              <w:rPr>
                <w:lang w:val="en-AU"/>
              </w:rPr>
              <w:t>Removal of anal wart</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1,663</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Cautery/laser destruction/diathermy/ biopsy of cervix/LLETZ</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3,482</w:t>
            </w:r>
          </w:p>
        </w:tc>
        <w:tc>
          <w:tcPr>
            <w:tcW w:w="3685" w:type="dxa"/>
          </w:tcPr>
          <w:p w:rsidR="00380920" w:rsidRPr="003408A6" w:rsidRDefault="00380920" w:rsidP="006240EB">
            <w:pPr>
              <w:pStyle w:val="Tabletext"/>
              <w:rPr>
                <w:lang w:val="en-AU"/>
              </w:rPr>
            </w:pPr>
            <w:r w:rsidRPr="003408A6">
              <w:rPr>
                <w:lang w:val="en-AU"/>
              </w:rPr>
              <w:t>Removal of other wart (incl. plantar, palmar, molluscum contagiosum)</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1,513</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Colposcopy</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3,315</w:t>
            </w:r>
          </w:p>
        </w:tc>
        <w:tc>
          <w:tcPr>
            <w:tcW w:w="3685" w:type="dxa"/>
          </w:tcPr>
          <w:p w:rsidR="00380920" w:rsidRPr="003408A6" w:rsidRDefault="00380920" w:rsidP="006240EB">
            <w:pPr>
              <w:pStyle w:val="Tabletext"/>
              <w:rPr>
                <w:lang w:val="en-AU"/>
              </w:rPr>
            </w:pPr>
            <w:r w:rsidRPr="003408A6">
              <w:rPr>
                <w:lang w:val="en-AU"/>
              </w:rPr>
              <w:t>Other procedures relating to anus or rectum</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1,269</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Destruction of vaginal wart</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2,696</w:t>
            </w:r>
          </w:p>
        </w:tc>
        <w:tc>
          <w:tcPr>
            <w:tcW w:w="3685" w:type="dxa"/>
          </w:tcPr>
          <w:p w:rsidR="00380920" w:rsidRPr="003408A6" w:rsidRDefault="00380920" w:rsidP="006240EB">
            <w:pPr>
              <w:pStyle w:val="Tabletext"/>
              <w:rPr>
                <w:lang w:val="en-AU"/>
              </w:rPr>
            </w:pPr>
            <w:r w:rsidRPr="003408A6">
              <w:rPr>
                <w:lang w:val="en-AU"/>
              </w:rPr>
              <w:t>Colonoscopy/sigmoidoscopy</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1,020</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Dilation &amp; curettage/dilation &amp; evacuation/dilation of cervix/curettage of uterus/suction curettage of the uterus</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2,483</w:t>
            </w:r>
          </w:p>
        </w:tc>
        <w:tc>
          <w:tcPr>
            <w:tcW w:w="3685" w:type="dxa"/>
          </w:tcPr>
          <w:p w:rsidR="00380920" w:rsidRPr="003408A6" w:rsidRDefault="00380920" w:rsidP="006240EB">
            <w:pPr>
              <w:pStyle w:val="Tabletext"/>
              <w:rPr>
                <w:lang w:val="en-AU"/>
              </w:rPr>
            </w:pPr>
            <w:r w:rsidRPr="003408A6">
              <w:rPr>
                <w:lang w:val="en-AU"/>
              </w:rPr>
              <w:t>Other procedures relating to the urethra</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571</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Removal of anal wart</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2,286</w:t>
            </w:r>
          </w:p>
        </w:tc>
        <w:tc>
          <w:tcPr>
            <w:tcW w:w="3685" w:type="dxa"/>
          </w:tcPr>
          <w:p w:rsidR="00380920" w:rsidRPr="003408A6" w:rsidRDefault="00380920" w:rsidP="006240EB">
            <w:pPr>
              <w:pStyle w:val="Tabletext"/>
              <w:rPr>
                <w:lang w:val="en-AU"/>
              </w:rPr>
            </w:pPr>
            <w:r w:rsidRPr="003408A6">
              <w:rPr>
                <w:lang w:val="en-AU"/>
              </w:rPr>
              <w:t>Procedures relating to haemorrhoids</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405</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Laser destruction/excision/biopsy of vulva or vagina</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1,448</w:t>
            </w:r>
          </w:p>
        </w:tc>
        <w:tc>
          <w:tcPr>
            <w:tcW w:w="3685" w:type="dxa"/>
          </w:tcPr>
          <w:p w:rsidR="00380920" w:rsidRPr="003408A6" w:rsidRDefault="00380920" w:rsidP="006240EB">
            <w:pPr>
              <w:pStyle w:val="Tabletext"/>
              <w:rPr>
                <w:lang w:val="en-AU"/>
              </w:rPr>
            </w:pPr>
            <w:r w:rsidRPr="003408A6">
              <w:rPr>
                <w:lang w:val="en-AU"/>
              </w:rPr>
              <w:t>Other procedures relating to the penis</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400</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Procedures relating to childbirth/ delivery/pregnancy</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1,149</w:t>
            </w:r>
          </w:p>
        </w:tc>
        <w:tc>
          <w:tcPr>
            <w:tcW w:w="3685" w:type="dxa"/>
          </w:tcPr>
          <w:p w:rsidR="00380920" w:rsidRPr="003408A6" w:rsidRDefault="00380920" w:rsidP="006240EB">
            <w:pPr>
              <w:pStyle w:val="Tabletext"/>
              <w:rPr>
                <w:lang w:val="en-AU"/>
              </w:rPr>
            </w:pPr>
            <w:r w:rsidRPr="003408A6">
              <w:rPr>
                <w:lang w:val="en-AU"/>
              </w:rPr>
              <w:t>Endoscopic destruction of penile wart</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177</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Diagnostic hysteroscopy</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1,139</w:t>
            </w:r>
          </w:p>
        </w:tc>
        <w:tc>
          <w:tcPr>
            <w:tcW w:w="3685" w:type="dxa"/>
          </w:tcPr>
          <w:p w:rsidR="00380920" w:rsidRPr="003408A6" w:rsidRDefault="00380920" w:rsidP="006240EB">
            <w:pPr>
              <w:pStyle w:val="Tabletext"/>
              <w:rPr>
                <w:lang w:val="en-AU"/>
              </w:rPr>
            </w:pPr>
            <w:r w:rsidRPr="003408A6">
              <w:rPr>
                <w:lang w:val="en-AU"/>
              </w:rPr>
              <w:t>Endoscopic destruction of urethral wart</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150</w:t>
            </w:r>
          </w:p>
        </w:tc>
      </w:tr>
      <w:tr w:rsidR="00380920" w:rsidRPr="003408A6" w:rsidTr="00875C99">
        <w:tc>
          <w:tcPr>
            <w:tcW w:w="3369" w:type="dxa"/>
          </w:tcPr>
          <w:p w:rsidR="00380920" w:rsidRPr="003408A6" w:rsidRDefault="00380920" w:rsidP="006240EB">
            <w:pPr>
              <w:pStyle w:val="Tabletext"/>
              <w:rPr>
                <w:lang w:val="en-AU"/>
              </w:rPr>
            </w:pPr>
            <w:r w:rsidRPr="003408A6">
              <w:rPr>
                <w:lang w:val="en-AU"/>
              </w:rPr>
              <w:t>Removal of other wart</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653</w:t>
            </w:r>
          </w:p>
        </w:tc>
        <w:tc>
          <w:tcPr>
            <w:tcW w:w="3685" w:type="dxa"/>
          </w:tcPr>
          <w:p w:rsidR="00380920" w:rsidRPr="003408A6" w:rsidRDefault="00380920" w:rsidP="006240EB">
            <w:pPr>
              <w:pStyle w:val="Tabletext"/>
              <w:rPr>
                <w:lang w:val="en-AU"/>
              </w:rPr>
            </w:pPr>
            <w:r w:rsidRPr="003408A6">
              <w:rPr>
                <w:lang w:val="en-AU"/>
              </w:rPr>
              <w:t>Procedures relating to circumcision</w:t>
            </w:r>
          </w:p>
        </w:tc>
        <w:tc>
          <w:tcPr>
            <w:tcW w:w="1134" w:type="dxa"/>
            <w:tcMar>
              <w:right w:w="170" w:type="dxa"/>
            </w:tcMar>
            <w:vAlign w:val="center"/>
          </w:tcPr>
          <w:p w:rsidR="00380920" w:rsidRPr="003408A6" w:rsidRDefault="00380920" w:rsidP="00875C99">
            <w:pPr>
              <w:pStyle w:val="Tabletext"/>
              <w:jc w:val="right"/>
              <w:rPr>
                <w:lang w:val="en-AU"/>
              </w:rPr>
            </w:pPr>
            <w:r w:rsidRPr="003408A6">
              <w:rPr>
                <w:lang w:val="en-AU"/>
              </w:rPr>
              <w:t>107</w:t>
            </w:r>
          </w:p>
        </w:tc>
      </w:tr>
      <w:tr w:rsidR="00380920" w:rsidRPr="003408A6" w:rsidTr="00380920">
        <w:tc>
          <w:tcPr>
            <w:tcW w:w="3369" w:type="dxa"/>
          </w:tcPr>
          <w:p w:rsidR="00380920" w:rsidRPr="003408A6" w:rsidRDefault="00380920" w:rsidP="006240EB">
            <w:pPr>
              <w:pStyle w:val="Tabletext"/>
              <w:rPr>
                <w:lang w:val="en-AU"/>
              </w:rPr>
            </w:pPr>
            <w:r w:rsidRPr="003408A6">
              <w:rPr>
                <w:lang w:val="en-AU"/>
              </w:rPr>
              <w:t>Papanicolaou smear study</w:t>
            </w:r>
            <w:r w:rsidRPr="003408A6">
              <w:rPr>
                <w:rFonts w:cstheme="minorHAnsi"/>
                <w:vertAlign w:val="superscript"/>
                <w:lang w:val="en-AU"/>
              </w:rPr>
              <w:t>†</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652</w:t>
            </w:r>
          </w:p>
        </w:tc>
        <w:tc>
          <w:tcPr>
            <w:tcW w:w="3685" w:type="dxa"/>
          </w:tcPr>
          <w:p w:rsidR="00380920" w:rsidRPr="003408A6" w:rsidRDefault="00380920" w:rsidP="00875C99">
            <w:pPr>
              <w:pStyle w:val="Tabletext"/>
              <w:jc w:val="right"/>
              <w:rPr>
                <w:lang w:val="en-AU"/>
              </w:rPr>
            </w:pPr>
          </w:p>
        </w:tc>
        <w:tc>
          <w:tcPr>
            <w:tcW w:w="1134" w:type="dxa"/>
          </w:tcPr>
          <w:p w:rsidR="00380920" w:rsidRPr="003408A6" w:rsidRDefault="00380920" w:rsidP="00875C99">
            <w:pPr>
              <w:pStyle w:val="Tabletext"/>
              <w:jc w:val="right"/>
              <w:rPr>
                <w:lang w:val="en-AU"/>
              </w:rPr>
            </w:pPr>
          </w:p>
        </w:tc>
      </w:tr>
      <w:tr w:rsidR="00380920" w:rsidRPr="003408A6" w:rsidTr="00380920">
        <w:tc>
          <w:tcPr>
            <w:tcW w:w="3369" w:type="dxa"/>
          </w:tcPr>
          <w:p w:rsidR="00380920" w:rsidRPr="003408A6" w:rsidRDefault="00380920" w:rsidP="006240EB">
            <w:pPr>
              <w:pStyle w:val="Tabletext"/>
              <w:rPr>
                <w:lang w:val="en-AU"/>
              </w:rPr>
            </w:pPr>
            <w:r w:rsidRPr="003408A6">
              <w:rPr>
                <w:lang w:val="en-AU"/>
              </w:rPr>
              <w:t>Other procedures relating to anus or rectum</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581</w:t>
            </w:r>
          </w:p>
        </w:tc>
        <w:tc>
          <w:tcPr>
            <w:tcW w:w="3685" w:type="dxa"/>
          </w:tcPr>
          <w:p w:rsidR="00380920" w:rsidRPr="003408A6" w:rsidRDefault="00380920" w:rsidP="00875C99">
            <w:pPr>
              <w:pStyle w:val="Tabletext"/>
              <w:jc w:val="right"/>
              <w:rPr>
                <w:lang w:val="en-AU"/>
              </w:rPr>
            </w:pPr>
          </w:p>
        </w:tc>
        <w:tc>
          <w:tcPr>
            <w:tcW w:w="1134" w:type="dxa"/>
          </w:tcPr>
          <w:p w:rsidR="00380920" w:rsidRPr="003408A6" w:rsidRDefault="00380920" w:rsidP="00875C99">
            <w:pPr>
              <w:pStyle w:val="Tabletext"/>
              <w:jc w:val="right"/>
              <w:rPr>
                <w:lang w:val="en-AU"/>
              </w:rPr>
            </w:pPr>
          </w:p>
        </w:tc>
      </w:tr>
      <w:tr w:rsidR="00380920" w:rsidRPr="003408A6" w:rsidTr="00380920">
        <w:tc>
          <w:tcPr>
            <w:tcW w:w="3369" w:type="dxa"/>
          </w:tcPr>
          <w:p w:rsidR="00380920" w:rsidRPr="003408A6" w:rsidRDefault="00380920" w:rsidP="006240EB">
            <w:pPr>
              <w:pStyle w:val="Tabletext"/>
              <w:rPr>
                <w:lang w:val="en-AU"/>
              </w:rPr>
            </w:pPr>
            <w:r w:rsidRPr="003408A6">
              <w:rPr>
                <w:lang w:val="en-AU"/>
              </w:rPr>
              <w:t>Fertility-related (IUD insertion/removal, subdermal hormone implantation/ removal, oocyte retrieval, sterilisation)</w:t>
            </w:r>
          </w:p>
        </w:tc>
        <w:tc>
          <w:tcPr>
            <w:tcW w:w="992" w:type="dxa"/>
            <w:tcMar>
              <w:left w:w="108" w:type="dxa"/>
              <w:right w:w="170" w:type="dxa"/>
            </w:tcMar>
            <w:vAlign w:val="center"/>
          </w:tcPr>
          <w:p w:rsidR="00380920" w:rsidRPr="003408A6" w:rsidRDefault="00380920" w:rsidP="00875C99">
            <w:pPr>
              <w:pStyle w:val="Tabletext"/>
              <w:jc w:val="right"/>
              <w:rPr>
                <w:lang w:val="en-AU"/>
              </w:rPr>
            </w:pPr>
            <w:r w:rsidRPr="003408A6">
              <w:rPr>
                <w:lang w:val="en-AU"/>
              </w:rPr>
              <w:t>654</w:t>
            </w:r>
          </w:p>
        </w:tc>
        <w:tc>
          <w:tcPr>
            <w:tcW w:w="3685" w:type="dxa"/>
          </w:tcPr>
          <w:p w:rsidR="00380920" w:rsidRPr="003408A6" w:rsidRDefault="00380920" w:rsidP="00875C99">
            <w:pPr>
              <w:pStyle w:val="Tabletext"/>
              <w:jc w:val="right"/>
              <w:rPr>
                <w:lang w:val="en-AU"/>
              </w:rPr>
            </w:pPr>
          </w:p>
        </w:tc>
        <w:tc>
          <w:tcPr>
            <w:tcW w:w="1134" w:type="dxa"/>
          </w:tcPr>
          <w:p w:rsidR="00380920" w:rsidRPr="003408A6" w:rsidRDefault="00380920" w:rsidP="00875C99">
            <w:pPr>
              <w:pStyle w:val="Tabletext"/>
              <w:jc w:val="right"/>
              <w:rPr>
                <w:lang w:val="en-AU"/>
              </w:rPr>
            </w:pPr>
          </w:p>
        </w:tc>
      </w:tr>
    </w:tbl>
    <w:p w:rsidR="006F17CE" w:rsidRPr="003408A6" w:rsidRDefault="006240EB" w:rsidP="006240EB">
      <w:pPr>
        <w:pStyle w:val="Tablefootnote"/>
      </w:pPr>
      <w:r w:rsidRPr="003408A6">
        <w:t>*</w:t>
      </w:r>
      <w:r w:rsidRPr="003408A6">
        <w:tab/>
      </w:r>
      <w:r w:rsidR="00FD5559" w:rsidRPr="003408A6">
        <w:t xml:space="preserve">There were also a very substantial number of procedures relating to anaesthesia, sedation and neuraxial blocks (excluding those performed in labour) </w:t>
      </w:r>
      <w:r w:rsidR="00875C99">
        <w:t>–</w:t>
      </w:r>
      <w:r w:rsidR="00FD5559" w:rsidRPr="003408A6">
        <w:t xml:space="preserve"> 19,702 procedures in females; 12,128 procedures in males. </w:t>
      </w:r>
    </w:p>
    <w:p w:rsidR="00FD5559" w:rsidRPr="003408A6" w:rsidRDefault="00FD5559" w:rsidP="006240EB">
      <w:pPr>
        <w:pStyle w:val="Tablefootnote"/>
      </w:pPr>
      <w:r w:rsidRPr="003408A6">
        <w:rPr>
          <w:rFonts w:cstheme="minorHAnsi"/>
        </w:rPr>
        <w:t>†</w:t>
      </w:r>
      <w:r w:rsidR="006240EB" w:rsidRPr="003408A6">
        <w:tab/>
      </w:r>
      <w:r w:rsidRPr="003408A6">
        <w:t xml:space="preserve">This </w:t>
      </w:r>
      <w:r w:rsidR="006F707D" w:rsidRPr="003408A6">
        <w:t>‘</w:t>
      </w:r>
      <w:r w:rsidRPr="003408A6">
        <w:t>Papanicolaou smear study</w:t>
      </w:r>
      <w:r w:rsidR="006F707D" w:rsidRPr="003408A6">
        <w:t>’</w:t>
      </w:r>
      <w:r w:rsidRPr="003408A6">
        <w:t xml:space="preserve"> procedure did not appear to be related to cervical screening or management procedures; rather it predominantly occurred in the absence of any procedure relating to cervical abnormalities. It most commonly occurred concurrent with procedures for removing warts or procedures relating to dilation and/or curettage/evacuation.</w:t>
      </w:r>
    </w:p>
    <w:p w:rsidR="00FD5559" w:rsidRPr="003408A6" w:rsidRDefault="00FD5559" w:rsidP="00FD5559">
      <w:pPr>
        <w:rPr>
          <w:rFonts w:asciiTheme="majorHAnsi" w:eastAsiaTheme="majorEastAsia" w:hAnsiTheme="majorHAnsi" w:cstheme="majorBidi"/>
          <w:b/>
          <w:bCs/>
          <w:color w:val="4F81BD" w:themeColor="accent1"/>
          <w:sz w:val="26"/>
          <w:szCs w:val="26"/>
        </w:rPr>
      </w:pPr>
      <w:r w:rsidRPr="003408A6">
        <w:br w:type="page"/>
      </w:r>
    </w:p>
    <w:p w:rsidR="00FD5559" w:rsidRPr="003408A6" w:rsidRDefault="00FD5559" w:rsidP="00DA10AE">
      <w:pPr>
        <w:pStyle w:val="Heading3"/>
      </w:pPr>
      <w:bookmarkStart w:id="234" w:name="_Toc372811172"/>
      <w:r w:rsidRPr="003408A6">
        <w:t>Age-related trends in admissions</w:t>
      </w:r>
      <w:bookmarkEnd w:id="234"/>
    </w:p>
    <w:p w:rsidR="00FD5559" w:rsidRPr="003408A6" w:rsidRDefault="00FD5559" w:rsidP="006240EB">
      <w:pPr>
        <w:pStyle w:val="BodyText"/>
        <w:rPr>
          <w:lang w:val="en-AU"/>
        </w:rPr>
      </w:pPr>
      <w:r w:rsidRPr="003408A6">
        <w:rPr>
          <w:lang w:val="en-AU"/>
        </w:rPr>
        <w:t xml:space="preserve">Trends in admissions for genital warts by age are shown below for females </w:t>
      </w:r>
      <w:r w:rsidR="00881527" w:rsidRPr="003408A6">
        <w:rPr>
          <w:lang w:val="en-AU"/>
        </w:rPr>
        <w:t>(</w:t>
      </w:r>
      <w:r w:rsidR="00881527" w:rsidRPr="003408A6">
        <w:rPr>
          <w:b/>
          <w:lang w:val="en-AU"/>
        </w:rPr>
        <w:t>Figure 6.3</w:t>
      </w:r>
      <w:r w:rsidR="00881527" w:rsidRPr="003408A6">
        <w:rPr>
          <w:lang w:val="en-AU"/>
        </w:rPr>
        <w:t xml:space="preserve">) </w:t>
      </w:r>
      <w:r w:rsidRPr="003408A6">
        <w:rPr>
          <w:lang w:val="en-AU"/>
        </w:rPr>
        <w:t>and males (</w:t>
      </w:r>
      <w:r w:rsidR="00881527" w:rsidRPr="003408A6">
        <w:rPr>
          <w:b/>
          <w:lang w:val="en-AU"/>
        </w:rPr>
        <w:t>Figure 6.4</w:t>
      </w:r>
      <w:r w:rsidRPr="003408A6">
        <w:rPr>
          <w:lang w:val="en-AU"/>
        </w:rPr>
        <w:t xml:space="preserve">). Reductions in admission rates were observed after the implementation of the National HPV Vaccination Program in 2007 in younger females (all age groups </w:t>
      </w:r>
      <w:r w:rsidR="006F707D" w:rsidRPr="003408A6">
        <w:rPr>
          <w:lang w:val="en-AU"/>
        </w:rPr>
        <w:t>≤</w:t>
      </w:r>
      <w:r w:rsidRPr="003408A6">
        <w:rPr>
          <w:lang w:val="en-AU"/>
        </w:rPr>
        <w:t>30 years) and also in males aged 18</w:t>
      </w:r>
      <w:r w:rsidR="006F707D" w:rsidRPr="003408A6">
        <w:rPr>
          <w:lang w:val="en-AU"/>
        </w:rPr>
        <w:t>–</w:t>
      </w:r>
      <w:r w:rsidRPr="003408A6">
        <w:rPr>
          <w:lang w:val="en-AU"/>
        </w:rPr>
        <w:t xml:space="preserve">26 years.  </w:t>
      </w:r>
    </w:p>
    <w:p w:rsidR="00FD5559" w:rsidRPr="003408A6" w:rsidRDefault="00FD5559" w:rsidP="006240EB">
      <w:pPr>
        <w:pStyle w:val="BodyText"/>
        <w:rPr>
          <w:lang w:val="en-AU"/>
        </w:rPr>
      </w:pPr>
      <w:r w:rsidRPr="003408A6">
        <w:rPr>
          <w:lang w:val="en-AU"/>
        </w:rPr>
        <w:t>In females, the overall reductions in 2010/2011, relative to 2006/2007</w:t>
      </w:r>
      <w:r w:rsidR="006F707D" w:rsidRPr="003408A6">
        <w:rPr>
          <w:lang w:val="en-AU"/>
        </w:rPr>
        <w:t>,</w:t>
      </w:r>
      <w:r w:rsidRPr="003408A6">
        <w:rPr>
          <w:lang w:val="en-AU"/>
        </w:rPr>
        <w:t xml:space="preserve"> were 89.9% (95% CI: 84.6</w:t>
      </w:r>
      <w:r w:rsidR="006F707D" w:rsidRPr="003408A6">
        <w:rPr>
          <w:lang w:val="en-AU"/>
        </w:rPr>
        <w:t>–</w:t>
      </w:r>
      <w:r w:rsidRPr="003408A6">
        <w:rPr>
          <w:lang w:val="en-AU"/>
        </w:rPr>
        <w:t>93.4%) for females aged 12</w:t>
      </w:r>
      <w:r w:rsidR="006F707D" w:rsidRPr="003408A6">
        <w:rPr>
          <w:lang w:val="en-AU"/>
        </w:rPr>
        <w:t>–</w:t>
      </w:r>
      <w:r w:rsidRPr="003408A6">
        <w:rPr>
          <w:lang w:val="en-AU"/>
        </w:rPr>
        <w:t>17 years, 72.7% (95% CI: 67.0</w:t>
      </w:r>
      <w:r w:rsidR="006F707D" w:rsidRPr="003408A6">
        <w:rPr>
          <w:lang w:val="en-AU"/>
        </w:rPr>
        <w:t>–</w:t>
      </w:r>
      <w:r w:rsidRPr="003408A6">
        <w:rPr>
          <w:lang w:val="en-AU"/>
        </w:rPr>
        <w:t>77.5%) for females aged 18</w:t>
      </w:r>
      <w:r w:rsidR="006F707D" w:rsidRPr="003408A6">
        <w:rPr>
          <w:lang w:val="en-AU"/>
        </w:rPr>
        <w:t>–</w:t>
      </w:r>
      <w:r w:rsidRPr="003408A6">
        <w:rPr>
          <w:lang w:val="en-AU"/>
        </w:rPr>
        <w:t>26 years and 42.1% (95% CI: 26.1</w:t>
      </w:r>
      <w:r w:rsidR="006F707D" w:rsidRPr="003408A6">
        <w:rPr>
          <w:lang w:val="en-AU"/>
        </w:rPr>
        <w:t>–</w:t>
      </w:r>
      <w:r w:rsidRPr="003408A6">
        <w:rPr>
          <w:lang w:val="en-AU"/>
        </w:rPr>
        <w:t>54.6%) for females aged 27</w:t>
      </w:r>
      <w:r w:rsidR="006F707D" w:rsidRPr="003408A6">
        <w:rPr>
          <w:lang w:val="en-AU"/>
        </w:rPr>
        <w:t>–</w:t>
      </w:r>
      <w:r w:rsidRPr="003408A6">
        <w:rPr>
          <w:lang w:val="en-AU"/>
        </w:rPr>
        <w:t>30 years. Similar results were obtained for the rate ratios that compared</w:t>
      </w:r>
      <w:r w:rsidR="006F707D" w:rsidRPr="003408A6">
        <w:rPr>
          <w:lang w:val="en-AU"/>
        </w:rPr>
        <w:t xml:space="preserve"> the period</w:t>
      </w:r>
      <w:r w:rsidRPr="003408A6">
        <w:rPr>
          <w:lang w:val="en-AU"/>
        </w:rPr>
        <w:t xml:space="preserve"> July 2010</w:t>
      </w:r>
      <w:r w:rsidR="006F707D" w:rsidRPr="003408A6">
        <w:rPr>
          <w:lang w:val="en-AU"/>
        </w:rPr>
        <w:t xml:space="preserve"> to </w:t>
      </w:r>
      <w:r w:rsidRPr="003408A6">
        <w:rPr>
          <w:lang w:val="en-AU"/>
        </w:rPr>
        <w:t xml:space="preserve">June 2011 with the </w:t>
      </w:r>
      <w:r w:rsidR="00006FDF" w:rsidRPr="003408A6">
        <w:rPr>
          <w:lang w:val="en-AU"/>
        </w:rPr>
        <w:t>3</w:t>
      </w:r>
      <w:r w:rsidRPr="003408A6">
        <w:rPr>
          <w:lang w:val="en-AU"/>
        </w:rPr>
        <w:t>-year pre-</w:t>
      </w:r>
      <w:r w:rsidR="00875C99" w:rsidRPr="003408A6">
        <w:rPr>
          <w:lang w:val="en-AU"/>
        </w:rPr>
        <w:t>vaccin</w:t>
      </w:r>
      <w:r w:rsidR="00875C99">
        <w:rPr>
          <w:lang w:val="en-AU"/>
        </w:rPr>
        <w:t>e</w:t>
      </w:r>
      <w:r w:rsidR="00875C99" w:rsidRPr="003408A6">
        <w:rPr>
          <w:lang w:val="en-AU"/>
        </w:rPr>
        <w:t xml:space="preserve"> </w:t>
      </w:r>
      <w:r w:rsidRPr="003408A6">
        <w:rPr>
          <w:lang w:val="en-AU"/>
        </w:rPr>
        <w:t xml:space="preserve">period (July 2004 </w:t>
      </w:r>
      <w:r w:rsidR="006F707D" w:rsidRPr="003408A6">
        <w:rPr>
          <w:lang w:val="en-AU"/>
        </w:rPr>
        <w:t>to</w:t>
      </w:r>
      <w:r w:rsidRPr="003408A6">
        <w:rPr>
          <w:lang w:val="en-AU"/>
        </w:rPr>
        <w:t xml:space="preserve"> June 2007; </w:t>
      </w:r>
      <w:r w:rsidR="00881527" w:rsidRPr="003408A6">
        <w:rPr>
          <w:b/>
          <w:lang w:val="en-AU"/>
        </w:rPr>
        <w:t>Table 6.5</w:t>
      </w:r>
      <w:r w:rsidR="00881527" w:rsidRPr="003408A6">
        <w:rPr>
          <w:lang w:val="en-AU"/>
        </w:rPr>
        <w:t xml:space="preserve">). </w:t>
      </w:r>
      <w:r w:rsidRPr="003408A6">
        <w:rPr>
          <w:lang w:val="en-AU"/>
        </w:rPr>
        <w:t>The rate ratios comparing each successive post-</w:t>
      </w:r>
      <w:r w:rsidR="00875C99" w:rsidRPr="003408A6">
        <w:rPr>
          <w:lang w:val="en-AU"/>
        </w:rPr>
        <w:t>vaccin</w:t>
      </w:r>
      <w:r w:rsidR="00875C99">
        <w:rPr>
          <w:lang w:val="en-AU"/>
        </w:rPr>
        <w:t>e</w:t>
      </w:r>
      <w:r w:rsidR="00875C99" w:rsidRPr="003408A6">
        <w:rPr>
          <w:lang w:val="en-AU"/>
        </w:rPr>
        <w:t xml:space="preserve"> </w:t>
      </w:r>
      <w:r w:rsidRPr="003408A6">
        <w:rPr>
          <w:lang w:val="en-AU"/>
        </w:rPr>
        <w:t>year with the pre-</w:t>
      </w:r>
      <w:r w:rsidR="00875C99" w:rsidRPr="003408A6">
        <w:rPr>
          <w:lang w:val="en-AU"/>
        </w:rPr>
        <w:t>vaccin</w:t>
      </w:r>
      <w:r w:rsidR="00875C99">
        <w:rPr>
          <w:lang w:val="en-AU"/>
        </w:rPr>
        <w:t>e</w:t>
      </w:r>
      <w:r w:rsidR="00875C99" w:rsidRPr="003408A6">
        <w:rPr>
          <w:lang w:val="en-AU"/>
        </w:rPr>
        <w:t xml:space="preserve"> </w:t>
      </w:r>
      <w:r w:rsidRPr="003408A6">
        <w:rPr>
          <w:lang w:val="en-AU"/>
        </w:rPr>
        <w:t xml:space="preserve">average also became progressively smaller in each of these groups </w:t>
      </w:r>
      <w:r w:rsidR="00881527" w:rsidRPr="003408A6">
        <w:rPr>
          <w:lang w:val="en-AU"/>
        </w:rPr>
        <w:t>(</w:t>
      </w:r>
      <w:r w:rsidR="00881527" w:rsidRPr="003408A6">
        <w:rPr>
          <w:b/>
          <w:lang w:val="en-AU"/>
        </w:rPr>
        <w:t>Table 6.5</w:t>
      </w:r>
      <w:r w:rsidRPr="003408A6">
        <w:rPr>
          <w:lang w:val="en-AU"/>
        </w:rPr>
        <w:t>). This is consistent with a progressive increase in the proportion of these groups being vaccinated over time, as more cohorts offered vaccination enter these age groups and as cohorts vaccinated at school (where uptake was higher and prior exposure less likely) age over time</w:t>
      </w:r>
      <w:r w:rsidR="00CF2101" w:rsidRPr="003408A6">
        <w:rPr>
          <w:lang w:val="en-AU"/>
        </w:rPr>
        <w:t xml:space="preserve"> into older age groups (</w:t>
      </w:r>
      <w:r w:rsidR="00EF3AA0" w:rsidRPr="003408A6">
        <w:rPr>
          <w:b/>
          <w:lang w:val="en-AU"/>
        </w:rPr>
        <w:t>Appendix</w:t>
      </w:r>
      <w:r w:rsidR="002C4496" w:rsidRPr="003408A6">
        <w:rPr>
          <w:b/>
          <w:lang w:val="en-AU"/>
        </w:rPr>
        <w:t xml:space="preserve"> 6.</w:t>
      </w:r>
      <w:r w:rsidR="00653668">
        <w:rPr>
          <w:b/>
          <w:lang w:val="en-AU"/>
        </w:rPr>
        <w:t>3</w:t>
      </w:r>
      <w:r w:rsidRPr="003408A6">
        <w:rPr>
          <w:lang w:val="en-AU"/>
        </w:rPr>
        <w:t xml:space="preserve">). Based on the </w:t>
      </w:r>
      <w:r w:rsidR="00875C99">
        <w:rPr>
          <w:lang w:val="en-AU"/>
        </w:rPr>
        <w:t>J</w:t>
      </w:r>
      <w:r w:rsidRPr="003408A6">
        <w:rPr>
          <w:lang w:val="en-AU"/>
        </w:rPr>
        <w:t>oin</w:t>
      </w:r>
      <w:r w:rsidR="00D603F4">
        <w:rPr>
          <w:lang w:val="en-AU"/>
        </w:rPr>
        <w:t>t</w:t>
      </w:r>
      <w:r w:rsidRPr="003408A6">
        <w:rPr>
          <w:lang w:val="en-AU"/>
        </w:rPr>
        <w:t>point analysis, the annual percentage change (APC) in the rate of admissions was significant for females aged 12</w:t>
      </w:r>
      <w:r w:rsidR="006F707D" w:rsidRPr="003408A6">
        <w:rPr>
          <w:lang w:val="en-AU"/>
        </w:rPr>
        <w:t>–</w:t>
      </w:r>
      <w:r w:rsidRPr="003408A6">
        <w:rPr>
          <w:lang w:val="en-AU"/>
        </w:rPr>
        <w:t>17 years from mid-2007 (APC 44.1% decline; 95% CI: 35.4</w:t>
      </w:r>
      <w:r w:rsidR="006F707D" w:rsidRPr="003408A6">
        <w:rPr>
          <w:lang w:val="en-AU"/>
        </w:rPr>
        <w:t>–</w:t>
      </w:r>
      <w:r w:rsidRPr="003408A6">
        <w:rPr>
          <w:lang w:val="en-AU"/>
        </w:rPr>
        <w:t>51.6%) and for females aged 18</w:t>
      </w:r>
      <w:r w:rsidR="006F707D" w:rsidRPr="003408A6">
        <w:rPr>
          <w:lang w:val="en-AU"/>
        </w:rPr>
        <w:t>–</w:t>
      </w:r>
      <w:r w:rsidRPr="003408A6">
        <w:rPr>
          <w:lang w:val="en-AU"/>
        </w:rPr>
        <w:t>26 years from mid-2008 (APC 31.8% decline, 95% CI: 28.4</w:t>
      </w:r>
      <w:r w:rsidR="006F707D" w:rsidRPr="003408A6">
        <w:rPr>
          <w:lang w:val="en-AU"/>
        </w:rPr>
        <w:t>–</w:t>
      </w:r>
      <w:r w:rsidRPr="003408A6">
        <w:rPr>
          <w:lang w:val="en-AU"/>
        </w:rPr>
        <w:t>35.2</w:t>
      </w:r>
      <w:r w:rsidR="00875C99">
        <w:rPr>
          <w:lang w:val="en-AU"/>
        </w:rPr>
        <w:t>%</w:t>
      </w:r>
      <w:r w:rsidRPr="003408A6">
        <w:rPr>
          <w:lang w:val="en-AU"/>
        </w:rPr>
        <w:t>). However</w:t>
      </w:r>
      <w:r w:rsidR="00875C99">
        <w:rPr>
          <w:lang w:val="en-AU"/>
        </w:rPr>
        <w:t>,</w:t>
      </w:r>
      <w:r w:rsidRPr="003408A6">
        <w:rPr>
          <w:lang w:val="en-AU"/>
        </w:rPr>
        <w:t xml:space="preserve"> the reduction in </w:t>
      </w:r>
      <w:r w:rsidR="00875C99">
        <w:rPr>
          <w:lang w:val="en-AU"/>
        </w:rPr>
        <w:t xml:space="preserve">admissions in </w:t>
      </w:r>
      <w:r w:rsidR="004E397F" w:rsidRPr="003408A6">
        <w:rPr>
          <w:lang w:val="en-AU"/>
        </w:rPr>
        <w:t xml:space="preserve">females </w:t>
      </w:r>
      <w:r w:rsidRPr="003408A6">
        <w:rPr>
          <w:lang w:val="en-AU"/>
        </w:rPr>
        <w:t>aged 27</w:t>
      </w:r>
      <w:r w:rsidR="006F707D" w:rsidRPr="003408A6">
        <w:rPr>
          <w:lang w:val="en-AU"/>
        </w:rPr>
        <w:t>–</w:t>
      </w:r>
      <w:r w:rsidRPr="003408A6">
        <w:rPr>
          <w:lang w:val="en-AU"/>
        </w:rPr>
        <w:t xml:space="preserve">30 years appeared to be a continuation of a decline which pre-dated the vaccination program.  </w:t>
      </w:r>
    </w:p>
    <w:p w:rsidR="00FD5559" w:rsidRPr="003408A6" w:rsidRDefault="00FD5559" w:rsidP="006240EB">
      <w:pPr>
        <w:pStyle w:val="BodyText"/>
        <w:rPr>
          <w:lang w:val="en-AU"/>
        </w:rPr>
      </w:pPr>
      <w:r w:rsidRPr="003408A6">
        <w:rPr>
          <w:lang w:val="en-AU"/>
        </w:rPr>
        <w:t>In males, the overall reduction in 2010/2011, relative to 2006/2007</w:t>
      </w:r>
      <w:r w:rsidR="00875C99">
        <w:rPr>
          <w:lang w:val="en-AU"/>
        </w:rPr>
        <w:t>,</w:t>
      </w:r>
      <w:r w:rsidRPr="003408A6">
        <w:rPr>
          <w:lang w:val="en-AU"/>
        </w:rPr>
        <w:t xml:space="preserve"> was 38.3% (95% CI: 27.7</w:t>
      </w:r>
      <w:r w:rsidR="006F707D" w:rsidRPr="003408A6">
        <w:rPr>
          <w:lang w:val="en-AU"/>
        </w:rPr>
        <w:t>–</w:t>
      </w:r>
      <w:r w:rsidRPr="003408A6">
        <w:rPr>
          <w:lang w:val="en-AU"/>
        </w:rPr>
        <w:t>47.2%) for males aged 18</w:t>
      </w:r>
      <w:r w:rsidR="006F707D" w:rsidRPr="003408A6">
        <w:rPr>
          <w:lang w:val="en-AU"/>
        </w:rPr>
        <w:t>–</w:t>
      </w:r>
      <w:r w:rsidRPr="003408A6">
        <w:rPr>
          <w:lang w:val="en-AU"/>
        </w:rPr>
        <w:t xml:space="preserve">26 years. Similar results were obtained for the rate ratios that compared </w:t>
      </w:r>
      <w:r w:rsidR="006F707D" w:rsidRPr="003408A6">
        <w:rPr>
          <w:lang w:val="en-AU"/>
        </w:rPr>
        <w:t xml:space="preserve">the period </w:t>
      </w:r>
      <w:r w:rsidRPr="003408A6">
        <w:rPr>
          <w:lang w:val="en-AU"/>
        </w:rPr>
        <w:t>July 2010</w:t>
      </w:r>
      <w:r w:rsidR="006F707D" w:rsidRPr="003408A6">
        <w:rPr>
          <w:lang w:val="en-AU"/>
        </w:rPr>
        <w:t xml:space="preserve"> to </w:t>
      </w:r>
      <w:r w:rsidRPr="003408A6">
        <w:rPr>
          <w:lang w:val="en-AU"/>
        </w:rPr>
        <w:t xml:space="preserve">June 2011 with the </w:t>
      </w:r>
      <w:r w:rsidR="00006FDF" w:rsidRPr="003408A6">
        <w:rPr>
          <w:lang w:val="en-AU"/>
        </w:rPr>
        <w:t>3</w:t>
      </w:r>
      <w:r w:rsidRPr="003408A6">
        <w:rPr>
          <w:lang w:val="en-AU"/>
        </w:rPr>
        <w:t xml:space="preserve">-year pre-vaccination period (July 2004 </w:t>
      </w:r>
      <w:r w:rsidR="006F707D" w:rsidRPr="003408A6">
        <w:rPr>
          <w:lang w:val="en-AU"/>
        </w:rPr>
        <w:t>to</w:t>
      </w:r>
      <w:r w:rsidRPr="003408A6">
        <w:rPr>
          <w:lang w:val="en-AU"/>
        </w:rPr>
        <w:t xml:space="preserve"> June 2007;</w:t>
      </w:r>
      <w:r w:rsidR="00A06ADA" w:rsidRPr="003408A6">
        <w:rPr>
          <w:b/>
          <w:lang w:val="en-AU"/>
        </w:rPr>
        <w:t>Table 6.5</w:t>
      </w:r>
      <w:r w:rsidR="006F707D" w:rsidRPr="003408A6">
        <w:rPr>
          <w:lang w:val="en-AU"/>
        </w:rPr>
        <w:t>)</w:t>
      </w:r>
      <w:r w:rsidRPr="003408A6">
        <w:rPr>
          <w:lang w:val="en-AU"/>
        </w:rPr>
        <w:t xml:space="preserve">, although in this analysis there was also an observed reduction in </w:t>
      </w:r>
      <w:r w:rsidR="00875C99">
        <w:rPr>
          <w:lang w:val="en-AU"/>
        </w:rPr>
        <w:t xml:space="preserve">admission rates in </w:t>
      </w:r>
      <w:r w:rsidRPr="003408A6">
        <w:rPr>
          <w:lang w:val="en-AU"/>
        </w:rPr>
        <w:t>males aged 27</w:t>
      </w:r>
      <w:r w:rsidR="006F707D" w:rsidRPr="003408A6">
        <w:rPr>
          <w:lang w:val="en-AU"/>
        </w:rPr>
        <w:t>–</w:t>
      </w:r>
      <w:r w:rsidRPr="003408A6">
        <w:rPr>
          <w:lang w:val="en-AU"/>
        </w:rPr>
        <w:t>30 years (RR=0.76; 95% CI: 0.63</w:t>
      </w:r>
      <w:r w:rsidR="006F707D" w:rsidRPr="003408A6">
        <w:rPr>
          <w:lang w:val="en-AU"/>
        </w:rPr>
        <w:t>–</w:t>
      </w:r>
      <w:r w:rsidRPr="003408A6">
        <w:rPr>
          <w:lang w:val="en-AU"/>
        </w:rPr>
        <w:t>0.93). The APC in the rate of admissions was significant for males aged 18</w:t>
      </w:r>
      <w:r w:rsidR="006F707D" w:rsidRPr="003408A6">
        <w:rPr>
          <w:lang w:val="en-AU"/>
        </w:rPr>
        <w:t>–</w:t>
      </w:r>
      <w:r w:rsidRPr="003408A6">
        <w:rPr>
          <w:lang w:val="en-AU"/>
        </w:rPr>
        <w:t>26 years from mid-2008 (APC 14.0% decline</w:t>
      </w:r>
      <w:r w:rsidR="00875C99">
        <w:rPr>
          <w:lang w:val="en-AU"/>
        </w:rPr>
        <w:t>;</w:t>
      </w:r>
      <w:r w:rsidRPr="003408A6">
        <w:rPr>
          <w:lang w:val="en-AU"/>
        </w:rPr>
        <w:t xml:space="preserve"> 95% CI: 5.1</w:t>
      </w:r>
      <w:r w:rsidR="006F707D" w:rsidRPr="003408A6">
        <w:rPr>
          <w:lang w:val="en-AU"/>
        </w:rPr>
        <w:t>–</w:t>
      </w:r>
      <w:r w:rsidRPr="003408A6">
        <w:rPr>
          <w:lang w:val="en-AU"/>
        </w:rPr>
        <w:t xml:space="preserve">22.1%) but not for any other age group. The post-vaccine decline </w:t>
      </w:r>
      <w:r w:rsidR="0063676E" w:rsidRPr="003408A6">
        <w:rPr>
          <w:lang w:val="en-AU"/>
        </w:rPr>
        <w:t xml:space="preserve">in the rate ratio observed </w:t>
      </w:r>
      <w:r w:rsidRPr="003408A6">
        <w:rPr>
          <w:lang w:val="en-AU"/>
        </w:rPr>
        <w:t>in males aged 27</w:t>
      </w:r>
      <w:r w:rsidR="006F707D" w:rsidRPr="003408A6">
        <w:rPr>
          <w:lang w:val="en-AU"/>
        </w:rPr>
        <w:t>–</w:t>
      </w:r>
      <w:r w:rsidRPr="003408A6">
        <w:rPr>
          <w:lang w:val="en-AU"/>
        </w:rPr>
        <w:t>30 years appeared to be a continuation of a pre-existing downward trend.</w:t>
      </w:r>
    </w:p>
    <w:p w:rsidR="00F77A1B" w:rsidRPr="003408A6" w:rsidRDefault="00F77A1B" w:rsidP="006240EB">
      <w:pPr>
        <w:pStyle w:val="BodyText"/>
        <w:rPr>
          <w:lang w:val="en-AU"/>
        </w:rPr>
      </w:pPr>
      <w:r w:rsidRPr="003408A6">
        <w:rPr>
          <w:lang w:val="en-AU"/>
        </w:rPr>
        <w:br w:type="page"/>
      </w:r>
    </w:p>
    <w:p w:rsidR="00F77A1B" w:rsidRPr="003408A6" w:rsidRDefault="005B7912" w:rsidP="00C2177D">
      <w:pPr>
        <w:pStyle w:val="Figureheading"/>
      </w:pPr>
      <w:bookmarkStart w:id="235" w:name="_Toc396475589"/>
      <w:bookmarkStart w:id="236" w:name="_Toc397000817"/>
      <w:r w:rsidRPr="003408A6">
        <w:t>Figure 6.3</w:t>
      </w:r>
      <w:r w:rsidR="00EF3AA0" w:rsidRPr="003408A6">
        <w:t>.</w:t>
      </w:r>
      <w:r w:rsidR="002B7A0C" w:rsidRPr="003408A6">
        <w:tab/>
      </w:r>
      <w:r w:rsidRPr="003408A6">
        <w:t>Age-specific rates of admissions involving genital warts in females</w:t>
      </w:r>
      <w:r w:rsidR="003554CF">
        <w:t>,</w:t>
      </w:r>
      <w:r w:rsidRPr="003408A6">
        <w:t xml:space="preserve"> per 100,000 population</w:t>
      </w:r>
      <w:r w:rsidR="003554CF">
        <w:t>,</w:t>
      </w:r>
      <w:r w:rsidRPr="003408A6">
        <w:t xml:space="preserve"> July 1999 </w:t>
      </w:r>
      <w:r w:rsidR="00DF53E0" w:rsidRPr="003408A6">
        <w:t>to</w:t>
      </w:r>
      <w:r w:rsidRPr="003408A6">
        <w:t xml:space="preserve"> June 2011</w:t>
      </w:r>
      <w:bookmarkEnd w:id="235"/>
      <w:bookmarkEnd w:id="236"/>
    </w:p>
    <w:p w:rsidR="00FD5559" w:rsidRPr="003408A6" w:rsidRDefault="00EC0B61" w:rsidP="00F77A1B">
      <w:pPr>
        <w:spacing w:line="360" w:lineRule="auto"/>
        <w:rPr>
          <w:rStyle w:val="BodyTextChar"/>
          <w:lang w:val="en-AU"/>
        </w:rPr>
      </w:pPr>
      <w:r w:rsidRPr="003408A6">
        <w:rPr>
          <w:noProof/>
        </w:rPr>
        <w:drawing>
          <wp:inline distT="0" distB="0" distL="0" distR="0" wp14:anchorId="061CA611" wp14:editId="141B802B">
            <wp:extent cx="4465674" cy="3193230"/>
            <wp:effectExtent l="0" t="0" r="0" b="7620"/>
            <wp:docPr id="8" name="Picture 8" title="Age-specific rates of admissions involving genital warts in females, per 100,000 population, July 1999 to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6238" cy="3193633"/>
                    </a:xfrm>
                    <a:prstGeom prst="rect">
                      <a:avLst/>
                    </a:prstGeom>
                    <a:noFill/>
                  </pic:spPr>
                </pic:pic>
              </a:graphicData>
            </a:graphic>
          </wp:inline>
        </w:drawing>
      </w:r>
    </w:p>
    <w:p w:rsidR="00FD5559" w:rsidRPr="003408A6" w:rsidRDefault="00FD5559" w:rsidP="006240EB">
      <w:pPr>
        <w:pStyle w:val="Tablefootnote"/>
      </w:pPr>
      <w:r w:rsidRPr="003408A6">
        <w:t>Line indicates commencement of National HPV Vaccination Program</w:t>
      </w:r>
    </w:p>
    <w:p w:rsidR="00C25DA1" w:rsidRPr="003408A6" w:rsidRDefault="00C25DA1" w:rsidP="006240EB">
      <w:pPr>
        <w:pStyle w:val="BodyText"/>
        <w:rPr>
          <w:lang w:val="en-AU"/>
        </w:rPr>
      </w:pPr>
    </w:p>
    <w:p w:rsidR="00F77A1B" w:rsidRPr="003408A6" w:rsidRDefault="00C25DA1" w:rsidP="00F77A1B">
      <w:pPr>
        <w:pStyle w:val="Figureheading"/>
      </w:pPr>
      <w:bookmarkStart w:id="237" w:name="_Toc396475590"/>
      <w:bookmarkStart w:id="238" w:name="_Toc397000818"/>
      <w:r w:rsidRPr="003408A6">
        <w:t>Figure 6.4</w:t>
      </w:r>
      <w:r w:rsidR="00EF3AA0" w:rsidRPr="003408A6">
        <w:t>.</w:t>
      </w:r>
      <w:r w:rsidR="002B7A0C" w:rsidRPr="003408A6">
        <w:tab/>
      </w:r>
      <w:r w:rsidRPr="003408A6">
        <w:t>Age-specific rates of admissions involving genital warts in males</w:t>
      </w:r>
      <w:r w:rsidR="00510685">
        <w:t>,</w:t>
      </w:r>
      <w:r w:rsidRPr="003408A6">
        <w:t xml:space="preserve"> per 100,000 population</w:t>
      </w:r>
      <w:r w:rsidR="00510685">
        <w:t>,</w:t>
      </w:r>
      <w:r w:rsidRPr="003408A6">
        <w:t xml:space="preserve"> July 1999 </w:t>
      </w:r>
      <w:r w:rsidR="00DF53E0" w:rsidRPr="003408A6">
        <w:t>to</w:t>
      </w:r>
      <w:r w:rsidRPr="003408A6">
        <w:t xml:space="preserve"> June 2011</w:t>
      </w:r>
      <w:bookmarkEnd w:id="237"/>
      <w:bookmarkEnd w:id="238"/>
    </w:p>
    <w:p w:rsidR="00FD5559" w:rsidRPr="003408A6" w:rsidRDefault="00EC0B61" w:rsidP="00F77A1B">
      <w:pPr>
        <w:spacing w:line="360" w:lineRule="auto"/>
      </w:pPr>
      <w:r w:rsidRPr="003408A6">
        <w:rPr>
          <w:noProof/>
        </w:rPr>
        <w:drawing>
          <wp:inline distT="0" distB="0" distL="0" distR="0" wp14:anchorId="7E10A89D" wp14:editId="60219BAD">
            <wp:extent cx="4582633" cy="3593830"/>
            <wp:effectExtent l="0" t="0" r="8890" b="6985"/>
            <wp:docPr id="9" name="Picture 9" title="Age-specific rates of admissions involving genital warts in males, per 100,000 population, July 1999 to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2605" cy="3593808"/>
                    </a:xfrm>
                    <a:prstGeom prst="rect">
                      <a:avLst/>
                    </a:prstGeom>
                    <a:noFill/>
                  </pic:spPr>
                </pic:pic>
              </a:graphicData>
            </a:graphic>
          </wp:inline>
        </w:drawing>
      </w:r>
    </w:p>
    <w:p w:rsidR="00FD5559" w:rsidRPr="003408A6" w:rsidRDefault="00FD5559" w:rsidP="006240EB">
      <w:pPr>
        <w:pStyle w:val="Tablefootnote"/>
      </w:pPr>
      <w:r w:rsidRPr="003408A6">
        <w:t>Line indicates commencement of National HPV Vaccination Program</w:t>
      </w:r>
    </w:p>
    <w:p w:rsidR="00FD5559" w:rsidRPr="003408A6" w:rsidRDefault="00FD5559" w:rsidP="00FD5559">
      <w:pPr>
        <w:rPr>
          <w:sz w:val="20"/>
        </w:rPr>
        <w:sectPr w:rsidR="00FD5559" w:rsidRPr="003408A6" w:rsidSect="00D07C02">
          <w:headerReference w:type="even" r:id="rId51"/>
          <w:headerReference w:type="default" r:id="rId52"/>
          <w:footerReference w:type="default" r:id="rId53"/>
          <w:headerReference w:type="first" r:id="rId54"/>
          <w:pgSz w:w="11906" w:h="16838"/>
          <w:pgMar w:top="1440" w:right="1440" w:bottom="1440" w:left="1440" w:header="709" w:footer="709" w:gutter="0"/>
          <w:cols w:space="708"/>
          <w:docGrid w:linePitch="360"/>
        </w:sectPr>
      </w:pPr>
    </w:p>
    <w:p w:rsidR="00FD5559" w:rsidRPr="003408A6" w:rsidRDefault="00C25DA1" w:rsidP="00C2177D">
      <w:pPr>
        <w:pStyle w:val="Tableheading"/>
        <w:rPr>
          <w:lang w:val="en-AU"/>
        </w:rPr>
      </w:pPr>
      <w:bookmarkStart w:id="239" w:name="_Toc396475560"/>
      <w:bookmarkStart w:id="240" w:name="_Toc397000788"/>
      <w:r w:rsidRPr="003408A6">
        <w:rPr>
          <w:lang w:val="en-AU"/>
        </w:rPr>
        <w:t>Table 6.5</w:t>
      </w:r>
      <w:r w:rsidR="00DF53E0" w:rsidRPr="003408A6">
        <w:rPr>
          <w:lang w:val="en-AU"/>
        </w:rPr>
        <w:t>.</w:t>
      </w:r>
      <w:r w:rsidR="00D861BD" w:rsidRPr="003408A6">
        <w:rPr>
          <w:lang w:val="en-AU"/>
        </w:rPr>
        <w:tab/>
      </w:r>
      <w:r w:rsidRPr="003408A6">
        <w:rPr>
          <w:lang w:val="en-AU"/>
        </w:rPr>
        <w:t>Admission rates for genital warts</w:t>
      </w:r>
      <w:r w:rsidR="005F514F">
        <w:rPr>
          <w:lang w:val="en-AU"/>
        </w:rPr>
        <w:t>,</w:t>
      </w:r>
      <w:r w:rsidRPr="003408A6">
        <w:rPr>
          <w:lang w:val="en-AU"/>
        </w:rPr>
        <w:t xml:space="preserve"> per 100,000 population</w:t>
      </w:r>
      <w:r w:rsidR="005F514F">
        <w:rPr>
          <w:lang w:val="en-AU"/>
        </w:rPr>
        <w:t>,</w:t>
      </w:r>
      <w:r w:rsidRPr="003408A6">
        <w:rPr>
          <w:lang w:val="en-AU"/>
        </w:rPr>
        <w:t xml:space="preserve"> and rate ratios, by age and sex</w:t>
      </w:r>
      <w:bookmarkEnd w:id="239"/>
      <w:bookmarkEnd w:id="240"/>
    </w:p>
    <w:tbl>
      <w:tblPr>
        <w:tblW w:w="15026"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5"/>
        <w:gridCol w:w="992"/>
        <w:gridCol w:w="1488"/>
        <w:gridCol w:w="1489"/>
        <w:gridCol w:w="2268"/>
        <w:gridCol w:w="1913"/>
        <w:gridCol w:w="1914"/>
        <w:gridCol w:w="1913"/>
        <w:gridCol w:w="1914"/>
      </w:tblGrid>
      <w:tr w:rsidR="00FD5559" w:rsidRPr="003408A6" w:rsidTr="005F514F">
        <w:trPr>
          <w:trHeight w:val="300"/>
        </w:trPr>
        <w:tc>
          <w:tcPr>
            <w:tcW w:w="1135" w:type="dxa"/>
            <w:tcBorders>
              <w:top w:val="single" w:sz="4" w:space="0" w:color="auto"/>
              <w:bottom w:val="nil"/>
            </w:tcBorders>
            <w:shd w:val="clear" w:color="auto" w:fill="auto"/>
            <w:noWrap/>
            <w:vAlign w:val="bottom"/>
            <w:hideMark/>
          </w:tcPr>
          <w:p w:rsidR="00FD5559" w:rsidRPr="003408A6" w:rsidRDefault="00FD5559" w:rsidP="006240EB">
            <w:pPr>
              <w:pStyle w:val="Tablecolumnheadings"/>
              <w:rPr>
                <w:lang w:val="en-AU"/>
              </w:rPr>
            </w:pPr>
          </w:p>
        </w:tc>
        <w:tc>
          <w:tcPr>
            <w:tcW w:w="992" w:type="dxa"/>
            <w:tcBorders>
              <w:top w:val="single" w:sz="4" w:space="0" w:color="auto"/>
              <w:bottom w:val="nil"/>
              <w:right w:val="single" w:sz="4" w:space="0" w:color="auto"/>
            </w:tcBorders>
            <w:shd w:val="clear" w:color="auto" w:fill="auto"/>
            <w:noWrap/>
            <w:vAlign w:val="bottom"/>
            <w:hideMark/>
          </w:tcPr>
          <w:p w:rsidR="00FD5559" w:rsidRPr="003408A6" w:rsidRDefault="00FD5559" w:rsidP="006240EB">
            <w:pPr>
              <w:pStyle w:val="Tablecolumnheadings"/>
              <w:rPr>
                <w:lang w:val="en-AU"/>
              </w:rPr>
            </w:pPr>
          </w:p>
        </w:tc>
        <w:tc>
          <w:tcPr>
            <w:tcW w:w="2977" w:type="dxa"/>
            <w:gridSpan w:val="2"/>
            <w:tcBorders>
              <w:top w:val="single" w:sz="4" w:space="0" w:color="auto"/>
              <w:left w:val="single" w:sz="4" w:space="0" w:color="auto"/>
              <w:bottom w:val="nil"/>
              <w:right w:val="single" w:sz="4" w:space="0" w:color="auto"/>
            </w:tcBorders>
            <w:shd w:val="clear" w:color="auto" w:fill="auto"/>
            <w:noWrap/>
            <w:vAlign w:val="bottom"/>
            <w:hideMark/>
          </w:tcPr>
          <w:p w:rsidR="00FD5559" w:rsidRPr="003408A6" w:rsidRDefault="00FD5559" w:rsidP="006240EB">
            <w:pPr>
              <w:pStyle w:val="Tablecolumnheadings"/>
              <w:rPr>
                <w:lang w:val="en-AU"/>
              </w:rPr>
            </w:pPr>
            <w:r w:rsidRPr="003408A6">
              <w:rPr>
                <w:lang w:val="en-AU"/>
              </w:rPr>
              <w:t xml:space="preserve">Average admission rates </w:t>
            </w:r>
            <w:r w:rsidR="005F514F">
              <w:rPr>
                <w:lang w:val="en-AU"/>
              </w:rPr>
              <w:br/>
            </w:r>
            <w:r w:rsidRPr="003408A6">
              <w:rPr>
                <w:lang w:val="en-AU"/>
              </w:rPr>
              <w:t>(per 100,000)</w:t>
            </w:r>
          </w:p>
        </w:tc>
        <w:tc>
          <w:tcPr>
            <w:tcW w:w="9922" w:type="dxa"/>
            <w:gridSpan w:val="5"/>
            <w:tcBorders>
              <w:top w:val="single" w:sz="4" w:space="0" w:color="auto"/>
              <w:left w:val="single" w:sz="4" w:space="0" w:color="auto"/>
              <w:bottom w:val="single" w:sz="4" w:space="0" w:color="auto"/>
            </w:tcBorders>
            <w:shd w:val="clear" w:color="auto" w:fill="auto"/>
            <w:noWrap/>
            <w:vAlign w:val="bottom"/>
            <w:hideMark/>
          </w:tcPr>
          <w:p w:rsidR="00FD5559" w:rsidRPr="003408A6" w:rsidRDefault="00FD5559" w:rsidP="006240EB">
            <w:pPr>
              <w:pStyle w:val="Tablecolumnheadings"/>
              <w:rPr>
                <w:lang w:val="en-AU"/>
              </w:rPr>
            </w:pPr>
            <w:r w:rsidRPr="003408A6">
              <w:rPr>
                <w:lang w:val="en-AU"/>
              </w:rPr>
              <w:t xml:space="preserve">Rate ratio relative to pre-vaccine period </w:t>
            </w:r>
            <w:r w:rsidR="005F514F">
              <w:rPr>
                <w:lang w:val="en-AU"/>
              </w:rPr>
              <w:br/>
            </w:r>
            <w:r w:rsidRPr="003408A6">
              <w:rPr>
                <w:lang w:val="en-AU"/>
              </w:rPr>
              <w:t>(95% CI)</w:t>
            </w:r>
          </w:p>
        </w:tc>
      </w:tr>
      <w:tr w:rsidR="00FD5559" w:rsidRPr="003408A6" w:rsidTr="005F514F">
        <w:trPr>
          <w:trHeight w:val="600"/>
        </w:trPr>
        <w:tc>
          <w:tcPr>
            <w:tcW w:w="1135" w:type="dxa"/>
            <w:tcBorders>
              <w:top w:val="nil"/>
              <w:bottom w:val="single" w:sz="4" w:space="0" w:color="auto"/>
            </w:tcBorders>
            <w:shd w:val="clear" w:color="auto" w:fill="auto"/>
            <w:noWrap/>
            <w:vAlign w:val="bottom"/>
            <w:hideMark/>
          </w:tcPr>
          <w:p w:rsidR="00FD5559" w:rsidRPr="003408A6" w:rsidRDefault="00FD5559" w:rsidP="006240EB">
            <w:pPr>
              <w:pStyle w:val="Tablecolumnheading"/>
              <w:rPr>
                <w:lang w:val="en-AU"/>
              </w:rPr>
            </w:pPr>
          </w:p>
        </w:tc>
        <w:tc>
          <w:tcPr>
            <w:tcW w:w="992" w:type="dxa"/>
            <w:tcBorders>
              <w:top w:val="nil"/>
              <w:bottom w:val="single" w:sz="4" w:space="0" w:color="auto"/>
              <w:right w:val="single" w:sz="4" w:space="0" w:color="auto"/>
            </w:tcBorders>
            <w:shd w:val="clear" w:color="auto" w:fill="auto"/>
            <w:noWrap/>
            <w:vAlign w:val="bottom"/>
            <w:hideMark/>
          </w:tcPr>
          <w:p w:rsidR="00FD5559" w:rsidRPr="003408A6" w:rsidRDefault="00FD5559" w:rsidP="006240EB">
            <w:pPr>
              <w:pStyle w:val="Tablecolumnheading"/>
              <w:rPr>
                <w:lang w:val="en-AU"/>
              </w:rPr>
            </w:pPr>
            <w:r w:rsidRPr="003408A6">
              <w:rPr>
                <w:lang w:val="en-AU"/>
              </w:rPr>
              <w:t>Age (years)</w:t>
            </w:r>
          </w:p>
        </w:tc>
        <w:tc>
          <w:tcPr>
            <w:tcW w:w="1488" w:type="dxa"/>
            <w:tcBorders>
              <w:top w:val="nil"/>
              <w:left w:val="single" w:sz="4" w:space="0" w:color="auto"/>
              <w:bottom w:val="single" w:sz="4" w:space="0" w:color="auto"/>
            </w:tcBorders>
            <w:shd w:val="clear" w:color="auto" w:fill="auto"/>
            <w:vAlign w:val="bottom"/>
            <w:hideMark/>
          </w:tcPr>
          <w:p w:rsidR="00FD5559" w:rsidRPr="003408A6" w:rsidRDefault="00FD5559" w:rsidP="006240EB">
            <w:pPr>
              <w:pStyle w:val="Tablecolumnheading"/>
              <w:rPr>
                <w:lang w:val="en-AU"/>
              </w:rPr>
            </w:pPr>
            <w:r w:rsidRPr="003408A6">
              <w:rPr>
                <w:lang w:val="en-AU"/>
              </w:rPr>
              <w:t xml:space="preserve">Pre-vaccine period </w:t>
            </w:r>
            <w:r w:rsidR="005F514F">
              <w:rPr>
                <w:lang w:val="en-AU"/>
              </w:rPr>
              <w:br/>
            </w:r>
            <w:r w:rsidRPr="003408A6">
              <w:rPr>
                <w:lang w:val="en-AU"/>
              </w:rPr>
              <w:t>(Jul 2004</w:t>
            </w:r>
            <w:r w:rsidR="00DF53E0" w:rsidRPr="003408A6">
              <w:rPr>
                <w:lang w:val="en-AU"/>
              </w:rPr>
              <w:t>–</w:t>
            </w:r>
            <w:r w:rsidRPr="003408A6">
              <w:rPr>
                <w:lang w:val="en-AU"/>
              </w:rPr>
              <w:t>Jun 2007)</w:t>
            </w:r>
          </w:p>
        </w:tc>
        <w:tc>
          <w:tcPr>
            <w:tcW w:w="1489" w:type="dxa"/>
            <w:tcBorders>
              <w:top w:val="nil"/>
              <w:bottom w:val="single" w:sz="4" w:space="0" w:color="auto"/>
              <w:right w:val="single" w:sz="4" w:space="0" w:color="auto"/>
            </w:tcBorders>
            <w:shd w:val="clear" w:color="auto" w:fill="auto"/>
            <w:vAlign w:val="bottom"/>
            <w:hideMark/>
          </w:tcPr>
          <w:p w:rsidR="00FD5559" w:rsidRPr="003408A6" w:rsidRDefault="00FD5559" w:rsidP="006240EB">
            <w:pPr>
              <w:pStyle w:val="Tablecolumnheading"/>
              <w:rPr>
                <w:lang w:val="en-AU"/>
              </w:rPr>
            </w:pPr>
            <w:r w:rsidRPr="003408A6">
              <w:rPr>
                <w:lang w:val="en-AU"/>
              </w:rPr>
              <w:t xml:space="preserve">Post-vaccine period </w:t>
            </w:r>
            <w:r w:rsidR="005F514F">
              <w:rPr>
                <w:lang w:val="en-AU"/>
              </w:rPr>
              <w:br/>
            </w:r>
            <w:r w:rsidRPr="003408A6">
              <w:rPr>
                <w:lang w:val="en-AU"/>
              </w:rPr>
              <w:t>(Jul 2008</w:t>
            </w:r>
            <w:r w:rsidR="00DF53E0" w:rsidRPr="003408A6">
              <w:rPr>
                <w:lang w:val="en-AU"/>
              </w:rPr>
              <w:t>–</w:t>
            </w:r>
            <w:r w:rsidR="005F514F">
              <w:rPr>
                <w:lang w:val="en-AU"/>
              </w:rPr>
              <w:br/>
            </w:r>
            <w:r w:rsidRPr="003408A6">
              <w:rPr>
                <w:lang w:val="en-AU"/>
              </w:rPr>
              <w:t>Jun 2011)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5559" w:rsidRPr="003408A6" w:rsidRDefault="00FD5559" w:rsidP="006240EB">
            <w:pPr>
              <w:pStyle w:val="Tablecolumnheading"/>
              <w:rPr>
                <w:lang w:val="en-AU"/>
              </w:rPr>
            </w:pPr>
            <w:r w:rsidRPr="003408A6">
              <w:rPr>
                <w:lang w:val="en-AU"/>
              </w:rPr>
              <w:t xml:space="preserve">Overall post-vaccine period </w:t>
            </w:r>
            <w:r w:rsidR="005F514F">
              <w:rPr>
                <w:lang w:val="en-AU"/>
              </w:rPr>
              <w:br/>
            </w:r>
            <w:r w:rsidRPr="003408A6">
              <w:rPr>
                <w:lang w:val="en-AU"/>
              </w:rPr>
              <w:t>(Jul 2008</w:t>
            </w:r>
            <w:r w:rsidR="00DF53E0" w:rsidRPr="003408A6">
              <w:rPr>
                <w:lang w:val="en-AU"/>
              </w:rPr>
              <w:t>–</w:t>
            </w:r>
            <w:r w:rsidRPr="003408A6">
              <w:rPr>
                <w:lang w:val="en-AU"/>
              </w:rPr>
              <w:t>Jun 2011)</w:t>
            </w:r>
          </w:p>
        </w:tc>
        <w:tc>
          <w:tcPr>
            <w:tcW w:w="1913" w:type="dxa"/>
            <w:tcBorders>
              <w:top w:val="single" w:sz="4" w:space="0" w:color="auto"/>
              <w:left w:val="single" w:sz="4" w:space="0" w:color="auto"/>
              <w:bottom w:val="single" w:sz="4" w:space="0" w:color="auto"/>
            </w:tcBorders>
            <w:shd w:val="clear" w:color="auto" w:fill="auto"/>
            <w:noWrap/>
            <w:vAlign w:val="center"/>
            <w:hideMark/>
          </w:tcPr>
          <w:p w:rsidR="00FD5559" w:rsidRPr="003408A6" w:rsidRDefault="00FD5559" w:rsidP="005F514F">
            <w:pPr>
              <w:pStyle w:val="Tablecolumnheading"/>
              <w:jc w:val="center"/>
              <w:rPr>
                <w:lang w:val="en-AU"/>
              </w:rPr>
            </w:pPr>
            <w:r w:rsidRPr="003408A6">
              <w:rPr>
                <w:lang w:val="en-AU"/>
              </w:rPr>
              <w:t>2007/08</w:t>
            </w:r>
          </w:p>
        </w:tc>
        <w:tc>
          <w:tcPr>
            <w:tcW w:w="1914" w:type="dxa"/>
            <w:tcBorders>
              <w:top w:val="single" w:sz="4" w:space="0" w:color="auto"/>
              <w:bottom w:val="single" w:sz="4" w:space="0" w:color="auto"/>
            </w:tcBorders>
            <w:shd w:val="clear" w:color="auto" w:fill="auto"/>
            <w:noWrap/>
            <w:vAlign w:val="center"/>
            <w:hideMark/>
          </w:tcPr>
          <w:p w:rsidR="00FD5559" w:rsidRPr="003408A6" w:rsidRDefault="00FD5559" w:rsidP="005F514F">
            <w:pPr>
              <w:pStyle w:val="Tablecolumnheading"/>
              <w:jc w:val="center"/>
              <w:rPr>
                <w:lang w:val="en-AU"/>
              </w:rPr>
            </w:pPr>
            <w:r w:rsidRPr="003408A6">
              <w:rPr>
                <w:lang w:val="en-AU"/>
              </w:rPr>
              <w:t>2008/09</w:t>
            </w:r>
          </w:p>
        </w:tc>
        <w:tc>
          <w:tcPr>
            <w:tcW w:w="1913" w:type="dxa"/>
            <w:tcBorders>
              <w:top w:val="single" w:sz="4" w:space="0" w:color="auto"/>
              <w:bottom w:val="single" w:sz="4" w:space="0" w:color="auto"/>
            </w:tcBorders>
            <w:shd w:val="clear" w:color="auto" w:fill="auto"/>
            <w:noWrap/>
            <w:vAlign w:val="center"/>
            <w:hideMark/>
          </w:tcPr>
          <w:p w:rsidR="00FD5559" w:rsidRPr="003408A6" w:rsidRDefault="00FD5559" w:rsidP="005F514F">
            <w:pPr>
              <w:pStyle w:val="Tablecolumnheading"/>
              <w:jc w:val="center"/>
              <w:rPr>
                <w:lang w:val="en-AU"/>
              </w:rPr>
            </w:pPr>
            <w:r w:rsidRPr="003408A6">
              <w:rPr>
                <w:lang w:val="en-AU"/>
              </w:rPr>
              <w:t>2009/10</w:t>
            </w:r>
          </w:p>
        </w:tc>
        <w:tc>
          <w:tcPr>
            <w:tcW w:w="1914" w:type="dxa"/>
            <w:tcBorders>
              <w:top w:val="single" w:sz="4" w:space="0" w:color="auto"/>
              <w:bottom w:val="single" w:sz="4" w:space="0" w:color="auto"/>
            </w:tcBorders>
            <w:shd w:val="clear" w:color="auto" w:fill="auto"/>
            <w:noWrap/>
            <w:vAlign w:val="center"/>
            <w:hideMark/>
          </w:tcPr>
          <w:p w:rsidR="00FD5559" w:rsidRPr="003408A6" w:rsidRDefault="00FD5559" w:rsidP="005F514F">
            <w:pPr>
              <w:pStyle w:val="Tablecolumnheading"/>
              <w:jc w:val="center"/>
              <w:rPr>
                <w:lang w:val="en-AU"/>
              </w:rPr>
            </w:pPr>
            <w:r w:rsidRPr="003408A6">
              <w:rPr>
                <w:lang w:val="en-AU"/>
              </w:rPr>
              <w:t>2010/11</w:t>
            </w:r>
          </w:p>
        </w:tc>
      </w:tr>
      <w:tr w:rsidR="00FD5559" w:rsidRPr="003408A6" w:rsidTr="005F514F">
        <w:trPr>
          <w:trHeight w:val="300"/>
        </w:trPr>
        <w:tc>
          <w:tcPr>
            <w:tcW w:w="1135" w:type="dxa"/>
            <w:tcBorders>
              <w:top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bold"/>
              <w:rPr>
                <w:lang w:val="en-AU"/>
              </w:rPr>
            </w:pPr>
            <w:r w:rsidRPr="003408A6">
              <w:rPr>
                <w:lang w:val="en-AU"/>
              </w:rPr>
              <w:t>Females</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r w:rsidRPr="003408A6">
              <w:rPr>
                <w:lang w:val="en-AU"/>
              </w:rPr>
              <w:t>12</w:t>
            </w:r>
            <w:r w:rsidR="00DF53E0" w:rsidRPr="003408A6">
              <w:rPr>
                <w:lang w:val="en-AU"/>
              </w:rPr>
              <w:t>–</w:t>
            </w:r>
            <w:r w:rsidRPr="003408A6">
              <w:rPr>
                <w:lang w:val="en-AU"/>
              </w:rPr>
              <w:t>17</w:t>
            </w:r>
          </w:p>
        </w:tc>
        <w:tc>
          <w:tcPr>
            <w:tcW w:w="1488" w:type="dxa"/>
            <w:tcBorders>
              <w:top w:val="single" w:sz="4" w:space="0" w:color="auto"/>
              <w:left w:val="single" w:sz="4" w:space="0" w:color="auto"/>
              <w:bottom w:val="nil"/>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17.9</w:t>
            </w:r>
          </w:p>
        </w:tc>
        <w:tc>
          <w:tcPr>
            <w:tcW w:w="1489" w:type="dxa"/>
            <w:tcBorders>
              <w:top w:val="single" w:sz="4" w:space="0" w:color="auto"/>
              <w:bottom w:val="nil"/>
              <w:right w:val="single" w:sz="4" w:space="0" w:color="auto"/>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3.4</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0.19</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0.46</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0.28</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0.18</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0.10</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(0.15</w:t>
            </w:r>
            <w:r w:rsidR="00D80630" w:rsidRPr="003408A6">
              <w:rPr>
                <w:rFonts w:cstheme="minorHAnsi"/>
                <w:i/>
                <w:lang w:val="en-AU"/>
              </w:rPr>
              <w:t>–</w:t>
            </w:r>
            <w:r w:rsidRPr="003408A6">
              <w:rPr>
                <w:rFonts w:cstheme="minorHAnsi"/>
                <w:i/>
                <w:lang w:val="en-AU"/>
              </w:rPr>
              <w:t>0.24)</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(0.35</w:t>
            </w:r>
            <w:r w:rsidR="00D80630" w:rsidRPr="003408A6">
              <w:rPr>
                <w:rFonts w:cstheme="minorHAnsi"/>
                <w:i/>
                <w:lang w:val="en-AU"/>
              </w:rPr>
              <w:t>–</w:t>
            </w:r>
            <w:r w:rsidRPr="003408A6">
              <w:rPr>
                <w:rFonts w:cstheme="minorHAnsi"/>
                <w:i/>
                <w:lang w:val="en-AU"/>
              </w:rPr>
              <w:t>0.59)</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(0.21–</w:t>
            </w:r>
            <w:r w:rsidR="00FD5559" w:rsidRPr="003408A6">
              <w:rPr>
                <w:rFonts w:cstheme="minorHAnsi"/>
                <w:i/>
                <w:lang w:val="en-AU"/>
              </w:rPr>
              <w:t>0.39)</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(0.12–</w:t>
            </w:r>
            <w:r w:rsidR="00FD5559" w:rsidRPr="003408A6">
              <w:rPr>
                <w:rFonts w:cstheme="minorHAnsi"/>
                <w:i/>
                <w:lang w:val="en-AU"/>
              </w:rPr>
              <w:t>0.26)</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(0.06–</w:t>
            </w:r>
            <w:r w:rsidR="00FD5559" w:rsidRPr="003408A6">
              <w:rPr>
                <w:rFonts w:cstheme="minorHAnsi"/>
                <w:i/>
                <w:lang w:val="en-AU"/>
              </w:rPr>
              <w:t>0.17)</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r w:rsidRPr="003408A6">
              <w:rPr>
                <w:lang w:val="en-AU"/>
              </w:rPr>
              <w:t>18</w:t>
            </w:r>
            <w:r w:rsidR="00DF53E0" w:rsidRPr="003408A6">
              <w:rPr>
                <w:lang w:val="en-AU"/>
              </w:rPr>
              <w:t>–</w:t>
            </w:r>
            <w:r w:rsidRPr="003408A6">
              <w:rPr>
                <w:lang w:val="en-AU"/>
              </w:rPr>
              <w:t>26</w:t>
            </w:r>
          </w:p>
        </w:tc>
        <w:tc>
          <w:tcPr>
            <w:tcW w:w="1488" w:type="dxa"/>
            <w:tcBorders>
              <w:top w:val="single" w:sz="4" w:space="0" w:color="auto"/>
              <w:left w:val="single" w:sz="4" w:space="0" w:color="auto"/>
              <w:bottom w:val="nil"/>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84.8</w:t>
            </w:r>
          </w:p>
        </w:tc>
        <w:tc>
          <w:tcPr>
            <w:tcW w:w="1489" w:type="dxa"/>
            <w:tcBorders>
              <w:top w:val="single" w:sz="4" w:space="0" w:color="auto"/>
              <w:bottom w:val="nil"/>
              <w:right w:val="single" w:sz="4" w:space="0" w:color="auto"/>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32.1</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0.38</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0.80</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0.52</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0.36</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0.26</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(0.36</w:t>
            </w:r>
            <w:r w:rsidR="00D80630" w:rsidRPr="003408A6">
              <w:rPr>
                <w:rFonts w:cstheme="minorHAnsi"/>
                <w:i/>
                <w:lang w:val="en-AU"/>
              </w:rPr>
              <w:t>–</w:t>
            </w:r>
            <w:r w:rsidRPr="003408A6">
              <w:rPr>
                <w:rFonts w:cstheme="minorHAnsi"/>
                <w:i/>
                <w:lang w:val="en-AU"/>
              </w:rPr>
              <w:t>0.40)</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(0.74–</w:t>
            </w:r>
            <w:r w:rsidR="00FD5559" w:rsidRPr="003408A6">
              <w:rPr>
                <w:rFonts w:cstheme="minorHAnsi"/>
                <w:i/>
                <w:lang w:val="en-AU"/>
              </w:rPr>
              <w:t>0.86)</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(0.48–</w:t>
            </w:r>
            <w:r w:rsidR="00FD5559" w:rsidRPr="003408A6">
              <w:rPr>
                <w:rFonts w:cstheme="minorHAnsi"/>
                <w:i/>
                <w:lang w:val="en-AU"/>
              </w:rPr>
              <w:t>0.57)</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(0.33–</w:t>
            </w:r>
            <w:r w:rsidR="00FD5559" w:rsidRPr="003408A6">
              <w:rPr>
                <w:rFonts w:cstheme="minorHAnsi"/>
                <w:i/>
                <w:lang w:val="en-AU"/>
              </w:rPr>
              <w:t>0.40)</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(0.23–</w:t>
            </w:r>
            <w:r w:rsidR="00FD5559" w:rsidRPr="003408A6">
              <w:rPr>
                <w:rFonts w:cstheme="minorHAnsi"/>
                <w:i/>
                <w:lang w:val="en-AU"/>
              </w:rPr>
              <w:t>0.29)</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r w:rsidRPr="003408A6">
              <w:rPr>
                <w:lang w:val="en-AU"/>
              </w:rPr>
              <w:t>27</w:t>
            </w:r>
            <w:r w:rsidR="00DF53E0" w:rsidRPr="003408A6">
              <w:rPr>
                <w:lang w:val="en-AU"/>
              </w:rPr>
              <w:t>–</w:t>
            </w:r>
            <w:r w:rsidRPr="003408A6">
              <w:rPr>
                <w:lang w:val="en-AU"/>
              </w:rPr>
              <w:t>30</w:t>
            </w:r>
          </w:p>
        </w:tc>
        <w:tc>
          <w:tcPr>
            <w:tcW w:w="1488"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38.7</w:t>
            </w:r>
          </w:p>
        </w:tc>
        <w:tc>
          <w:tcPr>
            <w:tcW w:w="1489" w:type="dxa"/>
            <w:tcBorders>
              <w:top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26.6</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rFonts w:cstheme="minorHAnsi"/>
                <w:lang w:val="en-AU"/>
              </w:rPr>
              <w:t>0.69</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0.97</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0.78</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0.76</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lang w:val="en-AU"/>
              </w:rPr>
            </w:pPr>
            <w:r w:rsidRPr="003408A6">
              <w:rPr>
                <w:rFonts w:cstheme="minorHAnsi"/>
                <w:lang w:val="en-AU"/>
              </w:rPr>
              <w:t>0.53</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(0.61–</w:t>
            </w:r>
            <w:r w:rsidR="00FD5559" w:rsidRPr="003408A6">
              <w:rPr>
                <w:rFonts w:cstheme="minorHAnsi"/>
                <w:i/>
                <w:lang w:val="en-AU"/>
              </w:rPr>
              <w:t>0.77)</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(0.83</w:t>
            </w:r>
            <w:r w:rsidR="00D80630" w:rsidRPr="003408A6">
              <w:rPr>
                <w:rFonts w:cstheme="minorHAnsi"/>
                <w:i/>
                <w:lang w:val="en-AU"/>
              </w:rPr>
              <w:t>–</w:t>
            </w:r>
            <w:r w:rsidRPr="003408A6">
              <w:rPr>
                <w:rFonts w:cstheme="minorHAnsi"/>
                <w:i/>
                <w:lang w:val="en-AU"/>
              </w:rPr>
              <w:t>1.13)</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(0.66–</w:t>
            </w:r>
            <w:r w:rsidR="00FD5559" w:rsidRPr="003408A6">
              <w:rPr>
                <w:rFonts w:cstheme="minorHAnsi"/>
                <w:i/>
                <w:lang w:val="en-AU"/>
              </w:rPr>
              <w:t>0.92)</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(0.64–</w:t>
            </w:r>
            <w:r w:rsidR="00FD5559" w:rsidRPr="003408A6">
              <w:rPr>
                <w:rFonts w:cstheme="minorHAnsi"/>
                <w:i/>
                <w:lang w:val="en-AU"/>
              </w:rPr>
              <w:t>0.90)</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(0.44–</w:t>
            </w:r>
            <w:r w:rsidR="00FD5559" w:rsidRPr="003408A6">
              <w:rPr>
                <w:rFonts w:cstheme="minorHAnsi"/>
                <w:i/>
                <w:lang w:val="en-AU"/>
              </w:rPr>
              <w:t>0.64)</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r w:rsidRPr="003408A6">
              <w:rPr>
                <w:lang w:val="en-AU"/>
              </w:rPr>
              <w:t>31</w:t>
            </w:r>
            <w:r w:rsidR="00DF53E0" w:rsidRPr="003408A6">
              <w:rPr>
                <w:lang w:val="en-AU"/>
              </w:rPr>
              <w:t>–</w:t>
            </w:r>
            <w:r w:rsidRPr="003408A6">
              <w:rPr>
                <w:lang w:val="en-AU"/>
              </w:rPr>
              <w:t>69</w:t>
            </w:r>
          </w:p>
        </w:tc>
        <w:tc>
          <w:tcPr>
            <w:tcW w:w="1488"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15.0</w:t>
            </w:r>
          </w:p>
        </w:tc>
        <w:tc>
          <w:tcPr>
            <w:tcW w:w="1489" w:type="dxa"/>
            <w:tcBorders>
              <w:top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13.6</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0.91</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0.82</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0.86</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0.88</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0.98</w:t>
            </w:r>
          </w:p>
        </w:tc>
      </w:tr>
      <w:tr w:rsidR="00FD5559" w:rsidRPr="003408A6" w:rsidTr="005F514F">
        <w:trPr>
          <w:trHeight w:val="300"/>
        </w:trPr>
        <w:tc>
          <w:tcPr>
            <w:tcW w:w="1135" w:type="dxa"/>
            <w:tcBorders>
              <w:top w:val="nil"/>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(0.85</w:t>
            </w:r>
            <w:r w:rsidR="00D80630" w:rsidRPr="003408A6">
              <w:rPr>
                <w:rFonts w:cstheme="minorHAnsi"/>
                <w:i/>
                <w:lang w:val="en-AU"/>
              </w:rPr>
              <w:t>–</w:t>
            </w:r>
            <w:r w:rsidRPr="003408A6">
              <w:rPr>
                <w:rFonts w:cstheme="minorHAnsi"/>
                <w:i/>
                <w:lang w:val="en-AU"/>
              </w:rPr>
              <w:t>0.96)</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(0.76–</w:t>
            </w:r>
            <w:r w:rsidR="00FD5559" w:rsidRPr="003408A6">
              <w:rPr>
                <w:rFonts w:cstheme="minorHAnsi"/>
                <w:i/>
                <w:lang w:val="en-AU"/>
              </w:rPr>
              <w:t>0.90)</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(0.79–</w:t>
            </w:r>
            <w:r w:rsidR="00FD5559" w:rsidRPr="003408A6">
              <w:rPr>
                <w:rFonts w:cstheme="minorHAnsi"/>
                <w:i/>
                <w:lang w:val="en-AU"/>
              </w:rPr>
              <w:t>0.93)</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(0.81–</w:t>
            </w:r>
            <w:r w:rsidR="00FD5559" w:rsidRPr="003408A6">
              <w:rPr>
                <w:rFonts w:cstheme="minorHAnsi"/>
                <w:i/>
                <w:lang w:val="en-AU"/>
              </w:rPr>
              <w:t>0.96)</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(0.90–</w:t>
            </w:r>
            <w:r w:rsidR="00FD5559" w:rsidRPr="003408A6">
              <w:rPr>
                <w:rFonts w:cstheme="minorHAnsi"/>
                <w:i/>
                <w:lang w:val="en-AU"/>
              </w:rPr>
              <w:t>1.06)</w:t>
            </w:r>
          </w:p>
        </w:tc>
      </w:tr>
      <w:tr w:rsidR="00FD5559" w:rsidRPr="003408A6" w:rsidTr="005F514F">
        <w:trPr>
          <w:trHeight w:val="300"/>
        </w:trPr>
        <w:tc>
          <w:tcPr>
            <w:tcW w:w="1135" w:type="dxa"/>
            <w:tcBorders>
              <w:top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bold"/>
              <w:rPr>
                <w:lang w:val="en-AU"/>
              </w:rPr>
            </w:pPr>
            <w:r w:rsidRPr="003408A6">
              <w:rPr>
                <w:lang w:val="en-AU"/>
              </w:rPr>
              <w:t>Males</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r w:rsidRPr="003408A6">
              <w:rPr>
                <w:lang w:val="en-AU"/>
              </w:rPr>
              <w:t>12</w:t>
            </w:r>
            <w:r w:rsidR="00DF53E0" w:rsidRPr="003408A6">
              <w:rPr>
                <w:lang w:val="en-AU"/>
              </w:rPr>
              <w:t>–</w:t>
            </w:r>
            <w:r w:rsidRPr="003408A6">
              <w:rPr>
                <w:lang w:val="en-AU"/>
              </w:rPr>
              <w:t>17</w:t>
            </w:r>
          </w:p>
        </w:tc>
        <w:tc>
          <w:tcPr>
            <w:tcW w:w="1488" w:type="dxa"/>
            <w:tcBorders>
              <w:top w:val="single" w:sz="4" w:space="0" w:color="auto"/>
              <w:left w:val="single" w:sz="4" w:space="0" w:color="auto"/>
              <w:bottom w:val="nil"/>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0.7</w:t>
            </w:r>
          </w:p>
        </w:tc>
        <w:tc>
          <w:tcPr>
            <w:tcW w:w="1489" w:type="dxa"/>
            <w:tcBorders>
              <w:top w:val="single" w:sz="4" w:space="0" w:color="auto"/>
              <w:bottom w:val="nil"/>
              <w:right w:val="single" w:sz="4" w:space="0" w:color="auto"/>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1.1</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1.53</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0.66</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2.29</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1.80</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0.49</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(0.85</w:t>
            </w:r>
            <w:r w:rsidR="00D80630" w:rsidRPr="003408A6">
              <w:rPr>
                <w:rFonts w:cstheme="minorHAnsi"/>
                <w:i/>
                <w:lang w:val="en-AU"/>
              </w:rPr>
              <w:t>–</w:t>
            </w:r>
            <w:r w:rsidRPr="003408A6">
              <w:rPr>
                <w:rFonts w:cstheme="minorHAnsi"/>
                <w:i/>
                <w:lang w:val="en-AU"/>
              </w:rPr>
              <w:t>2.76)</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(0.22–</w:t>
            </w:r>
            <w:r w:rsidR="00FD5559" w:rsidRPr="003408A6">
              <w:rPr>
                <w:rFonts w:cstheme="minorHAnsi"/>
                <w:i/>
                <w:lang w:val="en-AU"/>
              </w:rPr>
              <w:t>1.94)</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(1.14–</w:t>
            </w:r>
            <w:r w:rsidR="00FD5559" w:rsidRPr="003408A6">
              <w:rPr>
                <w:rFonts w:cstheme="minorHAnsi"/>
                <w:i/>
                <w:lang w:val="en-AU"/>
              </w:rPr>
              <w:t>4.61)</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(0.85–</w:t>
            </w:r>
            <w:r w:rsidR="00FD5559" w:rsidRPr="003408A6">
              <w:rPr>
                <w:rFonts w:cstheme="minorHAnsi"/>
                <w:i/>
                <w:lang w:val="en-AU"/>
              </w:rPr>
              <w:t>3.81)</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(0.14–</w:t>
            </w:r>
            <w:r w:rsidR="00FD5559" w:rsidRPr="003408A6">
              <w:rPr>
                <w:rFonts w:cstheme="minorHAnsi"/>
                <w:i/>
                <w:lang w:val="en-AU"/>
              </w:rPr>
              <w:t>1.67)</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D80630">
            <w:pPr>
              <w:pStyle w:val="Tabletext0beforeafter"/>
              <w:rPr>
                <w:lang w:val="en-AU"/>
              </w:rPr>
            </w:pPr>
            <w:r w:rsidRPr="003408A6">
              <w:rPr>
                <w:lang w:val="en-AU"/>
              </w:rPr>
              <w:t>18</w:t>
            </w:r>
            <w:r w:rsidR="00DF53E0" w:rsidRPr="003408A6">
              <w:rPr>
                <w:lang w:val="en-AU"/>
              </w:rPr>
              <w:t>–</w:t>
            </w:r>
            <w:r w:rsidRPr="003408A6">
              <w:rPr>
                <w:lang w:val="en-AU"/>
              </w:rPr>
              <w:t>26</w:t>
            </w:r>
          </w:p>
        </w:tc>
        <w:tc>
          <w:tcPr>
            <w:tcW w:w="1488" w:type="dxa"/>
            <w:tcBorders>
              <w:top w:val="single" w:sz="4" w:space="0" w:color="auto"/>
              <w:left w:val="single" w:sz="4" w:space="0" w:color="auto"/>
              <w:bottom w:val="nil"/>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26.6</w:t>
            </w:r>
          </w:p>
        </w:tc>
        <w:tc>
          <w:tcPr>
            <w:tcW w:w="1489" w:type="dxa"/>
            <w:tcBorders>
              <w:top w:val="single" w:sz="4" w:space="0" w:color="auto"/>
              <w:bottom w:val="nil"/>
              <w:right w:val="single" w:sz="4" w:space="0" w:color="auto"/>
            </w:tcBorders>
            <w:shd w:val="clear" w:color="auto" w:fill="auto"/>
            <w:noWrap/>
            <w:vAlign w:val="center"/>
            <w:hideMark/>
          </w:tcPr>
          <w:p w:rsidR="00FD5559" w:rsidRPr="003408A6" w:rsidRDefault="00FD5559" w:rsidP="005F514F">
            <w:pPr>
              <w:pStyle w:val="Tabletext0beforeafter"/>
              <w:jc w:val="center"/>
              <w:rPr>
                <w:lang w:val="en-AU"/>
              </w:rPr>
            </w:pPr>
            <w:r w:rsidRPr="003408A6">
              <w:rPr>
                <w:lang w:val="en-AU"/>
              </w:rPr>
              <w:t>20.1</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0.75</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0.95</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0.86</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0.82</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0.59</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(0.69</w:t>
            </w:r>
            <w:r w:rsidR="00D80630" w:rsidRPr="003408A6">
              <w:rPr>
                <w:rFonts w:cstheme="minorHAnsi"/>
                <w:i/>
                <w:lang w:val="en-AU"/>
              </w:rPr>
              <w:t>–</w:t>
            </w:r>
            <w:r w:rsidRPr="003408A6">
              <w:rPr>
                <w:rFonts w:cstheme="minorHAnsi"/>
                <w:i/>
                <w:lang w:val="en-AU"/>
              </w:rPr>
              <w:t>0.82)</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(0.84–</w:t>
            </w:r>
            <w:r w:rsidR="00FD5559" w:rsidRPr="003408A6">
              <w:rPr>
                <w:rFonts w:cstheme="minorHAnsi"/>
                <w:i/>
                <w:lang w:val="en-AU"/>
              </w:rPr>
              <w:t>1.08)</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(0.76–</w:t>
            </w:r>
            <w:r w:rsidR="00FD5559" w:rsidRPr="003408A6">
              <w:rPr>
                <w:rFonts w:cstheme="minorHAnsi"/>
                <w:i/>
                <w:lang w:val="en-AU"/>
              </w:rPr>
              <w:t>0.97)</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(0.72–</w:t>
            </w:r>
            <w:r w:rsidR="00FD5559" w:rsidRPr="003408A6">
              <w:rPr>
                <w:rFonts w:cstheme="minorHAnsi"/>
                <w:i/>
                <w:lang w:val="en-AU"/>
              </w:rPr>
              <w:t>0.93)</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(0.51–</w:t>
            </w:r>
            <w:r w:rsidR="00FD5559" w:rsidRPr="003408A6">
              <w:rPr>
                <w:rFonts w:cstheme="minorHAnsi"/>
                <w:i/>
                <w:lang w:val="en-AU"/>
              </w:rPr>
              <w:t>0.68)</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r w:rsidRPr="003408A6">
              <w:rPr>
                <w:lang w:val="en-AU"/>
              </w:rPr>
              <w:t>27</w:t>
            </w:r>
            <w:r w:rsidR="00DF53E0" w:rsidRPr="003408A6">
              <w:rPr>
                <w:lang w:val="en-AU"/>
              </w:rPr>
              <w:t>–</w:t>
            </w:r>
            <w:r w:rsidRPr="003408A6">
              <w:rPr>
                <w:lang w:val="en-AU"/>
              </w:rPr>
              <w:t>30</w:t>
            </w:r>
          </w:p>
        </w:tc>
        <w:tc>
          <w:tcPr>
            <w:tcW w:w="1488"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25.4</w:t>
            </w:r>
          </w:p>
        </w:tc>
        <w:tc>
          <w:tcPr>
            <w:tcW w:w="1489" w:type="dxa"/>
            <w:tcBorders>
              <w:top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19.7</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0.77</w:t>
            </w:r>
          </w:p>
        </w:tc>
        <w:tc>
          <w:tcPr>
            <w:tcW w:w="1913" w:type="dxa"/>
            <w:tcBorders>
              <w:top w:val="single" w:sz="4" w:space="0" w:color="auto"/>
              <w:left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0.83</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0.83</w:t>
            </w:r>
          </w:p>
        </w:tc>
        <w:tc>
          <w:tcPr>
            <w:tcW w:w="1913"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0.73</w:t>
            </w:r>
          </w:p>
        </w:tc>
        <w:tc>
          <w:tcPr>
            <w:tcW w:w="1914" w:type="dxa"/>
            <w:tcBorders>
              <w:top w:val="single" w:sz="4" w:space="0" w:color="auto"/>
              <w:bottom w:val="nil"/>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0.76</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top w:val="nil"/>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top w:val="nil"/>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(0.67</w:t>
            </w:r>
            <w:r w:rsidR="00D80630" w:rsidRPr="003408A6">
              <w:rPr>
                <w:rFonts w:cstheme="minorHAnsi"/>
                <w:i/>
                <w:lang w:val="en-AU"/>
              </w:rPr>
              <w:t>–</w:t>
            </w:r>
            <w:r w:rsidRPr="003408A6">
              <w:rPr>
                <w:rFonts w:cstheme="minorHAnsi"/>
                <w:i/>
                <w:lang w:val="en-AU"/>
              </w:rPr>
              <w:t>0.89)</w:t>
            </w:r>
          </w:p>
        </w:tc>
        <w:tc>
          <w:tcPr>
            <w:tcW w:w="1913" w:type="dxa"/>
            <w:tcBorders>
              <w:top w:val="nil"/>
              <w:left w:val="single" w:sz="4" w:space="0" w:color="auto"/>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(0.68–</w:t>
            </w:r>
            <w:r w:rsidR="00FD5559" w:rsidRPr="003408A6">
              <w:rPr>
                <w:rFonts w:cstheme="minorHAnsi"/>
                <w:i/>
                <w:lang w:val="en-AU"/>
              </w:rPr>
              <w:t>1.02)</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(0.68–</w:t>
            </w:r>
            <w:r w:rsidR="00FD5559" w:rsidRPr="003408A6">
              <w:rPr>
                <w:rFonts w:cstheme="minorHAnsi"/>
                <w:i/>
                <w:lang w:val="en-AU"/>
              </w:rPr>
              <w:t>1.02)</w:t>
            </w:r>
          </w:p>
        </w:tc>
        <w:tc>
          <w:tcPr>
            <w:tcW w:w="1913"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(0.59–</w:t>
            </w:r>
            <w:r w:rsidR="00FD5559" w:rsidRPr="003408A6">
              <w:rPr>
                <w:rFonts w:cstheme="minorHAnsi"/>
                <w:i/>
                <w:lang w:val="en-AU"/>
              </w:rPr>
              <w:t>0.89)</w:t>
            </w:r>
          </w:p>
        </w:tc>
        <w:tc>
          <w:tcPr>
            <w:tcW w:w="1914" w:type="dxa"/>
            <w:tcBorders>
              <w:top w:val="nil"/>
              <w:bottom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(0.63–</w:t>
            </w:r>
            <w:r w:rsidR="00FD5559" w:rsidRPr="003408A6">
              <w:rPr>
                <w:rFonts w:cstheme="minorHAnsi"/>
                <w:i/>
                <w:lang w:val="en-AU"/>
              </w:rPr>
              <w:t>0.93)</w:t>
            </w:r>
          </w:p>
        </w:tc>
      </w:tr>
      <w:tr w:rsidR="00FD5559" w:rsidRPr="003408A6" w:rsidTr="005F514F">
        <w:trPr>
          <w:trHeight w:val="300"/>
        </w:trPr>
        <w:tc>
          <w:tcPr>
            <w:tcW w:w="1135" w:type="dxa"/>
            <w:tcBorders>
              <w:top w:val="nil"/>
              <w:bottom w:val="nil"/>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top w:val="single" w:sz="4" w:space="0" w:color="auto"/>
              <w:left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r w:rsidRPr="003408A6">
              <w:rPr>
                <w:lang w:val="en-AU"/>
              </w:rPr>
              <w:t>31</w:t>
            </w:r>
            <w:r w:rsidR="00DF53E0" w:rsidRPr="003408A6">
              <w:rPr>
                <w:lang w:val="en-AU"/>
              </w:rPr>
              <w:t>–</w:t>
            </w:r>
            <w:r w:rsidRPr="003408A6">
              <w:rPr>
                <w:lang w:val="en-AU"/>
              </w:rPr>
              <w:t>69</w:t>
            </w:r>
          </w:p>
        </w:tc>
        <w:tc>
          <w:tcPr>
            <w:tcW w:w="1488" w:type="dxa"/>
            <w:tcBorders>
              <w:top w:val="single" w:sz="4" w:space="0" w:color="auto"/>
              <w:lef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14.5</w:t>
            </w:r>
          </w:p>
        </w:tc>
        <w:tc>
          <w:tcPr>
            <w:tcW w:w="1489" w:type="dxa"/>
            <w:tcBorders>
              <w:top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r w:rsidRPr="003408A6">
              <w:rPr>
                <w:lang w:val="en-AU"/>
              </w:rPr>
              <w:t>14.0</w:t>
            </w:r>
          </w:p>
        </w:tc>
        <w:tc>
          <w:tcPr>
            <w:tcW w:w="2268" w:type="dxa"/>
            <w:tcBorders>
              <w:top w:val="single" w:sz="4" w:space="0" w:color="auto"/>
              <w:left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0.96</w:t>
            </w:r>
          </w:p>
        </w:tc>
        <w:tc>
          <w:tcPr>
            <w:tcW w:w="1913" w:type="dxa"/>
            <w:tcBorders>
              <w:top w:val="single" w:sz="4" w:space="0" w:color="auto"/>
              <w:left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0.87</w:t>
            </w:r>
          </w:p>
        </w:tc>
        <w:tc>
          <w:tcPr>
            <w:tcW w:w="1914" w:type="dxa"/>
            <w:tcBorders>
              <w:top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0.95</w:t>
            </w:r>
          </w:p>
        </w:tc>
        <w:tc>
          <w:tcPr>
            <w:tcW w:w="1913" w:type="dxa"/>
            <w:tcBorders>
              <w:top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0.92</w:t>
            </w:r>
          </w:p>
        </w:tc>
        <w:tc>
          <w:tcPr>
            <w:tcW w:w="1914" w:type="dxa"/>
            <w:tcBorders>
              <w:top w:val="single" w:sz="4" w:space="0" w:color="auto"/>
            </w:tcBorders>
            <w:shd w:val="clear" w:color="auto" w:fill="auto"/>
            <w:noWrap/>
            <w:vAlign w:val="center"/>
          </w:tcPr>
          <w:p w:rsidR="00FD5559" w:rsidRPr="003408A6" w:rsidRDefault="00FD5559" w:rsidP="005F514F">
            <w:pPr>
              <w:pStyle w:val="Tabletext0beforeafter"/>
              <w:jc w:val="center"/>
              <w:rPr>
                <w:rFonts w:cstheme="minorHAnsi"/>
                <w:lang w:val="en-AU"/>
              </w:rPr>
            </w:pPr>
            <w:r w:rsidRPr="003408A6">
              <w:rPr>
                <w:rFonts w:cstheme="minorHAnsi"/>
                <w:lang w:val="en-AU"/>
              </w:rPr>
              <w:t>1.02</w:t>
            </w:r>
          </w:p>
        </w:tc>
      </w:tr>
      <w:tr w:rsidR="00FD5559" w:rsidRPr="003408A6" w:rsidTr="005F514F">
        <w:trPr>
          <w:trHeight w:val="300"/>
        </w:trPr>
        <w:tc>
          <w:tcPr>
            <w:tcW w:w="1135" w:type="dxa"/>
            <w:tcBorders>
              <w:top w:val="nil"/>
              <w:bottom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992" w:type="dxa"/>
            <w:tcBorders>
              <w:left w:val="single" w:sz="4" w:space="0" w:color="auto"/>
              <w:right w:val="single" w:sz="4" w:space="0" w:color="auto"/>
            </w:tcBorders>
            <w:shd w:val="clear" w:color="auto" w:fill="auto"/>
            <w:noWrap/>
            <w:vAlign w:val="center"/>
          </w:tcPr>
          <w:p w:rsidR="00FD5559" w:rsidRPr="003408A6" w:rsidRDefault="00FD5559" w:rsidP="00D80630">
            <w:pPr>
              <w:pStyle w:val="Tabletext0beforeafter"/>
              <w:rPr>
                <w:lang w:val="en-AU"/>
              </w:rPr>
            </w:pPr>
          </w:p>
        </w:tc>
        <w:tc>
          <w:tcPr>
            <w:tcW w:w="1488" w:type="dxa"/>
            <w:tcBorders>
              <w:left w:val="single" w:sz="4" w:space="0" w:color="auto"/>
              <w:bottom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1489" w:type="dxa"/>
            <w:tcBorders>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lang w:val="en-AU"/>
              </w:rPr>
            </w:pPr>
          </w:p>
        </w:tc>
        <w:tc>
          <w:tcPr>
            <w:tcW w:w="2268" w:type="dxa"/>
            <w:tcBorders>
              <w:left w:val="single" w:sz="4" w:space="0" w:color="auto"/>
              <w:bottom w:val="single" w:sz="4" w:space="0" w:color="auto"/>
              <w:right w:val="single" w:sz="4" w:space="0" w:color="auto"/>
            </w:tcBorders>
            <w:shd w:val="clear" w:color="auto" w:fill="auto"/>
            <w:noWrap/>
            <w:vAlign w:val="center"/>
          </w:tcPr>
          <w:p w:rsidR="00FD5559" w:rsidRPr="003408A6" w:rsidRDefault="00FD5559" w:rsidP="005F514F">
            <w:pPr>
              <w:pStyle w:val="Tabletext0beforeafter"/>
              <w:jc w:val="center"/>
              <w:rPr>
                <w:rFonts w:cstheme="minorHAnsi"/>
                <w:i/>
                <w:lang w:val="en-AU"/>
              </w:rPr>
            </w:pPr>
            <w:r w:rsidRPr="003408A6">
              <w:rPr>
                <w:rFonts w:cstheme="minorHAnsi"/>
                <w:i/>
                <w:lang w:val="en-AU"/>
              </w:rPr>
              <w:t>(0.91</w:t>
            </w:r>
            <w:r w:rsidR="00D80630" w:rsidRPr="003408A6">
              <w:rPr>
                <w:rFonts w:cstheme="minorHAnsi"/>
                <w:i/>
                <w:lang w:val="en-AU"/>
              </w:rPr>
              <w:t>–</w:t>
            </w:r>
            <w:r w:rsidRPr="003408A6">
              <w:rPr>
                <w:rFonts w:cstheme="minorHAnsi"/>
                <w:i/>
                <w:lang w:val="en-AU"/>
              </w:rPr>
              <w:t>1.02)</w:t>
            </w:r>
          </w:p>
        </w:tc>
        <w:tc>
          <w:tcPr>
            <w:tcW w:w="1913" w:type="dxa"/>
            <w:tcBorders>
              <w:left w:val="single" w:sz="4" w:space="0" w:color="auto"/>
            </w:tcBorders>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(0.80–</w:t>
            </w:r>
            <w:r w:rsidR="00FD5559" w:rsidRPr="003408A6">
              <w:rPr>
                <w:rFonts w:cstheme="minorHAnsi"/>
                <w:i/>
                <w:lang w:val="en-AU"/>
              </w:rPr>
              <w:t>0.95)</w:t>
            </w:r>
          </w:p>
        </w:tc>
        <w:tc>
          <w:tcPr>
            <w:tcW w:w="1914" w:type="dxa"/>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(0.87–</w:t>
            </w:r>
            <w:r w:rsidR="00FD5559" w:rsidRPr="003408A6">
              <w:rPr>
                <w:rFonts w:cstheme="minorHAnsi"/>
                <w:i/>
                <w:lang w:val="en-AU"/>
              </w:rPr>
              <w:t>1.03)</w:t>
            </w:r>
          </w:p>
        </w:tc>
        <w:tc>
          <w:tcPr>
            <w:tcW w:w="1913" w:type="dxa"/>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(0.85–</w:t>
            </w:r>
            <w:r w:rsidR="00FD5559" w:rsidRPr="003408A6">
              <w:rPr>
                <w:rFonts w:cstheme="minorHAnsi"/>
                <w:i/>
                <w:lang w:val="en-AU"/>
              </w:rPr>
              <w:t>1.00)</w:t>
            </w:r>
          </w:p>
        </w:tc>
        <w:tc>
          <w:tcPr>
            <w:tcW w:w="1914" w:type="dxa"/>
            <w:shd w:val="clear" w:color="auto" w:fill="auto"/>
            <w:noWrap/>
            <w:vAlign w:val="center"/>
          </w:tcPr>
          <w:p w:rsidR="00FD5559" w:rsidRPr="003408A6" w:rsidRDefault="00D80630" w:rsidP="005F514F">
            <w:pPr>
              <w:pStyle w:val="Tabletext0beforeafter"/>
              <w:jc w:val="center"/>
              <w:rPr>
                <w:rFonts w:cstheme="minorHAnsi"/>
                <w:i/>
                <w:lang w:val="en-AU"/>
              </w:rPr>
            </w:pPr>
            <w:r w:rsidRPr="003408A6">
              <w:rPr>
                <w:rFonts w:cstheme="minorHAnsi"/>
                <w:i/>
                <w:lang w:val="en-AU"/>
              </w:rPr>
              <w:t>(0.94–</w:t>
            </w:r>
            <w:r w:rsidR="00FD5559" w:rsidRPr="003408A6">
              <w:rPr>
                <w:rFonts w:cstheme="minorHAnsi"/>
                <w:i/>
                <w:lang w:val="en-AU"/>
              </w:rPr>
              <w:t>1.11)</w:t>
            </w:r>
          </w:p>
        </w:tc>
      </w:tr>
    </w:tbl>
    <w:p w:rsidR="00FD5559" w:rsidRPr="003408A6" w:rsidRDefault="00FD5559" w:rsidP="00D80630">
      <w:pPr>
        <w:pStyle w:val="Tablefootnote"/>
      </w:pPr>
      <w:r w:rsidRPr="003408A6">
        <w:t xml:space="preserve">See also </w:t>
      </w:r>
      <w:r w:rsidR="005D0CC1" w:rsidRPr="003408A6">
        <w:rPr>
          <w:b/>
        </w:rPr>
        <w:t xml:space="preserve">Table </w:t>
      </w:r>
      <w:r w:rsidR="005F514F">
        <w:rPr>
          <w:b/>
        </w:rPr>
        <w:t>A</w:t>
      </w:r>
      <w:r w:rsidR="005D0CC1" w:rsidRPr="003408A6">
        <w:rPr>
          <w:b/>
        </w:rPr>
        <w:t>6.</w:t>
      </w:r>
      <w:r w:rsidR="00653668">
        <w:rPr>
          <w:b/>
        </w:rPr>
        <w:t>3</w:t>
      </w:r>
      <w:r w:rsidR="005F514F">
        <w:rPr>
          <w:b/>
        </w:rPr>
        <w:t>.1</w:t>
      </w:r>
      <w:r w:rsidR="005D0CC1" w:rsidRPr="003408A6">
        <w:t xml:space="preserve"> in </w:t>
      </w:r>
      <w:r w:rsidR="005D0CC1" w:rsidRPr="003408A6">
        <w:rPr>
          <w:b/>
        </w:rPr>
        <w:t>Appendix 6.</w:t>
      </w:r>
      <w:r w:rsidR="00653668">
        <w:rPr>
          <w:b/>
        </w:rPr>
        <w:t>3</w:t>
      </w:r>
      <w:r w:rsidR="00653668" w:rsidRPr="003408A6">
        <w:t xml:space="preserve"> </w:t>
      </w:r>
      <w:r w:rsidRPr="003408A6">
        <w:t>for details of admission numbers by age and year</w:t>
      </w:r>
      <w:r w:rsidR="00DF53E0" w:rsidRPr="003408A6">
        <w:t>.</w:t>
      </w:r>
    </w:p>
    <w:p w:rsidR="00FD5559" w:rsidRPr="003408A6" w:rsidRDefault="00FD5559" w:rsidP="00FD5559">
      <w:pPr>
        <w:rPr>
          <w:sz w:val="20"/>
        </w:rPr>
        <w:sectPr w:rsidR="00FD5559" w:rsidRPr="003408A6" w:rsidSect="00D07C02">
          <w:pgSz w:w="16838" w:h="11906" w:orient="landscape"/>
          <w:pgMar w:top="1134" w:right="1134" w:bottom="1134" w:left="1134" w:header="709" w:footer="709" w:gutter="0"/>
          <w:cols w:space="708"/>
          <w:docGrid w:linePitch="360"/>
        </w:sectPr>
      </w:pPr>
    </w:p>
    <w:p w:rsidR="00FD5559" w:rsidRPr="003408A6" w:rsidRDefault="00FD5559" w:rsidP="00FD5559">
      <w:pPr>
        <w:pStyle w:val="Heading3"/>
      </w:pPr>
      <w:bookmarkStart w:id="241" w:name="_Toc372811173"/>
      <w:r w:rsidRPr="003408A6">
        <w:t>Sensitivity analysis</w:t>
      </w:r>
      <w:bookmarkEnd w:id="241"/>
    </w:p>
    <w:p w:rsidR="00FD5559" w:rsidRPr="003408A6" w:rsidRDefault="00FD5559" w:rsidP="00E82E58">
      <w:pPr>
        <w:pStyle w:val="BodyText"/>
        <w:rPr>
          <w:lang w:val="en-AU"/>
        </w:rPr>
      </w:pPr>
      <w:r w:rsidRPr="003408A6">
        <w:rPr>
          <w:lang w:val="en-AU"/>
        </w:rPr>
        <w:t xml:space="preserve">A sensitivity analysis was performed which looked at age-related trends in </w:t>
      </w:r>
      <w:r w:rsidR="005F514F">
        <w:rPr>
          <w:lang w:val="en-AU"/>
        </w:rPr>
        <w:t xml:space="preserve">admissions in </w:t>
      </w:r>
      <w:r w:rsidRPr="003408A6">
        <w:rPr>
          <w:lang w:val="en-AU"/>
        </w:rPr>
        <w:t xml:space="preserve">males stratified </w:t>
      </w:r>
      <w:r w:rsidR="00DF53E0" w:rsidRPr="003408A6">
        <w:rPr>
          <w:lang w:val="en-AU"/>
        </w:rPr>
        <w:t>by</w:t>
      </w:r>
      <w:r w:rsidRPr="003408A6">
        <w:rPr>
          <w:lang w:val="en-AU"/>
        </w:rPr>
        <w:t xml:space="preserve"> whether the admission involved a diagnosis or procedure relating to anal warts or whether only non-anal sites were involved (</w:t>
      </w:r>
      <w:r w:rsidR="00DF53E0" w:rsidRPr="003408A6">
        <w:rPr>
          <w:b/>
          <w:lang w:val="en-AU"/>
        </w:rPr>
        <w:t xml:space="preserve">Table </w:t>
      </w:r>
      <w:r w:rsidR="005F514F">
        <w:rPr>
          <w:b/>
          <w:lang w:val="en-AU"/>
        </w:rPr>
        <w:t>A</w:t>
      </w:r>
      <w:r w:rsidR="00DF53E0" w:rsidRPr="003408A6">
        <w:rPr>
          <w:b/>
          <w:lang w:val="en-AU"/>
        </w:rPr>
        <w:t>6.</w:t>
      </w:r>
      <w:r w:rsidR="00653668">
        <w:rPr>
          <w:b/>
          <w:lang w:val="en-AU"/>
        </w:rPr>
        <w:t>1</w:t>
      </w:r>
      <w:r w:rsidR="005F514F">
        <w:rPr>
          <w:b/>
          <w:lang w:val="en-AU"/>
        </w:rPr>
        <w:t>.1</w:t>
      </w:r>
      <w:r w:rsidR="00DF53E0" w:rsidRPr="003408A6">
        <w:rPr>
          <w:lang w:val="en-AU"/>
        </w:rPr>
        <w:t xml:space="preserve"> </w:t>
      </w:r>
      <w:r w:rsidR="00CF2101" w:rsidRPr="003408A6">
        <w:rPr>
          <w:lang w:val="en-AU"/>
        </w:rPr>
        <w:t xml:space="preserve">in </w:t>
      </w:r>
      <w:r w:rsidR="00CF2101" w:rsidRPr="003408A6">
        <w:rPr>
          <w:b/>
          <w:lang w:val="en-AU"/>
        </w:rPr>
        <w:t>Appendix 6</w:t>
      </w:r>
      <w:r w:rsidR="009D68B9" w:rsidRPr="003408A6">
        <w:rPr>
          <w:b/>
          <w:lang w:val="en-AU"/>
        </w:rPr>
        <w:t>.</w:t>
      </w:r>
      <w:r w:rsidR="00653668">
        <w:rPr>
          <w:b/>
          <w:lang w:val="en-AU"/>
        </w:rPr>
        <w:t>1</w:t>
      </w:r>
      <w:r w:rsidRPr="003408A6">
        <w:rPr>
          <w:lang w:val="en-AU"/>
        </w:rPr>
        <w:t>). The reductions in warts admissions observed in younger males aged 18</w:t>
      </w:r>
      <w:r w:rsidR="00DF53E0" w:rsidRPr="003408A6">
        <w:rPr>
          <w:lang w:val="en-AU"/>
        </w:rPr>
        <w:t>–</w:t>
      </w:r>
      <w:r w:rsidRPr="003408A6">
        <w:rPr>
          <w:lang w:val="en-AU"/>
        </w:rPr>
        <w:t>26 years appeared to be confined to admissions involving only non-anal sites; there was no evidence of a reduction in admissions involving anal warts in this age group. Admissions for non-anal warts in males in 2010/2011 were estimated to have decreased by 57% (95% CI: 44</w:t>
      </w:r>
      <w:r w:rsidR="00DF53E0" w:rsidRPr="003408A6">
        <w:rPr>
          <w:lang w:val="en-AU"/>
        </w:rPr>
        <w:t>–</w:t>
      </w:r>
      <w:r w:rsidRPr="003408A6">
        <w:rPr>
          <w:lang w:val="en-AU"/>
        </w:rPr>
        <w:t>68%) compared to 2006/2007, and by 63% (95% CI: 53</w:t>
      </w:r>
      <w:r w:rsidR="00DF53E0" w:rsidRPr="003408A6">
        <w:rPr>
          <w:lang w:val="en-AU"/>
        </w:rPr>
        <w:t>–</w:t>
      </w:r>
      <w:r w:rsidRPr="003408A6">
        <w:rPr>
          <w:lang w:val="en-AU"/>
        </w:rPr>
        <w:t>71%) compared to the average for the pre-</w:t>
      </w:r>
      <w:r w:rsidR="005F514F" w:rsidRPr="003408A6">
        <w:rPr>
          <w:lang w:val="en-AU"/>
        </w:rPr>
        <w:t>vaccin</w:t>
      </w:r>
      <w:r w:rsidR="005F514F">
        <w:rPr>
          <w:lang w:val="en-AU"/>
        </w:rPr>
        <w:t>e</w:t>
      </w:r>
      <w:r w:rsidR="005F514F" w:rsidRPr="003408A6">
        <w:rPr>
          <w:lang w:val="en-AU"/>
        </w:rPr>
        <w:t xml:space="preserve"> </w:t>
      </w:r>
      <w:r w:rsidRPr="003408A6">
        <w:rPr>
          <w:lang w:val="en-AU"/>
        </w:rPr>
        <w:t>period. There was no evidence of a reduction in admissions involving anal warts among males aged 18</w:t>
      </w:r>
      <w:r w:rsidR="00DF53E0" w:rsidRPr="003408A6">
        <w:rPr>
          <w:lang w:val="en-AU"/>
        </w:rPr>
        <w:t>–</w:t>
      </w:r>
      <w:r w:rsidRPr="003408A6">
        <w:rPr>
          <w:lang w:val="en-AU"/>
        </w:rPr>
        <w:t>26 years (P=0.46).</w:t>
      </w:r>
    </w:p>
    <w:p w:rsidR="00FD5559" w:rsidRPr="003408A6" w:rsidRDefault="00C25DA1" w:rsidP="00C2177D">
      <w:pPr>
        <w:pStyle w:val="Tableheading"/>
        <w:rPr>
          <w:lang w:val="en-AU"/>
        </w:rPr>
      </w:pPr>
      <w:bookmarkStart w:id="242" w:name="_Toc396475561"/>
      <w:bookmarkStart w:id="243" w:name="_Toc397000789"/>
      <w:r w:rsidRPr="003408A6">
        <w:rPr>
          <w:lang w:val="en-AU"/>
        </w:rPr>
        <w:t>Table 6.6</w:t>
      </w:r>
      <w:r w:rsidR="00DF53E0" w:rsidRPr="003408A6">
        <w:rPr>
          <w:lang w:val="en-AU"/>
        </w:rPr>
        <w:t>.</w:t>
      </w:r>
      <w:r w:rsidR="00D861BD" w:rsidRPr="003408A6">
        <w:rPr>
          <w:lang w:val="en-AU"/>
        </w:rPr>
        <w:tab/>
      </w:r>
      <w:r w:rsidRPr="003408A6">
        <w:rPr>
          <w:lang w:val="en-AU"/>
        </w:rPr>
        <w:t>Results of analysis in males aged 18</w:t>
      </w:r>
      <w:r w:rsidR="00DF53E0" w:rsidRPr="003408A6">
        <w:rPr>
          <w:lang w:val="en-AU"/>
        </w:rPr>
        <w:t>–</w:t>
      </w:r>
      <w:r w:rsidRPr="003408A6">
        <w:rPr>
          <w:lang w:val="en-AU"/>
        </w:rPr>
        <w:t>26 years stratified by warts site (sensitivity analysis)</w:t>
      </w:r>
      <w:bookmarkEnd w:id="242"/>
      <w:bookmarkEnd w:id="243"/>
    </w:p>
    <w:tbl>
      <w:tblPr>
        <w:tblStyle w:val="TableGrid"/>
        <w:tblW w:w="9747" w:type="dxa"/>
        <w:tblBorders>
          <w:insideH w:val="none" w:sz="0" w:space="0" w:color="auto"/>
          <w:insideV w:val="none" w:sz="0" w:space="0" w:color="auto"/>
        </w:tblBorders>
        <w:tblLook w:val="04A0" w:firstRow="1" w:lastRow="0" w:firstColumn="1" w:lastColumn="0" w:noHBand="0" w:noVBand="1"/>
        <w:tblCaption w:val="Results of analysis in males aged 18–26 years stratified by warts site (sensitivity analysis)"/>
      </w:tblPr>
      <w:tblGrid>
        <w:gridCol w:w="3510"/>
        <w:gridCol w:w="2079"/>
        <w:gridCol w:w="2079"/>
        <w:gridCol w:w="2079"/>
      </w:tblGrid>
      <w:tr w:rsidR="00FD5559" w:rsidRPr="003408A6" w:rsidTr="009D2B74">
        <w:trPr>
          <w:tblHeader/>
        </w:trPr>
        <w:tc>
          <w:tcPr>
            <w:tcW w:w="3510" w:type="dxa"/>
            <w:tcBorders>
              <w:top w:val="single" w:sz="4" w:space="0" w:color="auto"/>
              <w:bottom w:val="single" w:sz="4" w:space="0" w:color="auto"/>
            </w:tcBorders>
          </w:tcPr>
          <w:p w:rsidR="00FD5559" w:rsidRPr="003408A6" w:rsidRDefault="00FD5559" w:rsidP="00385669">
            <w:pPr>
              <w:pStyle w:val="Tablecolumnheading"/>
              <w:rPr>
                <w:lang w:val="en-AU"/>
              </w:rPr>
            </w:pPr>
            <w:r w:rsidRPr="003408A6">
              <w:rPr>
                <w:lang w:val="en-AU"/>
              </w:rPr>
              <w:t>Parameter estimates</w:t>
            </w:r>
          </w:p>
        </w:tc>
        <w:tc>
          <w:tcPr>
            <w:tcW w:w="2079" w:type="dxa"/>
            <w:tcBorders>
              <w:top w:val="single" w:sz="4" w:space="0" w:color="auto"/>
              <w:bottom w:val="single" w:sz="4" w:space="0" w:color="auto"/>
            </w:tcBorders>
          </w:tcPr>
          <w:p w:rsidR="00FD5559" w:rsidRPr="003408A6" w:rsidRDefault="00FD5559" w:rsidP="00385669">
            <w:pPr>
              <w:pStyle w:val="Tablecolumnheadings"/>
              <w:jc w:val="left"/>
              <w:rPr>
                <w:lang w:val="en-AU"/>
              </w:rPr>
            </w:pPr>
            <w:r w:rsidRPr="003408A6">
              <w:rPr>
                <w:lang w:val="en-AU"/>
              </w:rPr>
              <w:t>All sites</w:t>
            </w:r>
          </w:p>
        </w:tc>
        <w:tc>
          <w:tcPr>
            <w:tcW w:w="2079" w:type="dxa"/>
            <w:tcBorders>
              <w:top w:val="single" w:sz="4" w:space="0" w:color="auto"/>
              <w:bottom w:val="single" w:sz="4" w:space="0" w:color="auto"/>
            </w:tcBorders>
          </w:tcPr>
          <w:p w:rsidR="00FD5559" w:rsidRPr="003408A6" w:rsidRDefault="00FD5559" w:rsidP="00385669">
            <w:pPr>
              <w:pStyle w:val="Tablecolumnheadings"/>
              <w:jc w:val="left"/>
              <w:rPr>
                <w:lang w:val="en-AU"/>
              </w:rPr>
            </w:pPr>
            <w:r w:rsidRPr="003408A6">
              <w:rPr>
                <w:lang w:val="en-AU"/>
              </w:rPr>
              <w:t>Anal warts</w:t>
            </w:r>
          </w:p>
        </w:tc>
        <w:tc>
          <w:tcPr>
            <w:tcW w:w="2079" w:type="dxa"/>
            <w:tcBorders>
              <w:top w:val="single" w:sz="4" w:space="0" w:color="auto"/>
              <w:bottom w:val="single" w:sz="4" w:space="0" w:color="auto"/>
            </w:tcBorders>
          </w:tcPr>
          <w:p w:rsidR="00FD5559" w:rsidRPr="003408A6" w:rsidRDefault="00FD5559" w:rsidP="00385669">
            <w:pPr>
              <w:pStyle w:val="Tablecolumnheadings"/>
              <w:jc w:val="left"/>
              <w:rPr>
                <w:lang w:val="en-AU"/>
              </w:rPr>
            </w:pPr>
            <w:r w:rsidRPr="003408A6">
              <w:rPr>
                <w:lang w:val="en-AU"/>
              </w:rPr>
              <w:t>Non-anal sites only*</w:t>
            </w:r>
          </w:p>
        </w:tc>
      </w:tr>
      <w:tr w:rsidR="00FD5559" w:rsidRPr="003408A6" w:rsidTr="005F514F">
        <w:tc>
          <w:tcPr>
            <w:tcW w:w="3510" w:type="dxa"/>
            <w:tcBorders>
              <w:top w:val="single" w:sz="4" w:space="0" w:color="auto"/>
              <w:bottom w:val="nil"/>
            </w:tcBorders>
            <w:vAlign w:val="center"/>
          </w:tcPr>
          <w:p w:rsidR="00FD5559" w:rsidRPr="003408A6" w:rsidRDefault="00FD5559" w:rsidP="005F514F">
            <w:pPr>
              <w:pStyle w:val="Tabletextbold"/>
              <w:rPr>
                <w:lang w:val="en-AU"/>
              </w:rPr>
            </w:pPr>
            <w:r w:rsidRPr="003408A6">
              <w:rPr>
                <w:lang w:val="en-AU"/>
              </w:rPr>
              <w:t>Average admission rates</w:t>
            </w:r>
          </w:p>
        </w:tc>
        <w:tc>
          <w:tcPr>
            <w:tcW w:w="2079" w:type="dxa"/>
            <w:tcBorders>
              <w:top w:val="single" w:sz="4" w:space="0" w:color="auto"/>
              <w:bottom w:val="nil"/>
            </w:tcBorders>
            <w:vAlign w:val="center"/>
          </w:tcPr>
          <w:p w:rsidR="00FD5559" w:rsidRPr="003408A6" w:rsidRDefault="00FD5559" w:rsidP="005F514F">
            <w:pPr>
              <w:pStyle w:val="Tabletext"/>
              <w:rPr>
                <w:lang w:val="en-AU"/>
              </w:rPr>
            </w:pPr>
          </w:p>
        </w:tc>
        <w:tc>
          <w:tcPr>
            <w:tcW w:w="2079" w:type="dxa"/>
            <w:tcBorders>
              <w:top w:val="single" w:sz="4" w:space="0" w:color="auto"/>
              <w:bottom w:val="nil"/>
            </w:tcBorders>
            <w:vAlign w:val="center"/>
          </w:tcPr>
          <w:p w:rsidR="00FD5559" w:rsidRPr="003408A6" w:rsidRDefault="00FD5559" w:rsidP="005F514F">
            <w:pPr>
              <w:pStyle w:val="Tabletext"/>
              <w:rPr>
                <w:lang w:val="en-AU"/>
              </w:rPr>
            </w:pPr>
          </w:p>
        </w:tc>
        <w:tc>
          <w:tcPr>
            <w:tcW w:w="2079" w:type="dxa"/>
            <w:tcBorders>
              <w:top w:val="single" w:sz="4" w:space="0" w:color="auto"/>
              <w:bottom w:val="nil"/>
            </w:tcBorders>
            <w:vAlign w:val="center"/>
          </w:tcPr>
          <w:p w:rsidR="00FD5559" w:rsidRPr="003408A6" w:rsidRDefault="00FD5559" w:rsidP="005F514F">
            <w:pPr>
              <w:pStyle w:val="Tabletext"/>
              <w:rPr>
                <w:lang w:val="en-AU"/>
              </w:rPr>
            </w:pPr>
          </w:p>
        </w:tc>
      </w:tr>
      <w:tr w:rsidR="00FD5559" w:rsidRPr="003408A6" w:rsidTr="005F514F">
        <w:tc>
          <w:tcPr>
            <w:tcW w:w="3510" w:type="dxa"/>
            <w:tcBorders>
              <w:top w:val="nil"/>
              <w:bottom w:val="nil"/>
            </w:tcBorders>
            <w:vAlign w:val="center"/>
          </w:tcPr>
          <w:p w:rsidR="00FD5559" w:rsidRPr="003408A6" w:rsidRDefault="00FD5559" w:rsidP="00385669">
            <w:pPr>
              <w:pStyle w:val="Tabletext"/>
              <w:rPr>
                <w:lang w:val="en-AU"/>
              </w:rPr>
            </w:pPr>
            <w:r w:rsidRPr="003408A6">
              <w:rPr>
                <w:lang w:val="en-AU"/>
              </w:rPr>
              <w:t>Pre-</w:t>
            </w:r>
            <w:r w:rsidR="00385669" w:rsidRPr="003408A6">
              <w:rPr>
                <w:lang w:val="en-AU"/>
              </w:rPr>
              <w:t>vaccin</w:t>
            </w:r>
            <w:r w:rsidR="00385669">
              <w:rPr>
                <w:lang w:val="en-AU"/>
              </w:rPr>
              <w:t>e</w:t>
            </w:r>
            <w:r w:rsidR="00385669" w:rsidRPr="003408A6">
              <w:rPr>
                <w:lang w:val="en-AU"/>
              </w:rPr>
              <w:t xml:space="preserve"> </w:t>
            </w:r>
            <w:r w:rsidRPr="003408A6">
              <w:rPr>
                <w:lang w:val="en-AU"/>
              </w:rPr>
              <w:t xml:space="preserve">period </w:t>
            </w:r>
            <w:r w:rsidR="00385669">
              <w:rPr>
                <w:lang w:val="en-AU"/>
              </w:rPr>
              <w:br/>
            </w:r>
            <w:r w:rsidRPr="003408A6">
              <w:rPr>
                <w:lang w:val="en-AU"/>
              </w:rPr>
              <w:t>(Jul 2004</w:t>
            </w:r>
            <w:r w:rsidR="00DF53E0" w:rsidRPr="003408A6">
              <w:rPr>
                <w:lang w:val="en-AU"/>
              </w:rPr>
              <w:t>–</w:t>
            </w:r>
            <w:r w:rsidRPr="003408A6">
              <w:rPr>
                <w:lang w:val="en-AU"/>
              </w:rPr>
              <w:t>Jun 2007)</w:t>
            </w:r>
          </w:p>
        </w:tc>
        <w:tc>
          <w:tcPr>
            <w:tcW w:w="2079" w:type="dxa"/>
            <w:tcBorders>
              <w:top w:val="nil"/>
              <w:bottom w:val="nil"/>
            </w:tcBorders>
            <w:vAlign w:val="center"/>
          </w:tcPr>
          <w:p w:rsidR="00FD5559" w:rsidRPr="003408A6" w:rsidRDefault="00FD5559" w:rsidP="005F514F">
            <w:pPr>
              <w:pStyle w:val="Tabletext"/>
              <w:rPr>
                <w:lang w:val="en-AU"/>
              </w:rPr>
            </w:pPr>
            <w:r w:rsidRPr="003408A6">
              <w:rPr>
                <w:lang w:val="en-AU"/>
              </w:rPr>
              <w:t>26.6 per 100,000</w:t>
            </w:r>
          </w:p>
        </w:tc>
        <w:tc>
          <w:tcPr>
            <w:tcW w:w="2079" w:type="dxa"/>
            <w:tcBorders>
              <w:top w:val="nil"/>
              <w:bottom w:val="nil"/>
            </w:tcBorders>
            <w:vAlign w:val="center"/>
          </w:tcPr>
          <w:p w:rsidR="00FD5559" w:rsidRPr="003408A6" w:rsidRDefault="00FD5559" w:rsidP="005F514F">
            <w:pPr>
              <w:pStyle w:val="Tabletext"/>
              <w:rPr>
                <w:lang w:val="en-AU"/>
              </w:rPr>
            </w:pPr>
            <w:r w:rsidRPr="003408A6">
              <w:rPr>
                <w:lang w:val="en-AU"/>
              </w:rPr>
              <w:t>11.4 per 100,000</w:t>
            </w:r>
          </w:p>
        </w:tc>
        <w:tc>
          <w:tcPr>
            <w:tcW w:w="2079" w:type="dxa"/>
            <w:tcBorders>
              <w:top w:val="nil"/>
              <w:bottom w:val="nil"/>
            </w:tcBorders>
            <w:vAlign w:val="center"/>
          </w:tcPr>
          <w:p w:rsidR="00FD5559" w:rsidRPr="003408A6" w:rsidRDefault="00FD5559" w:rsidP="005F514F">
            <w:pPr>
              <w:pStyle w:val="Tabletext"/>
              <w:rPr>
                <w:lang w:val="en-AU"/>
              </w:rPr>
            </w:pPr>
            <w:r w:rsidRPr="003408A6">
              <w:rPr>
                <w:lang w:val="en-AU"/>
              </w:rPr>
              <w:t>15.2 per 100,000</w:t>
            </w:r>
          </w:p>
        </w:tc>
      </w:tr>
      <w:tr w:rsidR="00FD5559" w:rsidRPr="003408A6" w:rsidTr="005F514F">
        <w:tc>
          <w:tcPr>
            <w:tcW w:w="3510" w:type="dxa"/>
            <w:tcBorders>
              <w:top w:val="nil"/>
            </w:tcBorders>
            <w:vAlign w:val="center"/>
          </w:tcPr>
          <w:p w:rsidR="00FD5559" w:rsidRPr="003408A6" w:rsidRDefault="00FD5559" w:rsidP="00385669">
            <w:pPr>
              <w:pStyle w:val="Tabletext"/>
              <w:rPr>
                <w:lang w:val="en-AU"/>
              </w:rPr>
            </w:pPr>
            <w:r w:rsidRPr="003408A6">
              <w:rPr>
                <w:lang w:val="en-AU"/>
              </w:rPr>
              <w:t>Post-</w:t>
            </w:r>
            <w:r w:rsidR="00385669" w:rsidRPr="003408A6">
              <w:rPr>
                <w:lang w:val="en-AU"/>
              </w:rPr>
              <w:t>vaccin</w:t>
            </w:r>
            <w:r w:rsidR="00385669">
              <w:rPr>
                <w:lang w:val="en-AU"/>
              </w:rPr>
              <w:t>e</w:t>
            </w:r>
            <w:r w:rsidR="00385669" w:rsidRPr="003408A6">
              <w:rPr>
                <w:lang w:val="en-AU"/>
              </w:rPr>
              <w:t xml:space="preserve"> </w:t>
            </w:r>
            <w:r w:rsidRPr="003408A6">
              <w:rPr>
                <w:lang w:val="en-AU"/>
              </w:rPr>
              <w:t xml:space="preserve">period </w:t>
            </w:r>
            <w:r w:rsidR="00385669">
              <w:rPr>
                <w:lang w:val="en-AU"/>
              </w:rPr>
              <w:br/>
            </w:r>
            <w:r w:rsidRPr="003408A6">
              <w:rPr>
                <w:lang w:val="en-AU"/>
              </w:rPr>
              <w:t>(Jul 2008</w:t>
            </w:r>
            <w:r w:rsidR="00DF53E0" w:rsidRPr="003408A6">
              <w:rPr>
                <w:lang w:val="en-AU"/>
              </w:rPr>
              <w:t>–</w:t>
            </w:r>
            <w:r w:rsidRPr="003408A6">
              <w:rPr>
                <w:lang w:val="en-AU"/>
              </w:rPr>
              <w:t>Jun 2011)</w:t>
            </w:r>
          </w:p>
        </w:tc>
        <w:tc>
          <w:tcPr>
            <w:tcW w:w="2079" w:type="dxa"/>
            <w:tcBorders>
              <w:top w:val="nil"/>
            </w:tcBorders>
            <w:vAlign w:val="center"/>
          </w:tcPr>
          <w:p w:rsidR="00FD5559" w:rsidRPr="003408A6" w:rsidRDefault="00FD5559" w:rsidP="005F514F">
            <w:pPr>
              <w:pStyle w:val="Tabletext"/>
              <w:rPr>
                <w:lang w:val="en-AU"/>
              </w:rPr>
            </w:pPr>
            <w:r w:rsidRPr="003408A6">
              <w:rPr>
                <w:lang w:val="en-AU"/>
              </w:rPr>
              <w:t>20.1 per 100,000</w:t>
            </w:r>
          </w:p>
        </w:tc>
        <w:tc>
          <w:tcPr>
            <w:tcW w:w="2079" w:type="dxa"/>
            <w:tcBorders>
              <w:top w:val="nil"/>
            </w:tcBorders>
            <w:vAlign w:val="center"/>
          </w:tcPr>
          <w:p w:rsidR="00FD5559" w:rsidRPr="003408A6" w:rsidRDefault="00FD5559" w:rsidP="005F514F">
            <w:pPr>
              <w:pStyle w:val="Tabletext"/>
              <w:rPr>
                <w:lang w:val="en-AU"/>
              </w:rPr>
            </w:pPr>
            <w:r w:rsidRPr="003408A6">
              <w:rPr>
                <w:lang w:val="en-AU"/>
              </w:rPr>
              <w:t>10.1 per 100,000</w:t>
            </w:r>
          </w:p>
        </w:tc>
        <w:tc>
          <w:tcPr>
            <w:tcW w:w="2079" w:type="dxa"/>
            <w:tcBorders>
              <w:top w:val="nil"/>
            </w:tcBorders>
            <w:vAlign w:val="center"/>
          </w:tcPr>
          <w:p w:rsidR="00FD5559" w:rsidRPr="003408A6" w:rsidRDefault="00FD5559" w:rsidP="005F514F">
            <w:pPr>
              <w:pStyle w:val="Tabletext"/>
              <w:rPr>
                <w:lang w:val="en-AU"/>
              </w:rPr>
            </w:pPr>
            <w:r w:rsidRPr="003408A6">
              <w:rPr>
                <w:lang w:val="en-AU"/>
              </w:rPr>
              <w:t>9.9 per 100,000</w:t>
            </w:r>
          </w:p>
        </w:tc>
      </w:tr>
      <w:tr w:rsidR="00FD5559" w:rsidRPr="003408A6" w:rsidTr="005F514F">
        <w:tc>
          <w:tcPr>
            <w:tcW w:w="3510" w:type="dxa"/>
            <w:tcBorders>
              <w:top w:val="nil"/>
            </w:tcBorders>
            <w:vAlign w:val="center"/>
          </w:tcPr>
          <w:p w:rsidR="00FD5559" w:rsidRPr="003408A6" w:rsidRDefault="00FD5559" w:rsidP="005F514F">
            <w:pPr>
              <w:pStyle w:val="Tabletextbold"/>
              <w:rPr>
                <w:lang w:val="en-AU"/>
              </w:rPr>
            </w:pPr>
            <w:r w:rsidRPr="003408A6">
              <w:rPr>
                <w:lang w:val="en-AU"/>
              </w:rPr>
              <w:t>Rate ratios</w:t>
            </w:r>
          </w:p>
        </w:tc>
        <w:tc>
          <w:tcPr>
            <w:tcW w:w="2079" w:type="dxa"/>
            <w:tcBorders>
              <w:top w:val="nil"/>
            </w:tcBorders>
            <w:vAlign w:val="center"/>
          </w:tcPr>
          <w:p w:rsidR="00FD5559" w:rsidRPr="003408A6" w:rsidRDefault="00FD5559" w:rsidP="005F514F">
            <w:pPr>
              <w:pStyle w:val="Tabletext"/>
              <w:rPr>
                <w:lang w:val="en-AU"/>
              </w:rPr>
            </w:pPr>
          </w:p>
        </w:tc>
        <w:tc>
          <w:tcPr>
            <w:tcW w:w="2079" w:type="dxa"/>
            <w:tcBorders>
              <w:top w:val="nil"/>
            </w:tcBorders>
            <w:vAlign w:val="center"/>
          </w:tcPr>
          <w:p w:rsidR="00FD5559" w:rsidRPr="003408A6" w:rsidRDefault="00FD5559" w:rsidP="005F514F">
            <w:pPr>
              <w:pStyle w:val="Tabletext"/>
              <w:rPr>
                <w:lang w:val="en-AU"/>
              </w:rPr>
            </w:pPr>
          </w:p>
        </w:tc>
        <w:tc>
          <w:tcPr>
            <w:tcW w:w="2079" w:type="dxa"/>
            <w:tcBorders>
              <w:top w:val="nil"/>
            </w:tcBorders>
            <w:vAlign w:val="center"/>
          </w:tcPr>
          <w:p w:rsidR="00FD5559" w:rsidRPr="003408A6" w:rsidRDefault="00FD5559" w:rsidP="005F514F">
            <w:pPr>
              <w:pStyle w:val="Tabletext"/>
              <w:rPr>
                <w:lang w:val="en-AU"/>
              </w:rPr>
            </w:pPr>
          </w:p>
        </w:tc>
      </w:tr>
      <w:tr w:rsidR="00FD5559" w:rsidRPr="003408A6" w:rsidTr="005F514F">
        <w:tc>
          <w:tcPr>
            <w:tcW w:w="3510" w:type="dxa"/>
            <w:vAlign w:val="center"/>
          </w:tcPr>
          <w:p w:rsidR="00FD5559" w:rsidRPr="003408A6" w:rsidRDefault="00FD5559" w:rsidP="00385669">
            <w:pPr>
              <w:pStyle w:val="Tabletext"/>
              <w:rPr>
                <w:lang w:val="en-AU"/>
              </w:rPr>
            </w:pPr>
            <w:r w:rsidRPr="003408A6">
              <w:rPr>
                <w:lang w:val="en-AU"/>
              </w:rPr>
              <w:t>Post-</w:t>
            </w:r>
            <w:r w:rsidR="00385669" w:rsidRPr="003408A6">
              <w:rPr>
                <w:lang w:val="en-AU"/>
              </w:rPr>
              <w:t>vaccin</w:t>
            </w:r>
            <w:r w:rsidR="00385669">
              <w:rPr>
                <w:lang w:val="en-AU"/>
              </w:rPr>
              <w:t>e</w:t>
            </w:r>
            <w:r w:rsidR="00385669" w:rsidRPr="003408A6">
              <w:rPr>
                <w:lang w:val="en-AU"/>
              </w:rPr>
              <w:t xml:space="preserve"> </w:t>
            </w:r>
            <w:r w:rsidRPr="003408A6">
              <w:rPr>
                <w:lang w:val="en-AU"/>
              </w:rPr>
              <w:t>average relative to pre-</w:t>
            </w:r>
            <w:r w:rsidR="00385669" w:rsidRPr="003408A6">
              <w:rPr>
                <w:lang w:val="en-AU"/>
              </w:rPr>
              <w:t>vaccin</w:t>
            </w:r>
            <w:r w:rsidR="00385669">
              <w:rPr>
                <w:lang w:val="en-AU"/>
              </w:rPr>
              <w:t>e</w:t>
            </w:r>
            <w:r w:rsidR="00385669" w:rsidRPr="003408A6">
              <w:rPr>
                <w:lang w:val="en-AU"/>
              </w:rPr>
              <w:t xml:space="preserve"> </w:t>
            </w:r>
            <w:r w:rsidRPr="003408A6">
              <w:rPr>
                <w:lang w:val="en-AU"/>
              </w:rPr>
              <w:t>average</w:t>
            </w:r>
          </w:p>
        </w:tc>
        <w:tc>
          <w:tcPr>
            <w:tcW w:w="2079" w:type="dxa"/>
            <w:vAlign w:val="center"/>
          </w:tcPr>
          <w:p w:rsidR="00FD5559" w:rsidRPr="003408A6" w:rsidRDefault="00FD5559" w:rsidP="005F514F">
            <w:pPr>
              <w:pStyle w:val="Tabletext"/>
              <w:rPr>
                <w:lang w:val="en-AU"/>
              </w:rPr>
            </w:pPr>
            <w:r w:rsidRPr="003408A6">
              <w:rPr>
                <w:lang w:val="en-AU"/>
              </w:rPr>
              <w:t>0.75</w:t>
            </w:r>
          </w:p>
          <w:p w:rsidR="00FD5559" w:rsidRPr="003408A6" w:rsidRDefault="00FD5559" w:rsidP="005F514F">
            <w:pPr>
              <w:pStyle w:val="Tabletext"/>
              <w:rPr>
                <w:i/>
                <w:lang w:val="en-AU"/>
              </w:rPr>
            </w:pPr>
            <w:r w:rsidRPr="003408A6">
              <w:rPr>
                <w:i/>
                <w:lang w:val="en-AU"/>
              </w:rPr>
              <w:t>(95% CI: 0.69</w:t>
            </w:r>
            <w:r w:rsidR="00E82E58" w:rsidRPr="003408A6">
              <w:rPr>
                <w:i/>
                <w:lang w:val="en-AU"/>
              </w:rPr>
              <w:t>–</w:t>
            </w:r>
            <w:r w:rsidRPr="003408A6">
              <w:rPr>
                <w:i/>
                <w:lang w:val="en-AU"/>
              </w:rPr>
              <w:t>0.82)</w:t>
            </w:r>
          </w:p>
        </w:tc>
        <w:tc>
          <w:tcPr>
            <w:tcW w:w="2079" w:type="dxa"/>
            <w:vAlign w:val="center"/>
          </w:tcPr>
          <w:p w:rsidR="00FD5559" w:rsidRPr="003408A6" w:rsidRDefault="00FD5559" w:rsidP="005F514F">
            <w:pPr>
              <w:pStyle w:val="Tabletext"/>
              <w:rPr>
                <w:lang w:val="en-AU"/>
              </w:rPr>
            </w:pPr>
            <w:r w:rsidRPr="003408A6">
              <w:rPr>
                <w:lang w:val="en-AU"/>
              </w:rPr>
              <w:t>0.89</w:t>
            </w:r>
          </w:p>
          <w:p w:rsidR="00FD5559" w:rsidRPr="003408A6" w:rsidRDefault="00FD5559" w:rsidP="005F514F">
            <w:pPr>
              <w:pStyle w:val="Tabletext"/>
              <w:rPr>
                <w:lang w:val="en-AU"/>
              </w:rPr>
            </w:pPr>
            <w:r w:rsidRPr="003408A6">
              <w:rPr>
                <w:i/>
                <w:lang w:val="en-AU"/>
              </w:rPr>
              <w:t>(95% CI: 0.78</w:t>
            </w:r>
            <w:r w:rsidR="00E82E58" w:rsidRPr="003408A6">
              <w:rPr>
                <w:i/>
                <w:lang w:val="en-AU"/>
              </w:rPr>
              <w:t>–</w:t>
            </w:r>
            <w:r w:rsidRPr="003408A6">
              <w:rPr>
                <w:i/>
                <w:lang w:val="en-AU"/>
              </w:rPr>
              <w:t>1.02)</w:t>
            </w:r>
          </w:p>
        </w:tc>
        <w:tc>
          <w:tcPr>
            <w:tcW w:w="2079" w:type="dxa"/>
            <w:vAlign w:val="center"/>
          </w:tcPr>
          <w:p w:rsidR="00FD5559" w:rsidRPr="003408A6" w:rsidRDefault="00FD5559" w:rsidP="005F514F">
            <w:pPr>
              <w:pStyle w:val="Tabletext"/>
              <w:rPr>
                <w:lang w:val="en-AU"/>
              </w:rPr>
            </w:pPr>
            <w:r w:rsidRPr="003408A6">
              <w:rPr>
                <w:lang w:val="en-AU"/>
              </w:rPr>
              <w:t xml:space="preserve">0.65 </w:t>
            </w:r>
          </w:p>
          <w:p w:rsidR="00FD5559" w:rsidRPr="003408A6" w:rsidRDefault="00FD5559" w:rsidP="005F514F">
            <w:pPr>
              <w:pStyle w:val="Tabletext"/>
              <w:rPr>
                <w:lang w:val="en-AU"/>
              </w:rPr>
            </w:pPr>
            <w:r w:rsidRPr="003408A6">
              <w:rPr>
                <w:i/>
                <w:lang w:val="en-AU"/>
              </w:rPr>
              <w:t>(95% CI: 0.57</w:t>
            </w:r>
            <w:r w:rsidR="00E82E58" w:rsidRPr="003408A6">
              <w:rPr>
                <w:i/>
                <w:lang w:val="en-AU"/>
              </w:rPr>
              <w:t>–</w:t>
            </w:r>
            <w:r w:rsidRPr="003408A6">
              <w:rPr>
                <w:i/>
                <w:lang w:val="en-AU"/>
              </w:rPr>
              <w:t>0.74)</w:t>
            </w:r>
          </w:p>
        </w:tc>
      </w:tr>
      <w:tr w:rsidR="00FD5559" w:rsidRPr="003408A6" w:rsidTr="005F514F">
        <w:tc>
          <w:tcPr>
            <w:tcW w:w="3510" w:type="dxa"/>
            <w:vAlign w:val="center"/>
          </w:tcPr>
          <w:p w:rsidR="00FD5559" w:rsidRPr="003408A6" w:rsidRDefault="00FD5559" w:rsidP="00385669">
            <w:pPr>
              <w:pStyle w:val="Tabletext"/>
              <w:rPr>
                <w:lang w:val="en-AU"/>
              </w:rPr>
            </w:pPr>
            <w:r w:rsidRPr="003408A6">
              <w:rPr>
                <w:lang w:val="en-AU"/>
              </w:rPr>
              <w:t>2010/2011 admission rate relative to pre-</w:t>
            </w:r>
            <w:r w:rsidR="00385669" w:rsidRPr="003408A6">
              <w:rPr>
                <w:lang w:val="en-AU"/>
              </w:rPr>
              <w:t>vaccin</w:t>
            </w:r>
            <w:r w:rsidR="00385669">
              <w:rPr>
                <w:lang w:val="en-AU"/>
              </w:rPr>
              <w:t>e</w:t>
            </w:r>
            <w:r w:rsidR="00385669" w:rsidRPr="003408A6">
              <w:rPr>
                <w:lang w:val="en-AU"/>
              </w:rPr>
              <w:t xml:space="preserve"> </w:t>
            </w:r>
            <w:r w:rsidRPr="003408A6">
              <w:rPr>
                <w:lang w:val="en-AU"/>
              </w:rPr>
              <w:t>average</w:t>
            </w:r>
          </w:p>
        </w:tc>
        <w:tc>
          <w:tcPr>
            <w:tcW w:w="2079" w:type="dxa"/>
            <w:vAlign w:val="center"/>
          </w:tcPr>
          <w:p w:rsidR="00FD5559" w:rsidRPr="003408A6" w:rsidRDefault="00FD5559" w:rsidP="005F514F">
            <w:pPr>
              <w:pStyle w:val="Tabletext"/>
              <w:rPr>
                <w:lang w:val="en-AU"/>
              </w:rPr>
            </w:pPr>
            <w:r w:rsidRPr="003408A6">
              <w:rPr>
                <w:lang w:val="en-AU"/>
              </w:rPr>
              <w:t>0.59</w:t>
            </w:r>
          </w:p>
          <w:p w:rsidR="00FD5559" w:rsidRPr="003408A6" w:rsidRDefault="00FD5559" w:rsidP="005F514F">
            <w:pPr>
              <w:pStyle w:val="Tabletext"/>
              <w:rPr>
                <w:i/>
                <w:lang w:val="en-AU"/>
              </w:rPr>
            </w:pPr>
            <w:r w:rsidRPr="003408A6">
              <w:rPr>
                <w:i/>
                <w:lang w:val="en-AU"/>
              </w:rPr>
              <w:t>(95% CI: 0.51</w:t>
            </w:r>
            <w:r w:rsidR="00E82E58" w:rsidRPr="003408A6">
              <w:rPr>
                <w:i/>
                <w:lang w:val="en-AU"/>
              </w:rPr>
              <w:t>–</w:t>
            </w:r>
            <w:r w:rsidRPr="003408A6">
              <w:rPr>
                <w:i/>
                <w:lang w:val="en-AU"/>
              </w:rPr>
              <w:t>0.68)</w:t>
            </w:r>
          </w:p>
        </w:tc>
        <w:tc>
          <w:tcPr>
            <w:tcW w:w="2079" w:type="dxa"/>
            <w:vAlign w:val="center"/>
          </w:tcPr>
          <w:p w:rsidR="00FD5559" w:rsidRPr="003408A6" w:rsidRDefault="00FD5559" w:rsidP="005F514F">
            <w:pPr>
              <w:pStyle w:val="Tabletext"/>
              <w:rPr>
                <w:lang w:val="en-AU"/>
              </w:rPr>
            </w:pPr>
            <w:r w:rsidRPr="003408A6">
              <w:rPr>
                <w:lang w:val="en-AU"/>
              </w:rPr>
              <w:t>0.88</w:t>
            </w:r>
          </w:p>
          <w:p w:rsidR="00FD5559" w:rsidRPr="003408A6" w:rsidRDefault="00FD5559" w:rsidP="005F514F">
            <w:pPr>
              <w:pStyle w:val="Tabletext"/>
              <w:rPr>
                <w:lang w:val="en-AU"/>
              </w:rPr>
            </w:pPr>
            <w:r w:rsidRPr="003408A6">
              <w:rPr>
                <w:i/>
                <w:lang w:val="en-AU"/>
              </w:rPr>
              <w:t>(95% CI: 0.73</w:t>
            </w:r>
            <w:r w:rsidR="00E82E58" w:rsidRPr="003408A6">
              <w:rPr>
                <w:i/>
                <w:lang w:val="en-AU"/>
              </w:rPr>
              <w:t>–</w:t>
            </w:r>
            <w:r w:rsidRPr="003408A6">
              <w:rPr>
                <w:i/>
                <w:lang w:val="en-AU"/>
              </w:rPr>
              <w:t>1.06)</w:t>
            </w:r>
          </w:p>
        </w:tc>
        <w:tc>
          <w:tcPr>
            <w:tcW w:w="2079" w:type="dxa"/>
            <w:vAlign w:val="center"/>
          </w:tcPr>
          <w:p w:rsidR="00FD5559" w:rsidRPr="003408A6" w:rsidRDefault="00FD5559" w:rsidP="005F514F">
            <w:pPr>
              <w:pStyle w:val="Tabletext"/>
              <w:rPr>
                <w:lang w:val="en-AU"/>
              </w:rPr>
            </w:pPr>
            <w:r w:rsidRPr="003408A6">
              <w:rPr>
                <w:lang w:val="en-AU"/>
              </w:rPr>
              <w:t xml:space="preserve">0.37 </w:t>
            </w:r>
          </w:p>
          <w:p w:rsidR="00FD5559" w:rsidRPr="003408A6" w:rsidRDefault="00FD5559" w:rsidP="005F514F">
            <w:pPr>
              <w:pStyle w:val="Tabletext"/>
              <w:rPr>
                <w:i/>
                <w:lang w:val="en-AU"/>
              </w:rPr>
            </w:pPr>
            <w:r w:rsidRPr="003408A6">
              <w:rPr>
                <w:i/>
                <w:lang w:val="en-AU"/>
              </w:rPr>
              <w:t>(95% CI: 0.29</w:t>
            </w:r>
            <w:r w:rsidR="00E82E58" w:rsidRPr="003408A6">
              <w:rPr>
                <w:i/>
                <w:lang w:val="en-AU"/>
              </w:rPr>
              <w:t>–</w:t>
            </w:r>
            <w:r w:rsidRPr="003408A6">
              <w:rPr>
                <w:i/>
                <w:lang w:val="en-AU"/>
              </w:rPr>
              <w:t>0.47)</w:t>
            </w:r>
          </w:p>
        </w:tc>
      </w:tr>
      <w:tr w:rsidR="00FD5559" w:rsidRPr="003408A6" w:rsidTr="005F514F">
        <w:tc>
          <w:tcPr>
            <w:tcW w:w="3510" w:type="dxa"/>
            <w:vAlign w:val="center"/>
          </w:tcPr>
          <w:p w:rsidR="00FD5559" w:rsidRPr="003408A6" w:rsidRDefault="00FD5559" w:rsidP="005F514F">
            <w:pPr>
              <w:pStyle w:val="Tabletext"/>
              <w:rPr>
                <w:lang w:val="en-AU"/>
              </w:rPr>
            </w:pPr>
            <w:r w:rsidRPr="003408A6">
              <w:rPr>
                <w:lang w:val="en-AU"/>
              </w:rPr>
              <w:t>Percentage reduction in 2010 relative to 2006 (Poisson analysis)</w:t>
            </w:r>
          </w:p>
        </w:tc>
        <w:tc>
          <w:tcPr>
            <w:tcW w:w="2079" w:type="dxa"/>
            <w:vAlign w:val="center"/>
          </w:tcPr>
          <w:p w:rsidR="00FD5559" w:rsidRPr="003408A6" w:rsidRDefault="00FD5559" w:rsidP="005F514F">
            <w:pPr>
              <w:pStyle w:val="Tabletext"/>
              <w:rPr>
                <w:i/>
                <w:lang w:val="en-AU"/>
              </w:rPr>
            </w:pPr>
            <w:r w:rsidRPr="003408A6">
              <w:rPr>
                <w:lang w:val="en-AU"/>
              </w:rPr>
              <w:t>38%</w:t>
            </w:r>
          </w:p>
          <w:p w:rsidR="00FD5559" w:rsidRPr="003408A6" w:rsidRDefault="00FD5559" w:rsidP="005F514F">
            <w:pPr>
              <w:pStyle w:val="Tabletext"/>
              <w:rPr>
                <w:lang w:val="en-AU"/>
              </w:rPr>
            </w:pPr>
            <w:r w:rsidRPr="003408A6">
              <w:rPr>
                <w:i/>
                <w:lang w:val="en-AU"/>
              </w:rPr>
              <w:t>(95% CI: 28</w:t>
            </w:r>
            <w:r w:rsidR="00E82E58" w:rsidRPr="003408A6">
              <w:rPr>
                <w:i/>
                <w:lang w:val="en-AU"/>
              </w:rPr>
              <w:t>–</w:t>
            </w:r>
            <w:r w:rsidRPr="003408A6">
              <w:rPr>
                <w:i/>
                <w:lang w:val="en-AU"/>
              </w:rPr>
              <w:t>47%)</w:t>
            </w:r>
          </w:p>
        </w:tc>
        <w:tc>
          <w:tcPr>
            <w:tcW w:w="2079" w:type="dxa"/>
            <w:vAlign w:val="center"/>
          </w:tcPr>
          <w:p w:rsidR="00FD5559" w:rsidRPr="003408A6" w:rsidRDefault="00FD5559" w:rsidP="005F514F">
            <w:pPr>
              <w:pStyle w:val="Tabletext"/>
              <w:rPr>
                <w:i/>
                <w:lang w:val="en-AU"/>
              </w:rPr>
            </w:pPr>
            <w:r w:rsidRPr="003408A6">
              <w:rPr>
                <w:lang w:val="en-AU"/>
              </w:rPr>
              <w:t>10%</w:t>
            </w:r>
          </w:p>
          <w:p w:rsidR="00FD5559" w:rsidRPr="003408A6" w:rsidRDefault="00FD5559" w:rsidP="005F514F">
            <w:pPr>
              <w:pStyle w:val="Tabletext"/>
              <w:rPr>
                <w:lang w:val="en-AU"/>
              </w:rPr>
            </w:pPr>
            <w:r w:rsidRPr="003408A6">
              <w:rPr>
                <w:i/>
                <w:lang w:val="en-AU"/>
              </w:rPr>
              <w:t>(95% CI: 31% to 19% increase)</w:t>
            </w:r>
          </w:p>
        </w:tc>
        <w:tc>
          <w:tcPr>
            <w:tcW w:w="2079" w:type="dxa"/>
            <w:vAlign w:val="center"/>
          </w:tcPr>
          <w:p w:rsidR="00FD5559" w:rsidRPr="003408A6" w:rsidRDefault="00FD5559" w:rsidP="005F514F">
            <w:pPr>
              <w:pStyle w:val="Tabletext"/>
              <w:rPr>
                <w:i/>
                <w:lang w:val="en-AU"/>
              </w:rPr>
            </w:pPr>
            <w:r w:rsidRPr="003408A6">
              <w:rPr>
                <w:lang w:val="en-AU"/>
              </w:rPr>
              <w:t xml:space="preserve">57% </w:t>
            </w:r>
          </w:p>
          <w:p w:rsidR="00FD5559" w:rsidRPr="003408A6" w:rsidRDefault="00FD5559" w:rsidP="005F514F">
            <w:pPr>
              <w:pStyle w:val="Tabletext"/>
              <w:rPr>
                <w:lang w:val="en-AU"/>
              </w:rPr>
            </w:pPr>
            <w:r w:rsidRPr="003408A6">
              <w:rPr>
                <w:i/>
                <w:lang w:val="en-AU"/>
              </w:rPr>
              <w:t>(95% CI: 44</w:t>
            </w:r>
            <w:r w:rsidR="00E82E58" w:rsidRPr="003408A6">
              <w:rPr>
                <w:i/>
                <w:lang w:val="en-AU"/>
              </w:rPr>
              <w:t>–</w:t>
            </w:r>
            <w:r w:rsidRPr="003408A6">
              <w:rPr>
                <w:i/>
                <w:lang w:val="en-AU"/>
              </w:rPr>
              <w:t>68%)</w:t>
            </w:r>
          </w:p>
        </w:tc>
      </w:tr>
    </w:tbl>
    <w:p w:rsidR="00FD5559" w:rsidRPr="003408A6" w:rsidRDefault="00FD5559" w:rsidP="00E82E58">
      <w:pPr>
        <w:pStyle w:val="Tablefootnote"/>
      </w:pPr>
      <w:r w:rsidRPr="003408A6">
        <w:t>*</w:t>
      </w:r>
      <w:r w:rsidR="00E82E58" w:rsidRPr="003408A6">
        <w:tab/>
      </w:r>
      <w:r w:rsidR="00DF53E0" w:rsidRPr="003408A6">
        <w:t>E</w:t>
      </w:r>
      <w:r w:rsidRPr="003408A6">
        <w:t>xcludes admissions which also included ICD-10</w:t>
      </w:r>
      <w:r w:rsidR="00DF53E0" w:rsidRPr="003408A6">
        <w:t>-</w:t>
      </w:r>
      <w:r w:rsidRPr="003408A6">
        <w:t>AM codes K62.8, A63.01, A63.09 (includes perianal and perineal warts) or procedure codes for treatment of anal warts (32177, 32180).</w:t>
      </w:r>
    </w:p>
    <w:p w:rsidR="00FD5559" w:rsidRPr="003408A6" w:rsidRDefault="00FD5559" w:rsidP="00E82E58">
      <w:pPr>
        <w:pStyle w:val="Bodytextaftertable"/>
        <w:rPr>
          <w:lang w:val="en-AU"/>
        </w:rPr>
      </w:pPr>
      <w:r w:rsidRPr="003408A6">
        <w:rPr>
          <w:lang w:val="en-AU"/>
        </w:rPr>
        <w:t xml:space="preserve">A number of admissions involved a concurrent HIV-related diagnosis </w:t>
      </w:r>
      <w:r w:rsidR="002C4496" w:rsidRPr="003408A6">
        <w:rPr>
          <w:lang w:val="en-AU"/>
        </w:rPr>
        <w:t>(</w:t>
      </w:r>
      <w:r w:rsidR="002C4496" w:rsidRPr="003408A6">
        <w:rPr>
          <w:b/>
          <w:lang w:val="en-AU"/>
        </w:rPr>
        <w:t>Table 6.7</w:t>
      </w:r>
      <w:r w:rsidR="002C4496" w:rsidRPr="003408A6">
        <w:rPr>
          <w:lang w:val="en-AU"/>
        </w:rPr>
        <w:t>)</w:t>
      </w:r>
      <w:r w:rsidR="00385669">
        <w:rPr>
          <w:lang w:val="en-AU"/>
        </w:rPr>
        <w:t>.</w:t>
      </w:r>
      <w:r w:rsidRPr="003408A6">
        <w:rPr>
          <w:lang w:val="en-AU"/>
        </w:rPr>
        <w:t xml:space="preserve"> These predominantly occurred in males (8.4% of all admissions in males), but were rare in females (less than 0.1% of all admissions in females). It is likely that HIV status in males is associated with men who have sex with men, as approximately two</w:t>
      </w:r>
      <w:r w:rsidR="00006FDF" w:rsidRPr="003408A6">
        <w:rPr>
          <w:lang w:val="en-AU"/>
        </w:rPr>
        <w:t>-</w:t>
      </w:r>
      <w:r w:rsidRPr="003408A6">
        <w:rPr>
          <w:lang w:val="en-AU"/>
        </w:rPr>
        <w:t>thirds of new HIV diagnoses in Australia occur in men who have sex with men</w:t>
      </w:r>
      <w:r w:rsidR="00DF53E0" w:rsidRPr="003408A6">
        <w:rPr>
          <w:lang w:val="en-AU"/>
        </w:rPr>
        <w:t>.</w:t>
      </w:r>
      <w:hyperlink w:anchor="_ENREF_122" w:tooltip="The Kirby Institute, 2013 #1296" w:history="1">
        <w:r w:rsidR="00F27F90" w:rsidRPr="003408A6">
          <w:rPr>
            <w:lang w:val="en-AU"/>
          </w:rPr>
          <w:fldChar w:fldCharType="begin"/>
        </w:r>
        <w:r w:rsidR="00F27F90">
          <w:rPr>
            <w:lang w:val="en-AU"/>
          </w:rPr>
          <w:instrText xml:space="preserve"> ADDIN EN.CITE &lt;EndNote&gt;&lt;Cite&gt;&lt;Author&gt;The Kirby Institute&lt;/Author&gt;&lt;Year&gt;2013&lt;/Year&gt;&lt;RecNum&gt;1296&lt;/RecNum&gt;&lt;DisplayText&gt;&lt;style face="superscript"&gt;122&lt;/style&gt;&lt;/DisplayText&gt;&lt;record&gt;&lt;rec-number&gt;1296&lt;/rec-number&gt;&lt;foreign-keys&gt;&lt;key app="EN" db-id="dda0wweazfww9besetpx2r5pt0asp9ztvs95"&gt;1296&lt;/key&gt;&lt;/foreign-keys&gt;&lt;ref-type name="Report"&gt;27&lt;/ref-type&gt;&lt;contributors&gt;&lt;authors&gt;&lt;author&gt;The Kirby Institute,&lt;/author&gt;&lt;/authors&gt;&lt;/contributors&gt;&lt;titles&gt;&lt;title&gt;HIV, viral hepatitis and sexually transmissible infections in Australia. Annual surveillance report 2013&lt;/title&gt;&lt;/titles&gt;&lt;dates&gt;&lt;year&gt;2013&lt;/year&gt;&lt;/dates&gt;&lt;pub-location&gt;Sydney&lt;/pub-location&gt;&lt;publisher&gt;The Kirby Institute, The University of New South Wales&lt;/publisher&gt;&lt;urls&gt;&lt;/urls&gt;&lt;/record&gt;&lt;/Cite&gt;&lt;/EndNote&gt;</w:instrText>
        </w:r>
        <w:r w:rsidR="00F27F90" w:rsidRPr="003408A6">
          <w:rPr>
            <w:lang w:val="en-AU"/>
          </w:rPr>
          <w:fldChar w:fldCharType="separate"/>
        </w:r>
        <w:r w:rsidR="00F27F90" w:rsidRPr="00F27F90">
          <w:rPr>
            <w:noProof/>
            <w:vertAlign w:val="superscript"/>
            <w:lang w:val="en-AU"/>
          </w:rPr>
          <w:t>122</w:t>
        </w:r>
        <w:r w:rsidR="00F27F90" w:rsidRPr="003408A6">
          <w:rPr>
            <w:lang w:val="en-AU"/>
          </w:rPr>
          <w:fldChar w:fldCharType="end"/>
        </w:r>
      </w:hyperlink>
      <w:r w:rsidRPr="003408A6">
        <w:rPr>
          <w:lang w:val="en-AU"/>
        </w:rPr>
        <w:t xml:space="preserve"> Other studies had indicated little change in new cases of genital warts in men with recent same-sex sexual contact (within the previous 12 months) since the implementation of the female-only HPV </w:t>
      </w:r>
      <w:r w:rsidR="00385669">
        <w:rPr>
          <w:lang w:val="en-AU"/>
        </w:rPr>
        <w:t>v</w:t>
      </w:r>
      <w:r w:rsidRPr="003408A6">
        <w:rPr>
          <w:lang w:val="en-AU"/>
        </w:rPr>
        <w:t xml:space="preserve">accination </w:t>
      </w:r>
      <w:r w:rsidR="00385669">
        <w:rPr>
          <w:lang w:val="en-AU"/>
        </w:rPr>
        <w:t>p</w:t>
      </w:r>
      <w:r w:rsidRPr="003408A6">
        <w:rPr>
          <w:lang w:val="en-AU"/>
        </w:rPr>
        <w:t>rogram in 2007</w:t>
      </w:r>
      <w:r w:rsidR="00DF53E0" w:rsidRPr="003408A6">
        <w:rPr>
          <w:lang w:val="en-AU"/>
        </w:rPr>
        <w:t>.</w:t>
      </w:r>
      <w:hyperlink w:anchor="_ENREF_117" w:tooltip="Donovan, 2011 #1288" w:history="1">
        <w:r w:rsidR="00F27F90" w:rsidRPr="003408A6">
          <w:rPr>
            <w:lang w:val="en-AU"/>
          </w:rPr>
          <w:fldChar w:fldCharType="begin">
            <w:fldData xml:space="preserve">PEVuZE5vdGU+PENpdGU+PEF1dGhvcj5Eb25vdmFuPC9BdXRob3I+PFllYXI+MjAxMTwvWWVhcj48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</w:fldData>
          </w:fldChar>
        </w:r>
        <w:r w:rsidR="00F27F90">
          <w:rPr>
            <w:lang w:val="en-AU"/>
          </w:rPr>
          <w:instrText xml:space="preserve"> ADDIN EN.CITE </w:instrText>
        </w:r>
        <w:r w:rsidR="00F27F90">
          <w:rPr>
            <w:lang w:val="en-AU"/>
          </w:rPr>
          <w:fldChar w:fldCharType="begin">
            <w:fldData xml:space="preserve">PEVuZE5vdGU+PENpdGU+PEF1dGhvcj5Eb25vdmFuPC9BdXRob3I+PFllYXI+MjAxMTwvWWVhcj48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117</w:t>
        </w:r>
        <w:r w:rsidR="00F27F90" w:rsidRPr="003408A6">
          <w:rPr>
            <w:lang w:val="en-AU"/>
          </w:rPr>
          <w:fldChar w:fldCharType="end"/>
        </w:r>
      </w:hyperlink>
      <w:r w:rsidRPr="003408A6">
        <w:rPr>
          <w:lang w:val="en-AU"/>
        </w:rPr>
        <w:t xml:space="preserve"> As a sensitivity analysis, we re-analysed the data after excluding individuals with a concurrent HIV-related diagnosis, in order to assess if this affected the estimated reductions, particularly in males aged 18</w:t>
      </w:r>
      <w:r w:rsidR="00DF53E0" w:rsidRPr="003408A6">
        <w:rPr>
          <w:lang w:val="en-AU"/>
        </w:rPr>
        <w:t>–</w:t>
      </w:r>
      <w:r w:rsidRPr="003408A6">
        <w:rPr>
          <w:lang w:val="en-AU"/>
        </w:rPr>
        <w:t>26 years. As shown in</w:t>
      </w:r>
      <w:r w:rsidR="00C25DA1" w:rsidRPr="003408A6">
        <w:rPr>
          <w:lang w:val="en-AU"/>
        </w:rPr>
        <w:t xml:space="preserve"> </w:t>
      </w:r>
      <w:r w:rsidR="00C25DA1" w:rsidRPr="003408A6">
        <w:rPr>
          <w:b/>
          <w:lang w:val="en-AU"/>
        </w:rPr>
        <w:t>Table 6.7</w:t>
      </w:r>
      <w:r w:rsidRPr="003408A6">
        <w:rPr>
          <w:lang w:val="en-AU"/>
        </w:rPr>
        <w:t>, excluding these individuals had very little impact on the estimates for the effect of vaccination in males aged 18</w:t>
      </w:r>
      <w:r w:rsidR="00DF53E0" w:rsidRPr="003408A6">
        <w:rPr>
          <w:lang w:val="en-AU"/>
        </w:rPr>
        <w:t>–</w:t>
      </w:r>
      <w:r w:rsidRPr="003408A6">
        <w:rPr>
          <w:lang w:val="en-AU"/>
        </w:rPr>
        <w:t>26 years, or in other age groups (data not shown).</w:t>
      </w:r>
    </w:p>
    <w:p w:rsidR="00FD5559" w:rsidRPr="003408A6" w:rsidRDefault="00C25DA1" w:rsidP="00C2177D">
      <w:pPr>
        <w:pStyle w:val="Tableheading"/>
        <w:rPr>
          <w:lang w:val="en-AU"/>
        </w:rPr>
      </w:pPr>
      <w:bookmarkStart w:id="244" w:name="_Toc396475562"/>
      <w:bookmarkStart w:id="245" w:name="_Toc397000790"/>
      <w:r w:rsidRPr="003408A6">
        <w:rPr>
          <w:lang w:val="en-AU"/>
        </w:rPr>
        <w:t>Table 6.7</w:t>
      </w:r>
      <w:r w:rsidR="00DF53E0" w:rsidRPr="003408A6">
        <w:rPr>
          <w:lang w:val="en-AU"/>
        </w:rPr>
        <w:t>.</w:t>
      </w:r>
      <w:r w:rsidR="00D861BD" w:rsidRPr="003408A6">
        <w:rPr>
          <w:lang w:val="en-AU"/>
        </w:rPr>
        <w:tab/>
      </w:r>
      <w:r w:rsidRPr="003408A6">
        <w:rPr>
          <w:lang w:val="en-AU"/>
        </w:rPr>
        <w:t>Results of excluding males with a concurrent HIV-related diagnosis on parameter estimates (sensitivity analysis)</w:t>
      </w:r>
      <w:bookmarkEnd w:id="244"/>
      <w:bookmarkEnd w:id="245"/>
    </w:p>
    <w:tbl>
      <w:tblPr>
        <w:tblStyle w:val="TableGrid"/>
        <w:tblW w:w="9878" w:type="dxa"/>
        <w:tblBorders>
          <w:insideH w:val="none" w:sz="0" w:space="0" w:color="auto"/>
          <w:insideV w:val="none" w:sz="0" w:space="0" w:color="auto"/>
        </w:tblBorders>
        <w:tblLook w:val="04A0" w:firstRow="1" w:lastRow="0" w:firstColumn="1" w:lastColumn="0" w:noHBand="0" w:noVBand="1"/>
        <w:tblCaption w:val="Results of excluding males with a concurrent HIV-related diagnosis on parameter estimates (sensitivity analysis)"/>
      </w:tblPr>
      <w:tblGrid>
        <w:gridCol w:w="3510"/>
        <w:gridCol w:w="3184"/>
        <w:gridCol w:w="3184"/>
      </w:tblGrid>
      <w:tr w:rsidR="00FD5559" w:rsidRPr="003408A6" w:rsidTr="009D2B74">
        <w:trPr>
          <w:tblHeader/>
        </w:trPr>
        <w:tc>
          <w:tcPr>
            <w:tcW w:w="3510" w:type="dxa"/>
            <w:tcBorders>
              <w:top w:val="single" w:sz="4" w:space="0" w:color="auto"/>
              <w:bottom w:val="single" w:sz="4" w:space="0" w:color="auto"/>
            </w:tcBorders>
          </w:tcPr>
          <w:p w:rsidR="00FD5559" w:rsidRPr="003408A6" w:rsidRDefault="00FD5559" w:rsidP="00385669">
            <w:pPr>
              <w:pStyle w:val="Tablecolumnheading"/>
              <w:rPr>
                <w:lang w:val="en-AU"/>
              </w:rPr>
            </w:pPr>
            <w:r w:rsidRPr="003408A6">
              <w:rPr>
                <w:lang w:val="en-AU"/>
              </w:rPr>
              <w:t>Parameter estimates</w:t>
            </w:r>
          </w:p>
        </w:tc>
        <w:tc>
          <w:tcPr>
            <w:tcW w:w="3184" w:type="dxa"/>
            <w:tcBorders>
              <w:top w:val="single" w:sz="4" w:space="0" w:color="auto"/>
              <w:bottom w:val="single" w:sz="4" w:space="0" w:color="auto"/>
            </w:tcBorders>
          </w:tcPr>
          <w:p w:rsidR="00FD5559" w:rsidRPr="003408A6" w:rsidRDefault="00FD5559" w:rsidP="00385669">
            <w:pPr>
              <w:pStyle w:val="Tablecolumnheadings"/>
              <w:jc w:val="left"/>
              <w:rPr>
                <w:lang w:val="en-AU"/>
              </w:rPr>
            </w:pPr>
            <w:r w:rsidRPr="003408A6">
              <w:rPr>
                <w:lang w:val="en-AU"/>
              </w:rPr>
              <w:t>Analysis including all males</w:t>
            </w:r>
          </w:p>
        </w:tc>
        <w:tc>
          <w:tcPr>
            <w:tcW w:w="3184" w:type="dxa"/>
            <w:tcBorders>
              <w:top w:val="single" w:sz="4" w:space="0" w:color="auto"/>
              <w:bottom w:val="single" w:sz="4" w:space="0" w:color="auto"/>
            </w:tcBorders>
          </w:tcPr>
          <w:p w:rsidR="00FD5559" w:rsidRPr="003408A6" w:rsidRDefault="00FD5559" w:rsidP="00385669">
            <w:pPr>
              <w:pStyle w:val="Tablecolumnheadings"/>
              <w:jc w:val="left"/>
              <w:rPr>
                <w:lang w:val="en-AU"/>
              </w:rPr>
            </w:pPr>
            <w:r w:rsidRPr="003408A6">
              <w:rPr>
                <w:lang w:val="en-AU"/>
              </w:rPr>
              <w:t>Analysis excluding males with a concurrent HIV-related diagnosis*</w:t>
            </w:r>
          </w:p>
        </w:tc>
      </w:tr>
      <w:tr w:rsidR="00FD5559" w:rsidRPr="003408A6" w:rsidTr="00E82E58">
        <w:tc>
          <w:tcPr>
            <w:tcW w:w="3510" w:type="dxa"/>
            <w:tcBorders>
              <w:top w:val="single" w:sz="4" w:space="0" w:color="auto"/>
              <w:bottom w:val="nil"/>
            </w:tcBorders>
          </w:tcPr>
          <w:p w:rsidR="00FD5559" w:rsidRPr="003408A6" w:rsidRDefault="00FD5559" w:rsidP="00E82E58">
            <w:pPr>
              <w:pStyle w:val="Tabletextbold"/>
              <w:rPr>
                <w:lang w:val="en-AU"/>
              </w:rPr>
            </w:pPr>
            <w:r w:rsidRPr="003408A6">
              <w:rPr>
                <w:lang w:val="en-AU"/>
              </w:rPr>
              <w:t>Average admission rates</w:t>
            </w:r>
          </w:p>
        </w:tc>
        <w:tc>
          <w:tcPr>
            <w:tcW w:w="3184" w:type="dxa"/>
            <w:tcBorders>
              <w:top w:val="single" w:sz="4" w:space="0" w:color="auto"/>
              <w:bottom w:val="nil"/>
            </w:tcBorders>
          </w:tcPr>
          <w:p w:rsidR="00FD5559" w:rsidRPr="003408A6" w:rsidRDefault="00FD5559" w:rsidP="00E82E58">
            <w:pPr>
              <w:pStyle w:val="Tabletext"/>
              <w:rPr>
                <w:lang w:val="en-AU"/>
              </w:rPr>
            </w:pPr>
          </w:p>
        </w:tc>
        <w:tc>
          <w:tcPr>
            <w:tcW w:w="3184" w:type="dxa"/>
            <w:tcBorders>
              <w:top w:val="single" w:sz="4" w:space="0" w:color="auto"/>
              <w:bottom w:val="nil"/>
            </w:tcBorders>
          </w:tcPr>
          <w:p w:rsidR="00FD5559" w:rsidRPr="003408A6" w:rsidRDefault="00FD5559" w:rsidP="00E82E58">
            <w:pPr>
              <w:pStyle w:val="Tabletext"/>
              <w:rPr>
                <w:lang w:val="en-AU"/>
              </w:rPr>
            </w:pPr>
          </w:p>
        </w:tc>
      </w:tr>
      <w:tr w:rsidR="00FD5559" w:rsidRPr="003408A6" w:rsidTr="00E82E58">
        <w:tc>
          <w:tcPr>
            <w:tcW w:w="3510" w:type="dxa"/>
            <w:tcBorders>
              <w:top w:val="nil"/>
              <w:bottom w:val="nil"/>
            </w:tcBorders>
          </w:tcPr>
          <w:p w:rsidR="00FD5559" w:rsidRPr="003408A6" w:rsidRDefault="00FD5559" w:rsidP="00385669">
            <w:pPr>
              <w:pStyle w:val="Tabletext"/>
              <w:rPr>
                <w:lang w:val="en-AU"/>
              </w:rPr>
            </w:pPr>
            <w:r w:rsidRPr="003408A6">
              <w:rPr>
                <w:lang w:val="en-AU"/>
              </w:rPr>
              <w:t>Pre-</w:t>
            </w:r>
            <w:r w:rsidR="00385669" w:rsidRPr="003408A6">
              <w:rPr>
                <w:lang w:val="en-AU"/>
              </w:rPr>
              <w:t>vaccin</w:t>
            </w:r>
            <w:r w:rsidR="00385669">
              <w:rPr>
                <w:lang w:val="en-AU"/>
              </w:rPr>
              <w:t>e</w:t>
            </w:r>
            <w:r w:rsidR="00385669" w:rsidRPr="003408A6">
              <w:rPr>
                <w:lang w:val="en-AU"/>
              </w:rPr>
              <w:t xml:space="preserve"> </w:t>
            </w:r>
            <w:r w:rsidRPr="003408A6">
              <w:rPr>
                <w:lang w:val="en-AU"/>
              </w:rPr>
              <w:t xml:space="preserve">period </w:t>
            </w:r>
            <w:r w:rsidR="00385669">
              <w:rPr>
                <w:lang w:val="en-AU"/>
              </w:rPr>
              <w:br/>
            </w:r>
            <w:r w:rsidRPr="003408A6">
              <w:rPr>
                <w:lang w:val="en-AU"/>
              </w:rPr>
              <w:t>(Jul 2004</w:t>
            </w:r>
            <w:r w:rsidR="00DF53E0" w:rsidRPr="003408A6">
              <w:rPr>
                <w:lang w:val="en-AU"/>
              </w:rPr>
              <w:t>–</w:t>
            </w:r>
            <w:r w:rsidRPr="003408A6">
              <w:rPr>
                <w:lang w:val="en-AU"/>
              </w:rPr>
              <w:t>Jun 2007)</w:t>
            </w:r>
          </w:p>
        </w:tc>
        <w:tc>
          <w:tcPr>
            <w:tcW w:w="3184" w:type="dxa"/>
            <w:tcBorders>
              <w:top w:val="nil"/>
              <w:bottom w:val="nil"/>
            </w:tcBorders>
          </w:tcPr>
          <w:p w:rsidR="00FD5559" w:rsidRPr="003408A6" w:rsidRDefault="00FD5559" w:rsidP="00E82E58">
            <w:pPr>
              <w:pStyle w:val="Tabletext"/>
              <w:rPr>
                <w:lang w:val="en-AU"/>
              </w:rPr>
            </w:pPr>
            <w:r w:rsidRPr="003408A6">
              <w:rPr>
                <w:lang w:val="en-AU"/>
              </w:rPr>
              <w:t>26.6 per 100,000</w:t>
            </w:r>
          </w:p>
        </w:tc>
        <w:tc>
          <w:tcPr>
            <w:tcW w:w="3184" w:type="dxa"/>
            <w:tcBorders>
              <w:top w:val="nil"/>
              <w:bottom w:val="nil"/>
            </w:tcBorders>
          </w:tcPr>
          <w:p w:rsidR="00FD5559" w:rsidRPr="003408A6" w:rsidRDefault="00FD5559" w:rsidP="00E82E58">
            <w:pPr>
              <w:pStyle w:val="Tabletext"/>
              <w:rPr>
                <w:lang w:val="en-AU"/>
              </w:rPr>
            </w:pPr>
            <w:r w:rsidRPr="003408A6">
              <w:rPr>
                <w:lang w:val="en-AU"/>
              </w:rPr>
              <w:t>26.1 per 100,000</w:t>
            </w:r>
          </w:p>
        </w:tc>
      </w:tr>
      <w:tr w:rsidR="00FD5559" w:rsidRPr="003408A6" w:rsidTr="00E82E58">
        <w:tc>
          <w:tcPr>
            <w:tcW w:w="3510" w:type="dxa"/>
            <w:tcBorders>
              <w:top w:val="nil"/>
            </w:tcBorders>
          </w:tcPr>
          <w:p w:rsidR="00FD5559" w:rsidRPr="003408A6" w:rsidRDefault="00FD5559" w:rsidP="00385669">
            <w:pPr>
              <w:pStyle w:val="Tabletext"/>
              <w:rPr>
                <w:lang w:val="en-AU"/>
              </w:rPr>
            </w:pPr>
            <w:r w:rsidRPr="003408A6">
              <w:rPr>
                <w:lang w:val="en-AU"/>
              </w:rPr>
              <w:t>Post-</w:t>
            </w:r>
            <w:r w:rsidR="00385669" w:rsidRPr="003408A6">
              <w:rPr>
                <w:lang w:val="en-AU"/>
              </w:rPr>
              <w:t>vaccin</w:t>
            </w:r>
            <w:r w:rsidR="00385669">
              <w:rPr>
                <w:lang w:val="en-AU"/>
              </w:rPr>
              <w:t>e</w:t>
            </w:r>
            <w:r w:rsidR="00385669" w:rsidRPr="003408A6">
              <w:rPr>
                <w:lang w:val="en-AU"/>
              </w:rPr>
              <w:t xml:space="preserve"> </w:t>
            </w:r>
            <w:r w:rsidRPr="003408A6">
              <w:rPr>
                <w:lang w:val="en-AU"/>
              </w:rPr>
              <w:t xml:space="preserve">period </w:t>
            </w:r>
            <w:r w:rsidR="00385669">
              <w:rPr>
                <w:lang w:val="en-AU"/>
              </w:rPr>
              <w:br/>
            </w:r>
            <w:r w:rsidRPr="003408A6">
              <w:rPr>
                <w:lang w:val="en-AU"/>
              </w:rPr>
              <w:t>(Jul 2008</w:t>
            </w:r>
            <w:r w:rsidR="00DF53E0" w:rsidRPr="003408A6">
              <w:rPr>
                <w:lang w:val="en-AU"/>
              </w:rPr>
              <w:t>–</w:t>
            </w:r>
            <w:r w:rsidRPr="003408A6">
              <w:rPr>
                <w:lang w:val="en-AU"/>
              </w:rPr>
              <w:t>Jun 2011)</w:t>
            </w:r>
          </w:p>
        </w:tc>
        <w:tc>
          <w:tcPr>
            <w:tcW w:w="3184" w:type="dxa"/>
            <w:tcBorders>
              <w:top w:val="nil"/>
            </w:tcBorders>
          </w:tcPr>
          <w:p w:rsidR="00FD5559" w:rsidRPr="003408A6" w:rsidRDefault="00FD5559" w:rsidP="00E82E58">
            <w:pPr>
              <w:pStyle w:val="Tabletext"/>
              <w:rPr>
                <w:lang w:val="en-AU"/>
              </w:rPr>
            </w:pPr>
            <w:r w:rsidRPr="003408A6">
              <w:rPr>
                <w:lang w:val="en-AU"/>
              </w:rPr>
              <w:t>20.1 per 100,000</w:t>
            </w:r>
          </w:p>
        </w:tc>
        <w:tc>
          <w:tcPr>
            <w:tcW w:w="3184" w:type="dxa"/>
            <w:tcBorders>
              <w:top w:val="nil"/>
            </w:tcBorders>
          </w:tcPr>
          <w:p w:rsidR="00FD5559" w:rsidRPr="003408A6" w:rsidRDefault="00FD5559" w:rsidP="00E82E58">
            <w:pPr>
              <w:pStyle w:val="Tabletext"/>
              <w:rPr>
                <w:lang w:val="en-AU"/>
              </w:rPr>
            </w:pPr>
            <w:r w:rsidRPr="003408A6">
              <w:rPr>
                <w:lang w:val="en-AU"/>
              </w:rPr>
              <w:t>19.8 per 100,000</w:t>
            </w:r>
          </w:p>
          <w:p w:rsidR="00FD5559" w:rsidRPr="003408A6" w:rsidRDefault="00FD5559" w:rsidP="00E82E58">
            <w:pPr>
              <w:pStyle w:val="Tabletext"/>
              <w:rPr>
                <w:lang w:val="en-AU"/>
              </w:rPr>
            </w:pPr>
          </w:p>
        </w:tc>
      </w:tr>
      <w:tr w:rsidR="00FD5559" w:rsidRPr="003408A6" w:rsidTr="00E82E58">
        <w:tc>
          <w:tcPr>
            <w:tcW w:w="3510" w:type="dxa"/>
            <w:tcBorders>
              <w:top w:val="nil"/>
            </w:tcBorders>
          </w:tcPr>
          <w:p w:rsidR="00FD5559" w:rsidRPr="003408A6" w:rsidRDefault="00FD5559" w:rsidP="00E82E58">
            <w:pPr>
              <w:pStyle w:val="Tabletextbold"/>
              <w:rPr>
                <w:lang w:val="en-AU"/>
              </w:rPr>
            </w:pPr>
            <w:r w:rsidRPr="003408A6">
              <w:rPr>
                <w:lang w:val="en-AU"/>
              </w:rPr>
              <w:t>Rate ratios</w:t>
            </w:r>
          </w:p>
        </w:tc>
        <w:tc>
          <w:tcPr>
            <w:tcW w:w="3184" w:type="dxa"/>
            <w:tcBorders>
              <w:top w:val="nil"/>
            </w:tcBorders>
          </w:tcPr>
          <w:p w:rsidR="00FD5559" w:rsidRPr="003408A6" w:rsidRDefault="00FD5559" w:rsidP="00E82E58">
            <w:pPr>
              <w:pStyle w:val="Tabletext"/>
              <w:rPr>
                <w:lang w:val="en-AU"/>
              </w:rPr>
            </w:pPr>
          </w:p>
        </w:tc>
        <w:tc>
          <w:tcPr>
            <w:tcW w:w="3184" w:type="dxa"/>
            <w:tcBorders>
              <w:top w:val="nil"/>
            </w:tcBorders>
          </w:tcPr>
          <w:p w:rsidR="00FD5559" w:rsidRPr="003408A6" w:rsidRDefault="00FD5559" w:rsidP="00E82E58">
            <w:pPr>
              <w:pStyle w:val="Tabletext"/>
              <w:rPr>
                <w:lang w:val="en-AU"/>
              </w:rPr>
            </w:pPr>
          </w:p>
        </w:tc>
      </w:tr>
      <w:tr w:rsidR="00FD5559" w:rsidRPr="003408A6" w:rsidTr="00E82E58">
        <w:tc>
          <w:tcPr>
            <w:tcW w:w="3510" w:type="dxa"/>
          </w:tcPr>
          <w:p w:rsidR="00FD5559" w:rsidRPr="003408A6" w:rsidRDefault="00FD5559" w:rsidP="00385669">
            <w:pPr>
              <w:pStyle w:val="Tabletext"/>
              <w:rPr>
                <w:lang w:val="en-AU"/>
              </w:rPr>
            </w:pPr>
            <w:r w:rsidRPr="003408A6">
              <w:rPr>
                <w:lang w:val="en-AU"/>
              </w:rPr>
              <w:t>Post-</w:t>
            </w:r>
            <w:r w:rsidR="00385669" w:rsidRPr="003408A6">
              <w:rPr>
                <w:lang w:val="en-AU"/>
              </w:rPr>
              <w:t>vaccin</w:t>
            </w:r>
            <w:r w:rsidR="00385669">
              <w:rPr>
                <w:lang w:val="en-AU"/>
              </w:rPr>
              <w:t>e</w:t>
            </w:r>
            <w:r w:rsidR="00385669" w:rsidRPr="003408A6">
              <w:rPr>
                <w:lang w:val="en-AU"/>
              </w:rPr>
              <w:t xml:space="preserve"> </w:t>
            </w:r>
            <w:r w:rsidRPr="003408A6">
              <w:rPr>
                <w:lang w:val="en-AU"/>
              </w:rPr>
              <w:t>average relative to pre-vaccination average</w:t>
            </w:r>
          </w:p>
        </w:tc>
        <w:tc>
          <w:tcPr>
            <w:tcW w:w="3184" w:type="dxa"/>
          </w:tcPr>
          <w:p w:rsidR="00FD5559" w:rsidRPr="003408A6" w:rsidRDefault="00FD5559" w:rsidP="00E82E58">
            <w:pPr>
              <w:pStyle w:val="Tabletext"/>
              <w:rPr>
                <w:lang w:val="en-AU"/>
              </w:rPr>
            </w:pPr>
            <w:r w:rsidRPr="003408A6">
              <w:rPr>
                <w:lang w:val="en-AU"/>
              </w:rPr>
              <w:t>0.75</w:t>
            </w:r>
          </w:p>
          <w:p w:rsidR="00FD5559" w:rsidRPr="003408A6" w:rsidRDefault="00FD5559" w:rsidP="00E82E58">
            <w:pPr>
              <w:pStyle w:val="Tabletext"/>
              <w:rPr>
                <w:i/>
                <w:lang w:val="en-AU"/>
              </w:rPr>
            </w:pPr>
            <w:r w:rsidRPr="003408A6">
              <w:rPr>
                <w:i/>
                <w:lang w:val="en-AU"/>
              </w:rPr>
              <w:t>(95% CI: 0.69</w:t>
            </w:r>
            <w:r w:rsidR="00E82E58" w:rsidRPr="003408A6">
              <w:rPr>
                <w:i/>
                <w:lang w:val="en-AU"/>
              </w:rPr>
              <w:t>–</w:t>
            </w:r>
            <w:r w:rsidRPr="003408A6">
              <w:rPr>
                <w:i/>
                <w:lang w:val="en-AU"/>
              </w:rPr>
              <w:t>0.82)</w:t>
            </w:r>
          </w:p>
        </w:tc>
        <w:tc>
          <w:tcPr>
            <w:tcW w:w="3184" w:type="dxa"/>
          </w:tcPr>
          <w:p w:rsidR="00FD5559" w:rsidRPr="003408A6" w:rsidRDefault="00FD5559" w:rsidP="00E82E58">
            <w:pPr>
              <w:pStyle w:val="Tabletext"/>
              <w:rPr>
                <w:lang w:val="en-AU"/>
              </w:rPr>
            </w:pPr>
            <w:r w:rsidRPr="003408A6">
              <w:rPr>
                <w:lang w:val="en-AU"/>
              </w:rPr>
              <w:t>0.76</w:t>
            </w:r>
          </w:p>
          <w:p w:rsidR="00FD5559" w:rsidRPr="003408A6" w:rsidRDefault="00FD5559" w:rsidP="00E82E58">
            <w:pPr>
              <w:pStyle w:val="Tabletext"/>
              <w:rPr>
                <w:i/>
                <w:lang w:val="en-AU"/>
              </w:rPr>
            </w:pPr>
            <w:r w:rsidRPr="003408A6">
              <w:rPr>
                <w:i/>
                <w:lang w:val="en-AU"/>
              </w:rPr>
              <w:t>(95% CI: 0.69</w:t>
            </w:r>
            <w:r w:rsidR="00E82E58" w:rsidRPr="003408A6">
              <w:rPr>
                <w:i/>
                <w:lang w:val="en-AU"/>
              </w:rPr>
              <w:t>–</w:t>
            </w:r>
            <w:r w:rsidRPr="003408A6">
              <w:rPr>
                <w:i/>
                <w:lang w:val="en-AU"/>
              </w:rPr>
              <w:t>0.83)</w:t>
            </w:r>
          </w:p>
        </w:tc>
      </w:tr>
      <w:tr w:rsidR="00FD5559" w:rsidRPr="003408A6" w:rsidTr="00E82E58">
        <w:tc>
          <w:tcPr>
            <w:tcW w:w="3510" w:type="dxa"/>
          </w:tcPr>
          <w:p w:rsidR="00FD5559" w:rsidRPr="003408A6" w:rsidRDefault="00FD5559" w:rsidP="00385669">
            <w:pPr>
              <w:pStyle w:val="Tabletext"/>
              <w:rPr>
                <w:lang w:val="en-AU"/>
              </w:rPr>
            </w:pPr>
            <w:r w:rsidRPr="003408A6">
              <w:rPr>
                <w:lang w:val="en-AU"/>
              </w:rPr>
              <w:t>2010/2011 admission rate relative to pre-</w:t>
            </w:r>
            <w:r w:rsidR="00385669" w:rsidRPr="003408A6">
              <w:rPr>
                <w:lang w:val="en-AU"/>
              </w:rPr>
              <w:t>vaccin</w:t>
            </w:r>
            <w:r w:rsidR="00385669">
              <w:rPr>
                <w:lang w:val="en-AU"/>
              </w:rPr>
              <w:t>e</w:t>
            </w:r>
            <w:r w:rsidR="00385669" w:rsidRPr="003408A6">
              <w:rPr>
                <w:lang w:val="en-AU"/>
              </w:rPr>
              <w:t xml:space="preserve"> </w:t>
            </w:r>
            <w:r w:rsidRPr="003408A6">
              <w:rPr>
                <w:lang w:val="en-AU"/>
              </w:rPr>
              <w:t>average</w:t>
            </w:r>
          </w:p>
        </w:tc>
        <w:tc>
          <w:tcPr>
            <w:tcW w:w="3184" w:type="dxa"/>
          </w:tcPr>
          <w:p w:rsidR="00FD5559" w:rsidRPr="003408A6" w:rsidRDefault="00FD5559" w:rsidP="00E82E58">
            <w:pPr>
              <w:pStyle w:val="Tabletext"/>
              <w:rPr>
                <w:lang w:val="en-AU"/>
              </w:rPr>
            </w:pPr>
            <w:r w:rsidRPr="003408A6">
              <w:rPr>
                <w:lang w:val="en-AU"/>
              </w:rPr>
              <w:t>0.59</w:t>
            </w:r>
          </w:p>
          <w:p w:rsidR="00FD5559" w:rsidRPr="003408A6" w:rsidRDefault="00FD5559" w:rsidP="00E82E58">
            <w:pPr>
              <w:pStyle w:val="Tabletext"/>
              <w:rPr>
                <w:i/>
                <w:lang w:val="en-AU"/>
              </w:rPr>
            </w:pPr>
            <w:r w:rsidRPr="003408A6">
              <w:rPr>
                <w:i/>
                <w:lang w:val="en-AU"/>
              </w:rPr>
              <w:t>(95% CI: 0.51</w:t>
            </w:r>
            <w:r w:rsidR="00E82E58" w:rsidRPr="003408A6">
              <w:rPr>
                <w:i/>
                <w:lang w:val="en-AU"/>
              </w:rPr>
              <w:t>–</w:t>
            </w:r>
            <w:r w:rsidRPr="003408A6">
              <w:rPr>
                <w:i/>
                <w:lang w:val="en-AU"/>
              </w:rPr>
              <w:t>0.68)</w:t>
            </w:r>
          </w:p>
        </w:tc>
        <w:tc>
          <w:tcPr>
            <w:tcW w:w="3184" w:type="dxa"/>
          </w:tcPr>
          <w:p w:rsidR="00FD5559" w:rsidRPr="003408A6" w:rsidRDefault="00FD5559" w:rsidP="00E82E58">
            <w:pPr>
              <w:pStyle w:val="Tabletext"/>
              <w:rPr>
                <w:lang w:val="en-AU"/>
              </w:rPr>
            </w:pPr>
            <w:r w:rsidRPr="003408A6">
              <w:rPr>
                <w:lang w:val="en-AU"/>
              </w:rPr>
              <w:t>0.59</w:t>
            </w:r>
          </w:p>
          <w:p w:rsidR="00FD5559" w:rsidRPr="003408A6" w:rsidRDefault="00E82E58" w:rsidP="00E82E58">
            <w:pPr>
              <w:pStyle w:val="Tabletext"/>
              <w:rPr>
                <w:i/>
                <w:lang w:val="en-AU"/>
              </w:rPr>
            </w:pPr>
            <w:r w:rsidRPr="003408A6">
              <w:rPr>
                <w:i/>
                <w:lang w:val="en-AU"/>
              </w:rPr>
              <w:t>(95% CI: 0.51–</w:t>
            </w:r>
            <w:r w:rsidR="00FD5559" w:rsidRPr="003408A6">
              <w:rPr>
                <w:i/>
                <w:lang w:val="en-AU"/>
              </w:rPr>
              <w:t>0.68)</w:t>
            </w:r>
          </w:p>
        </w:tc>
      </w:tr>
      <w:tr w:rsidR="00FD5559" w:rsidRPr="003408A6" w:rsidTr="00E82E58">
        <w:tc>
          <w:tcPr>
            <w:tcW w:w="3510" w:type="dxa"/>
          </w:tcPr>
          <w:p w:rsidR="00FD5559" w:rsidRPr="003408A6" w:rsidRDefault="00FD5559" w:rsidP="00E82E58">
            <w:pPr>
              <w:pStyle w:val="Tabletext"/>
              <w:rPr>
                <w:lang w:val="en-AU"/>
              </w:rPr>
            </w:pPr>
            <w:r w:rsidRPr="003408A6">
              <w:rPr>
                <w:lang w:val="en-AU"/>
              </w:rPr>
              <w:t>Percentage reduction in 2010 relative to 2006 (Poisson analysis)</w:t>
            </w:r>
          </w:p>
        </w:tc>
        <w:tc>
          <w:tcPr>
            <w:tcW w:w="3184" w:type="dxa"/>
          </w:tcPr>
          <w:p w:rsidR="00FD5559" w:rsidRPr="003408A6" w:rsidRDefault="00FD5559" w:rsidP="00E82E58">
            <w:pPr>
              <w:pStyle w:val="Tabletext"/>
              <w:rPr>
                <w:lang w:val="en-AU"/>
              </w:rPr>
            </w:pPr>
            <w:r w:rsidRPr="003408A6">
              <w:rPr>
                <w:lang w:val="en-AU"/>
              </w:rPr>
              <w:t>38%</w:t>
            </w:r>
          </w:p>
          <w:p w:rsidR="00FD5559" w:rsidRPr="003408A6" w:rsidRDefault="00FD5559" w:rsidP="00E82E58">
            <w:pPr>
              <w:pStyle w:val="Tabletext"/>
              <w:rPr>
                <w:i/>
                <w:lang w:val="en-AU"/>
              </w:rPr>
            </w:pPr>
            <w:r w:rsidRPr="003408A6">
              <w:rPr>
                <w:i/>
                <w:lang w:val="en-AU"/>
              </w:rPr>
              <w:t>(95% CI: 28</w:t>
            </w:r>
            <w:r w:rsidR="00E82E58" w:rsidRPr="003408A6">
              <w:rPr>
                <w:i/>
                <w:lang w:val="en-AU"/>
              </w:rPr>
              <w:t>–</w:t>
            </w:r>
            <w:r w:rsidRPr="003408A6">
              <w:rPr>
                <w:i/>
                <w:lang w:val="en-AU"/>
              </w:rPr>
              <w:t>47%)</w:t>
            </w:r>
          </w:p>
        </w:tc>
        <w:tc>
          <w:tcPr>
            <w:tcW w:w="3184" w:type="dxa"/>
          </w:tcPr>
          <w:p w:rsidR="00FD5559" w:rsidRPr="003408A6" w:rsidRDefault="00FD5559" w:rsidP="00E82E58">
            <w:pPr>
              <w:pStyle w:val="Tabletext"/>
              <w:rPr>
                <w:lang w:val="en-AU"/>
              </w:rPr>
            </w:pPr>
            <w:r w:rsidRPr="003408A6">
              <w:rPr>
                <w:lang w:val="en-AU"/>
              </w:rPr>
              <w:t>39%</w:t>
            </w:r>
          </w:p>
          <w:p w:rsidR="00FD5559" w:rsidRPr="003408A6" w:rsidRDefault="00FD5559" w:rsidP="00E82E58">
            <w:pPr>
              <w:pStyle w:val="Tabletext"/>
              <w:rPr>
                <w:i/>
                <w:lang w:val="en-AU"/>
              </w:rPr>
            </w:pPr>
            <w:r w:rsidRPr="003408A6">
              <w:rPr>
                <w:i/>
                <w:lang w:val="en-AU"/>
              </w:rPr>
              <w:t>(95% CI: 28</w:t>
            </w:r>
            <w:r w:rsidR="00E82E58" w:rsidRPr="003408A6">
              <w:rPr>
                <w:i/>
                <w:lang w:val="en-AU"/>
              </w:rPr>
              <w:t>–</w:t>
            </w:r>
            <w:r w:rsidRPr="003408A6">
              <w:rPr>
                <w:i/>
                <w:lang w:val="en-AU"/>
              </w:rPr>
              <w:t>48%)</w:t>
            </w:r>
          </w:p>
        </w:tc>
      </w:tr>
    </w:tbl>
    <w:p w:rsidR="00FD5559" w:rsidRPr="003408A6" w:rsidRDefault="00E82E58" w:rsidP="00E82E58">
      <w:pPr>
        <w:pStyle w:val="Tablefootnote"/>
      </w:pPr>
      <w:r w:rsidRPr="003408A6">
        <w:t>*</w:t>
      </w:r>
      <w:r w:rsidRPr="003408A6">
        <w:tab/>
      </w:r>
      <w:r w:rsidR="00DF53E0" w:rsidRPr="003408A6">
        <w:t>E</w:t>
      </w:r>
      <w:r w:rsidR="00FD5559" w:rsidRPr="003408A6">
        <w:t>xcludes admissions which also included ICD-10 AM codes B20, B21, B22, B23, B24, Z21, O98.7, F02.4.</w:t>
      </w:r>
    </w:p>
    <w:p w:rsidR="00FD5559" w:rsidRPr="003408A6" w:rsidRDefault="00FD5559" w:rsidP="00DA10AE">
      <w:pPr>
        <w:pStyle w:val="Heading3"/>
      </w:pPr>
      <w:bookmarkStart w:id="246" w:name="_Toc372811174"/>
      <w:r w:rsidRPr="003408A6">
        <w:t>Age-related trends in admissions by Indigenous status</w:t>
      </w:r>
      <w:bookmarkEnd w:id="246"/>
    </w:p>
    <w:p w:rsidR="00FD5559" w:rsidRPr="003408A6" w:rsidRDefault="00FD5559" w:rsidP="00E82E58">
      <w:pPr>
        <w:pStyle w:val="BodyText"/>
        <w:rPr>
          <w:lang w:val="en-AU"/>
        </w:rPr>
      </w:pPr>
      <w:r w:rsidRPr="003408A6">
        <w:rPr>
          <w:lang w:val="en-AU"/>
        </w:rPr>
        <w:t>Admissions and rates of admissions involving a diagnosis of genital warts in females by Indigenous status are shown in</w:t>
      </w:r>
      <w:r w:rsidR="00C25DA1" w:rsidRPr="003408A6">
        <w:rPr>
          <w:lang w:val="en-AU"/>
        </w:rPr>
        <w:t xml:space="preserve"> </w:t>
      </w:r>
      <w:r w:rsidR="00C25DA1" w:rsidRPr="003408A6">
        <w:rPr>
          <w:b/>
          <w:lang w:val="en-AU"/>
        </w:rPr>
        <w:t>Figure 6.5</w:t>
      </w:r>
      <w:r w:rsidR="00C25DA1" w:rsidRPr="003408A6">
        <w:rPr>
          <w:lang w:val="en-AU"/>
        </w:rPr>
        <w:t xml:space="preserve"> and </w:t>
      </w:r>
      <w:r w:rsidR="00C25DA1" w:rsidRPr="003408A6">
        <w:rPr>
          <w:b/>
          <w:lang w:val="en-AU"/>
        </w:rPr>
        <w:t>Table 6.8</w:t>
      </w:r>
      <w:r w:rsidRPr="003408A6">
        <w:rPr>
          <w:lang w:val="en-AU"/>
        </w:rPr>
        <w:t>. There were very few admissions in Indigenous males (cell sizes less than five for most age groups and years), and so these are not reported here or analysed further.</w:t>
      </w:r>
    </w:p>
    <w:p w:rsidR="00FD5559" w:rsidRPr="003408A6" w:rsidRDefault="00FD5559" w:rsidP="00E82E58">
      <w:pPr>
        <w:pStyle w:val="BodyText"/>
        <w:rPr>
          <w:lang w:val="en-AU"/>
        </w:rPr>
      </w:pPr>
      <w:r w:rsidRPr="003408A6">
        <w:rPr>
          <w:lang w:val="en-AU"/>
        </w:rPr>
        <w:t>Negative binomial models were fitted, including interaction terms for Indigenous status.</w:t>
      </w:r>
      <w:r w:rsidR="00DF53E0" w:rsidRPr="003408A6">
        <w:rPr>
          <w:lang w:val="en-AU"/>
        </w:rPr>
        <w:t xml:space="preserve"> </w:t>
      </w:r>
      <w:r w:rsidRPr="003408A6">
        <w:rPr>
          <w:lang w:val="en-AU"/>
        </w:rPr>
        <w:t>Substantial reductions in admission rates were observed for females aged 15</w:t>
      </w:r>
      <w:r w:rsidR="00DF53E0" w:rsidRPr="003408A6">
        <w:rPr>
          <w:lang w:val="en-AU"/>
        </w:rPr>
        <w:t>–</w:t>
      </w:r>
      <w:r w:rsidRPr="003408A6">
        <w:rPr>
          <w:lang w:val="en-AU"/>
        </w:rPr>
        <w:t xml:space="preserve">24 years since the introduction of the </w:t>
      </w:r>
      <w:r w:rsidR="00DF53E0" w:rsidRPr="003408A6">
        <w:rPr>
          <w:lang w:val="en-AU"/>
        </w:rPr>
        <w:t>National HPV Vaccination Program</w:t>
      </w:r>
      <w:r w:rsidRPr="003408A6">
        <w:rPr>
          <w:lang w:val="en-AU"/>
        </w:rPr>
        <w:t>. The declines were comparable in Indigenous females and other Australian females, and there was no evidence of variation by Indigenous status (P=0.08). Compared to admissions rates in 2006/2007, admission rates in 2010/2011 were estimated to have declined by 86.7% (95% CI: 76.0</w:t>
      </w:r>
      <w:r w:rsidR="00DF53E0" w:rsidRPr="003408A6">
        <w:rPr>
          <w:lang w:val="en-AU"/>
        </w:rPr>
        <w:t>–</w:t>
      </w:r>
      <w:r w:rsidRPr="003408A6">
        <w:rPr>
          <w:lang w:val="en-AU"/>
        </w:rPr>
        <w:t>92.7%) in Indigenous females aged 15</w:t>
      </w:r>
      <w:r w:rsidR="00DF53E0" w:rsidRPr="003408A6">
        <w:rPr>
          <w:lang w:val="en-AU"/>
        </w:rPr>
        <w:t>–</w:t>
      </w:r>
      <w:r w:rsidRPr="003408A6">
        <w:rPr>
          <w:lang w:val="en-AU"/>
        </w:rPr>
        <w:t>24 years, and by 76.1% (95% CI: 71.6</w:t>
      </w:r>
      <w:r w:rsidR="00DF53E0" w:rsidRPr="003408A6">
        <w:rPr>
          <w:lang w:val="en-AU"/>
        </w:rPr>
        <w:t>–</w:t>
      </w:r>
      <w:r w:rsidRPr="003408A6">
        <w:rPr>
          <w:lang w:val="en-AU"/>
        </w:rPr>
        <w:t>79.9%) in other females aged 15</w:t>
      </w:r>
      <w:r w:rsidR="00DF53E0" w:rsidRPr="003408A6">
        <w:rPr>
          <w:lang w:val="en-AU"/>
        </w:rPr>
        <w:t>–</w:t>
      </w:r>
      <w:r w:rsidRPr="003408A6">
        <w:rPr>
          <w:lang w:val="en-AU"/>
        </w:rPr>
        <w:t>24 years. A smaller but significant post-</w:t>
      </w:r>
      <w:r w:rsidR="00385669" w:rsidRPr="003408A6">
        <w:rPr>
          <w:lang w:val="en-AU"/>
        </w:rPr>
        <w:t>vaccin</w:t>
      </w:r>
      <w:r w:rsidR="00385669">
        <w:rPr>
          <w:lang w:val="en-AU"/>
        </w:rPr>
        <w:t>e</w:t>
      </w:r>
      <w:r w:rsidR="00385669" w:rsidRPr="003408A6">
        <w:rPr>
          <w:lang w:val="en-AU"/>
        </w:rPr>
        <w:t xml:space="preserve"> </w:t>
      </w:r>
      <w:r w:rsidRPr="003408A6">
        <w:rPr>
          <w:lang w:val="en-AU"/>
        </w:rPr>
        <w:t>reduction was observed in 2010/2011 relative to 2006/2007 for other females aged 25</w:t>
      </w:r>
      <w:r w:rsidR="00DF53E0" w:rsidRPr="003408A6">
        <w:rPr>
          <w:lang w:val="en-AU"/>
        </w:rPr>
        <w:t>–</w:t>
      </w:r>
      <w:r w:rsidRPr="003408A6">
        <w:rPr>
          <w:lang w:val="en-AU"/>
        </w:rPr>
        <w:t>34 years (32.0%; 95% CI: 19.3</w:t>
      </w:r>
      <w:r w:rsidR="00DF53E0" w:rsidRPr="003408A6">
        <w:rPr>
          <w:lang w:val="en-AU"/>
        </w:rPr>
        <w:t>–</w:t>
      </w:r>
      <w:r w:rsidRPr="003408A6">
        <w:rPr>
          <w:lang w:val="en-AU"/>
        </w:rPr>
        <w:t xml:space="preserve">42.6%), but not in Indigenous females (17.7%; 95% CI: </w:t>
      </w:r>
      <w:r w:rsidR="00DF53E0" w:rsidRPr="003408A6">
        <w:rPr>
          <w:lang w:val="en-AU"/>
        </w:rPr>
        <w:t>–</w:t>
      </w:r>
      <w:r w:rsidRPr="003408A6">
        <w:rPr>
          <w:lang w:val="en-AU"/>
        </w:rPr>
        <w:t xml:space="preserve">85.4% </w:t>
      </w:r>
      <w:r w:rsidR="00DF53E0" w:rsidRPr="003408A6">
        <w:rPr>
          <w:lang w:val="en-AU"/>
        </w:rPr>
        <w:t>to</w:t>
      </w:r>
      <w:r w:rsidRPr="003408A6">
        <w:rPr>
          <w:lang w:val="en-AU"/>
        </w:rPr>
        <w:t xml:space="preserve"> 73.5%). No changes in admission rates were observed for older females.</w:t>
      </w:r>
    </w:p>
    <w:p w:rsidR="00FD5559" w:rsidRPr="003408A6" w:rsidRDefault="00FD5559" w:rsidP="00E82E58">
      <w:pPr>
        <w:pStyle w:val="BodyText"/>
        <w:rPr>
          <w:lang w:val="en-AU"/>
        </w:rPr>
      </w:pPr>
      <w:r w:rsidRPr="003408A6">
        <w:rPr>
          <w:lang w:val="en-AU"/>
        </w:rPr>
        <w:t>The findings were broadly similar for rate ratio estimates. The ratio of post-</w:t>
      </w:r>
      <w:r w:rsidR="00385669" w:rsidRPr="003408A6">
        <w:rPr>
          <w:lang w:val="en-AU"/>
        </w:rPr>
        <w:t>vaccin</w:t>
      </w:r>
      <w:r w:rsidR="00385669">
        <w:rPr>
          <w:lang w:val="en-AU"/>
        </w:rPr>
        <w:t>e</w:t>
      </w:r>
      <w:r w:rsidR="00385669" w:rsidRPr="003408A6">
        <w:rPr>
          <w:lang w:val="en-AU"/>
        </w:rPr>
        <w:t xml:space="preserve"> </w:t>
      </w:r>
      <w:r w:rsidRPr="003408A6">
        <w:rPr>
          <w:lang w:val="en-AU"/>
        </w:rPr>
        <w:t>to pre-</w:t>
      </w:r>
      <w:r w:rsidR="00385669" w:rsidRPr="003408A6">
        <w:rPr>
          <w:lang w:val="en-AU"/>
        </w:rPr>
        <w:t>vaccin</w:t>
      </w:r>
      <w:r w:rsidR="00385669">
        <w:rPr>
          <w:lang w:val="en-AU"/>
        </w:rPr>
        <w:t>e</w:t>
      </w:r>
      <w:r w:rsidR="00385669" w:rsidRPr="003408A6">
        <w:rPr>
          <w:lang w:val="en-AU"/>
        </w:rPr>
        <w:t xml:space="preserve"> </w:t>
      </w:r>
      <w:r w:rsidRPr="003408A6">
        <w:rPr>
          <w:lang w:val="en-AU"/>
        </w:rPr>
        <w:t>admission rates by age group</w:t>
      </w:r>
      <w:r w:rsidR="00DF53E0" w:rsidRPr="003408A6">
        <w:rPr>
          <w:lang w:val="en-AU"/>
        </w:rPr>
        <w:t xml:space="preserve"> and Indigenous status</w:t>
      </w:r>
      <w:r w:rsidRPr="003408A6">
        <w:rPr>
          <w:lang w:val="en-AU"/>
        </w:rPr>
        <w:t xml:space="preserve"> are shown in</w:t>
      </w:r>
      <w:r w:rsidR="00C25DA1" w:rsidRPr="003408A6">
        <w:rPr>
          <w:lang w:val="en-AU"/>
        </w:rPr>
        <w:t xml:space="preserve"> </w:t>
      </w:r>
      <w:r w:rsidR="00C25DA1" w:rsidRPr="003408A6">
        <w:rPr>
          <w:b/>
          <w:lang w:val="en-AU"/>
        </w:rPr>
        <w:t>Table 6.9</w:t>
      </w:r>
      <w:r w:rsidRPr="003408A6">
        <w:rPr>
          <w:lang w:val="en-AU"/>
        </w:rPr>
        <w:t>. Post-</w:t>
      </w:r>
      <w:r w:rsidR="00385669" w:rsidRPr="003408A6">
        <w:rPr>
          <w:lang w:val="en-AU"/>
        </w:rPr>
        <w:t>vaccin</w:t>
      </w:r>
      <w:r w:rsidR="00385669">
        <w:rPr>
          <w:lang w:val="en-AU"/>
        </w:rPr>
        <w:t>e</w:t>
      </w:r>
      <w:r w:rsidR="00385669" w:rsidRPr="003408A6">
        <w:rPr>
          <w:lang w:val="en-AU"/>
        </w:rPr>
        <w:t xml:space="preserve"> </w:t>
      </w:r>
      <w:r w:rsidRPr="003408A6">
        <w:rPr>
          <w:lang w:val="en-AU"/>
        </w:rPr>
        <w:t>admission rates were substantially lower than pre-</w:t>
      </w:r>
      <w:r w:rsidR="00385669" w:rsidRPr="003408A6">
        <w:rPr>
          <w:lang w:val="en-AU"/>
        </w:rPr>
        <w:t>vaccin</w:t>
      </w:r>
      <w:r w:rsidR="00385669">
        <w:rPr>
          <w:lang w:val="en-AU"/>
        </w:rPr>
        <w:t>e</w:t>
      </w:r>
      <w:r w:rsidR="00385669" w:rsidRPr="003408A6">
        <w:rPr>
          <w:lang w:val="en-AU"/>
        </w:rPr>
        <w:t xml:space="preserve"> </w:t>
      </w:r>
      <w:r w:rsidRPr="003408A6">
        <w:rPr>
          <w:lang w:val="en-AU"/>
        </w:rPr>
        <w:t>rates in both Indigenous females and other Australian females aged 15</w:t>
      </w:r>
      <w:r w:rsidR="00DF53E0" w:rsidRPr="003408A6">
        <w:rPr>
          <w:lang w:val="en-AU"/>
        </w:rPr>
        <w:t>–</w:t>
      </w:r>
      <w:r w:rsidRPr="003408A6">
        <w:rPr>
          <w:lang w:val="en-AU"/>
        </w:rPr>
        <w:t>24 years, and rate ratios were very similar for Indigenous and other females. The overall rate ratios comparing the average pre- and post-</w:t>
      </w:r>
      <w:r w:rsidR="00385669" w:rsidRPr="003408A6">
        <w:rPr>
          <w:lang w:val="en-AU"/>
        </w:rPr>
        <w:t>vaccin</w:t>
      </w:r>
      <w:r w:rsidR="00385669">
        <w:rPr>
          <w:lang w:val="en-AU"/>
        </w:rPr>
        <w:t>e</w:t>
      </w:r>
      <w:r w:rsidR="00385669" w:rsidRPr="003408A6">
        <w:rPr>
          <w:lang w:val="en-AU"/>
        </w:rPr>
        <w:t xml:space="preserve"> </w:t>
      </w:r>
      <w:r w:rsidRPr="003408A6">
        <w:rPr>
          <w:lang w:val="en-AU"/>
        </w:rPr>
        <w:t>admission rates in females aged 15</w:t>
      </w:r>
      <w:r w:rsidR="00DF53E0" w:rsidRPr="003408A6">
        <w:rPr>
          <w:lang w:val="en-AU"/>
        </w:rPr>
        <w:t>–</w:t>
      </w:r>
      <w:r w:rsidRPr="003408A6">
        <w:rPr>
          <w:lang w:val="en-AU"/>
        </w:rPr>
        <w:t>24 years were 0.27 (95% CI: 0.19</w:t>
      </w:r>
      <w:r w:rsidR="00DF53E0" w:rsidRPr="003408A6">
        <w:rPr>
          <w:lang w:val="en-AU"/>
        </w:rPr>
        <w:t>–</w:t>
      </w:r>
      <w:r w:rsidRPr="003408A6">
        <w:rPr>
          <w:lang w:val="en-AU"/>
        </w:rPr>
        <w:t>0.40) for Indigenous females and 0.34 (95% CI: 0.31</w:t>
      </w:r>
      <w:r w:rsidR="00DF53E0" w:rsidRPr="003408A6">
        <w:rPr>
          <w:lang w:val="en-AU"/>
        </w:rPr>
        <w:t>–</w:t>
      </w:r>
      <w:r w:rsidRPr="003408A6">
        <w:rPr>
          <w:lang w:val="en-AU"/>
        </w:rPr>
        <w:t>0.36) for other females. Individual rate ratios for the intervening years followed a similar pattern in both Indigenous and other females, and the ratios of admission rates in 2010/2011 to pre-</w:t>
      </w:r>
      <w:r w:rsidR="00385669" w:rsidRPr="003408A6">
        <w:rPr>
          <w:lang w:val="en-AU"/>
        </w:rPr>
        <w:t>vaccin</w:t>
      </w:r>
      <w:r w:rsidR="00385669">
        <w:rPr>
          <w:lang w:val="en-AU"/>
        </w:rPr>
        <w:t>e</w:t>
      </w:r>
      <w:r w:rsidR="00385669" w:rsidRPr="003408A6">
        <w:rPr>
          <w:lang w:val="en-AU"/>
        </w:rPr>
        <w:t xml:space="preserve"> </w:t>
      </w:r>
      <w:r w:rsidRPr="003408A6">
        <w:rPr>
          <w:lang w:val="en-AU"/>
        </w:rPr>
        <w:t>rates were 0.22 (95% CI: 0.12</w:t>
      </w:r>
      <w:r w:rsidR="00DF53E0" w:rsidRPr="003408A6">
        <w:rPr>
          <w:lang w:val="en-AU"/>
        </w:rPr>
        <w:t>–</w:t>
      </w:r>
      <w:r w:rsidRPr="003408A6">
        <w:rPr>
          <w:lang w:val="en-AU"/>
        </w:rPr>
        <w:t>0.42) for Indigenous females and 0.21 (95% CI: 0.18</w:t>
      </w:r>
      <w:r w:rsidR="00DF53E0" w:rsidRPr="003408A6">
        <w:rPr>
          <w:lang w:val="en-AU"/>
        </w:rPr>
        <w:t>–</w:t>
      </w:r>
      <w:r w:rsidRPr="003408A6">
        <w:rPr>
          <w:lang w:val="en-AU"/>
        </w:rPr>
        <w:t>0.24) for other females. Comparing post-</w:t>
      </w:r>
      <w:r w:rsidR="00385669" w:rsidRPr="003408A6">
        <w:rPr>
          <w:lang w:val="en-AU"/>
        </w:rPr>
        <w:t>vaccin</w:t>
      </w:r>
      <w:r w:rsidR="00385669">
        <w:rPr>
          <w:lang w:val="en-AU"/>
        </w:rPr>
        <w:t>e</w:t>
      </w:r>
      <w:r w:rsidR="00385669" w:rsidRPr="003408A6">
        <w:rPr>
          <w:lang w:val="en-AU"/>
        </w:rPr>
        <w:t xml:space="preserve"> </w:t>
      </w:r>
      <w:r w:rsidRPr="003408A6">
        <w:rPr>
          <w:lang w:val="en-AU"/>
        </w:rPr>
        <w:t>admission rates to pre-</w:t>
      </w:r>
      <w:r w:rsidR="00385669" w:rsidRPr="003408A6">
        <w:rPr>
          <w:lang w:val="en-AU"/>
        </w:rPr>
        <w:t>vaccin</w:t>
      </w:r>
      <w:r w:rsidR="00385669">
        <w:rPr>
          <w:lang w:val="en-AU"/>
        </w:rPr>
        <w:t>e</w:t>
      </w:r>
      <w:r w:rsidR="00385669" w:rsidRPr="003408A6">
        <w:rPr>
          <w:lang w:val="en-AU"/>
        </w:rPr>
        <w:t xml:space="preserve"> </w:t>
      </w:r>
      <w:r w:rsidRPr="003408A6">
        <w:rPr>
          <w:lang w:val="en-AU"/>
        </w:rPr>
        <w:t>rates, there was no significant decline in admission rates for Indigenous females aged 25</w:t>
      </w:r>
      <w:r w:rsidR="00DF53E0" w:rsidRPr="003408A6">
        <w:rPr>
          <w:lang w:val="en-AU"/>
        </w:rPr>
        <w:t>–</w:t>
      </w:r>
      <w:r w:rsidRPr="003408A6">
        <w:rPr>
          <w:lang w:val="en-AU"/>
        </w:rPr>
        <w:t>34 years nor those aged 35</w:t>
      </w:r>
      <w:r w:rsidR="00DF53E0" w:rsidRPr="003408A6">
        <w:rPr>
          <w:lang w:val="en-AU"/>
        </w:rPr>
        <w:t>–</w:t>
      </w:r>
      <w:r w:rsidRPr="003408A6">
        <w:rPr>
          <w:lang w:val="en-AU"/>
        </w:rPr>
        <w:t>69 years. A significant post-</w:t>
      </w:r>
      <w:r w:rsidR="00385669" w:rsidRPr="003408A6">
        <w:rPr>
          <w:lang w:val="en-AU"/>
        </w:rPr>
        <w:t>vaccin</w:t>
      </w:r>
      <w:r w:rsidR="00385669">
        <w:rPr>
          <w:lang w:val="en-AU"/>
        </w:rPr>
        <w:t>e</w:t>
      </w:r>
      <w:r w:rsidR="00385669" w:rsidRPr="003408A6">
        <w:rPr>
          <w:lang w:val="en-AU"/>
        </w:rPr>
        <w:t xml:space="preserve"> </w:t>
      </w:r>
      <w:r w:rsidRPr="003408A6">
        <w:rPr>
          <w:lang w:val="en-AU"/>
        </w:rPr>
        <w:t>reduction was observed in other Australian females aged 25</w:t>
      </w:r>
      <w:r w:rsidR="00DF53E0" w:rsidRPr="003408A6">
        <w:rPr>
          <w:lang w:val="en-AU"/>
        </w:rPr>
        <w:t>–</w:t>
      </w:r>
      <w:r w:rsidRPr="003408A6">
        <w:rPr>
          <w:lang w:val="en-AU"/>
        </w:rPr>
        <w:t xml:space="preserve">34 years (2010/2011 </w:t>
      </w:r>
      <w:r w:rsidR="00DF53E0" w:rsidRPr="003408A6">
        <w:rPr>
          <w:lang w:val="en-AU"/>
        </w:rPr>
        <w:t>RR</w:t>
      </w:r>
      <w:r w:rsidRPr="003408A6">
        <w:rPr>
          <w:lang w:val="en-AU"/>
        </w:rPr>
        <w:t>=0.63; 95% CI: 0.56</w:t>
      </w:r>
      <w:r w:rsidR="00DF53E0" w:rsidRPr="003408A6">
        <w:rPr>
          <w:lang w:val="en-AU"/>
        </w:rPr>
        <w:t>–</w:t>
      </w:r>
      <w:r w:rsidRPr="003408A6">
        <w:rPr>
          <w:lang w:val="en-AU"/>
        </w:rPr>
        <w:t>0.71) but not in older other Australian females (</w:t>
      </w:r>
      <w:r w:rsidR="00C25DA1" w:rsidRPr="003408A6">
        <w:rPr>
          <w:b/>
          <w:lang w:val="en-AU"/>
        </w:rPr>
        <w:t>Table 6.9</w:t>
      </w:r>
      <w:r w:rsidRPr="003408A6">
        <w:rPr>
          <w:lang w:val="en-AU"/>
        </w:rPr>
        <w:t>).</w:t>
      </w:r>
    </w:p>
    <w:p w:rsidR="00F77A1B" w:rsidRPr="003408A6" w:rsidRDefault="006F017A" w:rsidP="00AD2A1F">
      <w:pPr>
        <w:pStyle w:val="Figureheading"/>
        <w:keepNext/>
      </w:pPr>
      <w:bookmarkStart w:id="247" w:name="_Toc396475591"/>
      <w:bookmarkStart w:id="248" w:name="_Toc397000819"/>
      <w:r w:rsidRPr="003408A6">
        <w:t>Figure 6.5</w:t>
      </w:r>
      <w:r w:rsidR="00EF3AA0" w:rsidRPr="003408A6">
        <w:t>.</w:t>
      </w:r>
      <w:r w:rsidR="002B7A0C" w:rsidRPr="003408A6">
        <w:tab/>
      </w:r>
      <w:r w:rsidRPr="003408A6">
        <w:t>Age-specific rates of admissions* involving genital warts in females</w:t>
      </w:r>
      <w:r w:rsidR="00510685">
        <w:t>,</w:t>
      </w:r>
      <w:r w:rsidRPr="003408A6">
        <w:t xml:space="preserve"> per 100,000 population</w:t>
      </w:r>
      <w:r w:rsidR="00510685">
        <w:t>,</w:t>
      </w:r>
      <w:r w:rsidRPr="003408A6">
        <w:t xml:space="preserve"> July 2004 </w:t>
      </w:r>
      <w:r w:rsidR="00DF53E0" w:rsidRPr="003408A6">
        <w:t>to</w:t>
      </w:r>
      <w:r w:rsidRPr="003408A6">
        <w:t xml:space="preserve"> June 2011</w:t>
      </w:r>
      <w:bookmarkEnd w:id="247"/>
      <w:bookmarkEnd w:id="248"/>
    </w:p>
    <w:p w:rsidR="00FD5559" w:rsidRPr="003408A6" w:rsidRDefault="00FD5559" w:rsidP="00F77A1B">
      <w:pPr>
        <w:spacing w:line="360" w:lineRule="auto"/>
        <w:rPr>
          <w:rStyle w:val="BodyTextChar"/>
          <w:lang w:val="en-AU"/>
        </w:rPr>
      </w:pPr>
      <w:r w:rsidRPr="003408A6">
        <w:rPr>
          <w:noProof/>
        </w:rPr>
        <w:drawing>
          <wp:inline distT="0" distB="0" distL="0" distR="0" wp14:anchorId="045E1371" wp14:editId="281C967E">
            <wp:extent cx="5731510" cy="4119829"/>
            <wp:effectExtent l="0" t="0" r="21590" b="14605"/>
            <wp:docPr id="21" name="Chart 21" title="Age-specific rates of admissions* involving genital warts in females, per 100,000 population, July 2004 to June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D5559" w:rsidRPr="003408A6" w:rsidRDefault="00FD5559" w:rsidP="00E82E58">
      <w:pPr>
        <w:pStyle w:val="Tablefootnote"/>
      </w:pPr>
      <w:r w:rsidRPr="003408A6">
        <w:t>*</w:t>
      </w:r>
      <w:r w:rsidR="00E82E58" w:rsidRPr="003408A6">
        <w:tab/>
      </w:r>
      <w:r w:rsidRPr="003408A6">
        <w:t xml:space="preserve">Includes data from hospitals in NSW, </w:t>
      </w:r>
      <w:r w:rsidR="00D43E92" w:rsidRPr="003408A6">
        <w:t>VIC</w:t>
      </w:r>
      <w:r w:rsidRPr="003408A6">
        <w:t xml:space="preserve">, </w:t>
      </w:r>
      <w:r w:rsidR="00D43E92" w:rsidRPr="003408A6">
        <w:t>QLD</w:t>
      </w:r>
      <w:r w:rsidRPr="003408A6">
        <w:t xml:space="preserve">, SA, WA and NT only. </w:t>
      </w:r>
    </w:p>
    <w:p w:rsidR="00FD5559" w:rsidRPr="003408A6" w:rsidRDefault="00FD5559" w:rsidP="00FD5559">
      <w:pPr>
        <w:rPr>
          <w:sz w:val="20"/>
        </w:rPr>
        <w:sectPr w:rsidR="00FD5559" w:rsidRPr="003408A6" w:rsidSect="00D07C02">
          <w:pgSz w:w="11906" w:h="16838"/>
          <w:pgMar w:top="1440" w:right="1440" w:bottom="1440" w:left="1440" w:header="709" w:footer="709" w:gutter="0"/>
          <w:cols w:space="708"/>
          <w:docGrid w:linePitch="360"/>
        </w:sectPr>
      </w:pPr>
    </w:p>
    <w:p w:rsidR="00FD5559" w:rsidRPr="003408A6" w:rsidRDefault="006F017A" w:rsidP="00C2177D">
      <w:pPr>
        <w:pStyle w:val="Tableheading"/>
        <w:rPr>
          <w:lang w:val="en-AU"/>
        </w:rPr>
      </w:pPr>
      <w:bookmarkStart w:id="249" w:name="_Toc396475563"/>
      <w:bookmarkStart w:id="250" w:name="_Toc397000791"/>
      <w:r w:rsidRPr="003408A6">
        <w:rPr>
          <w:lang w:val="en-AU"/>
        </w:rPr>
        <w:t>Table 6.8</w:t>
      </w:r>
      <w:r w:rsidR="00D43E92" w:rsidRPr="003408A6">
        <w:rPr>
          <w:lang w:val="en-AU"/>
        </w:rPr>
        <w:t>.</w:t>
      </w:r>
      <w:r w:rsidR="00D861BD" w:rsidRPr="003408A6">
        <w:rPr>
          <w:lang w:val="en-AU"/>
        </w:rPr>
        <w:tab/>
      </w:r>
      <w:r w:rsidRPr="003408A6">
        <w:rPr>
          <w:lang w:val="en-AU"/>
        </w:rPr>
        <w:t>Admissions* and rates of admissions (per 100,000 population) involving a diagnosis of genital warts</w:t>
      </w:r>
      <w:r w:rsidR="00C06C20">
        <w:rPr>
          <w:lang w:val="en-AU"/>
        </w:rPr>
        <w:t xml:space="preserve"> in</w:t>
      </w:r>
      <w:r w:rsidR="00385669" w:rsidRPr="00385669">
        <w:rPr>
          <w:lang w:val="en-AU"/>
        </w:rPr>
        <w:t xml:space="preserve"> </w:t>
      </w:r>
      <w:r w:rsidR="00385669" w:rsidRPr="003408A6">
        <w:rPr>
          <w:lang w:val="en-AU"/>
        </w:rPr>
        <w:t>females</w:t>
      </w:r>
      <w:r w:rsidR="00D43E92" w:rsidRPr="003408A6">
        <w:rPr>
          <w:lang w:val="en-AU"/>
        </w:rPr>
        <w:t>,</w:t>
      </w:r>
      <w:r w:rsidRPr="003408A6">
        <w:rPr>
          <w:lang w:val="en-AU"/>
        </w:rPr>
        <w:t xml:space="preserve"> July 2004 </w:t>
      </w:r>
      <w:r w:rsidR="00D43E92" w:rsidRPr="003408A6">
        <w:rPr>
          <w:lang w:val="en-AU"/>
        </w:rPr>
        <w:t>to</w:t>
      </w:r>
      <w:r w:rsidRPr="003408A6">
        <w:rPr>
          <w:lang w:val="en-AU"/>
        </w:rPr>
        <w:t xml:space="preserve"> June 2011, by Indigenous status, age and year of admission</w:t>
      </w:r>
      <w:bookmarkEnd w:id="249"/>
      <w:bookmarkEnd w:id="250"/>
    </w:p>
    <w:tbl>
      <w:tblPr>
        <w:tblStyle w:val="TableGrid"/>
        <w:tblW w:w="15010" w:type="dxa"/>
        <w:tblInd w:w="-176" w:type="dxa"/>
        <w:tblBorders>
          <w:insideH w:val="none" w:sz="0" w:space="0" w:color="auto"/>
          <w:insideV w:val="none" w:sz="0" w:space="0" w:color="auto"/>
        </w:tblBorders>
        <w:tblLayout w:type="fixed"/>
        <w:tblLook w:val="04A0" w:firstRow="1" w:lastRow="0" w:firstColumn="1" w:lastColumn="0" w:noHBand="0" w:noVBand="1"/>
        <w:tblCaption w:val="Admissions* and rates of admissions (per 100,000 population) involving a diagnosis of genital warts in females, July 2004 to June 2011, by Indigenous status, age and year of admission"/>
      </w:tblPr>
      <w:tblGrid>
        <w:gridCol w:w="1418"/>
        <w:gridCol w:w="1418"/>
        <w:gridCol w:w="850"/>
        <w:gridCol w:w="1418"/>
        <w:gridCol w:w="850"/>
        <w:gridCol w:w="1418"/>
        <w:gridCol w:w="850"/>
        <w:gridCol w:w="1418"/>
        <w:gridCol w:w="850"/>
        <w:gridCol w:w="1418"/>
        <w:gridCol w:w="795"/>
        <w:gridCol w:w="1473"/>
        <w:gridCol w:w="834"/>
      </w:tblGrid>
      <w:tr w:rsidR="00380920" w:rsidRPr="003408A6" w:rsidTr="00E9659D">
        <w:trPr>
          <w:tblHeader/>
        </w:trPr>
        <w:tc>
          <w:tcPr>
            <w:tcW w:w="1418" w:type="dxa"/>
            <w:tcBorders>
              <w:right w:val="single" w:sz="4" w:space="0" w:color="auto"/>
            </w:tcBorders>
          </w:tcPr>
          <w:p w:rsidR="00380920" w:rsidRPr="003408A6" w:rsidRDefault="00380920" w:rsidP="00E82E58">
            <w:pPr>
              <w:pStyle w:val="Tablecolumnheadings"/>
              <w:rPr>
                <w:lang w:val="en-AU"/>
              </w:rPr>
            </w:pPr>
            <w:r w:rsidRPr="003408A6">
              <w:rPr>
                <w:lang w:val="en-AU"/>
              </w:rPr>
              <w:t>Year</w:t>
            </w:r>
            <w:r>
              <w:rPr>
                <w:lang w:val="en-AU"/>
              </w:rPr>
              <w:br/>
            </w:r>
            <w:r w:rsidRPr="003408A6">
              <w:rPr>
                <w:lang w:val="en-AU"/>
              </w:rPr>
              <w:t>(starting 1 July)</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Indigenous females</w:t>
            </w:r>
          </w:p>
        </w:tc>
        <w:tc>
          <w:tcPr>
            <w:tcW w:w="6788" w:type="dxa"/>
            <w:gridSpan w:val="6"/>
            <w:tcBorders>
              <w:top w:val="single" w:sz="4" w:space="0" w:color="auto"/>
              <w:left w:val="single" w:sz="4" w:space="0" w:color="auto"/>
              <w:bottom w:val="single" w:sz="4" w:space="0" w:color="auto"/>
            </w:tcBorders>
            <w:vAlign w:val="center"/>
          </w:tcPr>
          <w:p w:rsidR="00380920" w:rsidRPr="003408A6" w:rsidRDefault="00380920" w:rsidP="00931535">
            <w:pPr>
              <w:pStyle w:val="Tablecolumnheadings"/>
              <w:rPr>
                <w:lang w:val="en-AU"/>
              </w:rPr>
            </w:pPr>
            <w:r w:rsidRPr="003408A6">
              <w:rPr>
                <w:lang w:val="en-AU"/>
              </w:rPr>
              <w:t>Other Australian females</w:t>
            </w:r>
          </w:p>
        </w:tc>
      </w:tr>
      <w:tr w:rsidR="00380920" w:rsidRPr="003408A6" w:rsidTr="00E9659D">
        <w:trPr>
          <w:tblHeader/>
        </w:trPr>
        <w:tc>
          <w:tcPr>
            <w:tcW w:w="1418" w:type="dxa"/>
            <w:tcBorders>
              <w:right w:val="single" w:sz="4" w:space="0" w:color="auto"/>
            </w:tcBorders>
          </w:tcPr>
          <w:p w:rsidR="00380920" w:rsidRPr="003408A6" w:rsidRDefault="00380920" w:rsidP="00E82E58">
            <w:pPr>
              <w:pStyle w:val="Tablecolumnheadings"/>
              <w:rPr>
                <w:lang w:val="en-AU"/>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15–24 years</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25–34 years</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35–69 years</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15–24 years</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380920" w:rsidRPr="003408A6" w:rsidRDefault="00380920" w:rsidP="00931535">
            <w:pPr>
              <w:pStyle w:val="Tablecolumnheadings"/>
              <w:rPr>
                <w:lang w:val="en-AU"/>
              </w:rPr>
            </w:pPr>
            <w:r w:rsidRPr="003408A6">
              <w:rPr>
                <w:lang w:val="en-AU"/>
              </w:rPr>
              <w:t>25–34 years</w:t>
            </w:r>
          </w:p>
        </w:tc>
        <w:tc>
          <w:tcPr>
            <w:tcW w:w="2307" w:type="dxa"/>
            <w:gridSpan w:val="2"/>
            <w:tcBorders>
              <w:top w:val="single" w:sz="4" w:space="0" w:color="auto"/>
              <w:left w:val="single" w:sz="4" w:space="0" w:color="auto"/>
              <w:bottom w:val="single" w:sz="4" w:space="0" w:color="auto"/>
            </w:tcBorders>
            <w:vAlign w:val="center"/>
          </w:tcPr>
          <w:p w:rsidR="00380920" w:rsidRPr="003408A6" w:rsidRDefault="00380920" w:rsidP="00931535">
            <w:pPr>
              <w:pStyle w:val="Tablecolumnheadings"/>
              <w:rPr>
                <w:lang w:val="en-AU"/>
              </w:rPr>
            </w:pPr>
            <w:r w:rsidRPr="003408A6">
              <w:rPr>
                <w:lang w:val="en-AU"/>
              </w:rPr>
              <w:t>35–69 years</w:t>
            </w:r>
          </w:p>
        </w:tc>
      </w:tr>
      <w:tr w:rsidR="00380920" w:rsidRPr="003408A6" w:rsidTr="00E9659D">
        <w:trPr>
          <w:tblHeader/>
        </w:trPr>
        <w:tc>
          <w:tcPr>
            <w:tcW w:w="1418" w:type="dxa"/>
            <w:tcBorders>
              <w:bottom w:val="single" w:sz="4" w:space="0" w:color="auto"/>
              <w:right w:val="single" w:sz="4" w:space="0" w:color="auto"/>
            </w:tcBorders>
          </w:tcPr>
          <w:p w:rsidR="00380920" w:rsidRPr="003408A6" w:rsidRDefault="00380920" w:rsidP="00E82E58">
            <w:pPr>
              <w:pStyle w:val="Tablecolumnheadings"/>
              <w:rPr>
                <w:lang w:val="en-AU"/>
              </w:rPr>
            </w:pPr>
          </w:p>
        </w:tc>
        <w:tc>
          <w:tcPr>
            <w:tcW w:w="1418"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850"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Rate</w:t>
            </w:r>
          </w:p>
        </w:tc>
        <w:tc>
          <w:tcPr>
            <w:tcW w:w="1418"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850"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Rate</w:t>
            </w:r>
          </w:p>
        </w:tc>
        <w:tc>
          <w:tcPr>
            <w:tcW w:w="1418"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850"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Rate</w:t>
            </w:r>
          </w:p>
        </w:tc>
        <w:tc>
          <w:tcPr>
            <w:tcW w:w="1418"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850"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Rate</w:t>
            </w:r>
          </w:p>
        </w:tc>
        <w:tc>
          <w:tcPr>
            <w:tcW w:w="1418"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795"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Rate</w:t>
            </w:r>
          </w:p>
        </w:tc>
        <w:tc>
          <w:tcPr>
            <w:tcW w:w="1473" w:type="dxa"/>
            <w:tcBorders>
              <w:top w:val="single" w:sz="4" w:space="0" w:color="auto"/>
              <w:left w:val="single" w:sz="4" w:space="0" w:color="auto"/>
              <w:bottom w:val="single" w:sz="4" w:space="0" w:color="auto"/>
              <w:right w:val="single" w:sz="4" w:space="0" w:color="auto"/>
            </w:tcBorders>
          </w:tcPr>
          <w:p w:rsidR="00380920" w:rsidRPr="003408A6" w:rsidRDefault="00380920" w:rsidP="00385669">
            <w:pPr>
              <w:pStyle w:val="Tablecolumnheadings"/>
              <w:rPr>
                <w:lang w:val="en-AU"/>
              </w:rPr>
            </w:pPr>
            <w:r w:rsidRPr="003408A6">
              <w:rPr>
                <w:lang w:val="en-AU"/>
              </w:rPr>
              <w:t>Admissions</w:t>
            </w:r>
            <w:r>
              <w:rPr>
                <w:lang w:val="en-AU"/>
              </w:rPr>
              <w:br/>
              <w:t>n</w:t>
            </w:r>
          </w:p>
        </w:tc>
        <w:tc>
          <w:tcPr>
            <w:tcW w:w="834" w:type="dxa"/>
            <w:tcBorders>
              <w:top w:val="single" w:sz="4" w:space="0" w:color="auto"/>
              <w:left w:val="single" w:sz="4" w:space="0" w:color="auto"/>
              <w:bottom w:val="single" w:sz="4" w:space="0" w:color="auto"/>
            </w:tcBorders>
          </w:tcPr>
          <w:p w:rsidR="00380920" w:rsidRPr="003408A6" w:rsidRDefault="00380920" w:rsidP="00385669">
            <w:pPr>
              <w:pStyle w:val="Tablecolumnheadings"/>
              <w:rPr>
                <w:lang w:val="en-AU"/>
              </w:rPr>
            </w:pPr>
            <w:r w:rsidRPr="003408A6">
              <w:rPr>
                <w:lang w:val="en-AU"/>
              </w:rPr>
              <w:t>Rate</w:t>
            </w:r>
          </w:p>
        </w:tc>
      </w:tr>
      <w:tr w:rsidR="00931535" w:rsidRPr="003408A6" w:rsidTr="00E9659D">
        <w:tc>
          <w:tcPr>
            <w:tcW w:w="1418" w:type="dxa"/>
            <w:tcBorders>
              <w:top w:val="single" w:sz="4" w:space="0" w:color="auto"/>
              <w:right w:val="single" w:sz="4" w:space="0" w:color="auto"/>
            </w:tcBorders>
          </w:tcPr>
          <w:p w:rsidR="00FD5559" w:rsidRPr="003408A6" w:rsidRDefault="00FD5559" w:rsidP="00931535">
            <w:pPr>
              <w:pStyle w:val="Tabletext"/>
              <w:rPr>
                <w:lang w:val="en-AU"/>
              </w:rPr>
            </w:pPr>
            <w:r w:rsidRPr="003408A6">
              <w:rPr>
                <w:lang w:val="en-AU"/>
              </w:rPr>
              <w:t>2004</w:t>
            </w:r>
          </w:p>
        </w:tc>
        <w:tc>
          <w:tcPr>
            <w:tcW w:w="1418"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40</w:t>
            </w:r>
          </w:p>
        </w:tc>
        <w:tc>
          <w:tcPr>
            <w:tcW w:w="850"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91.7</w:t>
            </w:r>
          </w:p>
        </w:tc>
        <w:tc>
          <w:tcPr>
            <w:tcW w:w="1418" w:type="dxa"/>
            <w:tcBorders>
              <w:top w:val="single" w:sz="4" w:space="0" w:color="auto"/>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11</w:t>
            </w:r>
          </w:p>
        </w:tc>
        <w:tc>
          <w:tcPr>
            <w:tcW w:w="850"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30.8</w:t>
            </w:r>
          </w:p>
        </w:tc>
        <w:tc>
          <w:tcPr>
            <w:tcW w:w="1418" w:type="dxa"/>
            <w:tcBorders>
              <w:top w:val="single" w:sz="4" w:space="0" w:color="auto"/>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&lt;5</w:t>
            </w:r>
          </w:p>
        </w:tc>
        <w:tc>
          <w:tcPr>
            <w:tcW w:w="850"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12.9</w:t>
            </w:r>
          </w:p>
        </w:tc>
        <w:tc>
          <w:tcPr>
            <w:tcW w:w="1418" w:type="dxa"/>
            <w:tcBorders>
              <w:top w:val="single" w:sz="4" w:space="0" w:color="auto"/>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1,036</w:t>
            </w:r>
          </w:p>
        </w:tc>
        <w:tc>
          <w:tcPr>
            <w:tcW w:w="850"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81.2</w:t>
            </w:r>
          </w:p>
        </w:tc>
        <w:tc>
          <w:tcPr>
            <w:tcW w:w="1418" w:type="dxa"/>
            <w:tcBorders>
              <w:top w:val="single" w:sz="4" w:space="0" w:color="auto"/>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540</w:t>
            </w:r>
          </w:p>
        </w:tc>
        <w:tc>
          <w:tcPr>
            <w:tcW w:w="795" w:type="dxa"/>
            <w:tcBorders>
              <w:top w:val="single" w:sz="4" w:space="0" w:color="auto"/>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39.9</w:t>
            </w:r>
          </w:p>
        </w:tc>
        <w:tc>
          <w:tcPr>
            <w:tcW w:w="1473" w:type="dxa"/>
            <w:tcBorders>
              <w:top w:val="single" w:sz="4" w:space="0" w:color="auto"/>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584</w:t>
            </w:r>
          </w:p>
        </w:tc>
        <w:tc>
          <w:tcPr>
            <w:tcW w:w="834" w:type="dxa"/>
            <w:tcBorders>
              <w:top w:val="single" w:sz="4" w:space="0" w:color="auto"/>
              <w:left w:val="single" w:sz="4" w:space="0" w:color="auto"/>
            </w:tcBorders>
          </w:tcPr>
          <w:p w:rsidR="00FD5559" w:rsidRPr="003408A6" w:rsidRDefault="00FD5559" w:rsidP="00931535">
            <w:pPr>
              <w:pStyle w:val="Tabletextcentred"/>
              <w:rPr>
                <w:lang w:val="en-AU"/>
              </w:rPr>
            </w:pPr>
            <w:r w:rsidRPr="003408A6">
              <w:rPr>
                <w:lang w:val="en-AU"/>
              </w:rPr>
              <w:t>14.2</w:t>
            </w:r>
          </w:p>
        </w:tc>
      </w:tr>
      <w:tr w:rsidR="00931535" w:rsidRPr="003408A6" w:rsidTr="00E9659D">
        <w:tc>
          <w:tcPr>
            <w:tcW w:w="1418" w:type="dxa"/>
            <w:tcBorders>
              <w:right w:val="single" w:sz="4" w:space="0" w:color="auto"/>
            </w:tcBorders>
          </w:tcPr>
          <w:p w:rsidR="00FD5559" w:rsidRPr="003408A6" w:rsidRDefault="00FD5559" w:rsidP="00931535">
            <w:pPr>
              <w:pStyle w:val="Tabletext"/>
              <w:rPr>
                <w:lang w:val="en-AU"/>
              </w:rPr>
            </w:pPr>
            <w:r w:rsidRPr="003408A6">
              <w:rPr>
                <w:lang w:val="en-AU"/>
              </w:rPr>
              <w:t>2005</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24</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52.8</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8</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22.4</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8</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15.0</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992</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76.5</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498</w:t>
            </w:r>
          </w:p>
        </w:tc>
        <w:tc>
          <w:tcPr>
            <w:tcW w:w="795"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36.8</w:t>
            </w:r>
          </w:p>
        </w:tc>
        <w:tc>
          <w:tcPr>
            <w:tcW w:w="1473"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582</w:t>
            </w:r>
          </w:p>
        </w:tc>
        <w:tc>
          <w:tcPr>
            <w:tcW w:w="834" w:type="dxa"/>
            <w:tcBorders>
              <w:left w:val="single" w:sz="4" w:space="0" w:color="auto"/>
            </w:tcBorders>
          </w:tcPr>
          <w:p w:rsidR="00FD5559" w:rsidRPr="003408A6" w:rsidRDefault="00FD5559" w:rsidP="00931535">
            <w:pPr>
              <w:pStyle w:val="Tabletextcentred"/>
              <w:rPr>
                <w:lang w:val="en-AU"/>
              </w:rPr>
            </w:pPr>
            <w:r w:rsidRPr="003408A6">
              <w:rPr>
                <w:lang w:val="en-AU"/>
              </w:rPr>
              <w:t>13.8</w:t>
            </w:r>
          </w:p>
        </w:tc>
      </w:tr>
      <w:tr w:rsidR="00931535" w:rsidRPr="003408A6" w:rsidTr="00E9659D">
        <w:tc>
          <w:tcPr>
            <w:tcW w:w="1418" w:type="dxa"/>
            <w:tcBorders>
              <w:right w:val="single" w:sz="4" w:space="0" w:color="auto"/>
            </w:tcBorders>
          </w:tcPr>
          <w:p w:rsidR="00FD5559" w:rsidRPr="003408A6" w:rsidRDefault="00FD5559" w:rsidP="00931535">
            <w:pPr>
              <w:pStyle w:val="Tabletext"/>
              <w:rPr>
                <w:lang w:val="en-AU"/>
              </w:rPr>
            </w:pPr>
            <w:r w:rsidRPr="003408A6">
              <w:rPr>
                <w:lang w:val="en-AU"/>
              </w:rPr>
              <w:t>2006</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49</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103.2</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7</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19.6</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15</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23.9</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844</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63.9</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460</w:t>
            </w:r>
          </w:p>
        </w:tc>
        <w:tc>
          <w:tcPr>
            <w:tcW w:w="795"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33.8</w:t>
            </w:r>
          </w:p>
        </w:tc>
        <w:tc>
          <w:tcPr>
            <w:tcW w:w="1473"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537</w:t>
            </w:r>
          </w:p>
        </w:tc>
        <w:tc>
          <w:tcPr>
            <w:tcW w:w="834" w:type="dxa"/>
            <w:tcBorders>
              <w:left w:val="single" w:sz="4" w:space="0" w:color="auto"/>
            </w:tcBorders>
          </w:tcPr>
          <w:p w:rsidR="00FD5559" w:rsidRPr="003408A6" w:rsidRDefault="00FD5559" w:rsidP="00931535">
            <w:pPr>
              <w:pStyle w:val="Tabletextcentred"/>
              <w:rPr>
                <w:lang w:val="en-AU"/>
              </w:rPr>
            </w:pPr>
            <w:r w:rsidRPr="003408A6">
              <w:rPr>
                <w:lang w:val="en-AU"/>
              </w:rPr>
              <w:t>12.5</w:t>
            </w:r>
          </w:p>
        </w:tc>
      </w:tr>
      <w:tr w:rsidR="00931535" w:rsidRPr="003408A6" w:rsidTr="00E9659D">
        <w:tc>
          <w:tcPr>
            <w:tcW w:w="1418" w:type="dxa"/>
            <w:tcBorders>
              <w:right w:val="single" w:sz="4" w:space="0" w:color="auto"/>
            </w:tcBorders>
          </w:tcPr>
          <w:p w:rsidR="00FD5559" w:rsidRPr="003408A6" w:rsidRDefault="00FD5559" w:rsidP="00931535">
            <w:pPr>
              <w:pStyle w:val="Tabletext"/>
              <w:rPr>
                <w:lang w:val="en-AU"/>
              </w:rPr>
            </w:pPr>
            <w:r w:rsidRPr="003408A6">
              <w:rPr>
                <w:lang w:val="en-AU"/>
              </w:rPr>
              <w:t>2007</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36</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72.8</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15</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41.9</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8</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14.0</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739</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54.8</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463</w:t>
            </w:r>
          </w:p>
        </w:tc>
        <w:tc>
          <w:tcPr>
            <w:tcW w:w="795"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33.4</w:t>
            </w:r>
          </w:p>
        </w:tc>
        <w:tc>
          <w:tcPr>
            <w:tcW w:w="1473"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472</w:t>
            </w:r>
          </w:p>
        </w:tc>
        <w:tc>
          <w:tcPr>
            <w:tcW w:w="834" w:type="dxa"/>
            <w:tcBorders>
              <w:left w:val="single" w:sz="4" w:space="0" w:color="auto"/>
            </w:tcBorders>
          </w:tcPr>
          <w:p w:rsidR="00FD5559" w:rsidRPr="003408A6" w:rsidRDefault="00FD5559" w:rsidP="00931535">
            <w:pPr>
              <w:pStyle w:val="Tabletextcentred"/>
              <w:rPr>
                <w:lang w:val="en-AU"/>
              </w:rPr>
            </w:pPr>
            <w:r w:rsidRPr="003408A6">
              <w:rPr>
                <w:lang w:val="en-AU"/>
              </w:rPr>
              <w:t>10.8</w:t>
            </w:r>
          </w:p>
        </w:tc>
      </w:tr>
      <w:tr w:rsidR="00931535" w:rsidRPr="003408A6" w:rsidTr="00E9659D">
        <w:tc>
          <w:tcPr>
            <w:tcW w:w="1418" w:type="dxa"/>
            <w:tcBorders>
              <w:right w:val="single" w:sz="4" w:space="0" w:color="auto"/>
            </w:tcBorders>
          </w:tcPr>
          <w:p w:rsidR="00FD5559" w:rsidRPr="003408A6" w:rsidRDefault="00FD5559" w:rsidP="00931535">
            <w:pPr>
              <w:pStyle w:val="Tabletext"/>
              <w:rPr>
                <w:lang w:val="en-AU"/>
              </w:rPr>
            </w:pPr>
            <w:r w:rsidRPr="003408A6">
              <w:rPr>
                <w:lang w:val="en-AU"/>
              </w:rPr>
              <w:t>2008</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16</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31.2</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6</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31.3</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w:t>
            </w:r>
            <w:r w:rsidR="00931535" w:rsidRPr="003408A6">
              <w:rPr>
                <w:lang w:val="en-AU"/>
              </w:rPr>
              <w:t>4</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21.8</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489</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35.4</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408</w:t>
            </w:r>
          </w:p>
        </w:tc>
        <w:tc>
          <w:tcPr>
            <w:tcW w:w="795"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28.6</w:t>
            </w:r>
          </w:p>
        </w:tc>
        <w:tc>
          <w:tcPr>
            <w:tcW w:w="1473"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506</w:t>
            </w:r>
          </w:p>
        </w:tc>
        <w:tc>
          <w:tcPr>
            <w:tcW w:w="834" w:type="dxa"/>
            <w:tcBorders>
              <w:left w:val="single" w:sz="4" w:space="0" w:color="auto"/>
            </w:tcBorders>
          </w:tcPr>
          <w:p w:rsidR="00FD5559" w:rsidRPr="003408A6" w:rsidRDefault="00FD5559" w:rsidP="00931535">
            <w:pPr>
              <w:pStyle w:val="Tabletextcentred"/>
              <w:rPr>
                <w:lang w:val="en-AU"/>
              </w:rPr>
            </w:pPr>
            <w:r w:rsidRPr="003408A6">
              <w:rPr>
                <w:lang w:val="en-AU"/>
              </w:rPr>
              <w:t>11.3</w:t>
            </w:r>
          </w:p>
        </w:tc>
      </w:tr>
      <w:tr w:rsidR="00931535" w:rsidRPr="003408A6" w:rsidTr="00E9659D">
        <w:tc>
          <w:tcPr>
            <w:tcW w:w="1418" w:type="dxa"/>
            <w:tcBorders>
              <w:right w:val="single" w:sz="4" w:space="0" w:color="auto"/>
            </w:tcBorders>
          </w:tcPr>
          <w:p w:rsidR="00FD5559" w:rsidRPr="003408A6" w:rsidRDefault="00FD5559" w:rsidP="00931535">
            <w:pPr>
              <w:pStyle w:val="Tabletext"/>
              <w:rPr>
                <w:lang w:val="en-AU"/>
              </w:rPr>
            </w:pPr>
            <w:r w:rsidRPr="003408A6">
              <w:rPr>
                <w:lang w:val="en-AU"/>
              </w:rPr>
              <w:t>2009</w:t>
            </w:r>
          </w:p>
        </w:tc>
        <w:tc>
          <w:tcPr>
            <w:tcW w:w="1418"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10</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18.9</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&lt;5</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10.8</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14</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18.8</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337</w:t>
            </w:r>
          </w:p>
        </w:tc>
        <w:tc>
          <w:tcPr>
            <w:tcW w:w="850"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23.9</w:t>
            </w:r>
          </w:p>
        </w:tc>
        <w:tc>
          <w:tcPr>
            <w:tcW w:w="1418"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396</w:t>
            </w:r>
          </w:p>
        </w:tc>
        <w:tc>
          <w:tcPr>
            <w:tcW w:w="795" w:type="dxa"/>
            <w:tcBorders>
              <w:left w:val="single" w:sz="4" w:space="0" w:color="auto"/>
              <w:right w:val="single" w:sz="4" w:space="0" w:color="auto"/>
            </w:tcBorders>
          </w:tcPr>
          <w:p w:rsidR="00FD5559" w:rsidRPr="003408A6" w:rsidRDefault="00FD5559" w:rsidP="00931535">
            <w:pPr>
              <w:pStyle w:val="Tabletextcentred"/>
              <w:rPr>
                <w:lang w:val="en-AU"/>
              </w:rPr>
            </w:pPr>
            <w:r w:rsidRPr="003408A6">
              <w:rPr>
                <w:lang w:val="en-AU"/>
              </w:rPr>
              <w:t>27.0</w:t>
            </w:r>
          </w:p>
        </w:tc>
        <w:tc>
          <w:tcPr>
            <w:tcW w:w="1473" w:type="dxa"/>
            <w:tcBorders>
              <w:left w:val="single" w:sz="4" w:space="0" w:color="auto"/>
              <w:right w:val="single" w:sz="4" w:space="0" w:color="auto"/>
            </w:tcBorders>
          </w:tcPr>
          <w:p w:rsidR="00FD5559" w:rsidRPr="003408A6" w:rsidRDefault="00931535" w:rsidP="00931535">
            <w:pPr>
              <w:pStyle w:val="Tabletextcentred"/>
              <w:rPr>
                <w:lang w:val="en-AU"/>
              </w:rPr>
            </w:pPr>
            <w:r w:rsidRPr="003408A6">
              <w:rPr>
                <w:lang w:val="en-AU"/>
              </w:rPr>
              <w:t>532</w:t>
            </w:r>
          </w:p>
        </w:tc>
        <w:tc>
          <w:tcPr>
            <w:tcW w:w="834" w:type="dxa"/>
            <w:tcBorders>
              <w:left w:val="single" w:sz="4" w:space="0" w:color="auto"/>
            </w:tcBorders>
          </w:tcPr>
          <w:p w:rsidR="00FD5559" w:rsidRPr="003408A6" w:rsidRDefault="00FD5559" w:rsidP="00931535">
            <w:pPr>
              <w:pStyle w:val="Tabletextcentred"/>
              <w:rPr>
                <w:lang w:val="en-AU"/>
              </w:rPr>
            </w:pPr>
            <w:r w:rsidRPr="003408A6">
              <w:rPr>
                <w:lang w:val="en-AU"/>
              </w:rPr>
              <w:t>11.7</w:t>
            </w:r>
          </w:p>
        </w:tc>
      </w:tr>
      <w:tr w:rsidR="00931535" w:rsidRPr="003408A6" w:rsidTr="00E9659D">
        <w:tc>
          <w:tcPr>
            <w:tcW w:w="1418" w:type="dxa"/>
            <w:tcBorders>
              <w:bottom w:val="single" w:sz="4" w:space="0" w:color="auto"/>
              <w:right w:val="single" w:sz="4" w:space="0" w:color="auto"/>
            </w:tcBorders>
          </w:tcPr>
          <w:p w:rsidR="00FD5559" w:rsidRPr="003408A6" w:rsidRDefault="00FD5559" w:rsidP="00931535">
            <w:pPr>
              <w:pStyle w:val="Tabletext"/>
              <w:rPr>
                <w:lang w:val="en-AU"/>
              </w:rPr>
            </w:pPr>
            <w:r w:rsidRPr="003408A6">
              <w:rPr>
                <w:lang w:val="en-AU"/>
              </w:rPr>
              <w:t>2010</w:t>
            </w:r>
          </w:p>
        </w:tc>
        <w:tc>
          <w:tcPr>
            <w:tcW w:w="1418"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10</w:t>
            </w:r>
          </w:p>
        </w:tc>
        <w:tc>
          <w:tcPr>
            <w:tcW w:w="850"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18.3</w:t>
            </w:r>
          </w:p>
        </w:tc>
        <w:tc>
          <w:tcPr>
            <w:tcW w:w="1418"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11</w:t>
            </w:r>
          </w:p>
        </w:tc>
        <w:tc>
          <w:tcPr>
            <w:tcW w:w="850"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28.8</w:t>
            </w:r>
          </w:p>
        </w:tc>
        <w:tc>
          <w:tcPr>
            <w:tcW w:w="1418" w:type="dxa"/>
            <w:tcBorders>
              <w:left w:val="single" w:sz="4" w:space="0" w:color="auto"/>
              <w:bottom w:val="single" w:sz="4" w:space="0" w:color="auto"/>
              <w:right w:val="single" w:sz="4" w:space="0" w:color="auto"/>
            </w:tcBorders>
          </w:tcPr>
          <w:p w:rsidR="00FD5559" w:rsidRPr="003408A6" w:rsidRDefault="00931535" w:rsidP="00931535">
            <w:pPr>
              <w:pStyle w:val="Tabletextcentred"/>
              <w:rPr>
                <w:lang w:val="en-AU"/>
              </w:rPr>
            </w:pPr>
            <w:r w:rsidRPr="003408A6">
              <w:rPr>
                <w:lang w:val="en-AU"/>
              </w:rPr>
              <w:t>12</w:t>
            </w:r>
          </w:p>
        </w:tc>
        <w:tc>
          <w:tcPr>
            <w:tcW w:w="850"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15.7</w:t>
            </w:r>
          </w:p>
        </w:tc>
        <w:tc>
          <w:tcPr>
            <w:tcW w:w="1418" w:type="dxa"/>
            <w:tcBorders>
              <w:left w:val="single" w:sz="4" w:space="0" w:color="auto"/>
              <w:bottom w:val="single" w:sz="4" w:space="0" w:color="auto"/>
              <w:right w:val="single" w:sz="4" w:space="0" w:color="auto"/>
            </w:tcBorders>
          </w:tcPr>
          <w:p w:rsidR="00FD5559" w:rsidRPr="003408A6" w:rsidRDefault="00931535" w:rsidP="00931535">
            <w:pPr>
              <w:pStyle w:val="Tabletextcentred"/>
              <w:rPr>
                <w:lang w:val="en-AU"/>
              </w:rPr>
            </w:pPr>
            <w:r w:rsidRPr="003408A6">
              <w:rPr>
                <w:lang w:val="en-AU"/>
              </w:rPr>
              <w:t>217</w:t>
            </w:r>
          </w:p>
        </w:tc>
        <w:tc>
          <w:tcPr>
            <w:tcW w:w="850"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15.5</w:t>
            </w:r>
          </w:p>
        </w:tc>
        <w:tc>
          <w:tcPr>
            <w:tcW w:w="1418" w:type="dxa"/>
            <w:tcBorders>
              <w:left w:val="single" w:sz="4" w:space="0" w:color="auto"/>
              <w:bottom w:val="single" w:sz="4" w:space="0" w:color="auto"/>
              <w:right w:val="single" w:sz="4" w:space="0" w:color="auto"/>
            </w:tcBorders>
          </w:tcPr>
          <w:p w:rsidR="00FD5559" w:rsidRPr="003408A6" w:rsidRDefault="00931535" w:rsidP="00931535">
            <w:pPr>
              <w:pStyle w:val="Tabletextcentred"/>
              <w:rPr>
                <w:lang w:val="en-AU"/>
              </w:rPr>
            </w:pPr>
            <w:r w:rsidRPr="003408A6">
              <w:rPr>
                <w:lang w:val="en-AU"/>
              </w:rPr>
              <w:t>345</w:t>
            </w:r>
          </w:p>
        </w:tc>
        <w:tc>
          <w:tcPr>
            <w:tcW w:w="795" w:type="dxa"/>
            <w:tcBorders>
              <w:left w:val="single" w:sz="4" w:space="0" w:color="auto"/>
              <w:bottom w:val="single" w:sz="4" w:space="0" w:color="auto"/>
              <w:right w:val="single" w:sz="4" w:space="0" w:color="auto"/>
            </w:tcBorders>
          </w:tcPr>
          <w:p w:rsidR="00FD5559" w:rsidRPr="003408A6" w:rsidRDefault="00FD5559" w:rsidP="00931535">
            <w:pPr>
              <w:pStyle w:val="Tabletextcentred"/>
              <w:rPr>
                <w:lang w:val="en-AU"/>
              </w:rPr>
            </w:pPr>
            <w:r w:rsidRPr="003408A6">
              <w:rPr>
                <w:lang w:val="en-AU"/>
              </w:rPr>
              <w:t>23.2</w:t>
            </w:r>
          </w:p>
        </w:tc>
        <w:tc>
          <w:tcPr>
            <w:tcW w:w="1473" w:type="dxa"/>
            <w:tcBorders>
              <w:left w:val="single" w:sz="4" w:space="0" w:color="auto"/>
              <w:bottom w:val="single" w:sz="4" w:space="0" w:color="auto"/>
              <w:right w:val="single" w:sz="4" w:space="0" w:color="auto"/>
            </w:tcBorders>
          </w:tcPr>
          <w:p w:rsidR="00FD5559" w:rsidRPr="003408A6" w:rsidRDefault="00931535" w:rsidP="00931535">
            <w:pPr>
              <w:pStyle w:val="Tabletextcentred"/>
              <w:rPr>
                <w:lang w:val="en-AU"/>
              </w:rPr>
            </w:pPr>
            <w:r w:rsidRPr="003408A6">
              <w:rPr>
                <w:lang w:val="en-AU"/>
              </w:rPr>
              <w:t>613</w:t>
            </w:r>
          </w:p>
        </w:tc>
        <w:tc>
          <w:tcPr>
            <w:tcW w:w="834" w:type="dxa"/>
            <w:tcBorders>
              <w:left w:val="single" w:sz="4" w:space="0" w:color="auto"/>
              <w:bottom w:val="single" w:sz="4" w:space="0" w:color="auto"/>
            </w:tcBorders>
          </w:tcPr>
          <w:p w:rsidR="00FD5559" w:rsidRPr="003408A6" w:rsidRDefault="00FD5559" w:rsidP="00931535">
            <w:pPr>
              <w:pStyle w:val="Tabletextcentred"/>
              <w:rPr>
                <w:lang w:val="en-AU"/>
              </w:rPr>
            </w:pPr>
            <w:r w:rsidRPr="003408A6">
              <w:rPr>
                <w:lang w:val="en-AU"/>
              </w:rPr>
              <w:t>13.3</w:t>
            </w:r>
          </w:p>
        </w:tc>
      </w:tr>
      <w:tr w:rsidR="00931535" w:rsidRPr="003408A6" w:rsidTr="00E9659D">
        <w:tc>
          <w:tcPr>
            <w:tcW w:w="1418" w:type="dxa"/>
            <w:tcBorders>
              <w:top w:val="single" w:sz="4" w:space="0" w:color="auto"/>
              <w:bottom w:val="single" w:sz="4" w:space="0" w:color="auto"/>
              <w:right w:val="single" w:sz="4" w:space="0" w:color="auto"/>
            </w:tcBorders>
          </w:tcPr>
          <w:p w:rsidR="00FD5559" w:rsidRPr="003408A6" w:rsidRDefault="00FD5559" w:rsidP="00190586">
            <w:pPr>
              <w:pStyle w:val="Tabletextbold"/>
              <w:rPr>
                <w:lang w:val="en-AU"/>
              </w:rPr>
            </w:pPr>
            <w:r w:rsidRPr="003408A6">
              <w:rPr>
                <w:lang w:val="en-AU"/>
              </w:rPr>
              <w:t>Jul</w:t>
            </w:r>
            <w:r w:rsidR="00D43E92" w:rsidRPr="003408A6">
              <w:rPr>
                <w:lang w:val="en-AU"/>
              </w:rPr>
              <w:t>y</w:t>
            </w:r>
            <w:r w:rsidRPr="003408A6">
              <w:rPr>
                <w:lang w:val="en-AU"/>
              </w:rPr>
              <w:t xml:space="preserve"> 2004</w:t>
            </w:r>
            <w:r w:rsidR="00D43E92" w:rsidRPr="003408A6">
              <w:rPr>
                <w:lang w:val="en-AU"/>
              </w:rPr>
              <w:t>–</w:t>
            </w:r>
            <w:r w:rsidRPr="003408A6">
              <w:rPr>
                <w:lang w:val="en-AU"/>
              </w:rPr>
              <w:t>Jun</w:t>
            </w:r>
            <w:r w:rsidR="00D43E92" w:rsidRPr="003408A6">
              <w:rPr>
                <w:lang w:val="en-AU"/>
              </w:rPr>
              <w:t>e</w:t>
            </w:r>
            <w:r w:rsidRPr="003408A6">
              <w:rPr>
                <w:lang w:val="en-AU"/>
              </w:rPr>
              <w:t xml:space="preserve"> 2011</w:t>
            </w:r>
          </w:p>
        </w:tc>
        <w:tc>
          <w:tcPr>
            <w:tcW w:w="1418"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r w:rsidRPr="003408A6">
              <w:rPr>
                <w:b/>
                <w:lang w:val="en-AU"/>
              </w:rPr>
              <w:t>185</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p>
        </w:tc>
        <w:tc>
          <w:tcPr>
            <w:tcW w:w="1418" w:type="dxa"/>
            <w:tcBorders>
              <w:top w:val="single" w:sz="4" w:space="0" w:color="auto"/>
              <w:left w:val="single" w:sz="4" w:space="0" w:color="auto"/>
              <w:bottom w:val="single" w:sz="4" w:space="0" w:color="auto"/>
              <w:right w:val="single" w:sz="4" w:space="0" w:color="auto"/>
            </w:tcBorders>
            <w:vAlign w:val="center"/>
          </w:tcPr>
          <w:p w:rsidR="00FD5559" w:rsidRPr="003408A6" w:rsidRDefault="00931535" w:rsidP="00190586">
            <w:pPr>
              <w:pStyle w:val="Tabletextcentred"/>
              <w:rPr>
                <w:b/>
                <w:lang w:val="en-AU"/>
              </w:rPr>
            </w:pPr>
            <w:r w:rsidRPr="003408A6">
              <w:rPr>
                <w:b/>
                <w:lang w:val="en-AU"/>
              </w:rPr>
              <w:t>62</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p>
        </w:tc>
        <w:tc>
          <w:tcPr>
            <w:tcW w:w="1418" w:type="dxa"/>
            <w:tcBorders>
              <w:top w:val="single" w:sz="4" w:space="0" w:color="auto"/>
              <w:left w:val="single" w:sz="4" w:space="0" w:color="auto"/>
              <w:bottom w:val="single" w:sz="4" w:space="0" w:color="auto"/>
              <w:right w:val="single" w:sz="4" w:space="0" w:color="auto"/>
            </w:tcBorders>
            <w:vAlign w:val="center"/>
          </w:tcPr>
          <w:p w:rsidR="00FD5559" w:rsidRPr="003408A6" w:rsidRDefault="00931535" w:rsidP="00190586">
            <w:pPr>
              <w:pStyle w:val="Tabletextcentred"/>
              <w:rPr>
                <w:b/>
                <w:lang w:val="en-AU"/>
              </w:rPr>
            </w:pPr>
            <w:r w:rsidRPr="003408A6">
              <w:rPr>
                <w:b/>
                <w:lang w:val="en-AU"/>
              </w:rPr>
              <w:t>75</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p>
        </w:tc>
        <w:tc>
          <w:tcPr>
            <w:tcW w:w="1418" w:type="dxa"/>
            <w:tcBorders>
              <w:top w:val="single" w:sz="4" w:space="0" w:color="auto"/>
              <w:left w:val="single" w:sz="4" w:space="0" w:color="auto"/>
              <w:bottom w:val="single" w:sz="4" w:space="0" w:color="auto"/>
              <w:right w:val="single" w:sz="4" w:space="0" w:color="auto"/>
            </w:tcBorders>
            <w:vAlign w:val="center"/>
          </w:tcPr>
          <w:p w:rsidR="00FD5559" w:rsidRPr="003408A6" w:rsidRDefault="00931535" w:rsidP="00190586">
            <w:pPr>
              <w:pStyle w:val="Tabletextcentred"/>
              <w:rPr>
                <w:b/>
                <w:lang w:val="en-AU"/>
              </w:rPr>
            </w:pPr>
            <w:r w:rsidRPr="003408A6">
              <w:rPr>
                <w:b/>
                <w:lang w:val="en-AU"/>
              </w:rPr>
              <w:t>4,654</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p>
        </w:tc>
        <w:tc>
          <w:tcPr>
            <w:tcW w:w="1418" w:type="dxa"/>
            <w:tcBorders>
              <w:top w:val="single" w:sz="4" w:space="0" w:color="auto"/>
              <w:left w:val="single" w:sz="4" w:space="0" w:color="auto"/>
              <w:bottom w:val="single" w:sz="4" w:space="0" w:color="auto"/>
              <w:right w:val="single" w:sz="4" w:space="0" w:color="auto"/>
            </w:tcBorders>
            <w:vAlign w:val="center"/>
          </w:tcPr>
          <w:p w:rsidR="00FD5559" w:rsidRPr="003408A6" w:rsidRDefault="00931535" w:rsidP="00190586">
            <w:pPr>
              <w:pStyle w:val="Tabletextcentred"/>
              <w:rPr>
                <w:b/>
                <w:lang w:val="en-AU"/>
              </w:rPr>
            </w:pPr>
            <w:r w:rsidRPr="003408A6">
              <w:rPr>
                <w:b/>
                <w:lang w:val="en-AU"/>
              </w:rPr>
              <w:t>3,110</w:t>
            </w:r>
          </w:p>
        </w:tc>
        <w:tc>
          <w:tcPr>
            <w:tcW w:w="795" w:type="dxa"/>
            <w:tcBorders>
              <w:top w:val="single" w:sz="4" w:space="0" w:color="auto"/>
              <w:left w:val="single" w:sz="4" w:space="0" w:color="auto"/>
              <w:bottom w:val="single" w:sz="4" w:space="0" w:color="auto"/>
              <w:right w:val="single" w:sz="4" w:space="0" w:color="auto"/>
            </w:tcBorders>
            <w:vAlign w:val="center"/>
          </w:tcPr>
          <w:p w:rsidR="00FD5559" w:rsidRPr="003408A6" w:rsidRDefault="00FD5559" w:rsidP="00190586">
            <w:pPr>
              <w:pStyle w:val="Tabletextcentred"/>
              <w:rPr>
                <w:b/>
                <w:lang w:val="en-AU"/>
              </w:rPr>
            </w:pPr>
          </w:p>
        </w:tc>
        <w:tc>
          <w:tcPr>
            <w:tcW w:w="1473" w:type="dxa"/>
            <w:tcBorders>
              <w:top w:val="single" w:sz="4" w:space="0" w:color="auto"/>
              <w:left w:val="single" w:sz="4" w:space="0" w:color="auto"/>
              <w:bottom w:val="single" w:sz="4" w:space="0" w:color="auto"/>
              <w:right w:val="single" w:sz="4" w:space="0" w:color="auto"/>
            </w:tcBorders>
            <w:vAlign w:val="center"/>
          </w:tcPr>
          <w:p w:rsidR="00FD5559" w:rsidRPr="003408A6" w:rsidRDefault="00931535" w:rsidP="00190586">
            <w:pPr>
              <w:pStyle w:val="Tabletextcentred"/>
              <w:rPr>
                <w:b/>
                <w:lang w:val="en-AU"/>
              </w:rPr>
            </w:pPr>
            <w:r w:rsidRPr="003408A6">
              <w:rPr>
                <w:b/>
                <w:lang w:val="en-AU"/>
              </w:rPr>
              <w:t>3,826</w:t>
            </w:r>
          </w:p>
        </w:tc>
        <w:tc>
          <w:tcPr>
            <w:tcW w:w="834" w:type="dxa"/>
            <w:tcBorders>
              <w:top w:val="single" w:sz="4" w:space="0" w:color="auto"/>
              <w:left w:val="single" w:sz="4" w:space="0" w:color="auto"/>
              <w:bottom w:val="single" w:sz="4" w:space="0" w:color="auto"/>
            </w:tcBorders>
            <w:vAlign w:val="center"/>
          </w:tcPr>
          <w:p w:rsidR="00FD5559" w:rsidRPr="003408A6" w:rsidRDefault="00FD5559" w:rsidP="00190586">
            <w:pPr>
              <w:pStyle w:val="Tabletextcentred"/>
              <w:rPr>
                <w:b/>
                <w:lang w:val="en-AU"/>
              </w:rPr>
            </w:pPr>
          </w:p>
        </w:tc>
      </w:tr>
    </w:tbl>
    <w:p w:rsidR="00FD5559" w:rsidRPr="003408A6" w:rsidRDefault="00FD5559" w:rsidP="00931535">
      <w:pPr>
        <w:pStyle w:val="Tablefootnote"/>
      </w:pPr>
      <w:r w:rsidRPr="003408A6">
        <w:t>*</w:t>
      </w:r>
      <w:r w:rsidR="00190586" w:rsidRPr="003408A6">
        <w:tab/>
      </w:r>
      <w:r w:rsidRPr="003408A6">
        <w:t xml:space="preserve">Includes admissions from hospitals in NSW, </w:t>
      </w:r>
      <w:r w:rsidR="00D43E92" w:rsidRPr="003408A6">
        <w:t>VIC</w:t>
      </w:r>
      <w:r w:rsidRPr="003408A6">
        <w:t xml:space="preserve">, </w:t>
      </w:r>
      <w:r w:rsidR="00D43E92" w:rsidRPr="003408A6">
        <w:t>QLD</w:t>
      </w:r>
      <w:r w:rsidRPr="003408A6">
        <w:t>, SA, WA and NT only.</w:t>
      </w:r>
    </w:p>
    <w:p w:rsidR="00190586" w:rsidRPr="003408A6" w:rsidRDefault="00190586">
      <w:pPr>
        <w:rPr>
          <w:rFonts w:cs="Arial"/>
          <w:szCs w:val="22"/>
          <w:lang w:eastAsia="en-US"/>
        </w:rPr>
      </w:pPr>
      <w:r w:rsidRPr="003408A6">
        <w:br w:type="page"/>
      </w:r>
    </w:p>
    <w:p w:rsidR="00FD5559" w:rsidRPr="003408A6" w:rsidRDefault="00B608C4" w:rsidP="00C2177D">
      <w:pPr>
        <w:pStyle w:val="Tableheading"/>
        <w:rPr>
          <w:lang w:val="en-AU"/>
        </w:rPr>
      </w:pPr>
      <w:bookmarkStart w:id="251" w:name="_Toc396475564"/>
      <w:bookmarkStart w:id="252" w:name="_Toc397000792"/>
      <w:r w:rsidRPr="003408A6">
        <w:rPr>
          <w:lang w:val="en-AU"/>
        </w:rPr>
        <w:t>Table 6.9</w:t>
      </w:r>
      <w:r w:rsidR="00D43E92" w:rsidRPr="003408A6">
        <w:rPr>
          <w:lang w:val="en-AU"/>
        </w:rPr>
        <w:t>.</w:t>
      </w:r>
      <w:r w:rsidR="00D861BD" w:rsidRPr="003408A6">
        <w:rPr>
          <w:lang w:val="en-AU"/>
        </w:rPr>
        <w:tab/>
      </w:r>
      <w:r w:rsidRPr="003408A6">
        <w:rPr>
          <w:lang w:val="en-AU"/>
        </w:rPr>
        <w:t>Admission rates</w:t>
      </w:r>
      <w:r w:rsidR="00385669">
        <w:rPr>
          <w:lang w:val="en-AU"/>
        </w:rPr>
        <w:t>*</w:t>
      </w:r>
      <w:r w:rsidRPr="003408A6">
        <w:rPr>
          <w:lang w:val="en-AU"/>
        </w:rPr>
        <w:t xml:space="preserve"> for genital warts</w:t>
      </w:r>
      <w:r w:rsidR="00C06C20" w:rsidRPr="00C06C20">
        <w:rPr>
          <w:lang w:val="en-AU"/>
        </w:rPr>
        <w:t xml:space="preserve"> </w:t>
      </w:r>
      <w:r w:rsidR="00C06C20" w:rsidRPr="003408A6">
        <w:rPr>
          <w:lang w:val="en-AU"/>
        </w:rPr>
        <w:t>in females</w:t>
      </w:r>
      <w:r w:rsidR="00C06C20">
        <w:rPr>
          <w:lang w:val="en-AU"/>
        </w:rPr>
        <w:t>,</w:t>
      </w:r>
      <w:r w:rsidRPr="003408A6">
        <w:rPr>
          <w:lang w:val="en-AU"/>
        </w:rPr>
        <w:t xml:space="preserve"> per 100,000 population</w:t>
      </w:r>
      <w:r w:rsidR="00C06C20">
        <w:rPr>
          <w:lang w:val="en-AU"/>
        </w:rPr>
        <w:t>,</w:t>
      </w:r>
      <w:r w:rsidRPr="003408A6">
        <w:rPr>
          <w:lang w:val="en-AU"/>
        </w:rPr>
        <w:t xml:space="preserve"> and rate ratios, by age and Indigenous status</w:t>
      </w:r>
      <w:bookmarkEnd w:id="251"/>
      <w:bookmarkEnd w:id="252"/>
    </w:p>
    <w:tbl>
      <w:tblPr>
        <w:tblW w:w="15026"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993"/>
        <w:gridCol w:w="1559"/>
        <w:gridCol w:w="1559"/>
        <w:gridCol w:w="2268"/>
        <w:gridCol w:w="1807"/>
        <w:gridCol w:w="1807"/>
        <w:gridCol w:w="1807"/>
        <w:gridCol w:w="1808"/>
      </w:tblGrid>
      <w:tr w:rsidR="00FD5559" w:rsidRPr="003408A6" w:rsidTr="00C06C20">
        <w:trPr>
          <w:trHeight w:val="300"/>
        </w:trPr>
        <w:tc>
          <w:tcPr>
            <w:tcW w:w="1418" w:type="dxa"/>
            <w:tcBorders>
              <w:top w:val="single" w:sz="4" w:space="0" w:color="auto"/>
              <w:bottom w:val="nil"/>
            </w:tcBorders>
            <w:shd w:val="clear" w:color="auto" w:fill="auto"/>
            <w:noWrap/>
            <w:vAlign w:val="bottom"/>
            <w:hideMark/>
          </w:tcPr>
          <w:p w:rsidR="00FD5559" w:rsidRPr="003408A6" w:rsidRDefault="00FD5559" w:rsidP="00190586">
            <w:pPr>
              <w:pStyle w:val="Tablecolumnheading"/>
              <w:rPr>
                <w:lang w:val="en-AU"/>
              </w:rPr>
            </w:pPr>
          </w:p>
        </w:tc>
        <w:tc>
          <w:tcPr>
            <w:tcW w:w="993" w:type="dxa"/>
            <w:tcBorders>
              <w:top w:val="single" w:sz="4" w:space="0" w:color="auto"/>
              <w:bottom w:val="nil"/>
              <w:right w:val="single" w:sz="4" w:space="0" w:color="auto"/>
            </w:tcBorders>
            <w:shd w:val="clear" w:color="auto" w:fill="auto"/>
            <w:noWrap/>
            <w:vAlign w:val="bottom"/>
            <w:hideMark/>
          </w:tcPr>
          <w:p w:rsidR="00FD5559" w:rsidRPr="003408A6" w:rsidRDefault="00FD5559" w:rsidP="00190586">
            <w:pPr>
              <w:pStyle w:val="Tablecolumnheading"/>
              <w:rPr>
                <w:lang w:val="en-AU"/>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559" w:rsidRPr="003408A6" w:rsidRDefault="00FD5559" w:rsidP="00190586">
            <w:pPr>
              <w:pStyle w:val="Tablecolumnheadings"/>
              <w:rPr>
                <w:lang w:val="en-AU"/>
              </w:rPr>
            </w:pPr>
            <w:r w:rsidRPr="003408A6">
              <w:rPr>
                <w:lang w:val="en-AU"/>
              </w:rPr>
              <w:t xml:space="preserve">Average admission rates </w:t>
            </w:r>
            <w:r w:rsidR="00385669">
              <w:rPr>
                <w:lang w:val="en-AU"/>
              </w:rPr>
              <w:br/>
            </w:r>
            <w:r w:rsidRPr="003408A6">
              <w:rPr>
                <w:lang w:val="en-AU"/>
              </w:rPr>
              <w:t>(per 100,000)</w:t>
            </w:r>
          </w:p>
        </w:tc>
        <w:tc>
          <w:tcPr>
            <w:tcW w:w="9497" w:type="dxa"/>
            <w:gridSpan w:val="5"/>
            <w:tcBorders>
              <w:top w:val="single" w:sz="4" w:space="0" w:color="auto"/>
              <w:left w:val="single" w:sz="4" w:space="0" w:color="auto"/>
              <w:bottom w:val="single" w:sz="4" w:space="0" w:color="auto"/>
            </w:tcBorders>
            <w:shd w:val="clear" w:color="auto" w:fill="auto"/>
            <w:noWrap/>
            <w:vAlign w:val="bottom"/>
            <w:hideMark/>
          </w:tcPr>
          <w:p w:rsidR="00FD5559" w:rsidRPr="003408A6" w:rsidRDefault="00FD5559" w:rsidP="00190586">
            <w:pPr>
              <w:pStyle w:val="Tablecolumnheadings"/>
              <w:rPr>
                <w:lang w:val="en-AU"/>
              </w:rPr>
            </w:pPr>
            <w:r w:rsidRPr="003408A6">
              <w:rPr>
                <w:lang w:val="en-AU"/>
              </w:rPr>
              <w:t>Rate ratio relative to pre-vaccine period (95% CI)</w:t>
            </w:r>
          </w:p>
        </w:tc>
      </w:tr>
      <w:tr w:rsidR="00FD5559" w:rsidRPr="003408A6" w:rsidTr="00C06C20">
        <w:trPr>
          <w:trHeight w:val="600"/>
        </w:trPr>
        <w:tc>
          <w:tcPr>
            <w:tcW w:w="1418" w:type="dxa"/>
            <w:tcBorders>
              <w:top w:val="nil"/>
              <w:bottom w:val="single" w:sz="4" w:space="0" w:color="auto"/>
            </w:tcBorders>
            <w:shd w:val="clear" w:color="auto" w:fill="auto"/>
            <w:noWrap/>
            <w:vAlign w:val="bottom"/>
            <w:hideMark/>
          </w:tcPr>
          <w:p w:rsidR="00FD5559" w:rsidRPr="003408A6" w:rsidRDefault="00FD5559" w:rsidP="00190586">
            <w:pPr>
              <w:pStyle w:val="Tablecolumnheading"/>
              <w:rPr>
                <w:lang w:val="en-AU"/>
              </w:rPr>
            </w:pPr>
          </w:p>
        </w:tc>
        <w:tc>
          <w:tcPr>
            <w:tcW w:w="993" w:type="dxa"/>
            <w:tcBorders>
              <w:top w:val="nil"/>
              <w:bottom w:val="single" w:sz="4" w:space="0" w:color="auto"/>
              <w:right w:val="single" w:sz="4" w:space="0" w:color="auto"/>
            </w:tcBorders>
            <w:shd w:val="clear" w:color="auto" w:fill="auto"/>
            <w:noWrap/>
            <w:vAlign w:val="bottom"/>
            <w:hideMark/>
          </w:tcPr>
          <w:p w:rsidR="00FD5559" w:rsidRPr="003408A6" w:rsidRDefault="00FD5559" w:rsidP="00190586">
            <w:pPr>
              <w:pStyle w:val="Tablecolumnheading"/>
              <w:rPr>
                <w:lang w:val="en-AU"/>
              </w:rPr>
            </w:pPr>
            <w:r w:rsidRPr="003408A6">
              <w:rPr>
                <w:lang w:val="en-AU"/>
              </w:rPr>
              <w:t>Age (years)</w:t>
            </w:r>
          </w:p>
        </w:tc>
        <w:tc>
          <w:tcPr>
            <w:tcW w:w="1559" w:type="dxa"/>
            <w:tcBorders>
              <w:top w:val="single" w:sz="4" w:space="0" w:color="auto"/>
              <w:left w:val="single" w:sz="4" w:space="0" w:color="auto"/>
              <w:bottom w:val="single" w:sz="4" w:space="0" w:color="auto"/>
            </w:tcBorders>
            <w:shd w:val="clear" w:color="auto" w:fill="auto"/>
            <w:vAlign w:val="bottom"/>
            <w:hideMark/>
          </w:tcPr>
          <w:p w:rsidR="00FD5559" w:rsidRPr="003408A6" w:rsidRDefault="00FD5559" w:rsidP="00190586">
            <w:pPr>
              <w:pStyle w:val="Tablecolumnheading"/>
              <w:rPr>
                <w:lang w:val="en-AU"/>
              </w:rPr>
            </w:pPr>
            <w:r w:rsidRPr="003408A6">
              <w:rPr>
                <w:lang w:val="en-AU"/>
              </w:rPr>
              <w:t xml:space="preserve">Pre-vaccine period </w:t>
            </w:r>
            <w:r w:rsidR="00385669">
              <w:rPr>
                <w:lang w:val="en-AU"/>
              </w:rPr>
              <w:br/>
            </w:r>
            <w:r w:rsidRPr="003408A6">
              <w:rPr>
                <w:lang w:val="en-AU"/>
              </w:rPr>
              <w:t>(Jul 2004</w:t>
            </w:r>
            <w:r w:rsidR="00D43E92" w:rsidRPr="003408A6">
              <w:rPr>
                <w:lang w:val="en-AU"/>
              </w:rPr>
              <w:t>–</w:t>
            </w:r>
            <w:r w:rsidR="00385669">
              <w:rPr>
                <w:lang w:val="en-AU"/>
              </w:rPr>
              <w:br/>
            </w:r>
            <w:r w:rsidRPr="003408A6">
              <w:rPr>
                <w:lang w:val="en-AU"/>
              </w:rPr>
              <w:t>Jun 2007)</w:t>
            </w:r>
          </w:p>
        </w:tc>
        <w:tc>
          <w:tcPr>
            <w:tcW w:w="1559" w:type="dxa"/>
            <w:tcBorders>
              <w:top w:val="single" w:sz="4" w:space="0" w:color="auto"/>
              <w:bottom w:val="single" w:sz="4" w:space="0" w:color="auto"/>
              <w:right w:val="single" w:sz="4" w:space="0" w:color="auto"/>
            </w:tcBorders>
            <w:shd w:val="clear" w:color="auto" w:fill="auto"/>
            <w:vAlign w:val="bottom"/>
            <w:hideMark/>
          </w:tcPr>
          <w:p w:rsidR="00FD5559" w:rsidRPr="003408A6" w:rsidRDefault="00FD5559" w:rsidP="00190586">
            <w:pPr>
              <w:pStyle w:val="Tablecolumnheading"/>
              <w:rPr>
                <w:lang w:val="en-AU"/>
              </w:rPr>
            </w:pPr>
            <w:r w:rsidRPr="003408A6">
              <w:rPr>
                <w:lang w:val="en-AU"/>
              </w:rPr>
              <w:t xml:space="preserve">Post-vaccine period </w:t>
            </w:r>
            <w:r w:rsidR="00385669">
              <w:rPr>
                <w:lang w:val="en-AU"/>
              </w:rPr>
              <w:br/>
            </w:r>
            <w:r w:rsidRPr="003408A6">
              <w:rPr>
                <w:lang w:val="en-AU"/>
              </w:rPr>
              <w:t>(Jul 2008</w:t>
            </w:r>
            <w:r w:rsidR="00D43E92" w:rsidRPr="003408A6">
              <w:rPr>
                <w:lang w:val="en-AU"/>
              </w:rPr>
              <w:t>–</w:t>
            </w:r>
            <w:r w:rsidR="00385669">
              <w:rPr>
                <w:lang w:val="en-AU"/>
              </w:rPr>
              <w:br/>
            </w:r>
            <w:r w:rsidRPr="003408A6">
              <w:rPr>
                <w:lang w:val="en-AU"/>
              </w:rPr>
              <w:t>Jun 2011)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5559" w:rsidRPr="003408A6" w:rsidRDefault="00FD5559" w:rsidP="00190586">
            <w:pPr>
              <w:pStyle w:val="Tablecolumnheading"/>
              <w:rPr>
                <w:lang w:val="en-AU"/>
              </w:rPr>
            </w:pPr>
            <w:r w:rsidRPr="003408A6">
              <w:rPr>
                <w:lang w:val="en-AU"/>
              </w:rPr>
              <w:t xml:space="preserve">Overall post-vaccine period </w:t>
            </w:r>
            <w:r w:rsidR="00385669">
              <w:rPr>
                <w:lang w:val="en-AU"/>
              </w:rPr>
              <w:br/>
            </w:r>
            <w:r w:rsidRPr="003408A6">
              <w:rPr>
                <w:lang w:val="en-AU"/>
              </w:rPr>
              <w:t>(Jul 2008</w:t>
            </w:r>
            <w:r w:rsidR="00D43E92" w:rsidRPr="003408A6">
              <w:rPr>
                <w:lang w:val="en-AU"/>
              </w:rPr>
              <w:t>–</w:t>
            </w:r>
            <w:r w:rsidRPr="003408A6">
              <w:rPr>
                <w:lang w:val="en-AU"/>
              </w:rPr>
              <w:t>Jun 2011)</w:t>
            </w:r>
          </w:p>
        </w:tc>
        <w:tc>
          <w:tcPr>
            <w:tcW w:w="1807" w:type="dxa"/>
            <w:tcBorders>
              <w:top w:val="single" w:sz="4" w:space="0" w:color="auto"/>
              <w:left w:val="single" w:sz="4" w:space="0" w:color="auto"/>
              <w:bottom w:val="single" w:sz="4" w:space="0" w:color="auto"/>
            </w:tcBorders>
            <w:shd w:val="clear" w:color="auto" w:fill="auto"/>
            <w:noWrap/>
            <w:vAlign w:val="center"/>
            <w:hideMark/>
          </w:tcPr>
          <w:p w:rsidR="00FD5559" w:rsidRPr="003408A6" w:rsidRDefault="00FD5559" w:rsidP="00C06C20">
            <w:pPr>
              <w:pStyle w:val="Tablecolumnheadings"/>
            </w:pPr>
            <w:r w:rsidRPr="003408A6">
              <w:t>2007/08</w:t>
            </w:r>
          </w:p>
        </w:tc>
        <w:tc>
          <w:tcPr>
            <w:tcW w:w="1807" w:type="dxa"/>
            <w:tcBorders>
              <w:top w:val="single" w:sz="4" w:space="0" w:color="auto"/>
              <w:bottom w:val="single" w:sz="4" w:space="0" w:color="auto"/>
            </w:tcBorders>
            <w:shd w:val="clear" w:color="auto" w:fill="auto"/>
            <w:noWrap/>
            <w:vAlign w:val="center"/>
            <w:hideMark/>
          </w:tcPr>
          <w:p w:rsidR="00FD5559" w:rsidRPr="003408A6" w:rsidRDefault="00FD5559" w:rsidP="00C06C20">
            <w:pPr>
              <w:pStyle w:val="Tablecolumnheadings"/>
            </w:pPr>
            <w:r w:rsidRPr="003408A6">
              <w:t>2008/09</w:t>
            </w:r>
          </w:p>
        </w:tc>
        <w:tc>
          <w:tcPr>
            <w:tcW w:w="1807" w:type="dxa"/>
            <w:tcBorders>
              <w:top w:val="single" w:sz="4" w:space="0" w:color="auto"/>
              <w:bottom w:val="single" w:sz="4" w:space="0" w:color="auto"/>
            </w:tcBorders>
            <w:shd w:val="clear" w:color="auto" w:fill="auto"/>
            <w:noWrap/>
            <w:vAlign w:val="center"/>
            <w:hideMark/>
          </w:tcPr>
          <w:p w:rsidR="00FD5559" w:rsidRPr="003408A6" w:rsidRDefault="00FD5559" w:rsidP="00C06C20">
            <w:pPr>
              <w:pStyle w:val="Tablecolumnheadings"/>
            </w:pPr>
            <w:r w:rsidRPr="003408A6">
              <w:t>2009/10</w:t>
            </w:r>
          </w:p>
        </w:tc>
        <w:tc>
          <w:tcPr>
            <w:tcW w:w="1808" w:type="dxa"/>
            <w:tcBorders>
              <w:top w:val="single" w:sz="4" w:space="0" w:color="auto"/>
              <w:bottom w:val="single" w:sz="4" w:space="0" w:color="auto"/>
            </w:tcBorders>
            <w:shd w:val="clear" w:color="auto" w:fill="auto"/>
            <w:noWrap/>
            <w:vAlign w:val="center"/>
            <w:hideMark/>
          </w:tcPr>
          <w:p w:rsidR="00FD5559" w:rsidRPr="003408A6" w:rsidRDefault="00FD5559" w:rsidP="00C06C20">
            <w:pPr>
              <w:pStyle w:val="Tablecolumnheadings"/>
            </w:pPr>
            <w:r w:rsidRPr="003408A6">
              <w:t>2010/11</w:t>
            </w:r>
          </w:p>
        </w:tc>
      </w:tr>
      <w:tr w:rsidR="00FD5559" w:rsidRPr="003408A6" w:rsidTr="00C06C20">
        <w:trPr>
          <w:trHeight w:val="300"/>
        </w:trPr>
        <w:tc>
          <w:tcPr>
            <w:tcW w:w="1418" w:type="dxa"/>
            <w:vMerge w:val="restart"/>
            <w:tcBorders>
              <w:top w:val="single" w:sz="4" w:space="0" w:color="auto"/>
              <w:bottom w:val="nil"/>
              <w:right w:val="single" w:sz="4" w:space="0" w:color="auto"/>
            </w:tcBorders>
            <w:shd w:val="clear" w:color="auto" w:fill="auto"/>
            <w:noWrap/>
            <w:hideMark/>
          </w:tcPr>
          <w:p w:rsidR="00FD5559" w:rsidRPr="003408A6" w:rsidRDefault="00FD5559" w:rsidP="00385669">
            <w:pPr>
              <w:pStyle w:val="Tabletextbold"/>
              <w:rPr>
                <w:lang w:val="en-AU"/>
              </w:rPr>
            </w:pPr>
            <w:r w:rsidRPr="003408A6">
              <w:rPr>
                <w:lang w:val="en-AU"/>
              </w:rPr>
              <w:t>Indigenous females</w:t>
            </w: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
              <w:rPr>
                <w:lang w:val="en-AU"/>
              </w:rPr>
            </w:pPr>
            <w:r w:rsidRPr="003408A6">
              <w:rPr>
                <w:lang w:val="en-AU"/>
              </w:rPr>
              <w:t>15</w:t>
            </w:r>
            <w:r w:rsidR="00D43E92" w:rsidRPr="003408A6">
              <w:rPr>
                <w:lang w:val="en-AU"/>
              </w:rPr>
              <w:t>–</w:t>
            </w:r>
            <w:r w:rsidRPr="003408A6">
              <w:rPr>
                <w:lang w:val="en-AU"/>
              </w:rPr>
              <w:t>24</w:t>
            </w:r>
          </w:p>
        </w:tc>
        <w:tc>
          <w:tcPr>
            <w:tcW w:w="1559"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82.7</w:t>
            </w:r>
          </w:p>
        </w:tc>
        <w:tc>
          <w:tcPr>
            <w:tcW w:w="1559" w:type="dxa"/>
            <w:tcBorders>
              <w:top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22.7</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0.27</w:t>
            </w:r>
          </w:p>
        </w:tc>
        <w:tc>
          <w:tcPr>
            <w:tcW w:w="1807"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0.88</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0.38</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0.23</w:t>
            </w:r>
          </w:p>
        </w:tc>
        <w:tc>
          <w:tcPr>
            <w:tcW w:w="1808"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0.22</w:t>
            </w:r>
          </w:p>
        </w:tc>
      </w:tr>
      <w:tr w:rsidR="00FD5559" w:rsidRPr="003408A6" w:rsidTr="00C06C20">
        <w:trPr>
          <w:trHeight w:val="300"/>
        </w:trPr>
        <w:tc>
          <w:tcPr>
            <w:tcW w:w="1418" w:type="dxa"/>
            <w:vMerge/>
            <w:tcBorders>
              <w:bottom w:val="nil"/>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1559"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top w:val="nil"/>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i/>
                <w:lang w:val="en-AU"/>
              </w:rPr>
            </w:pPr>
            <w:r w:rsidRPr="003408A6">
              <w:rPr>
                <w:i/>
                <w:lang w:val="en-AU"/>
              </w:rPr>
              <w:t>(0.19</w:t>
            </w:r>
            <w:r w:rsidR="00190586" w:rsidRPr="003408A6">
              <w:rPr>
                <w:i/>
                <w:lang w:val="en-AU"/>
              </w:rPr>
              <w:t>–</w:t>
            </w:r>
            <w:r w:rsidRPr="003408A6">
              <w:rPr>
                <w:i/>
                <w:lang w:val="en-AU"/>
              </w:rPr>
              <w:t>0.40)</w:t>
            </w:r>
          </w:p>
        </w:tc>
        <w:tc>
          <w:tcPr>
            <w:tcW w:w="1807"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i/>
                <w:lang w:val="en-AU"/>
              </w:rPr>
            </w:pPr>
            <w:r w:rsidRPr="003408A6">
              <w:rPr>
                <w:i/>
                <w:lang w:val="en-AU"/>
              </w:rPr>
              <w:t>(0.60</w:t>
            </w:r>
            <w:r w:rsidR="00190586" w:rsidRPr="003408A6">
              <w:rPr>
                <w:i/>
                <w:lang w:val="en-AU"/>
              </w:rPr>
              <w:t>–</w:t>
            </w:r>
            <w:r w:rsidRPr="003408A6">
              <w:rPr>
                <w:i/>
                <w:lang w:val="en-AU"/>
              </w:rPr>
              <w:t>1.28)</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(0.22–</w:t>
            </w:r>
            <w:r w:rsidR="00FD5559" w:rsidRPr="003408A6">
              <w:rPr>
                <w:i/>
                <w:lang w:val="en-AU"/>
              </w:rPr>
              <w:t>0.64)</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(0.12–</w:t>
            </w:r>
            <w:r w:rsidR="00FD5559" w:rsidRPr="003408A6">
              <w:rPr>
                <w:i/>
                <w:lang w:val="en-AU"/>
              </w:rPr>
              <w:t>0.44)</w:t>
            </w:r>
          </w:p>
        </w:tc>
        <w:tc>
          <w:tcPr>
            <w:tcW w:w="1808" w:type="dxa"/>
            <w:tcBorders>
              <w:top w:val="nil"/>
              <w:bottom w:val="single" w:sz="4" w:space="0" w:color="auto"/>
            </w:tcBorders>
            <w:shd w:val="clear" w:color="auto" w:fill="auto"/>
            <w:noWrap/>
            <w:vAlign w:val="center"/>
          </w:tcPr>
          <w:p w:rsidR="00FD5559" w:rsidRPr="003408A6" w:rsidRDefault="00FD5559" w:rsidP="00C06C20">
            <w:pPr>
              <w:pStyle w:val="Tabletext"/>
              <w:jc w:val="center"/>
              <w:rPr>
                <w:i/>
                <w:lang w:val="en-AU"/>
              </w:rPr>
            </w:pPr>
            <w:r w:rsidRPr="003408A6">
              <w:rPr>
                <w:i/>
                <w:lang w:val="en-AU"/>
              </w:rPr>
              <w:t>(0.12</w:t>
            </w:r>
            <w:r w:rsidR="00190586" w:rsidRPr="003408A6">
              <w:rPr>
                <w:i/>
                <w:lang w:val="en-AU"/>
              </w:rPr>
              <w:t>–</w:t>
            </w:r>
            <w:r w:rsidRPr="003408A6">
              <w:rPr>
                <w:i/>
                <w:lang w:val="en-AU"/>
              </w:rPr>
              <w:t>0.42)</w:t>
            </w:r>
          </w:p>
        </w:tc>
      </w:tr>
      <w:tr w:rsidR="00FD5559" w:rsidRPr="003408A6" w:rsidTr="00C06C20">
        <w:trPr>
          <w:trHeight w:val="300"/>
        </w:trPr>
        <w:tc>
          <w:tcPr>
            <w:tcW w:w="1418" w:type="dxa"/>
            <w:vMerge/>
            <w:tcBorders>
              <w:bottom w:val="nil"/>
              <w:right w:val="single" w:sz="4" w:space="0" w:color="auto"/>
            </w:tcBorders>
            <w:shd w:val="clear" w:color="auto" w:fill="auto"/>
            <w:noWrap/>
            <w:vAlign w:val="center"/>
            <w:hideMark/>
          </w:tcPr>
          <w:p w:rsidR="00FD5559" w:rsidRPr="003408A6" w:rsidRDefault="00FD5559" w:rsidP="00190586">
            <w:pPr>
              <w:pStyle w:val="Tabletext"/>
              <w:rPr>
                <w:lang w:val="en-AU"/>
              </w:rPr>
            </w:pP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
              <w:rPr>
                <w:lang w:val="en-AU"/>
              </w:rPr>
            </w:pPr>
            <w:r w:rsidRPr="003408A6">
              <w:rPr>
                <w:lang w:val="en-AU"/>
              </w:rPr>
              <w:t>25</w:t>
            </w:r>
            <w:r w:rsidR="00D43E92" w:rsidRPr="003408A6">
              <w:rPr>
                <w:lang w:val="en-AU"/>
              </w:rPr>
              <w:t>–</w:t>
            </w:r>
            <w:r w:rsidRPr="003408A6">
              <w:rPr>
                <w:lang w:val="en-AU"/>
              </w:rPr>
              <w:t>34</w:t>
            </w:r>
          </w:p>
        </w:tc>
        <w:tc>
          <w:tcPr>
            <w:tcW w:w="1559"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24.3</w:t>
            </w:r>
          </w:p>
        </w:tc>
        <w:tc>
          <w:tcPr>
            <w:tcW w:w="1559" w:type="dxa"/>
            <w:tcBorders>
              <w:top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22.2</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0.91</w:t>
            </w:r>
          </w:p>
        </w:tc>
        <w:tc>
          <w:tcPr>
            <w:tcW w:w="1807"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1.72</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1.29</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0.44</w:t>
            </w:r>
          </w:p>
        </w:tc>
        <w:tc>
          <w:tcPr>
            <w:tcW w:w="1808"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1.19</w:t>
            </w:r>
          </w:p>
        </w:tc>
      </w:tr>
      <w:tr w:rsidR="00FD5559" w:rsidRPr="003408A6" w:rsidTr="00C06C20">
        <w:trPr>
          <w:trHeight w:val="300"/>
        </w:trPr>
        <w:tc>
          <w:tcPr>
            <w:tcW w:w="1418" w:type="dxa"/>
            <w:vMerge/>
            <w:tcBorders>
              <w:bottom w:val="nil"/>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nil"/>
              <w:left w:val="single" w:sz="4" w:space="0" w:color="auto"/>
              <w:bottom w:val="single" w:sz="4" w:space="0" w:color="auto"/>
              <w:right w:val="single" w:sz="4" w:space="0" w:color="auto"/>
            </w:tcBorders>
            <w:shd w:val="clear" w:color="auto" w:fill="auto"/>
            <w:noWrap/>
          </w:tcPr>
          <w:p w:rsidR="00FD5559" w:rsidRPr="003408A6" w:rsidRDefault="00FD5559" w:rsidP="00190586">
            <w:pPr>
              <w:pStyle w:val="Tabletext"/>
              <w:rPr>
                <w:lang w:val="en-AU"/>
              </w:rPr>
            </w:pPr>
          </w:p>
        </w:tc>
        <w:tc>
          <w:tcPr>
            <w:tcW w:w="1559"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top w:val="nil"/>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i/>
                <w:lang w:val="en-AU"/>
              </w:rPr>
            </w:pPr>
            <w:r w:rsidRPr="003408A6">
              <w:rPr>
                <w:i/>
                <w:lang w:val="en-AU"/>
              </w:rPr>
              <w:t>(0.51</w:t>
            </w:r>
            <w:r w:rsidR="00190586" w:rsidRPr="003408A6">
              <w:rPr>
                <w:i/>
                <w:lang w:val="en-AU"/>
              </w:rPr>
              <w:t>–</w:t>
            </w:r>
            <w:r w:rsidRPr="003408A6">
              <w:rPr>
                <w:i/>
                <w:lang w:val="en-AU"/>
              </w:rPr>
              <w:t>1.63)</w:t>
            </w:r>
          </w:p>
        </w:tc>
        <w:tc>
          <w:tcPr>
            <w:tcW w:w="1807"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i/>
                <w:lang w:val="en-AU"/>
              </w:rPr>
            </w:pPr>
            <w:r w:rsidRPr="003408A6">
              <w:rPr>
                <w:i/>
                <w:lang w:val="en-AU"/>
              </w:rPr>
              <w:t>(0.91</w:t>
            </w:r>
            <w:r w:rsidR="00190586" w:rsidRPr="003408A6">
              <w:rPr>
                <w:i/>
                <w:lang w:val="en-AU"/>
              </w:rPr>
              <w:t>–</w:t>
            </w:r>
            <w:r w:rsidRPr="003408A6">
              <w:rPr>
                <w:i/>
                <w:lang w:val="en-AU"/>
              </w:rPr>
              <w:t>3.25)</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(0.53–</w:t>
            </w:r>
            <w:r w:rsidR="00FD5559" w:rsidRPr="003408A6">
              <w:rPr>
                <w:i/>
                <w:lang w:val="en-AU"/>
              </w:rPr>
              <w:t>3.13)</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(0.15–</w:t>
            </w:r>
            <w:r w:rsidR="00FD5559" w:rsidRPr="003408A6">
              <w:rPr>
                <w:i/>
                <w:lang w:val="en-AU"/>
              </w:rPr>
              <w:t>1.27)</w:t>
            </w:r>
          </w:p>
        </w:tc>
        <w:tc>
          <w:tcPr>
            <w:tcW w:w="1808"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(0.59–</w:t>
            </w:r>
            <w:r w:rsidR="00FD5559" w:rsidRPr="003408A6">
              <w:rPr>
                <w:i/>
                <w:lang w:val="en-AU"/>
              </w:rPr>
              <w:t>2.40)</w:t>
            </w:r>
          </w:p>
        </w:tc>
      </w:tr>
      <w:tr w:rsidR="00FD5559" w:rsidRPr="003408A6" w:rsidTr="00C06C20">
        <w:trPr>
          <w:trHeight w:val="300"/>
        </w:trPr>
        <w:tc>
          <w:tcPr>
            <w:tcW w:w="1418" w:type="dxa"/>
            <w:vMerge/>
            <w:tcBorders>
              <w:bottom w:val="nil"/>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single" w:sz="4" w:space="0" w:color="auto"/>
              <w:left w:val="single" w:sz="4" w:space="0" w:color="auto"/>
              <w:bottom w:val="nil"/>
              <w:right w:val="single" w:sz="4" w:space="0" w:color="auto"/>
            </w:tcBorders>
            <w:shd w:val="clear" w:color="auto" w:fill="auto"/>
            <w:noWrap/>
          </w:tcPr>
          <w:p w:rsidR="00FD5559" w:rsidRPr="003408A6" w:rsidRDefault="00FD5559" w:rsidP="00190586">
            <w:pPr>
              <w:pStyle w:val="Tabletext"/>
              <w:rPr>
                <w:lang w:val="en-AU"/>
              </w:rPr>
            </w:pPr>
            <w:r w:rsidRPr="003408A6">
              <w:rPr>
                <w:lang w:val="en-AU"/>
              </w:rPr>
              <w:t>35</w:t>
            </w:r>
            <w:r w:rsidR="00D43E92" w:rsidRPr="003408A6">
              <w:rPr>
                <w:lang w:val="en-AU"/>
              </w:rPr>
              <w:t>–</w:t>
            </w:r>
            <w:r w:rsidRPr="003408A6">
              <w:rPr>
                <w:lang w:val="en-AU"/>
              </w:rPr>
              <w:t>69</w:t>
            </w:r>
          </w:p>
        </w:tc>
        <w:tc>
          <w:tcPr>
            <w:tcW w:w="1559"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18.3</w:t>
            </w:r>
          </w:p>
        </w:tc>
        <w:tc>
          <w:tcPr>
            <w:tcW w:w="1559" w:type="dxa"/>
            <w:tcBorders>
              <w:top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18.6</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1.01</w:t>
            </w:r>
          </w:p>
        </w:tc>
        <w:tc>
          <w:tcPr>
            <w:tcW w:w="1807"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0.77</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1.19</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1.02</w:t>
            </w:r>
          </w:p>
        </w:tc>
        <w:tc>
          <w:tcPr>
            <w:tcW w:w="1808"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0.85</w:t>
            </w:r>
          </w:p>
        </w:tc>
      </w:tr>
      <w:tr w:rsidR="00FD5559" w:rsidRPr="003408A6" w:rsidTr="00C06C20">
        <w:trPr>
          <w:trHeight w:val="300"/>
        </w:trPr>
        <w:tc>
          <w:tcPr>
            <w:tcW w:w="1418" w:type="dxa"/>
            <w:vMerge/>
            <w:tcBorders>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nil"/>
              <w:left w:val="single" w:sz="4" w:space="0" w:color="auto"/>
              <w:bottom w:val="single" w:sz="4" w:space="0" w:color="auto"/>
              <w:right w:val="single" w:sz="4" w:space="0" w:color="auto"/>
            </w:tcBorders>
            <w:shd w:val="clear" w:color="auto" w:fill="auto"/>
            <w:noWrap/>
          </w:tcPr>
          <w:p w:rsidR="00FD5559" w:rsidRPr="003408A6" w:rsidRDefault="00FD5559" w:rsidP="00190586">
            <w:pPr>
              <w:pStyle w:val="Tabletext"/>
              <w:rPr>
                <w:lang w:val="en-AU"/>
              </w:rPr>
            </w:pPr>
          </w:p>
        </w:tc>
        <w:tc>
          <w:tcPr>
            <w:tcW w:w="1559"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top w:val="nil"/>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(0.62–</w:t>
            </w:r>
            <w:r w:rsidR="00FD5559" w:rsidRPr="003408A6">
              <w:rPr>
                <w:i/>
                <w:lang w:val="en-AU"/>
              </w:rPr>
              <w:t>1.65)</w:t>
            </w:r>
          </w:p>
        </w:tc>
        <w:tc>
          <w:tcPr>
            <w:tcW w:w="1807" w:type="dxa"/>
            <w:tcBorders>
              <w:top w:val="nil"/>
              <w:left w:val="single" w:sz="4" w:space="0" w:color="auto"/>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(0.35–</w:t>
            </w:r>
            <w:r w:rsidR="00FD5559" w:rsidRPr="003408A6">
              <w:rPr>
                <w:i/>
                <w:lang w:val="en-AU"/>
              </w:rPr>
              <w:t>1.68)</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(0.62–</w:t>
            </w:r>
            <w:r w:rsidR="00FD5559" w:rsidRPr="003408A6">
              <w:rPr>
                <w:i/>
                <w:lang w:val="en-AU"/>
              </w:rPr>
              <w:t>2.26)</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(0.54–</w:t>
            </w:r>
            <w:r w:rsidR="00FD5559" w:rsidRPr="003408A6">
              <w:rPr>
                <w:i/>
                <w:lang w:val="en-AU"/>
              </w:rPr>
              <w:t>1.95)</w:t>
            </w:r>
          </w:p>
        </w:tc>
        <w:tc>
          <w:tcPr>
            <w:tcW w:w="1808"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(0.43–</w:t>
            </w:r>
            <w:r w:rsidR="00FD5559" w:rsidRPr="003408A6">
              <w:rPr>
                <w:i/>
                <w:lang w:val="en-AU"/>
              </w:rPr>
              <w:t>1.69)</w:t>
            </w:r>
          </w:p>
        </w:tc>
      </w:tr>
      <w:tr w:rsidR="00FD5559" w:rsidRPr="003408A6" w:rsidTr="00C06C20">
        <w:trPr>
          <w:trHeight w:val="300"/>
        </w:trPr>
        <w:tc>
          <w:tcPr>
            <w:tcW w:w="1418" w:type="dxa"/>
            <w:vMerge w:val="restart"/>
            <w:tcBorders>
              <w:top w:val="single" w:sz="4" w:space="0" w:color="auto"/>
              <w:bottom w:val="single" w:sz="4" w:space="0" w:color="auto"/>
              <w:right w:val="single" w:sz="4" w:space="0" w:color="auto"/>
            </w:tcBorders>
            <w:shd w:val="clear" w:color="auto" w:fill="auto"/>
            <w:noWrap/>
            <w:hideMark/>
          </w:tcPr>
          <w:p w:rsidR="00FD5559" w:rsidRPr="003408A6" w:rsidRDefault="00FD5559" w:rsidP="00385669">
            <w:pPr>
              <w:pStyle w:val="Tabletextbold"/>
              <w:rPr>
                <w:lang w:val="en-AU"/>
              </w:rPr>
            </w:pPr>
            <w:r w:rsidRPr="003408A6">
              <w:rPr>
                <w:lang w:val="en-AU"/>
              </w:rPr>
              <w:t>Other females</w:t>
            </w: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
              <w:rPr>
                <w:lang w:val="en-AU"/>
              </w:rPr>
            </w:pPr>
            <w:r w:rsidRPr="003408A6">
              <w:rPr>
                <w:lang w:val="en-AU"/>
              </w:rPr>
              <w:t>15</w:t>
            </w:r>
            <w:r w:rsidR="00D43E92" w:rsidRPr="003408A6">
              <w:rPr>
                <w:lang w:val="en-AU"/>
              </w:rPr>
              <w:t>–</w:t>
            </w:r>
            <w:r w:rsidRPr="003408A6">
              <w:rPr>
                <w:lang w:val="en-AU"/>
              </w:rPr>
              <w:t>24</w:t>
            </w:r>
          </w:p>
        </w:tc>
        <w:tc>
          <w:tcPr>
            <w:tcW w:w="1559"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73.8</w:t>
            </w:r>
          </w:p>
        </w:tc>
        <w:tc>
          <w:tcPr>
            <w:tcW w:w="1559" w:type="dxa"/>
            <w:tcBorders>
              <w:top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24.9</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0.34</w:t>
            </w:r>
          </w:p>
        </w:tc>
        <w:tc>
          <w:tcPr>
            <w:tcW w:w="1807"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0.74</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0.48</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0.32</w:t>
            </w:r>
          </w:p>
        </w:tc>
        <w:tc>
          <w:tcPr>
            <w:tcW w:w="1808"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0.21</w:t>
            </w:r>
          </w:p>
        </w:tc>
      </w:tr>
      <w:tr w:rsidR="00FD5559" w:rsidRPr="003408A6" w:rsidTr="00C06C20">
        <w:trPr>
          <w:trHeight w:val="300"/>
        </w:trPr>
        <w:tc>
          <w:tcPr>
            <w:tcW w:w="1418" w:type="dxa"/>
            <w:vMerge/>
            <w:tcBorders>
              <w:top w:val="nil"/>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1559"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top w:val="nil"/>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(0.31–</w:t>
            </w:r>
            <w:r w:rsidR="00FD5559" w:rsidRPr="003408A6">
              <w:rPr>
                <w:i/>
                <w:lang w:val="en-AU"/>
              </w:rPr>
              <w:t>0.36)</w:t>
            </w:r>
          </w:p>
        </w:tc>
        <w:tc>
          <w:tcPr>
            <w:tcW w:w="1807" w:type="dxa"/>
            <w:tcBorders>
              <w:top w:val="nil"/>
              <w:left w:val="single" w:sz="4" w:space="0" w:color="auto"/>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(0.68–</w:t>
            </w:r>
            <w:r w:rsidR="00FD5559" w:rsidRPr="003408A6">
              <w:rPr>
                <w:i/>
                <w:lang w:val="en-AU"/>
              </w:rPr>
              <w:t>0.81)</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(0.44–</w:t>
            </w:r>
            <w:r w:rsidR="00FD5559" w:rsidRPr="003408A6">
              <w:rPr>
                <w:i/>
                <w:lang w:val="en-AU"/>
              </w:rPr>
              <w:t>0.53)</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(0.29–</w:t>
            </w:r>
            <w:r w:rsidR="00FD5559" w:rsidRPr="003408A6">
              <w:rPr>
                <w:i/>
                <w:lang w:val="en-AU"/>
              </w:rPr>
              <w:t>0.36)</w:t>
            </w:r>
          </w:p>
        </w:tc>
        <w:tc>
          <w:tcPr>
            <w:tcW w:w="1808"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(0.18–</w:t>
            </w:r>
            <w:r w:rsidR="00FD5559" w:rsidRPr="003408A6">
              <w:rPr>
                <w:i/>
                <w:lang w:val="en-AU"/>
              </w:rPr>
              <w:t>0.24)</w:t>
            </w:r>
          </w:p>
        </w:tc>
      </w:tr>
      <w:tr w:rsidR="00FD5559" w:rsidRPr="003408A6" w:rsidTr="00C06C20">
        <w:trPr>
          <w:trHeight w:val="300"/>
        </w:trPr>
        <w:tc>
          <w:tcPr>
            <w:tcW w:w="1418" w:type="dxa"/>
            <w:vMerge/>
            <w:tcBorders>
              <w:top w:val="nil"/>
              <w:bottom w:val="single" w:sz="4" w:space="0" w:color="auto"/>
              <w:right w:val="single" w:sz="4" w:space="0" w:color="auto"/>
            </w:tcBorders>
            <w:shd w:val="clear" w:color="auto" w:fill="auto"/>
            <w:noWrap/>
            <w:vAlign w:val="center"/>
            <w:hideMark/>
          </w:tcPr>
          <w:p w:rsidR="00FD5559" w:rsidRPr="003408A6" w:rsidRDefault="00FD5559" w:rsidP="00190586">
            <w:pPr>
              <w:pStyle w:val="Tabletext"/>
              <w:rPr>
                <w:lang w:val="en-AU"/>
              </w:rPr>
            </w:pPr>
          </w:p>
        </w:tc>
        <w:tc>
          <w:tcPr>
            <w:tcW w:w="993" w:type="dxa"/>
            <w:tcBorders>
              <w:top w:val="single" w:sz="4" w:space="0" w:color="auto"/>
              <w:left w:val="single" w:sz="4" w:space="0" w:color="auto"/>
              <w:bottom w:val="nil"/>
              <w:right w:val="single" w:sz="4" w:space="0" w:color="auto"/>
            </w:tcBorders>
            <w:shd w:val="clear" w:color="auto" w:fill="auto"/>
            <w:noWrap/>
            <w:vAlign w:val="center"/>
            <w:hideMark/>
          </w:tcPr>
          <w:p w:rsidR="00FD5559" w:rsidRPr="003408A6" w:rsidRDefault="00FD5559" w:rsidP="00190586">
            <w:pPr>
              <w:pStyle w:val="Tabletext"/>
              <w:rPr>
                <w:lang w:val="en-AU"/>
              </w:rPr>
            </w:pPr>
            <w:r w:rsidRPr="003408A6">
              <w:rPr>
                <w:lang w:val="en-AU"/>
              </w:rPr>
              <w:t>25</w:t>
            </w:r>
            <w:r w:rsidR="00D43E92" w:rsidRPr="003408A6">
              <w:rPr>
                <w:lang w:val="en-AU"/>
              </w:rPr>
              <w:t>–</w:t>
            </w:r>
            <w:r w:rsidRPr="003408A6">
              <w:rPr>
                <w:lang w:val="en-AU"/>
              </w:rPr>
              <w:t>34</w:t>
            </w:r>
          </w:p>
        </w:tc>
        <w:tc>
          <w:tcPr>
            <w:tcW w:w="1559"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36.8</w:t>
            </w:r>
          </w:p>
        </w:tc>
        <w:tc>
          <w:tcPr>
            <w:tcW w:w="1559" w:type="dxa"/>
            <w:tcBorders>
              <w:top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26.2</w:t>
            </w:r>
          </w:p>
        </w:tc>
        <w:tc>
          <w:tcPr>
            <w:tcW w:w="2268" w:type="dxa"/>
            <w:tcBorders>
              <w:top w:val="single" w:sz="4" w:space="0" w:color="auto"/>
              <w:left w:val="single" w:sz="4" w:space="0" w:color="auto"/>
              <w:bottom w:val="nil"/>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0.71</w:t>
            </w:r>
          </w:p>
        </w:tc>
        <w:tc>
          <w:tcPr>
            <w:tcW w:w="1807" w:type="dxa"/>
            <w:tcBorders>
              <w:top w:val="single" w:sz="4" w:space="0" w:color="auto"/>
              <w:left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0.91</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0.78</w:t>
            </w:r>
          </w:p>
        </w:tc>
        <w:tc>
          <w:tcPr>
            <w:tcW w:w="1807"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0.73</w:t>
            </w:r>
          </w:p>
        </w:tc>
        <w:tc>
          <w:tcPr>
            <w:tcW w:w="1808" w:type="dxa"/>
            <w:tcBorders>
              <w:top w:val="single" w:sz="4" w:space="0" w:color="auto"/>
              <w:bottom w:val="nil"/>
            </w:tcBorders>
            <w:shd w:val="clear" w:color="auto" w:fill="auto"/>
            <w:noWrap/>
            <w:vAlign w:val="center"/>
          </w:tcPr>
          <w:p w:rsidR="00FD5559" w:rsidRPr="003408A6" w:rsidRDefault="00FD5559" w:rsidP="00C06C20">
            <w:pPr>
              <w:pStyle w:val="Tabletext"/>
              <w:jc w:val="center"/>
              <w:rPr>
                <w:lang w:val="en-AU"/>
              </w:rPr>
            </w:pPr>
            <w:r w:rsidRPr="003408A6">
              <w:rPr>
                <w:lang w:val="en-AU"/>
              </w:rPr>
              <w:t>0.63</w:t>
            </w:r>
          </w:p>
        </w:tc>
      </w:tr>
      <w:tr w:rsidR="00FD5559" w:rsidRPr="003408A6" w:rsidTr="00C06C20">
        <w:trPr>
          <w:trHeight w:val="300"/>
        </w:trPr>
        <w:tc>
          <w:tcPr>
            <w:tcW w:w="1418" w:type="dxa"/>
            <w:vMerge/>
            <w:tcBorders>
              <w:top w:val="nil"/>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1559" w:type="dxa"/>
            <w:tcBorders>
              <w:top w:val="nil"/>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top w:val="nil"/>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(0.66–</w:t>
            </w:r>
            <w:r w:rsidR="00FD5559" w:rsidRPr="003408A6">
              <w:rPr>
                <w:i/>
                <w:lang w:val="en-AU"/>
              </w:rPr>
              <w:t>0.77)</w:t>
            </w:r>
          </w:p>
        </w:tc>
        <w:tc>
          <w:tcPr>
            <w:tcW w:w="1807" w:type="dxa"/>
            <w:tcBorders>
              <w:top w:val="nil"/>
              <w:left w:val="single" w:sz="4" w:space="0" w:color="auto"/>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(0.82–</w:t>
            </w:r>
            <w:r w:rsidR="00FD5559" w:rsidRPr="003408A6">
              <w:rPr>
                <w:i/>
                <w:lang w:val="en-AU"/>
              </w:rPr>
              <w:t>1.01)</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(0.70–</w:t>
            </w:r>
            <w:r w:rsidR="00FD5559" w:rsidRPr="003408A6">
              <w:rPr>
                <w:i/>
                <w:lang w:val="en-AU"/>
              </w:rPr>
              <w:t>0.87)</w:t>
            </w:r>
          </w:p>
        </w:tc>
        <w:tc>
          <w:tcPr>
            <w:tcW w:w="1807"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(0.65–</w:t>
            </w:r>
            <w:r w:rsidR="00FD5559" w:rsidRPr="003408A6">
              <w:rPr>
                <w:i/>
                <w:lang w:val="en-AU"/>
              </w:rPr>
              <w:t>0.82)</w:t>
            </w:r>
          </w:p>
        </w:tc>
        <w:tc>
          <w:tcPr>
            <w:tcW w:w="1808" w:type="dxa"/>
            <w:tcBorders>
              <w:top w:val="nil"/>
              <w:bottom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(0.56–</w:t>
            </w:r>
            <w:r w:rsidR="00FD5559" w:rsidRPr="003408A6">
              <w:rPr>
                <w:i/>
                <w:lang w:val="en-AU"/>
              </w:rPr>
              <w:t>0.71)</w:t>
            </w:r>
          </w:p>
        </w:tc>
      </w:tr>
      <w:tr w:rsidR="00FD5559" w:rsidRPr="003408A6" w:rsidTr="00C06C20">
        <w:trPr>
          <w:trHeight w:val="300"/>
        </w:trPr>
        <w:tc>
          <w:tcPr>
            <w:tcW w:w="1418" w:type="dxa"/>
            <w:vMerge/>
            <w:tcBorders>
              <w:top w:val="nil"/>
              <w:bottom w:val="single" w:sz="4" w:space="0" w:color="auto"/>
              <w:right w:val="single" w:sz="4" w:space="0" w:color="auto"/>
            </w:tcBorders>
            <w:shd w:val="clear" w:color="auto" w:fill="auto"/>
            <w:noWrap/>
            <w:vAlign w:val="center"/>
          </w:tcPr>
          <w:p w:rsidR="00FD5559" w:rsidRPr="003408A6" w:rsidRDefault="00FD5559" w:rsidP="00190586">
            <w:pPr>
              <w:pStyle w:val="Tabletext"/>
              <w:rPr>
                <w:lang w:val="en-AU"/>
              </w:rPr>
            </w:pPr>
          </w:p>
        </w:tc>
        <w:tc>
          <w:tcPr>
            <w:tcW w:w="993" w:type="dxa"/>
            <w:tcBorders>
              <w:top w:val="single" w:sz="4" w:space="0" w:color="auto"/>
              <w:left w:val="single" w:sz="4" w:space="0" w:color="auto"/>
              <w:right w:val="single" w:sz="4" w:space="0" w:color="auto"/>
            </w:tcBorders>
            <w:shd w:val="clear" w:color="auto" w:fill="auto"/>
            <w:noWrap/>
          </w:tcPr>
          <w:p w:rsidR="00FD5559" w:rsidRPr="003408A6" w:rsidRDefault="00FD5559" w:rsidP="00190586">
            <w:pPr>
              <w:pStyle w:val="Tabletext"/>
              <w:rPr>
                <w:lang w:val="en-AU"/>
              </w:rPr>
            </w:pPr>
            <w:r w:rsidRPr="003408A6">
              <w:rPr>
                <w:lang w:val="en-AU"/>
              </w:rPr>
              <w:t>35</w:t>
            </w:r>
            <w:r w:rsidR="00D43E92" w:rsidRPr="003408A6">
              <w:rPr>
                <w:lang w:val="en-AU"/>
              </w:rPr>
              <w:t>–</w:t>
            </w:r>
            <w:r w:rsidRPr="003408A6">
              <w:rPr>
                <w:lang w:val="en-AU"/>
              </w:rPr>
              <w:t>69</w:t>
            </w:r>
          </w:p>
        </w:tc>
        <w:tc>
          <w:tcPr>
            <w:tcW w:w="1559" w:type="dxa"/>
            <w:tcBorders>
              <w:top w:val="single" w:sz="4" w:space="0" w:color="auto"/>
              <w:lef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13.5</w:t>
            </w:r>
          </w:p>
        </w:tc>
        <w:tc>
          <w:tcPr>
            <w:tcW w:w="1559" w:type="dxa"/>
            <w:tcBorders>
              <w:top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12.1</w:t>
            </w:r>
          </w:p>
        </w:tc>
        <w:tc>
          <w:tcPr>
            <w:tcW w:w="2268" w:type="dxa"/>
            <w:tcBorders>
              <w:top w:val="single" w:sz="4" w:space="0" w:color="auto"/>
              <w:left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0.90</w:t>
            </w:r>
          </w:p>
        </w:tc>
        <w:tc>
          <w:tcPr>
            <w:tcW w:w="1807" w:type="dxa"/>
            <w:tcBorders>
              <w:top w:val="single" w:sz="4" w:space="0" w:color="auto"/>
              <w:left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0.80</w:t>
            </w:r>
          </w:p>
        </w:tc>
        <w:tc>
          <w:tcPr>
            <w:tcW w:w="1807" w:type="dxa"/>
            <w:tcBorders>
              <w:top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0.84</w:t>
            </w:r>
          </w:p>
        </w:tc>
        <w:tc>
          <w:tcPr>
            <w:tcW w:w="1807" w:type="dxa"/>
            <w:tcBorders>
              <w:top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0.87</w:t>
            </w:r>
          </w:p>
        </w:tc>
        <w:tc>
          <w:tcPr>
            <w:tcW w:w="1808" w:type="dxa"/>
            <w:tcBorders>
              <w:top w:val="single" w:sz="4" w:space="0" w:color="auto"/>
            </w:tcBorders>
            <w:shd w:val="clear" w:color="auto" w:fill="auto"/>
            <w:noWrap/>
            <w:vAlign w:val="center"/>
          </w:tcPr>
          <w:p w:rsidR="00FD5559" w:rsidRPr="003408A6" w:rsidRDefault="00FD5559" w:rsidP="00C06C20">
            <w:pPr>
              <w:pStyle w:val="Tabletext"/>
              <w:jc w:val="center"/>
              <w:rPr>
                <w:lang w:val="en-AU"/>
              </w:rPr>
            </w:pPr>
            <w:r w:rsidRPr="003408A6">
              <w:rPr>
                <w:lang w:val="en-AU"/>
              </w:rPr>
              <w:t>0.99</w:t>
            </w:r>
          </w:p>
        </w:tc>
      </w:tr>
      <w:tr w:rsidR="00FD5559" w:rsidRPr="003408A6" w:rsidTr="00C06C20">
        <w:trPr>
          <w:trHeight w:val="300"/>
        </w:trPr>
        <w:tc>
          <w:tcPr>
            <w:tcW w:w="1418" w:type="dxa"/>
            <w:vMerge/>
            <w:tcBorders>
              <w:top w:val="nil"/>
              <w:bottom w:val="single" w:sz="4" w:space="0" w:color="auto"/>
              <w:right w:val="single" w:sz="4" w:space="0" w:color="auto"/>
            </w:tcBorders>
            <w:shd w:val="clear" w:color="auto" w:fill="auto"/>
            <w:noWrap/>
            <w:vAlign w:val="bottom"/>
          </w:tcPr>
          <w:p w:rsidR="00FD5559" w:rsidRPr="003408A6" w:rsidRDefault="00FD5559" w:rsidP="00190586">
            <w:pPr>
              <w:pStyle w:val="Tabletext"/>
              <w:rPr>
                <w:lang w:val="en-AU"/>
              </w:rPr>
            </w:pPr>
          </w:p>
        </w:tc>
        <w:tc>
          <w:tcPr>
            <w:tcW w:w="993" w:type="dxa"/>
            <w:tcBorders>
              <w:left w:val="single" w:sz="4" w:space="0" w:color="auto"/>
              <w:right w:val="single" w:sz="4" w:space="0" w:color="auto"/>
            </w:tcBorders>
            <w:shd w:val="clear" w:color="auto" w:fill="auto"/>
            <w:noWrap/>
            <w:vAlign w:val="bottom"/>
          </w:tcPr>
          <w:p w:rsidR="00FD5559" w:rsidRPr="003408A6" w:rsidRDefault="00FD5559" w:rsidP="00190586">
            <w:pPr>
              <w:pStyle w:val="Tabletext"/>
              <w:rPr>
                <w:lang w:val="en-AU"/>
              </w:rPr>
            </w:pPr>
          </w:p>
        </w:tc>
        <w:tc>
          <w:tcPr>
            <w:tcW w:w="1559" w:type="dxa"/>
            <w:tcBorders>
              <w:left w:val="single" w:sz="4" w:space="0" w:color="auto"/>
              <w:bottom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1559" w:type="dxa"/>
            <w:tcBorders>
              <w:bottom w:val="single" w:sz="4" w:space="0" w:color="auto"/>
              <w:right w:val="single" w:sz="4" w:space="0" w:color="auto"/>
            </w:tcBorders>
            <w:shd w:val="clear" w:color="auto" w:fill="auto"/>
            <w:noWrap/>
            <w:vAlign w:val="center"/>
          </w:tcPr>
          <w:p w:rsidR="00FD5559" w:rsidRPr="003408A6" w:rsidRDefault="00FD5559" w:rsidP="00C06C20">
            <w:pPr>
              <w:pStyle w:val="Tabletext"/>
              <w:jc w:val="center"/>
              <w:rPr>
                <w:lang w:val="en-AU"/>
              </w:rPr>
            </w:pPr>
          </w:p>
        </w:tc>
        <w:tc>
          <w:tcPr>
            <w:tcW w:w="2268" w:type="dxa"/>
            <w:tcBorders>
              <w:left w:val="single" w:sz="4" w:space="0" w:color="auto"/>
              <w:bottom w:val="single" w:sz="4" w:space="0" w:color="auto"/>
              <w:right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(0.84–</w:t>
            </w:r>
            <w:r w:rsidR="00FD5559" w:rsidRPr="003408A6">
              <w:rPr>
                <w:i/>
                <w:lang w:val="en-AU"/>
              </w:rPr>
              <w:t>0.96)</w:t>
            </w:r>
          </w:p>
        </w:tc>
        <w:tc>
          <w:tcPr>
            <w:tcW w:w="1807" w:type="dxa"/>
            <w:tcBorders>
              <w:left w:val="single" w:sz="4" w:space="0" w:color="auto"/>
            </w:tcBorders>
            <w:shd w:val="clear" w:color="auto" w:fill="auto"/>
            <w:noWrap/>
            <w:vAlign w:val="center"/>
          </w:tcPr>
          <w:p w:rsidR="00FD5559" w:rsidRPr="003408A6" w:rsidRDefault="00190586" w:rsidP="00C06C20">
            <w:pPr>
              <w:pStyle w:val="Tabletext"/>
              <w:jc w:val="center"/>
              <w:rPr>
                <w:i/>
                <w:lang w:val="en-AU"/>
              </w:rPr>
            </w:pPr>
            <w:r w:rsidRPr="003408A6">
              <w:rPr>
                <w:i/>
                <w:lang w:val="en-AU"/>
              </w:rPr>
              <w:t>(0.72–</w:t>
            </w:r>
            <w:r w:rsidR="00FD5559" w:rsidRPr="003408A6">
              <w:rPr>
                <w:i/>
                <w:lang w:val="en-AU"/>
              </w:rPr>
              <w:t>0.88)</w:t>
            </w:r>
          </w:p>
        </w:tc>
        <w:tc>
          <w:tcPr>
            <w:tcW w:w="1807" w:type="dxa"/>
            <w:shd w:val="clear" w:color="auto" w:fill="auto"/>
            <w:noWrap/>
            <w:vAlign w:val="center"/>
          </w:tcPr>
          <w:p w:rsidR="00FD5559" w:rsidRPr="003408A6" w:rsidRDefault="00190586" w:rsidP="00C06C20">
            <w:pPr>
              <w:pStyle w:val="Tabletext"/>
              <w:jc w:val="center"/>
              <w:rPr>
                <w:i/>
                <w:lang w:val="en-AU"/>
              </w:rPr>
            </w:pPr>
            <w:r w:rsidRPr="003408A6">
              <w:rPr>
                <w:i/>
                <w:lang w:val="en-AU"/>
              </w:rPr>
              <w:t>(0.76–</w:t>
            </w:r>
            <w:r w:rsidR="00FD5559" w:rsidRPr="003408A6">
              <w:rPr>
                <w:i/>
                <w:lang w:val="en-AU"/>
              </w:rPr>
              <w:t>0.93)</w:t>
            </w:r>
          </w:p>
        </w:tc>
        <w:tc>
          <w:tcPr>
            <w:tcW w:w="1807" w:type="dxa"/>
            <w:shd w:val="clear" w:color="auto" w:fill="auto"/>
            <w:noWrap/>
            <w:vAlign w:val="center"/>
          </w:tcPr>
          <w:p w:rsidR="00FD5559" w:rsidRPr="003408A6" w:rsidRDefault="00FD5559" w:rsidP="00C06C20">
            <w:pPr>
              <w:pStyle w:val="Tabletext"/>
              <w:jc w:val="center"/>
              <w:rPr>
                <w:i/>
                <w:lang w:val="en-AU"/>
              </w:rPr>
            </w:pPr>
            <w:r w:rsidRPr="003408A6">
              <w:rPr>
                <w:i/>
                <w:lang w:val="en-AU"/>
              </w:rPr>
              <w:t>(0.78</w:t>
            </w:r>
            <w:r w:rsidR="00190586" w:rsidRPr="003408A6">
              <w:rPr>
                <w:i/>
                <w:lang w:val="en-AU"/>
              </w:rPr>
              <w:t>–</w:t>
            </w:r>
            <w:r w:rsidRPr="003408A6">
              <w:rPr>
                <w:i/>
                <w:lang w:val="en-AU"/>
              </w:rPr>
              <w:t>0.95)</w:t>
            </w:r>
          </w:p>
        </w:tc>
        <w:tc>
          <w:tcPr>
            <w:tcW w:w="1808" w:type="dxa"/>
            <w:shd w:val="clear" w:color="auto" w:fill="auto"/>
            <w:noWrap/>
            <w:vAlign w:val="center"/>
          </w:tcPr>
          <w:p w:rsidR="00FD5559" w:rsidRPr="003408A6" w:rsidRDefault="00190586" w:rsidP="00C06C20">
            <w:pPr>
              <w:pStyle w:val="Tabletext"/>
              <w:jc w:val="center"/>
              <w:rPr>
                <w:i/>
                <w:lang w:val="en-AU"/>
              </w:rPr>
            </w:pPr>
            <w:r w:rsidRPr="003408A6">
              <w:rPr>
                <w:i/>
                <w:lang w:val="en-AU"/>
              </w:rPr>
              <w:t>(0.90–</w:t>
            </w:r>
            <w:r w:rsidR="00FD5559" w:rsidRPr="003408A6">
              <w:rPr>
                <w:i/>
                <w:lang w:val="en-AU"/>
              </w:rPr>
              <w:t>1.08)</w:t>
            </w:r>
          </w:p>
        </w:tc>
      </w:tr>
    </w:tbl>
    <w:p w:rsidR="00FD5559" w:rsidRPr="003408A6" w:rsidRDefault="00190586" w:rsidP="00190586">
      <w:pPr>
        <w:pStyle w:val="Tablefootnote"/>
      </w:pPr>
      <w:r w:rsidRPr="003408A6">
        <w:t>*</w:t>
      </w:r>
      <w:r w:rsidRPr="003408A6">
        <w:tab/>
      </w:r>
      <w:r w:rsidR="00FD5559" w:rsidRPr="003408A6">
        <w:t xml:space="preserve">Includes data from hospitals in NSW, </w:t>
      </w:r>
      <w:r w:rsidR="00D43E92" w:rsidRPr="003408A6">
        <w:t>VIC</w:t>
      </w:r>
      <w:r w:rsidR="00FD5559" w:rsidRPr="003408A6">
        <w:t xml:space="preserve">, </w:t>
      </w:r>
      <w:r w:rsidR="00D43E92" w:rsidRPr="003408A6">
        <w:t>QLD</w:t>
      </w:r>
      <w:r w:rsidR="00FD5559" w:rsidRPr="003408A6">
        <w:t>, SA, WA and NT only.</w:t>
      </w:r>
    </w:p>
    <w:p w:rsidR="00FD5559" w:rsidRPr="003408A6" w:rsidRDefault="00FD5559" w:rsidP="00FD5559">
      <w:pPr>
        <w:sectPr w:rsidR="00FD5559" w:rsidRPr="003408A6" w:rsidSect="00D07C02">
          <w:pgSz w:w="16838" w:h="11906" w:orient="landscape"/>
          <w:pgMar w:top="1134" w:right="1134" w:bottom="1134" w:left="1134" w:header="709" w:footer="709" w:gutter="0"/>
          <w:cols w:space="708"/>
          <w:docGrid w:linePitch="360"/>
        </w:sectPr>
      </w:pPr>
    </w:p>
    <w:p w:rsidR="00FD5559" w:rsidRPr="003408A6" w:rsidRDefault="00FD5559" w:rsidP="00DA10AE">
      <w:pPr>
        <w:pStyle w:val="Heading3"/>
      </w:pPr>
      <w:bookmarkStart w:id="253" w:name="_Toc372811175"/>
      <w:r w:rsidRPr="003408A6">
        <w:t>Age-related trends</w:t>
      </w:r>
      <w:r w:rsidR="00D603F4">
        <w:t xml:space="preserve"> in admissions</w:t>
      </w:r>
      <w:r w:rsidRPr="003408A6">
        <w:t xml:space="preserve"> prior to </w:t>
      </w:r>
      <w:r w:rsidR="00F90148" w:rsidRPr="003408A6">
        <w:t xml:space="preserve">introduction </w:t>
      </w:r>
      <w:r w:rsidRPr="003408A6">
        <w:t>of the National HPV Vaccination Program</w:t>
      </w:r>
      <w:bookmarkEnd w:id="253"/>
    </w:p>
    <w:p w:rsidR="00FD5559" w:rsidRPr="003408A6" w:rsidRDefault="00FD5559" w:rsidP="002413C8">
      <w:pPr>
        <w:pStyle w:val="BodyText"/>
        <w:rPr>
          <w:lang w:val="en-AU"/>
        </w:rPr>
      </w:pPr>
      <w:r w:rsidRPr="003408A6">
        <w:rPr>
          <w:lang w:val="en-AU"/>
        </w:rPr>
        <w:t>Trends</w:t>
      </w:r>
      <w:r w:rsidR="00D603F4">
        <w:rPr>
          <w:lang w:val="en-AU"/>
        </w:rPr>
        <w:t xml:space="preserve"> in admissions</w:t>
      </w:r>
      <w:r w:rsidRPr="003408A6">
        <w:rPr>
          <w:lang w:val="en-AU"/>
        </w:rPr>
        <w:t xml:space="preserve"> prior to the introduction of the National HPV Vaccination Program were also examined. There was no evidence of a change </w:t>
      </w:r>
      <w:r w:rsidR="00D603F4">
        <w:rPr>
          <w:lang w:val="en-AU"/>
        </w:rPr>
        <w:t xml:space="preserve">in admissions </w:t>
      </w:r>
      <w:r w:rsidRPr="003408A6">
        <w:rPr>
          <w:lang w:val="en-AU"/>
        </w:rPr>
        <w:t xml:space="preserve">in females </w:t>
      </w:r>
      <w:r w:rsidR="00F90148" w:rsidRPr="003408A6">
        <w:rPr>
          <w:lang w:val="en-AU"/>
        </w:rPr>
        <w:t xml:space="preserve">aged </w:t>
      </w:r>
      <w:r w:rsidRPr="003408A6">
        <w:rPr>
          <w:lang w:val="en-AU"/>
        </w:rPr>
        <w:t>12</w:t>
      </w:r>
      <w:r w:rsidR="00F90148" w:rsidRPr="003408A6">
        <w:rPr>
          <w:lang w:val="en-AU"/>
        </w:rPr>
        <w:t>–</w:t>
      </w:r>
      <w:r w:rsidRPr="003408A6">
        <w:rPr>
          <w:lang w:val="en-AU"/>
        </w:rPr>
        <w:t>17 years (APC 2% decline; 95% CI: 5.0% decline to 0.5% increase) nor in males 18</w:t>
      </w:r>
      <w:r w:rsidR="00F90148" w:rsidRPr="003408A6">
        <w:rPr>
          <w:lang w:val="en-AU"/>
        </w:rPr>
        <w:t>–</w:t>
      </w:r>
      <w:r w:rsidRPr="003408A6">
        <w:rPr>
          <w:lang w:val="en-AU"/>
        </w:rPr>
        <w:t>26 years (APC 0.4% increase; 95% CI: 1.5% decline to 2.4% increase). In females aged 27</w:t>
      </w:r>
      <w:r w:rsidR="00F90148" w:rsidRPr="003408A6">
        <w:rPr>
          <w:lang w:val="en-AU"/>
        </w:rPr>
        <w:t>–</w:t>
      </w:r>
      <w:r w:rsidRPr="003408A6">
        <w:rPr>
          <w:lang w:val="en-AU"/>
        </w:rPr>
        <w:t>30 years, a significant decline was observed over the entire period July 1999 to June 2011</w:t>
      </w:r>
      <w:r w:rsidR="00F90148" w:rsidRPr="003408A6">
        <w:rPr>
          <w:lang w:val="en-AU"/>
        </w:rPr>
        <w:t xml:space="preserve"> </w:t>
      </w:r>
      <w:r w:rsidRPr="003408A6">
        <w:rPr>
          <w:lang w:val="en-AU"/>
        </w:rPr>
        <w:t>(APC 5.9% decline; 95% CI: 3.8</w:t>
      </w:r>
      <w:r w:rsidR="00F90148" w:rsidRPr="003408A6">
        <w:rPr>
          <w:lang w:val="en-AU"/>
        </w:rPr>
        <w:t>–</w:t>
      </w:r>
      <w:r w:rsidRPr="003408A6">
        <w:rPr>
          <w:lang w:val="en-AU"/>
        </w:rPr>
        <w:t>8.0% decline), and this was found to be a better fit to the data than</w:t>
      </w:r>
      <w:r w:rsidR="00EC0B61" w:rsidRPr="003408A6">
        <w:rPr>
          <w:lang w:val="en-AU"/>
        </w:rPr>
        <w:t xml:space="preserve"> models with either one or two J</w:t>
      </w:r>
      <w:r w:rsidRPr="003408A6">
        <w:rPr>
          <w:lang w:val="en-AU"/>
        </w:rPr>
        <w:t>oin</w:t>
      </w:r>
      <w:r w:rsidR="00EC0B61" w:rsidRPr="003408A6">
        <w:rPr>
          <w:lang w:val="en-AU"/>
        </w:rPr>
        <w:t>t</w:t>
      </w:r>
      <w:r w:rsidRPr="003408A6">
        <w:rPr>
          <w:lang w:val="en-AU"/>
        </w:rPr>
        <w:t>points. In females aged 18</w:t>
      </w:r>
      <w:r w:rsidR="00F90148" w:rsidRPr="003408A6">
        <w:rPr>
          <w:lang w:val="en-AU"/>
        </w:rPr>
        <w:t>–</w:t>
      </w:r>
      <w:r w:rsidRPr="003408A6">
        <w:rPr>
          <w:lang w:val="en-AU"/>
        </w:rPr>
        <w:t>26 years, the best-fitting model estimated a small decline in admissions for genital warts between July 1999 and June 2004 (APC 1.7% decline; 95% CI: 0.4–3.0% decline), a larger decline between July 2004 and June 2008 (APC 11.4% decline; 95% CI: 5.5–16.9% decline), and finally a very substantial decline between July 2008 and June 2011 (APC 31.8% decline</w:t>
      </w:r>
      <w:r w:rsidR="00F90148" w:rsidRPr="003408A6">
        <w:rPr>
          <w:lang w:val="en-AU"/>
        </w:rPr>
        <w:t>;</w:t>
      </w:r>
      <w:r w:rsidRPr="003408A6">
        <w:rPr>
          <w:lang w:val="en-AU"/>
        </w:rPr>
        <w:t xml:space="preserve"> 95% CI: 28.4</w:t>
      </w:r>
      <w:r w:rsidR="00F90148" w:rsidRPr="003408A6">
        <w:rPr>
          <w:lang w:val="en-AU"/>
        </w:rPr>
        <w:t>–</w:t>
      </w:r>
      <w:r w:rsidRPr="003408A6">
        <w:rPr>
          <w:lang w:val="en-AU"/>
        </w:rPr>
        <w:t>35.2% decline). The decline in July 2008 to June 2011 was significantly greater than that in the previous period (P &lt;0.001).</w:t>
      </w:r>
    </w:p>
    <w:p w:rsidR="00FD5559" w:rsidRPr="003408A6" w:rsidRDefault="00FD5559" w:rsidP="002413C8">
      <w:pPr>
        <w:pStyle w:val="BodyText"/>
        <w:rPr>
          <w:lang w:val="en-AU"/>
        </w:rPr>
      </w:pPr>
      <w:r w:rsidRPr="003408A6">
        <w:rPr>
          <w:lang w:val="en-AU"/>
        </w:rPr>
        <w:t xml:space="preserve">We hypothesised that the trends in warts admissions in females may be affected by changes in cervical screening practices that occurred in the time period examined here, including since the introduction of the National HPV Vaccination Program, as a substantial proportion of warts admissions in </w:t>
      </w:r>
      <w:r w:rsidR="004E397F" w:rsidRPr="003408A6">
        <w:rPr>
          <w:lang w:val="en-AU"/>
        </w:rPr>
        <w:t xml:space="preserve">females </w:t>
      </w:r>
      <w:r w:rsidRPr="003408A6">
        <w:rPr>
          <w:lang w:val="en-AU"/>
        </w:rPr>
        <w:t>had a procedure code or an additional diagnosis code related to investigation of cervical abnormalities</w:t>
      </w:r>
      <w:r w:rsidR="00D603F4">
        <w:rPr>
          <w:lang w:val="en-AU"/>
        </w:rPr>
        <w:t>;</w:t>
      </w:r>
      <w:r w:rsidRPr="003408A6">
        <w:rPr>
          <w:lang w:val="en-AU"/>
        </w:rPr>
        <w:t xml:space="preserve"> it is possible that warts may have been an incidental diagnosis for these admissions. </w:t>
      </w:r>
      <w:r w:rsidR="00D603F4">
        <w:rPr>
          <w:lang w:val="en-AU"/>
        </w:rPr>
        <w:t>C</w:t>
      </w:r>
      <w:r w:rsidRPr="003408A6">
        <w:rPr>
          <w:lang w:val="en-AU"/>
        </w:rPr>
        <w:t xml:space="preserve">hanges </w:t>
      </w:r>
      <w:r w:rsidR="00D603F4">
        <w:rPr>
          <w:lang w:val="en-AU"/>
        </w:rPr>
        <w:t xml:space="preserve">in screening practices </w:t>
      </w:r>
      <w:r w:rsidRPr="003408A6">
        <w:rPr>
          <w:lang w:val="en-AU"/>
        </w:rPr>
        <w:t>included changes in screening participation, management guidelines and laboratories’ use of recommendation codes</w:t>
      </w:r>
      <w:r w:rsidR="006D1565" w:rsidRPr="003408A6">
        <w:rPr>
          <w:lang w:val="en-AU"/>
        </w:rPr>
        <w:fldChar w:fldCharType="begin"/>
      </w:r>
      <w:r w:rsidR="00F27F90">
        <w:rPr>
          <w:lang w:val="en-AU"/>
        </w:rPr>
        <w:instrText xml:space="preserve"> ADDIN EN.CITE &lt;EndNote&gt;&lt;Cite&gt;&lt;Author&gt;Australian Institute of Health and Welfare&lt;/Author&gt;&lt;Year&gt;2013&lt;/Year&gt;&lt;RecNum&gt;1253&lt;/RecNum&gt;&lt;DisplayText&gt;&lt;style face="superscript"&gt;92,123&lt;/style&gt;&lt;/DisplayText&gt;&lt;record&gt;&lt;rec-number&gt;1253&lt;/rec-number&gt;&lt;foreign-keys&gt;&lt;key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72&lt;/title&gt;&lt;/titles&gt;&lt;dates&gt;&lt;year&gt;2013&lt;/year&gt;&lt;/dates&gt;&lt;pub-location&gt;Canberra&lt;/pub-location&gt;&lt;publisher&gt;AIHW&lt;/publisher&gt;&lt;urls&gt;&lt;/urls&gt;&lt;/record&gt;&lt;/Cite&gt;&lt;Cite&gt;&lt;Author&gt;National Cervical Screening Program&lt;/Author&gt;&lt;Year&gt;2005&lt;/Year&gt;&lt;RecNum&gt;1267&lt;/RecNum&gt;&lt;record&gt;&lt;rec-number&gt;1267&lt;/rec-number&gt;&lt;foreign-keys&gt;&lt;key app="EN" db-id="dda0wweazfww9besetpx2r5pt0asp9ztvs95"&gt;1267&lt;/key&gt;&lt;/foreign-keys&gt;&lt;ref-type name="Report"&gt;27&lt;/ref-type&gt;&lt;contributors&gt;&lt;authors&gt;&lt;author&gt;National Cervical Screening Program,&lt;/author&gt;&lt;/authors&gt;&lt;/contributors&gt;&lt;titles&gt;&lt;title&gt;Screening to prevent cervical cancer: guidelines for the management of asymptomatic women with screen detected abnormalities&lt;/title&gt;&lt;/titles&gt;&lt;volume&gt;2013&lt;/volume&gt;&lt;dates&gt;&lt;year&gt;2005&lt;/year&gt;&lt;/dates&gt;&lt;pub-location&gt;Canberra&lt;/pub-location&gt;&lt;publisher&gt;Australian Government, National Health and Medical Research Council&lt;/publisher&gt;&lt;urls&gt;&lt;related-urls&gt;&lt;url&gt;http://www.nhmrc.gov.au/_files_nhmrc/publications/attachments/wh39.pdf&lt;/url&gt;&lt;/related-urls&gt;&lt;/urls&gt;&lt;custom1&gt;2013&lt;/custom1&gt;&lt;custom2&gt;17 Sept&lt;/custom2&gt;&lt;access-date&gt;17 September 2013&lt;/access-date&gt;&lt;/record&gt;&lt;/Cite&gt;&lt;/EndNote&gt;</w:instrText>
      </w:r>
      <w:r w:rsidR="006D1565" w:rsidRPr="003408A6">
        <w:rPr>
          <w:lang w:val="en-AU"/>
        </w:rPr>
        <w:fldChar w:fldCharType="separate"/>
      </w:r>
      <w:hyperlink w:anchor="_ENREF_92" w:tooltip="Australian Institute of Health and Welfare (AIHW), 2013 #1253" w:history="1">
        <w:r w:rsidR="00F27F90" w:rsidRPr="00F27F90">
          <w:rPr>
            <w:noProof/>
            <w:vertAlign w:val="superscript"/>
            <w:lang w:val="en-AU"/>
          </w:rPr>
          <w:t>92</w:t>
        </w:r>
      </w:hyperlink>
      <w:r w:rsidR="00F27F90" w:rsidRPr="00F27F90">
        <w:rPr>
          <w:noProof/>
          <w:vertAlign w:val="superscript"/>
          <w:lang w:val="en-AU"/>
        </w:rPr>
        <w:t>,</w:t>
      </w:r>
      <w:hyperlink w:anchor="_ENREF_123" w:tooltip="National Cervical Screening Program, 2005 #1267" w:history="1">
        <w:r w:rsidR="00F27F90" w:rsidRPr="00F27F90">
          <w:rPr>
            <w:noProof/>
            <w:vertAlign w:val="superscript"/>
            <w:lang w:val="en-AU"/>
          </w:rPr>
          <w:t>123</w:t>
        </w:r>
      </w:hyperlink>
      <w:r w:rsidR="006D1565" w:rsidRPr="003408A6">
        <w:rPr>
          <w:lang w:val="en-AU"/>
        </w:rPr>
        <w:fldChar w:fldCharType="end"/>
      </w:r>
      <w:r w:rsidRPr="003408A6">
        <w:rPr>
          <w:lang w:val="en-AU"/>
        </w:rPr>
        <w:t xml:space="preserve"> (personal communication, A/Prof Dorota Gertig, Medical Director, Victorian Cervical Cytology Register). To further explore this, admissions in females were divided into two groups based on whether or not the admission involved a procedure relating to investigation or treatment of a screen-detected cervical abnormality</w:t>
      </w:r>
      <w:r w:rsidR="00F90148" w:rsidRPr="003408A6">
        <w:rPr>
          <w:lang w:val="en-AU"/>
        </w:rPr>
        <w:t>:</w:t>
      </w:r>
      <w:r w:rsidRPr="003408A6">
        <w:rPr>
          <w:lang w:val="en-AU"/>
        </w:rPr>
        <w:t xml:space="preserve"> </w:t>
      </w:r>
      <w:r w:rsidR="00F90148" w:rsidRPr="003408A6">
        <w:rPr>
          <w:lang w:val="en-AU"/>
        </w:rPr>
        <w:t>‘</w:t>
      </w:r>
      <w:r w:rsidRPr="003408A6">
        <w:rPr>
          <w:lang w:val="en-AU"/>
        </w:rPr>
        <w:t>potentially screening-related</w:t>
      </w:r>
      <w:r w:rsidR="00F90148" w:rsidRPr="003408A6">
        <w:rPr>
          <w:lang w:val="en-AU"/>
        </w:rPr>
        <w:t>’</w:t>
      </w:r>
      <w:r w:rsidRPr="003408A6">
        <w:rPr>
          <w:lang w:val="en-AU"/>
        </w:rPr>
        <w:t xml:space="preserve"> or was </w:t>
      </w:r>
      <w:r w:rsidR="00F90148" w:rsidRPr="003408A6">
        <w:rPr>
          <w:lang w:val="en-AU"/>
        </w:rPr>
        <w:t>‘</w:t>
      </w:r>
      <w:r w:rsidRPr="003408A6">
        <w:rPr>
          <w:lang w:val="en-AU"/>
        </w:rPr>
        <w:t>unrelated to cervical screening</w:t>
      </w:r>
      <w:r w:rsidR="00F90148" w:rsidRPr="003408A6">
        <w:rPr>
          <w:lang w:val="en-AU"/>
        </w:rPr>
        <w:t>’</w:t>
      </w:r>
      <w:r w:rsidRPr="003408A6">
        <w:rPr>
          <w:lang w:val="en-AU"/>
        </w:rPr>
        <w:t xml:space="preserve"> (see </w:t>
      </w:r>
      <w:r w:rsidRPr="003408A6">
        <w:rPr>
          <w:b/>
          <w:lang w:val="en-AU"/>
        </w:rPr>
        <w:t xml:space="preserve">Table </w:t>
      </w:r>
      <w:r w:rsidR="00D603F4">
        <w:rPr>
          <w:b/>
          <w:lang w:val="en-AU"/>
        </w:rPr>
        <w:t>A</w:t>
      </w:r>
      <w:r w:rsidR="00CF2101" w:rsidRPr="003408A6">
        <w:rPr>
          <w:b/>
          <w:lang w:val="en-AU"/>
        </w:rPr>
        <w:t>6</w:t>
      </w:r>
      <w:r w:rsidR="009D68B9" w:rsidRPr="003408A6">
        <w:rPr>
          <w:b/>
          <w:lang w:val="en-AU"/>
        </w:rPr>
        <w:t>.</w:t>
      </w:r>
      <w:r w:rsidR="00653668">
        <w:rPr>
          <w:b/>
          <w:lang w:val="en-AU"/>
        </w:rPr>
        <w:t>1</w:t>
      </w:r>
      <w:r w:rsidR="00D603F4">
        <w:rPr>
          <w:b/>
          <w:lang w:val="en-AU"/>
        </w:rPr>
        <w:t>.2</w:t>
      </w:r>
      <w:r w:rsidR="00CF2101" w:rsidRPr="003408A6">
        <w:rPr>
          <w:lang w:val="en-AU"/>
        </w:rPr>
        <w:t xml:space="preserve"> in </w:t>
      </w:r>
      <w:r w:rsidR="00CF2101" w:rsidRPr="003408A6">
        <w:rPr>
          <w:b/>
          <w:lang w:val="en-AU"/>
        </w:rPr>
        <w:t>Appendix 6</w:t>
      </w:r>
      <w:r w:rsidR="009D68B9" w:rsidRPr="003408A6">
        <w:rPr>
          <w:b/>
          <w:lang w:val="en-AU"/>
        </w:rPr>
        <w:t>.</w:t>
      </w:r>
      <w:r w:rsidR="00653668">
        <w:rPr>
          <w:b/>
          <w:lang w:val="en-AU"/>
        </w:rPr>
        <w:t>1</w:t>
      </w:r>
      <w:r w:rsidRPr="003408A6">
        <w:rPr>
          <w:lang w:val="en-AU"/>
        </w:rPr>
        <w:t xml:space="preserve">). </w:t>
      </w:r>
    </w:p>
    <w:p w:rsidR="00FD5559" w:rsidRPr="003408A6" w:rsidRDefault="00FD5559" w:rsidP="002413C8">
      <w:pPr>
        <w:pStyle w:val="BodyText"/>
        <w:rPr>
          <w:lang w:val="en-AU"/>
        </w:rPr>
      </w:pPr>
      <w:r w:rsidRPr="003408A6">
        <w:rPr>
          <w:lang w:val="en-AU"/>
        </w:rPr>
        <w:t>Procedures relating to follow-up or treatment of screen-detected cervical abnormalities (</w:t>
      </w:r>
      <w:r w:rsidR="00F90148" w:rsidRPr="003408A6">
        <w:rPr>
          <w:lang w:val="en-AU"/>
        </w:rPr>
        <w:t>‘</w:t>
      </w:r>
      <w:r w:rsidRPr="003408A6">
        <w:rPr>
          <w:lang w:val="en-AU"/>
        </w:rPr>
        <w:t>potentially screening related</w:t>
      </w:r>
      <w:r w:rsidR="00F90148" w:rsidRPr="003408A6">
        <w:rPr>
          <w:lang w:val="en-AU"/>
        </w:rPr>
        <w:t>’</w:t>
      </w:r>
      <w:r w:rsidRPr="003408A6">
        <w:rPr>
          <w:lang w:val="en-AU"/>
        </w:rPr>
        <w:t xml:space="preserve">) were recorded in 25% of admissions in </w:t>
      </w:r>
      <w:r w:rsidR="004E397F" w:rsidRPr="003408A6">
        <w:rPr>
          <w:lang w:val="en-AU"/>
        </w:rPr>
        <w:t xml:space="preserve">females </w:t>
      </w:r>
      <w:r w:rsidRPr="003408A6">
        <w:rPr>
          <w:lang w:val="en-AU"/>
        </w:rPr>
        <w:t>aged 18</w:t>
      </w:r>
      <w:r w:rsidR="00F90148" w:rsidRPr="003408A6">
        <w:rPr>
          <w:lang w:val="en-AU"/>
        </w:rPr>
        <w:t>–</w:t>
      </w:r>
      <w:r w:rsidRPr="003408A6">
        <w:rPr>
          <w:lang w:val="en-AU"/>
        </w:rPr>
        <w:t>26 years. In the stratified analyses, in females aged 18</w:t>
      </w:r>
      <w:r w:rsidR="00F90148" w:rsidRPr="003408A6">
        <w:rPr>
          <w:lang w:val="en-AU"/>
        </w:rPr>
        <w:t>–</w:t>
      </w:r>
      <w:r w:rsidRPr="003408A6">
        <w:rPr>
          <w:lang w:val="en-AU"/>
        </w:rPr>
        <w:t xml:space="preserve">26 years, for admissions </w:t>
      </w:r>
      <w:r w:rsidR="00F90148" w:rsidRPr="003408A6">
        <w:rPr>
          <w:lang w:val="en-AU"/>
        </w:rPr>
        <w:t>‘</w:t>
      </w:r>
      <w:r w:rsidRPr="003408A6">
        <w:rPr>
          <w:lang w:val="en-AU"/>
        </w:rPr>
        <w:t>unrelated to cervical screening</w:t>
      </w:r>
      <w:r w:rsidR="00F90148" w:rsidRPr="003408A6">
        <w:rPr>
          <w:lang w:val="en-AU"/>
        </w:rPr>
        <w:t>’</w:t>
      </w:r>
      <w:r w:rsidRPr="003408A6">
        <w:rPr>
          <w:lang w:val="en-AU"/>
        </w:rPr>
        <w:t xml:space="preserve"> no significant decline was observed between 1999 and 2004, followed by a decline of 9.6% per annum from mid-2005, then a more substantial decline from mid-2008 of 34.5% per annum. The decline from mid-2008 on</w:t>
      </w:r>
      <w:r w:rsidR="00D603F4">
        <w:rPr>
          <w:lang w:val="en-AU"/>
        </w:rPr>
        <w:t>wards</w:t>
      </w:r>
      <w:r w:rsidRPr="003408A6">
        <w:rPr>
          <w:lang w:val="en-AU"/>
        </w:rPr>
        <w:t xml:space="preserve"> (APC 34.5% decline</w:t>
      </w:r>
      <w:r w:rsidR="00F90148" w:rsidRPr="003408A6">
        <w:rPr>
          <w:lang w:val="en-AU"/>
        </w:rPr>
        <w:t>;</w:t>
      </w:r>
      <w:r w:rsidRPr="003408A6">
        <w:rPr>
          <w:lang w:val="en-AU"/>
        </w:rPr>
        <w:t xml:space="preserve"> 95% CI: 29.7</w:t>
      </w:r>
      <w:r w:rsidR="00F90148" w:rsidRPr="003408A6">
        <w:rPr>
          <w:lang w:val="en-AU"/>
        </w:rPr>
        <w:t>–</w:t>
      </w:r>
      <w:r w:rsidRPr="003408A6">
        <w:rPr>
          <w:lang w:val="en-AU"/>
        </w:rPr>
        <w:t>39.0% decline) was substantially and significantly greater (P=0.001) than the trend in the preceding years (APC 9.6% decline</w:t>
      </w:r>
      <w:r w:rsidR="00F90148" w:rsidRPr="003408A6">
        <w:rPr>
          <w:lang w:val="en-AU"/>
        </w:rPr>
        <w:t>;</w:t>
      </w:r>
      <w:r w:rsidRPr="003408A6">
        <w:rPr>
          <w:lang w:val="en-AU"/>
        </w:rPr>
        <w:t xml:space="preserve"> 95% CI: 1.2</w:t>
      </w:r>
      <w:r w:rsidR="00F90148" w:rsidRPr="003408A6">
        <w:rPr>
          <w:lang w:val="en-AU"/>
        </w:rPr>
        <w:t>–</w:t>
      </w:r>
      <w:r w:rsidRPr="003408A6">
        <w:rPr>
          <w:lang w:val="en-AU"/>
        </w:rPr>
        <w:t>17.3% decline). Thus</w:t>
      </w:r>
      <w:r w:rsidR="00F90148" w:rsidRPr="003408A6">
        <w:rPr>
          <w:lang w:val="en-AU"/>
        </w:rPr>
        <w:t>,</w:t>
      </w:r>
      <w:r w:rsidRPr="003408A6">
        <w:rPr>
          <w:lang w:val="en-AU"/>
        </w:rPr>
        <w:t xml:space="preserve"> admissions involving a diagnosis of genital warts which were unrelated to cervical screening declined at a rate which was marginally higher than our original estimate, although the difference was not significant.</w:t>
      </w:r>
    </w:p>
    <w:p w:rsidR="00F77A1B" w:rsidRPr="003408A6" w:rsidRDefault="00B608C4" w:rsidP="00F77A1B">
      <w:pPr>
        <w:pStyle w:val="Figureheading"/>
      </w:pPr>
      <w:bookmarkStart w:id="254" w:name="_Toc396475592"/>
      <w:bookmarkStart w:id="255" w:name="_Toc397000820"/>
      <w:r w:rsidRPr="003408A6">
        <w:t>Figure 6.6</w:t>
      </w:r>
      <w:r w:rsidR="00EF3AA0" w:rsidRPr="003408A6">
        <w:t>.</w:t>
      </w:r>
      <w:r w:rsidR="002B7A0C" w:rsidRPr="003408A6">
        <w:tab/>
      </w:r>
      <w:r w:rsidRPr="003408A6">
        <w:t>Admission rates for genital warts with no cervical procedure recorded (unrelated to screening)</w:t>
      </w:r>
      <w:r w:rsidR="00510685">
        <w:t>,</w:t>
      </w:r>
      <w:r w:rsidRPr="003408A6">
        <w:t xml:space="preserve"> per 100,000 population, females aged 18</w:t>
      </w:r>
      <w:r w:rsidR="00F90148" w:rsidRPr="003408A6">
        <w:t>–</w:t>
      </w:r>
      <w:r w:rsidRPr="003408A6">
        <w:t>26 years</w:t>
      </w:r>
      <w:bookmarkEnd w:id="254"/>
      <w:bookmarkEnd w:id="255"/>
    </w:p>
    <w:p w:rsidR="00FD5559" w:rsidRPr="003408A6" w:rsidRDefault="00B608C4" w:rsidP="00F77A1B">
      <w:pPr>
        <w:spacing w:line="360" w:lineRule="auto"/>
      </w:pPr>
      <w:r w:rsidRPr="003408A6">
        <w:t xml:space="preserve"> </w:t>
      </w:r>
      <w:r w:rsidR="00FD5559" w:rsidRPr="003408A6">
        <w:rPr>
          <w:noProof/>
        </w:rPr>
        <w:drawing>
          <wp:inline distT="0" distB="0" distL="0" distR="0" wp14:anchorId="6BC61B57" wp14:editId="2A13C1F5">
            <wp:extent cx="4817789" cy="2879678"/>
            <wp:effectExtent l="0" t="0" r="1905" b="0"/>
            <wp:docPr id="7" name="Picture 7" title="Admission rates for genital warts with no cervical procedure recorded (unrelated to screening), per 100,000 population, females aged 18–2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8-26_nonScr.bmp"/>
                    <pic:cNvPicPr/>
                  </pic:nvPicPr>
                  <pic:blipFill>
                    <a:blip r:embed="rId56">
                      <a:extLst>
                        <a:ext uri="{28A0092B-C50C-407E-A947-70E740481C1C}">
                          <a14:useLocalDpi xmlns:a14="http://schemas.microsoft.com/office/drawing/2010/main" val="0"/>
                        </a:ext>
                      </a:extLst>
                    </a:blip>
                    <a:stretch>
                      <a:fillRect/>
                    </a:stretch>
                  </pic:blipFill>
                  <pic:spPr>
                    <a:xfrm>
                      <a:off x="0" y="0"/>
                      <a:ext cx="4831288" cy="2887746"/>
                    </a:xfrm>
                    <a:prstGeom prst="rect">
                      <a:avLst/>
                    </a:prstGeom>
                  </pic:spPr>
                </pic:pic>
              </a:graphicData>
            </a:graphic>
          </wp:inline>
        </w:drawing>
      </w:r>
    </w:p>
    <w:p w:rsidR="002413C8" w:rsidRPr="003408A6" w:rsidRDefault="002413C8" w:rsidP="00F77A1B">
      <w:pPr>
        <w:spacing w:line="360" w:lineRule="auto"/>
        <w:rPr>
          <w:rStyle w:val="BodyTextChar"/>
          <w:lang w:val="en-AU"/>
        </w:rPr>
      </w:pPr>
    </w:p>
    <w:p w:rsidR="00FD5559" w:rsidRPr="003408A6" w:rsidRDefault="00FD5559" w:rsidP="00DA10AE">
      <w:pPr>
        <w:pStyle w:val="Heading2"/>
      </w:pPr>
      <w:bookmarkStart w:id="256" w:name="_Toc372811176"/>
      <w:bookmarkStart w:id="257" w:name="_Toc396926146"/>
      <w:r w:rsidRPr="003408A6">
        <w:t>Discussion</w:t>
      </w:r>
      <w:bookmarkEnd w:id="256"/>
      <w:bookmarkEnd w:id="257"/>
    </w:p>
    <w:p w:rsidR="00347C38" w:rsidRDefault="00FD5559" w:rsidP="002413C8">
      <w:pPr>
        <w:pStyle w:val="BodyText"/>
        <w:rPr>
          <w:lang w:val="en-AU"/>
        </w:rPr>
      </w:pPr>
      <w:r w:rsidRPr="003408A6">
        <w:rPr>
          <w:lang w:val="en-AU"/>
        </w:rPr>
        <w:t>These population-based hospital admissions data suggest a substantial drop in admissions involving a diagnosis of genital warts since the introduction of the National HPV Vaccination Program. These have been most pronounced in younger females, with a 90% reduction in admissions of females aged 12</w:t>
      </w:r>
      <w:r w:rsidR="000177D9" w:rsidRPr="003408A6">
        <w:rPr>
          <w:lang w:val="en-AU"/>
        </w:rPr>
        <w:t>–</w:t>
      </w:r>
      <w:r w:rsidRPr="003408A6">
        <w:rPr>
          <w:lang w:val="en-AU"/>
        </w:rPr>
        <w:t>17 years and a 73% reduction in admissions of females aged 18</w:t>
      </w:r>
      <w:r w:rsidR="000177D9" w:rsidRPr="003408A6">
        <w:rPr>
          <w:lang w:val="en-AU"/>
        </w:rPr>
        <w:t>–</w:t>
      </w:r>
      <w:r w:rsidRPr="003408A6">
        <w:rPr>
          <w:lang w:val="en-AU"/>
        </w:rPr>
        <w:t>26 years. There has also been a substantial (38%) reduction in admissions of males aged 18</w:t>
      </w:r>
      <w:r w:rsidR="000177D9" w:rsidRPr="003408A6">
        <w:rPr>
          <w:lang w:val="en-AU"/>
        </w:rPr>
        <w:t>–</w:t>
      </w:r>
      <w:r w:rsidRPr="003408A6">
        <w:rPr>
          <w:lang w:val="en-AU"/>
        </w:rPr>
        <w:t xml:space="preserve">26 years, potentially representing indirect (herd) protection from the female-only program, since there was no change in this age group prior to mid-2008. There was also an observed reduction in </w:t>
      </w:r>
      <w:r w:rsidR="000177D9" w:rsidRPr="003408A6">
        <w:rPr>
          <w:lang w:val="en-AU"/>
        </w:rPr>
        <w:t xml:space="preserve">admissions in </w:t>
      </w:r>
      <w:r w:rsidRPr="003408A6">
        <w:rPr>
          <w:lang w:val="en-AU"/>
        </w:rPr>
        <w:t>females aged 27</w:t>
      </w:r>
      <w:r w:rsidR="000177D9" w:rsidRPr="003408A6">
        <w:rPr>
          <w:lang w:val="en-AU"/>
        </w:rPr>
        <w:t>–</w:t>
      </w:r>
      <w:r w:rsidRPr="003408A6">
        <w:rPr>
          <w:lang w:val="en-AU"/>
        </w:rPr>
        <w:t>30 years at admission in the post-vaccine period relative to the pre-vaccine period; however</w:t>
      </w:r>
      <w:r w:rsidR="000177D9" w:rsidRPr="003408A6">
        <w:rPr>
          <w:lang w:val="en-AU"/>
        </w:rPr>
        <w:t>,</w:t>
      </w:r>
      <w:r w:rsidRPr="003408A6">
        <w:rPr>
          <w:lang w:val="en-AU"/>
        </w:rPr>
        <w:t xml:space="preserve"> this may have been a continuation of a decline prior to the vaccination program, and there was no evidence that the decline in the post-</w:t>
      </w:r>
      <w:r w:rsidR="00621A71" w:rsidRPr="003408A6">
        <w:rPr>
          <w:lang w:val="en-AU"/>
        </w:rPr>
        <w:t>vaccin</w:t>
      </w:r>
      <w:r w:rsidR="00621A71">
        <w:rPr>
          <w:lang w:val="en-AU"/>
        </w:rPr>
        <w:t>e</w:t>
      </w:r>
      <w:r w:rsidR="00621A71" w:rsidRPr="003408A6">
        <w:rPr>
          <w:lang w:val="en-AU"/>
        </w:rPr>
        <w:t xml:space="preserve"> </w:t>
      </w:r>
      <w:r w:rsidRPr="003408A6">
        <w:rPr>
          <w:lang w:val="en-AU"/>
        </w:rPr>
        <w:t>period was greater than that prior to mid-2007.</w:t>
      </w:r>
    </w:p>
    <w:p w:rsidR="00FD5559" w:rsidRPr="003408A6" w:rsidRDefault="00FD5559" w:rsidP="002413C8">
      <w:pPr>
        <w:pStyle w:val="BodyText"/>
        <w:rPr>
          <w:lang w:val="en-AU"/>
        </w:rPr>
      </w:pPr>
      <w:r w:rsidRPr="003408A6">
        <w:rPr>
          <w:lang w:val="en-AU"/>
        </w:rPr>
        <w:t>These results are consistent with findings from previous studies. For example</w:t>
      </w:r>
      <w:r w:rsidR="00621A71">
        <w:rPr>
          <w:lang w:val="en-AU"/>
        </w:rPr>
        <w:t>,</w:t>
      </w:r>
      <w:r w:rsidRPr="003408A6">
        <w:rPr>
          <w:lang w:val="en-AU"/>
        </w:rPr>
        <w:t xml:space="preserve"> Ali et al</w:t>
      </w:r>
      <w:r w:rsidR="000177D9" w:rsidRPr="003408A6">
        <w:rPr>
          <w:lang w:val="en-AU"/>
        </w:rPr>
        <w:t>.</w:t>
      </w:r>
      <w:hyperlink w:anchor="_ENREF_124" w:tooltip="Ali, 2013 #1271" w:history="1">
        <w:r w:rsidR="00F27F90" w:rsidRPr="003408A6">
          <w:rPr>
            <w:lang w:val="en-AU"/>
          </w:rPr>
          <w:fldChar w:fldCharType="begin"/>
        </w:r>
        <w:r w:rsidR="00F27F90">
          <w:rPr>
            <w:lang w:val="en-AU"/>
          </w:rPr>
          <w:instrText xml:space="preserve"> ADDIN EN.CITE &lt;EndNote&gt;&lt;Cite&gt;&lt;Author&gt;Ali&lt;/Author&gt;&lt;Year&gt;2013&lt;/Year&gt;&lt;RecNum&gt;1271&lt;/RecNum&gt;&lt;DisplayText&gt;&lt;style face="superscript"&gt;124&lt;/style&gt;&lt;/DisplayText&gt;&lt;record&gt;&lt;rec-number&gt;1271&lt;/rec-number&gt;&lt;foreign-keys&gt;&lt;key app="EN" db-id="dda0wweazfww9besetpx2r5pt0asp9ztvs95"&gt;1271&lt;/key&gt;&lt;/foreign-keys&gt;&lt;ref-type name="Journal Article"&gt;17&lt;/ref-type&gt;&lt;contributors&gt;&lt;authors&gt;&lt;author&gt;Ali, H.&lt;/author&gt;&lt;author&gt;Donovan, B.&lt;/author&gt;&lt;author&gt;Wand, H.&lt;/author&gt;&lt;author&gt;Read, T. R.&lt;/author&gt;&lt;author&gt;Regan, D. G.&lt;/author&gt;&lt;author&gt;Grulich, A. E.&lt;/author&gt;&lt;author&gt;Fairley, C. K.&lt;/author&gt;&lt;author&gt;Guy, R. J.&lt;/author&gt;&lt;/authors&gt;&lt;/contributors&gt;&lt;auth-address&gt;The Kirby Institute, University of New South Wales, Sydney, NSW 2052, Australia.&lt;/auth-address&gt;&lt;titles&gt;&lt;title&gt;Genital warts in young Australians five years into national human papillomavirus vaccination programme: national surveillance data&lt;/title&gt;&lt;secondary-title&gt;BMJ&lt;/secondary-title&gt;&lt;/titles&gt;&lt;periodical&gt;&lt;full-title&gt;BMJ&lt;/full-title&gt;&lt;abbr-1&gt;BMJ&lt;/abbr-1&gt;&lt;abbr-2&gt;BMJ&lt;/abbr-2&gt;&lt;/periodical&gt;&lt;pages&gt;f2032&lt;/pages&gt;&lt;volume&gt;346&lt;/volume&gt;&lt;edition&gt;2013/04/20&lt;/edition&gt;&lt;dates&gt;&lt;year&gt;2013&lt;/year&gt;&lt;/dates&gt;&lt;isbn&gt;1756-1833 (Electronic)&amp;#xD;0959-535X (Linking)&lt;/isbn&gt;&lt;accession-num&gt;23599298&lt;/accession-num&gt;&lt;urls&gt;&lt;related-urls&gt;&lt;url&gt;http://www.ncbi.nlm.nih.gov/pubmed/23599298&lt;/url&gt;&lt;/related-urls&gt;&lt;/urls&gt;&lt;electronic-resource-num&gt;10.1136/bmj.f2032&lt;/electronic-resource-num&gt;&lt;language&gt;eng&lt;/language&gt;&lt;/record&gt;&lt;/Cite&gt;&lt;/EndNote&gt;</w:instrText>
        </w:r>
        <w:r w:rsidR="00F27F90" w:rsidRPr="003408A6">
          <w:rPr>
            <w:lang w:val="en-AU"/>
          </w:rPr>
          <w:fldChar w:fldCharType="separate"/>
        </w:r>
        <w:r w:rsidR="00F27F90" w:rsidRPr="00F27F90">
          <w:rPr>
            <w:noProof/>
            <w:vertAlign w:val="superscript"/>
            <w:lang w:val="en-AU"/>
          </w:rPr>
          <w:t>124</w:t>
        </w:r>
        <w:r w:rsidR="00F27F90" w:rsidRPr="003408A6">
          <w:rPr>
            <w:lang w:val="en-AU"/>
          </w:rPr>
          <w:fldChar w:fldCharType="end"/>
        </w:r>
      </w:hyperlink>
      <w:r w:rsidRPr="003408A6">
        <w:rPr>
          <w:lang w:val="en-AU"/>
        </w:rPr>
        <w:t xml:space="preserve"> found a 73% reduction between 2011 and 2007 in new diagnoses of genital warts among 21</w:t>
      </w:r>
      <w:r w:rsidR="000177D9" w:rsidRPr="003408A6">
        <w:rPr>
          <w:lang w:val="en-AU"/>
        </w:rPr>
        <w:t>–</w:t>
      </w:r>
      <w:r w:rsidRPr="003408A6">
        <w:rPr>
          <w:lang w:val="en-AU"/>
        </w:rPr>
        <w:t>30</w:t>
      </w:r>
      <w:r w:rsidR="000177D9" w:rsidRPr="003408A6">
        <w:rPr>
          <w:lang w:val="en-AU"/>
        </w:rPr>
        <w:t>-</w:t>
      </w:r>
      <w:r w:rsidRPr="003408A6">
        <w:rPr>
          <w:lang w:val="en-AU"/>
        </w:rPr>
        <w:t>year</w:t>
      </w:r>
      <w:r w:rsidR="000177D9" w:rsidRPr="003408A6">
        <w:rPr>
          <w:lang w:val="en-AU"/>
        </w:rPr>
        <w:t>-</w:t>
      </w:r>
      <w:r w:rsidRPr="003408A6">
        <w:rPr>
          <w:lang w:val="en-AU"/>
        </w:rPr>
        <w:t>old females presenting to a sentinel group of sexual health clinic sites, and estimated an average annual summary rate ratio of 0.74 (corresponding to an average 26% annual decline; 95% CI</w:t>
      </w:r>
      <w:r w:rsidR="000177D9" w:rsidRPr="003408A6">
        <w:rPr>
          <w:lang w:val="en-AU"/>
        </w:rPr>
        <w:t>:</w:t>
      </w:r>
      <w:r w:rsidRPr="003408A6">
        <w:rPr>
          <w:lang w:val="en-AU"/>
        </w:rPr>
        <w:t xml:space="preserve"> 21</w:t>
      </w:r>
      <w:r w:rsidR="000177D9" w:rsidRPr="003408A6">
        <w:rPr>
          <w:lang w:val="en-AU"/>
        </w:rPr>
        <w:t>–</w:t>
      </w:r>
      <w:r w:rsidRPr="003408A6">
        <w:rPr>
          <w:lang w:val="en-AU"/>
        </w:rPr>
        <w:t xml:space="preserve">30%) over this period. We found comparable reductions in admissions for </w:t>
      </w:r>
      <w:r w:rsidR="004E397F" w:rsidRPr="003408A6">
        <w:rPr>
          <w:lang w:val="en-AU"/>
        </w:rPr>
        <w:t xml:space="preserve">females </w:t>
      </w:r>
      <w:r w:rsidRPr="003408A6">
        <w:rPr>
          <w:lang w:val="en-AU"/>
        </w:rPr>
        <w:t>aged 18</w:t>
      </w:r>
      <w:r w:rsidR="000177D9" w:rsidRPr="003408A6">
        <w:rPr>
          <w:lang w:val="en-AU"/>
        </w:rPr>
        <w:t>–</w:t>
      </w:r>
      <w:r w:rsidRPr="003408A6">
        <w:rPr>
          <w:lang w:val="en-AU"/>
        </w:rPr>
        <w:t xml:space="preserve">26 years over a similar time period (overall reduction 73% </w:t>
      </w:r>
      <w:r w:rsidR="000177D9" w:rsidRPr="003408A6">
        <w:rPr>
          <w:lang w:val="en-AU"/>
        </w:rPr>
        <w:t>[</w:t>
      </w:r>
      <w:r w:rsidRPr="003408A6">
        <w:rPr>
          <w:lang w:val="en-AU"/>
        </w:rPr>
        <w:t>95% CI: 67</w:t>
      </w:r>
      <w:r w:rsidR="000177D9" w:rsidRPr="003408A6">
        <w:rPr>
          <w:lang w:val="en-AU"/>
        </w:rPr>
        <w:t>–</w:t>
      </w:r>
      <w:r w:rsidRPr="003408A6">
        <w:rPr>
          <w:lang w:val="en-AU"/>
        </w:rPr>
        <w:t>77%</w:t>
      </w:r>
      <w:r w:rsidR="000177D9" w:rsidRPr="003408A6">
        <w:rPr>
          <w:lang w:val="en-AU"/>
        </w:rPr>
        <w:t>]</w:t>
      </w:r>
      <w:r w:rsidRPr="003408A6">
        <w:rPr>
          <w:lang w:val="en-AU"/>
        </w:rPr>
        <w:t xml:space="preserve">; annual decline 32% </w:t>
      </w:r>
      <w:r w:rsidR="000177D9" w:rsidRPr="003408A6">
        <w:rPr>
          <w:lang w:val="en-AU"/>
        </w:rPr>
        <w:t>[</w:t>
      </w:r>
      <w:r w:rsidRPr="003408A6">
        <w:rPr>
          <w:lang w:val="en-AU"/>
        </w:rPr>
        <w:t>95% CI: 28</w:t>
      </w:r>
      <w:r w:rsidR="000177D9" w:rsidRPr="003408A6">
        <w:rPr>
          <w:lang w:val="en-AU"/>
        </w:rPr>
        <w:t>–</w:t>
      </w:r>
      <w:r w:rsidRPr="003408A6">
        <w:rPr>
          <w:lang w:val="en-AU"/>
        </w:rPr>
        <w:t>35%</w:t>
      </w:r>
      <w:r w:rsidR="000177D9" w:rsidRPr="003408A6">
        <w:rPr>
          <w:lang w:val="en-AU"/>
        </w:rPr>
        <w:t>]</w:t>
      </w:r>
      <w:r w:rsidRPr="003408A6">
        <w:rPr>
          <w:lang w:val="en-AU"/>
        </w:rPr>
        <w:t xml:space="preserve">). Similarly, our findings for the estimated reductions </w:t>
      </w:r>
      <w:r w:rsidR="000177D9" w:rsidRPr="003408A6">
        <w:rPr>
          <w:lang w:val="en-AU"/>
        </w:rPr>
        <w:t xml:space="preserve">in admissions </w:t>
      </w:r>
      <w:r w:rsidRPr="003408A6">
        <w:rPr>
          <w:lang w:val="en-AU"/>
        </w:rPr>
        <w:t>in females aged 12</w:t>
      </w:r>
      <w:r w:rsidR="000177D9" w:rsidRPr="003408A6">
        <w:rPr>
          <w:lang w:val="en-AU"/>
        </w:rPr>
        <w:t>–</w:t>
      </w:r>
      <w:r w:rsidRPr="003408A6">
        <w:rPr>
          <w:lang w:val="en-AU"/>
        </w:rPr>
        <w:t xml:space="preserve">17 years (overall reduction 90% </w:t>
      </w:r>
      <w:r w:rsidR="000177D9" w:rsidRPr="003408A6">
        <w:rPr>
          <w:lang w:val="en-AU"/>
        </w:rPr>
        <w:t>[</w:t>
      </w:r>
      <w:r w:rsidRPr="003408A6">
        <w:rPr>
          <w:lang w:val="en-AU"/>
        </w:rPr>
        <w:t>95% CI: 84</w:t>
      </w:r>
      <w:r w:rsidR="000177D9" w:rsidRPr="003408A6">
        <w:rPr>
          <w:lang w:val="en-AU"/>
        </w:rPr>
        <w:t>–</w:t>
      </w:r>
      <w:r w:rsidRPr="003408A6">
        <w:rPr>
          <w:lang w:val="en-AU"/>
        </w:rPr>
        <w:t>93%</w:t>
      </w:r>
      <w:r w:rsidR="000177D9" w:rsidRPr="003408A6">
        <w:rPr>
          <w:lang w:val="en-AU"/>
        </w:rPr>
        <w:t>]</w:t>
      </w:r>
      <w:r w:rsidRPr="003408A6">
        <w:rPr>
          <w:lang w:val="en-AU"/>
        </w:rPr>
        <w:t xml:space="preserve">; average annual decline 44% </w:t>
      </w:r>
      <w:r w:rsidR="000177D9" w:rsidRPr="003408A6">
        <w:rPr>
          <w:lang w:val="en-AU"/>
        </w:rPr>
        <w:t>[</w:t>
      </w:r>
      <w:r w:rsidRPr="003408A6">
        <w:rPr>
          <w:lang w:val="en-AU"/>
        </w:rPr>
        <w:t>95% CI: 35</w:t>
      </w:r>
      <w:r w:rsidR="000177D9" w:rsidRPr="003408A6">
        <w:rPr>
          <w:lang w:val="en-AU"/>
        </w:rPr>
        <w:t>–</w:t>
      </w:r>
      <w:r w:rsidRPr="003408A6">
        <w:rPr>
          <w:lang w:val="en-AU"/>
        </w:rPr>
        <w:t>52%</w:t>
      </w:r>
      <w:r w:rsidR="000177D9" w:rsidRPr="003408A6">
        <w:rPr>
          <w:lang w:val="en-AU"/>
        </w:rPr>
        <w:t>]</w:t>
      </w:r>
      <w:r w:rsidRPr="003408A6">
        <w:rPr>
          <w:lang w:val="en-AU"/>
        </w:rPr>
        <w:t>) and in males aged 18</w:t>
      </w:r>
      <w:r w:rsidR="000177D9" w:rsidRPr="003408A6">
        <w:rPr>
          <w:lang w:val="en-AU"/>
        </w:rPr>
        <w:t>–</w:t>
      </w:r>
      <w:r w:rsidRPr="003408A6">
        <w:rPr>
          <w:lang w:val="en-AU"/>
        </w:rPr>
        <w:t xml:space="preserve">26 years (overall reduction 38% </w:t>
      </w:r>
      <w:r w:rsidR="000177D9" w:rsidRPr="003408A6">
        <w:rPr>
          <w:lang w:val="en-AU"/>
        </w:rPr>
        <w:t>[</w:t>
      </w:r>
      <w:r w:rsidRPr="003408A6">
        <w:rPr>
          <w:lang w:val="en-AU"/>
        </w:rPr>
        <w:t>95% CI: 28</w:t>
      </w:r>
      <w:r w:rsidR="000177D9" w:rsidRPr="003408A6">
        <w:rPr>
          <w:lang w:val="en-AU"/>
        </w:rPr>
        <w:t>–</w:t>
      </w:r>
      <w:r w:rsidRPr="003408A6">
        <w:rPr>
          <w:lang w:val="en-AU"/>
        </w:rPr>
        <w:t>47%</w:t>
      </w:r>
      <w:r w:rsidR="000177D9" w:rsidRPr="003408A6">
        <w:rPr>
          <w:lang w:val="en-AU"/>
        </w:rPr>
        <w:t>]</w:t>
      </w:r>
      <w:r w:rsidRPr="003408A6">
        <w:rPr>
          <w:lang w:val="en-AU"/>
        </w:rPr>
        <w:t xml:space="preserve">; average annual decline 14% </w:t>
      </w:r>
      <w:r w:rsidR="000177D9" w:rsidRPr="003408A6">
        <w:rPr>
          <w:lang w:val="en-AU"/>
        </w:rPr>
        <w:t>[</w:t>
      </w:r>
      <w:r w:rsidRPr="003408A6">
        <w:rPr>
          <w:lang w:val="en-AU"/>
        </w:rPr>
        <w:t>95% CI:</w:t>
      </w:r>
      <w:r w:rsidR="000177D9" w:rsidRPr="003408A6">
        <w:rPr>
          <w:lang w:val="en-AU"/>
        </w:rPr>
        <w:t xml:space="preserve"> </w:t>
      </w:r>
      <w:r w:rsidRPr="003408A6">
        <w:rPr>
          <w:lang w:val="en-AU"/>
        </w:rPr>
        <w:t>5</w:t>
      </w:r>
      <w:r w:rsidR="000177D9" w:rsidRPr="003408A6">
        <w:rPr>
          <w:lang w:val="en-AU"/>
        </w:rPr>
        <w:t>–</w:t>
      </w:r>
      <w:r w:rsidRPr="003408A6">
        <w:rPr>
          <w:lang w:val="en-AU"/>
        </w:rPr>
        <w:t>22%</w:t>
      </w:r>
      <w:r w:rsidR="000177D9" w:rsidRPr="003408A6">
        <w:rPr>
          <w:lang w:val="en-AU"/>
        </w:rPr>
        <w:t>]</w:t>
      </w:r>
      <w:r w:rsidRPr="003408A6">
        <w:rPr>
          <w:lang w:val="en-AU"/>
        </w:rPr>
        <w:t>) are comparable to those observed in the study by Ali et al</w:t>
      </w:r>
      <w:r w:rsidR="000177D9" w:rsidRPr="003408A6">
        <w:rPr>
          <w:lang w:val="en-AU"/>
        </w:rPr>
        <w:t>.</w:t>
      </w:r>
      <w:r w:rsidRPr="003408A6">
        <w:rPr>
          <w:lang w:val="en-AU"/>
        </w:rPr>
        <w:t xml:space="preserve"> for females aged &lt;21 years (overall reduction 93%; annual decline 50% </w:t>
      </w:r>
      <w:r w:rsidR="000177D9" w:rsidRPr="003408A6">
        <w:rPr>
          <w:lang w:val="en-AU"/>
        </w:rPr>
        <w:t>[</w:t>
      </w:r>
      <w:r w:rsidRPr="003408A6">
        <w:rPr>
          <w:lang w:val="en-AU"/>
        </w:rPr>
        <w:t>95% CI: 45</w:t>
      </w:r>
      <w:r w:rsidR="000177D9" w:rsidRPr="003408A6">
        <w:rPr>
          <w:lang w:val="en-AU"/>
        </w:rPr>
        <w:t>–</w:t>
      </w:r>
      <w:r w:rsidRPr="003408A6">
        <w:rPr>
          <w:lang w:val="en-AU"/>
        </w:rPr>
        <w:t>55%</w:t>
      </w:r>
      <w:r w:rsidR="000177D9" w:rsidRPr="003408A6">
        <w:rPr>
          <w:lang w:val="en-AU"/>
        </w:rPr>
        <w:t>]</w:t>
      </w:r>
      <w:r w:rsidRPr="003408A6">
        <w:rPr>
          <w:lang w:val="en-AU"/>
        </w:rPr>
        <w:t>) and heterosexual males aged 21</w:t>
      </w:r>
      <w:r w:rsidR="000177D9" w:rsidRPr="003408A6">
        <w:rPr>
          <w:lang w:val="en-AU"/>
        </w:rPr>
        <w:t>–</w:t>
      </w:r>
      <w:r w:rsidRPr="003408A6">
        <w:rPr>
          <w:lang w:val="en-AU"/>
        </w:rPr>
        <w:t xml:space="preserve">30 years (overall reduction 51%; annual decline 16% </w:t>
      </w:r>
      <w:r w:rsidR="000177D9" w:rsidRPr="003408A6">
        <w:rPr>
          <w:lang w:val="en-AU"/>
        </w:rPr>
        <w:t>[</w:t>
      </w:r>
      <w:r w:rsidRPr="003408A6">
        <w:rPr>
          <w:lang w:val="en-AU"/>
        </w:rPr>
        <w:t>95% CI: 13</w:t>
      </w:r>
      <w:r w:rsidR="000177D9" w:rsidRPr="003408A6">
        <w:rPr>
          <w:lang w:val="en-AU"/>
        </w:rPr>
        <w:t>–</w:t>
      </w:r>
      <w:r w:rsidRPr="003408A6">
        <w:rPr>
          <w:lang w:val="en-AU"/>
        </w:rPr>
        <w:t>19%</w:t>
      </w:r>
      <w:r w:rsidR="000177D9" w:rsidRPr="003408A6">
        <w:rPr>
          <w:lang w:val="en-AU"/>
        </w:rPr>
        <w:t>]</w:t>
      </w:r>
      <w:r w:rsidRPr="003408A6">
        <w:rPr>
          <w:lang w:val="en-AU"/>
        </w:rPr>
        <w:t>)</w:t>
      </w:r>
      <w:r w:rsidR="000177D9" w:rsidRPr="003408A6">
        <w:rPr>
          <w:lang w:val="en-AU"/>
        </w:rPr>
        <w:t>.</w:t>
      </w:r>
      <w:hyperlink w:anchor="_ENREF_124" w:tooltip="Ali, 2013 #1271" w:history="1">
        <w:r w:rsidR="00F27F90" w:rsidRPr="003408A6">
          <w:rPr>
            <w:lang w:val="en-AU"/>
          </w:rPr>
          <w:fldChar w:fldCharType="begin"/>
        </w:r>
        <w:r w:rsidR="00F27F90">
          <w:rPr>
            <w:lang w:val="en-AU"/>
          </w:rPr>
          <w:instrText xml:space="preserve"> ADDIN EN.CITE &lt;EndNote&gt;&lt;Cite&gt;&lt;Author&gt;Ali&lt;/Author&gt;&lt;Year&gt;2013&lt;/Year&gt;&lt;RecNum&gt;1271&lt;/RecNum&gt;&lt;DisplayText&gt;&lt;style face="superscript"&gt;124&lt;/style&gt;&lt;/DisplayText&gt;&lt;record&gt;&lt;rec-number&gt;1271&lt;/rec-number&gt;&lt;foreign-keys&gt;&lt;key app="EN" db-id="dda0wweazfww9besetpx2r5pt0asp9ztvs95"&gt;1271&lt;/key&gt;&lt;/foreign-keys&gt;&lt;ref-type name="Journal Article"&gt;17&lt;/ref-type&gt;&lt;contributors&gt;&lt;authors&gt;&lt;author&gt;Ali, H.&lt;/author&gt;&lt;author&gt;Donovan, B.&lt;/author&gt;&lt;author&gt;Wand, H.&lt;/author&gt;&lt;author&gt;Read, T. R.&lt;/author&gt;&lt;author&gt;Regan, D. G.&lt;/author&gt;&lt;author&gt;Grulich, A. E.&lt;/author&gt;&lt;author&gt;Fairley, C. K.&lt;/author&gt;&lt;author&gt;Guy, R. J.&lt;/author&gt;&lt;/authors&gt;&lt;/contributors&gt;&lt;auth-address&gt;The Kirby Institute, University of New South Wales, Sydney, NSW 2052, Australia.&lt;/auth-address&gt;&lt;titles&gt;&lt;title&gt;Genital warts in young Australians five years into national human papillomavirus vaccination programme: national surveillance data&lt;/title&gt;&lt;secondary-title&gt;BMJ&lt;/secondary-title&gt;&lt;/titles&gt;&lt;periodical&gt;&lt;full-title&gt;BMJ&lt;/full-title&gt;&lt;abbr-1&gt;BMJ&lt;/abbr-1&gt;&lt;abbr-2&gt;BMJ&lt;/abbr-2&gt;&lt;/periodical&gt;&lt;pages&gt;f2032&lt;/pages&gt;&lt;volume&gt;346&lt;/volume&gt;&lt;edition&gt;2013/04/20&lt;/edition&gt;&lt;dates&gt;&lt;year&gt;2013&lt;/year&gt;&lt;/dates&gt;&lt;isbn&gt;1756-1833 (Electronic)&amp;#xD;0959-535X (Linking)&lt;/isbn&gt;&lt;accession-num&gt;23599298&lt;/accession-num&gt;&lt;urls&gt;&lt;related-urls&gt;&lt;url&gt;http://www.ncbi.nlm.nih.gov/pubmed/23599298&lt;/url&gt;&lt;/related-urls&gt;&lt;/urls&gt;&lt;electronic-resource-num&gt;10.1136/bmj.f2032&lt;/electronic-resource-num&gt;&lt;language&gt;eng&lt;/language&gt;&lt;/record&gt;&lt;/Cite&gt;&lt;/EndNote&gt;</w:instrText>
        </w:r>
        <w:r w:rsidR="00F27F90" w:rsidRPr="003408A6">
          <w:rPr>
            <w:lang w:val="en-AU"/>
          </w:rPr>
          <w:fldChar w:fldCharType="separate"/>
        </w:r>
        <w:r w:rsidR="00F27F90" w:rsidRPr="00F27F90">
          <w:rPr>
            <w:noProof/>
            <w:vertAlign w:val="superscript"/>
            <w:lang w:val="en-AU"/>
          </w:rPr>
          <w:t>124</w:t>
        </w:r>
        <w:r w:rsidR="00F27F90" w:rsidRPr="003408A6">
          <w:rPr>
            <w:lang w:val="en-AU"/>
          </w:rPr>
          <w:fldChar w:fldCharType="end"/>
        </w:r>
      </w:hyperlink>
      <w:r w:rsidRPr="003408A6">
        <w:rPr>
          <w:lang w:val="en-AU"/>
        </w:rPr>
        <w:t xml:space="preserve"> Our results for females and males aged 18</w:t>
      </w:r>
      <w:r w:rsidR="000177D9" w:rsidRPr="003408A6">
        <w:rPr>
          <w:lang w:val="en-AU"/>
        </w:rPr>
        <w:t>–</w:t>
      </w:r>
      <w:r w:rsidRPr="003408A6">
        <w:rPr>
          <w:lang w:val="en-AU"/>
        </w:rPr>
        <w:t>26 years are also broadly consistent with those for females and males aged 15</w:t>
      </w:r>
      <w:r w:rsidR="000177D9" w:rsidRPr="003408A6">
        <w:rPr>
          <w:lang w:val="en-AU"/>
        </w:rPr>
        <w:t>–</w:t>
      </w:r>
      <w:r w:rsidRPr="003408A6">
        <w:rPr>
          <w:lang w:val="en-AU"/>
        </w:rPr>
        <w:t>24 years from a previous analysis of Medicare data relating to in-patient treatments in private hospitals for vulval or vaginal warts in females and penile and anal warts in males</w:t>
      </w:r>
      <w:r w:rsidR="000177D9" w:rsidRPr="003408A6">
        <w:rPr>
          <w:lang w:val="en-AU"/>
        </w:rPr>
        <w:t>.</w:t>
      </w:r>
      <w:hyperlink w:anchor="_ENREF_125" w:tooltip="Ali, 2013 #1272" w:history="1">
        <w:r w:rsidR="00F27F90" w:rsidRPr="003408A6">
          <w:rPr>
            <w:lang w:val="en-AU"/>
          </w:rPr>
          <w:fldChar w:fldCharType="begin"/>
        </w:r>
        <w:r w:rsidR="00F27F90">
          <w:rPr>
            <w:lang w:val="en-AU"/>
          </w:rPr>
          <w:instrText xml:space="preserve"> ADDIN EN.CITE &lt;EndNote&gt;&lt;Cite&gt;&lt;Author&gt;Ali&lt;/Author&gt;&lt;Year&gt;2013&lt;/Year&gt;&lt;RecNum&gt;1272&lt;/RecNum&gt;&lt;DisplayText&gt;&lt;style face="superscript"&gt;125&lt;/style&gt;&lt;/DisplayText&gt;&lt;record&gt;&lt;rec-number&gt;1272&lt;/rec-number&gt;&lt;foreign-keys&gt;&lt;key app="EN" db-id="dda0wweazfww9besetpx2r5pt0asp9ztvs95"&gt;1272&lt;/key&gt;&lt;/foreign-keys&gt;&lt;ref-type name="Journal Article"&gt;17&lt;/ref-type&gt;&lt;contributors&gt;&lt;authors&gt;&lt;author&gt;Ali, H.&lt;/author&gt;&lt;author&gt;Guy, R. J.&lt;/author&gt;&lt;author&gt;Wand, H.&lt;/author&gt;&lt;author&gt;Read, T. R.&lt;/author&gt;&lt;author&gt;Regan, D. G.&lt;/author&gt;&lt;author&gt;Grulich, A. E.&lt;/author&gt;&lt;author&gt;Fairley, C. K.&lt;/author&gt;&lt;author&gt;Donovan, B.&lt;/author&gt;&lt;/authors&gt;&lt;/contributors&gt;&lt;auth-address&gt;The Kirby Institute, The University of New South Wales, Sydney, NSW, Australia. hali@kirby.unsw.edu.au.&lt;/auth-address&gt;&lt;titles&gt;&lt;title&gt;Decline in in-patient treatments of genital warts among young Australians following the national HPV vaccination program&lt;/title&gt;&lt;secondary-title&gt;BMC Infect Dis&lt;/secondary-title&gt;&lt;alt-title&gt;BMC infectious diseases&lt;/alt-title&gt;&lt;/titles&gt;&lt;periodical&gt;&lt;full-title&gt;BMC Infectious Diseases&lt;/full-title&gt;&lt;abbr-1&gt;BMC Infect. Dis.&lt;/abbr-1&gt;&lt;abbr-2&gt;BMC Infect Dis&lt;/abbr-2&gt;&lt;/periodical&gt;&lt;alt-periodical&gt;&lt;full-title&gt;BMC Infectious Diseases&lt;/full-title&gt;&lt;abbr-1&gt;BMC Infect. Dis.&lt;/abbr-1&gt;&lt;abbr-2&gt;BMC Infect Dis&lt;/abbr-2&gt;&lt;/alt-periodical&gt;&lt;pages&gt;140&lt;/pages&gt;&lt;volume&gt;13&lt;/volume&gt;&lt;edition&gt;2013/03/20&lt;/edition&gt;&lt;dates&gt;&lt;year&gt;2013&lt;/year&gt;&lt;/dates&gt;&lt;isbn&gt;1471-2334 (Electronic)&amp;#xD;1471-2334 (Linking)&lt;/isbn&gt;&lt;accession-num&gt;23506489&lt;/accession-num&gt;&lt;urls&gt;&lt;related-urls&gt;&lt;url&gt;http://www.ncbi.nlm.nih.gov/pubmed/23506489&lt;/url&gt;&lt;/related-urls&gt;&lt;/urls&gt;&lt;custom2&gt;3606327&lt;/custom2&gt;&lt;electronic-resource-num&gt;10.1186/1471-2334-13-140&lt;/electronic-resource-num&gt;&lt;language&gt;eng&lt;/language&gt;&lt;/record&gt;&lt;/Cite&gt;&lt;/EndNote&gt;</w:instrText>
        </w:r>
        <w:r w:rsidR="00F27F90" w:rsidRPr="003408A6">
          <w:rPr>
            <w:lang w:val="en-AU"/>
          </w:rPr>
          <w:fldChar w:fldCharType="separate"/>
        </w:r>
        <w:r w:rsidR="00F27F90" w:rsidRPr="00F27F90">
          <w:rPr>
            <w:noProof/>
            <w:vertAlign w:val="superscript"/>
            <w:lang w:val="en-AU"/>
          </w:rPr>
          <w:t>125</w:t>
        </w:r>
        <w:r w:rsidR="00F27F90" w:rsidRPr="003408A6">
          <w:rPr>
            <w:lang w:val="en-AU"/>
          </w:rPr>
          <w:fldChar w:fldCharType="end"/>
        </w:r>
      </w:hyperlink>
    </w:p>
    <w:p w:rsidR="00621A71" w:rsidRDefault="00FD5559" w:rsidP="002413C8">
      <w:pPr>
        <w:pStyle w:val="BodyText"/>
        <w:rPr>
          <w:lang w:val="en-AU"/>
        </w:rPr>
      </w:pPr>
      <w:r w:rsidRPr="003408A6">
        <w:rPr>
          <w:lang w:val="en-AU"/>
        </w:rPr>
        <w:t xml:space="preserve">Our findings are also comparable with the reduction in vaccine-included HPV type prevalence observed in a repeat cross-sectional survey of </w:t>
      </w:r>
      <w:r w:rsidR="004E397F" w:rsidRPr="003408A6">
        <w:rPr>
          <w:lang w:val="en-AU"/>
        </w:rPr>
        <w:t xml:space="preserve">females </w:t>
      </w:r>
      <w:r w:rsidRPr="003408A6">
        <w:rPr>
          <w:lang w:val="en-AU"/>
        </w:rPr>
        <w:t>aged 18</w:t>
      </w:r>
      <w:r w:rsidR="00FA509F" w:rsidRPr="003408A6">
        <w:rPr>
          <w:lang w:val="en-AU"/>
        </w:rPr>
        <w:t>–</w:t>
      </w:r>
      <w:r w:rsidRPr="003408A6">
        <w:rPr>
          <w:lang w:val="en-AU"/>
        </w:rPr>
        <w:t>24 years</w:t>
      </w:r>
      <w:r w:rsidR="00FA509F" w:rsidRPr="003408A6">
        <w:rPr>
          <w:lang w:val="en-AU"/>
        </w:rPr>
        <w:t>.</w:t>
      </w:r>
      <w:hyperlink w:anchor="_ENREF_126" w:tooltip="Tabrizi, 2012 #1295" w:history="1">
        <w:r w:rsidR="00F27F90" w:rsidRPr="003408A6">
          <w:rPr>
            <w:lang w:val="en-AU"/>
          </w:rPr>
          <w:fldChar w:fldCharType="begin">
            <w:fldData xml:space="preserve">PEVuZE5vdGU+PENpdGU+PEF1dGhvcj5UYWJyaXppPC9BdXRob3I+PFllYXI+MjAxMjwvWWVhcj48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=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PEVuZE5vdGU+PENpdGU+PEF1dGhvcj5UYWJyaXppPC9BdXRob3I+PFllYXI+MjAxMjwvWWVhcj48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=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126</w:t>
        </w:r>
        <w:r w:rsidR="00F27F90" w:rsidRPr="003408A6">
          <w:rPr>
            <w:lang w:val="en-AU"/>
          </w:rPr>
          <w:fldChar w:fldCharType="end"/>
        </w:r>
      </w:hyperlink>
      <w:r w:rsidRPr="003408A6">
        <w:rPr>
          <w:lang w:val="en-AU"/>
        </w:rPr>
        <w:t xml:space="preserve"> Tabrizi et al</w:t>
      </w:r>
      <w:r w:rsidR="00FA509F" w:rsidRPr="003408A6">
        <w:rPr>
          <w:lang w:val="en-AU"/>
        </w:rPr>
        <w:t>.</w:t>
      </w:r>
      <w:hyperlink w:anchor="_ENREF_126" w:tooltip="Tabrizi, 2012 #1295" w:history="1">
        <w:r w:rsidR="00F27F90" w:rsidRPr="003408A6">
          <w:rPr>
            <w:lang w:val="en-AU"/>
          </w:rPr>
          <w:fldChar w:fldCharType="begin">
            <w:fldData xml:space="preserve">PEVuZE5vdGU+PENpdGU+PEF1dGhvcj5UYWJyaXppPC9BdXRob3I+PFllYXI+MjAxMjwvWWVhcj48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=
</w:fldData>
          </w:fldChar>
        </w:r>
        <w:r w:rsidR="00F27F90">
          <w:rPr>
            <w:lang w:val="en-AU"/>
          </w:rPr>
          <w:instrText xml:space="preserve"> ADDIN EN.CITE </w:instrText>
        </w:r>
        <w:r w:rsidR="00F27F90">
          <w:rPr>
            <w:lang w:val="en-AU"/>
          </w:rPr>
          <w:fldChar w:fldCharType="begin">
            <w:fldData xml:space="preserve">PEVuZE5vdGU+PENpdGU+PEF1dGhvcj5UYWJyaXppPC9BdXRob3I+PFllYXI+MjAxMjwvWWVhcj48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=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126</w:t>
        </w:r>
        <w:r w:rsidR="00F27F90" w:rsidRPr="003408A6">
          <w:rPr>
            <w:lang w:val="en-AU"/>
          </w:rPr>
          <w:fldChar w:fldCharType="end"/>
        </w:r>
      </w:hyperlink>
      <w:r w:rsidRPr="003408A6">
        <w:rPr>
          <w:lang w:val="en-AU"/>
        </w:rPr>
        <w:t xml:space="preserve"> reported a 79% reduction in vaccine-included HPV type prevalence (HPV 6,11,16,18) in 18</w:t>
      </w:r>
      <w:r w:rsidR="00FA509F" w:rsidRPr="003408A6">
        <w:rPr>
          <w:lang w:val="en-AU"/>
        </w:rPr>
        <w:t>–</w:t>
      </w:r>
      <w:r w:rsidRPr="003408A6">
        <w:rPr>
          <w:lang w:val="en-AU"/>
        </w:rPr>
        <w:t>24</w:t>
      </w:r>
      <w:r w:rsidR="00FA509F" w:rsidRPr="003408A6">
        <w:rPr>
          <w:lang w:val="en-AU"/>
        </w:rPr>
        <w:t>-</w:t>
      </w:r>
      <w:r w:rsidRPr="003408A6">
        <w:rPr>
          <w:lang w:val="en-AU"/>
        </w:rPr>
        <w:t>year</w:t>
      </w:r>
      <w:r w:rsidR="00FA509F" w:rsidRPr="003408A6">
        <w:rPr>
          <w:lang w:val="en-AU"/>
        </w:rPr>
        <w:t>-</w:t>
      </w:r>
      <w:r w:rsidRPr="003408A6">
        <w:rPr>
          <w:lang w:val="en-AU"/>
        </w:rPr>
        <w:t>old females in 2010</w:t>
      </w:r>
      <w:r w:rsidR="00FA509F" w:rsidRPr="003408A6">
        <w:rPr>
          <w:lang w:val="en-AU"/>
        </w:rPr>
        <w:t>–</w:t>
      </w:r>
      <w:r w:rsidRPr="003408A6">
        <w:rPr>
          <w:lang w:val="en-AU"/>
        </w:rPr>
        <w:t>2011 compared to the prevalence in 2005</w:t>
      </w:r>
      <w:r w:rsidR="00FA509F" w:rsidRPr="003408A6">
        <w:rPr>
          <w:lang w:val="en-AU"/>
        </w:rPr>
        <w:t>–</w:t>
      </w:r>
      <w:r w:rsidRPr="003408A6">
        <w:rPr>
          <w:lang w:val="en-AU"/>
        </w:rPr>
        <w:t xml:space="preserve">2007 (adjusted </w:t>
      </w:r>
      <w:r w:rsidR="00FA509F" w:rsidRPr="003408A6">
        <w:rPr>
          <w:lang w:val="en-AU"/>
        </w:rPr>
        <w:t xml:space="preserve">odds ratio </w:t>
      </w:r>
      <w:r w:rsidRPr="003408A6">
        <w:rPr>
          <w:lang w:val="en-AU"/>
        </w:rPr>
        <w:t>0.16; 95% CI: 0.09</w:t>
      </w:r>
      <w:r w:rsidR="00FA509F" w:rsidRPr="003408A6">
        <w:rPr>
          <w:lang w:val="en-AU"/>
        </w:rPr>
        <w:t>–</w:t>
      </w:r>
      <w:r w:rsidRPr="003408A6">
        <w:rPr>
          <w:lang w:val="en-AU"/>
        </w:rPr>
        <w:t>0.26). Our findings that admission rates for females</w:t>
      </w:r>
      <w:r w:rsidR="00FA509F" w:rsidRPr="003408A6">
        <w:rPr>
          <w:lang w:val="en-AU"/>
        </w:rPr>
        <w:t xml:space="preserve"> aged</w:t>
      </w:r>
      <w:r w:rsidRPr="003408A6">
        <w:rPr>
          <w:lang w:val="en-AU"/>
        </w:rPr>
        <w:t xml:space="preserve"> 18</w:t>
      </w:r>
      <w:r w:rsidR="00FA509F" w:rsidRPr="003408A6">
        <w:rPr>
          <w:lang w:val="en-AU"/>
        </w:rPr>
        <w:t>–</w:t>
      </w:r>
      <w:r w:rsidRPr="003408A6">
        <w:rPr>
          <w:lang w:val="en-AU"/>
        </w:rPr>
        <w:t>26 years dropped by 73% (95% CI: 67</w:t>
      </w:r>
      <w:r w:rsidR="00FA509F" w:rsidRPr="003408A6">
        <w:rPr>
          <w:lang w:val="en-AU"/>
        </w:rPr>
        <w:t>–</w:t>
      </w:r>
      <w:r w:rsidRPr="003408A6">
        <w:rPr>
          <w:lang w:val="en-AU"/>
        </w:rPr>
        <w:t>77%), and a rate ratio estimated as 0.26 (95% CI: 0.23</w:t>
      </w:r>
      <w:r w:rsidR="00FA509F" w:rsidRPr="003408A6">
        <w:rPr>
          <w:lang w:val="en-AU"/>
        </w:rPr>
        <w:t>–</w:t>
      </w:r>
      <w:r w:rsidRPr="003408A6">
        <w:rPr>
          <w:lang w:val="en-AU"/>
        </w:rPr>
        <w:t>0.29)</w:t>
      </w:r>
      <w:r w:rsidR="00BC51E3" w:rsidRPr="003408A6">
        <w:rPr>
          <w:lang w:val="en-AU"/>
        </w:rPr>
        <w:t>,</w:t>
      </w:r>
      <w:r w:rsidRPr="003408A6">
        <w:rPr>
          <w:lang w:val="en-AU"/>
        </w:rPr>
        <w:t xml:space="preserve"> correspond reasonably closely to these, although they would only be comparable to HPV6 and 11, the types </w:t>
      </w:r>
      <w:r w:rsidR="009F562E" w:rsidRPr="003408A6">
        <w:rPr>
          <w:lang w:val="en-AU"/>
        </w:rPr>
        <w:t xml:space="preserve">associated with genital warts. </w:t>
      </w:r>
    </w:p>
    <w:p w:rsidR="00621A71" w:rsidRDefault="00FD5559" w:rsidP="002413C8">
      <w:pPr>
        <w:pStyle w:val="BodyText"/>
        <w:rPr>
          <w:lang w:val="en-AU"/>
        </w:rPr>
      </w:pPr>
      <w:r w:rsidRPr="003408A6">
        <w:rPr>
          <w:lang w:val="en-AU"/>
        </w:rPr>
        <w:t>To our knowledge, this is the first analysis in Australia which has been able to examine potential impacts of the National HPV Vaccination Program by Indigenous status. We found reductions in admissions related to genital warts in the post-vaccine period for Indigenous females aged 15</w:t>
      </w:r>
      <w:r w:rsidR="00BC51E3" w:rsidRPr="003408A6">
        <w:rPr>
          <w:lang w:val="en-AU"/>
        </w:rPr>
        <w:t>–</w:t>
      </w:r>
      <w:r w:rsidRPr="003408A6">
        <w:rPr>
          <w:lang w:val="en-AU"/>
        </w:rPr>
        <w:t>24 years to be comparable to other Australian females aged 15</w:t>
      </w:r>
      <w:r w:rsidR="00BC51E3" w:rsidRPr="003408A6">
        <w:rPr>
          <w:lang w:val="en-AU"/>
        </w:rPr>
        <w:t>–</w:t>
      </w:r>
      <w:r w:rsidRPr="003408A6">
        <w:rPr>
          <w:lang w:val="en-AU"/>
        </w:rPr>
        <w:t>24 years (87%; 95% CI: 76</w:t>
      </w:r>
      <w:r w:rsidR="00BC51E3" w:rsidRPr="003408A6">
        <w:rPr>
          <w:lang w:val="en-AU"/>
        </w:rPr>
        <w:t>–</w:t>
      </w:r>
      <w:r w:rsidRPr="003408A6">
        <w:rPr>
          <w:lang w:val="en-AU"/>
        </w:rPr>
        <w:t>93% vs 76%; 95% CI: 72</w:t>
      </w:r>
      <w:r w:rsidR="00BC51E3" w:rsidRPr="003408A6">
        <w:rPr>
          <w:lang w:val="en-AU"/>
        </w:rPr>
        <w:t>–</w:t>
      </w:r>
      <w:r w:rsidRPr="003408A6">
        <w:rPr>
          <w:lang w:val="en-AU"/>
        </w:rPr>
        <w:t>80% respectively; P-value heterogeneity 0.08). This evidence of a substantial decline in admissions with a diagnosis of genital warts in the post-vaccine period in Indigenous females is encouraging, because of the higher rate of other HPV-related disease, notably cervical cancer, in Indigenous females which the vaccine may prevent</w:t>
      </w:r>
      <w:r w:rsidR="00621A71" w:rsidRPr="00621A71">
        <w:rPr>
          <w:lang w:val="en-AU"/>
        </w:rPr>
        <w:t xml:space="preserve"> </w:t>
      </w:r>
      <w:r w:rsidR="00621A71" w:rsidRPr="003408A6">
        <w:rPr>
          <w:lang w:val="en-AU"/>
        </w:rPr>
        <w:t>in future</w:t>
      </w:r>
      <w:r w:rsidR="00BC51E3" w:rsidRPr="003408A6">
        <w:rPr>
          <w:lang w:val="en-AU"/>
        </w:rPr>
        <w:t>.</w:t>
      </w:r>
      <w:r w:rsidR="006D1565" w:rsidRPr="003408A6">
        <w:rPr>
          <w:lang w:val="en-AU"/>
        </w:rPr>
        <w:fldChar w:fldCharType="begin"/>
      </w:r>
      <w:r w:rsidR="00F27F90">
        <w:rPr>
          <w:lang w:val="en-AU"/>
        </w:rPr>
        <w:instrText xml:space="preserve"> ADDIN EN.CITE &lt;EndNote&gt;&lt;Cite&gt;&lt;Author&gt;Australian Institute of Health and Welfare&lt;/Author&gt;&lt;Year&gt;2013&lt;/Year&gt;&lt;RecNum&gt;1253&lt;/RecNum&gt;&lt;DisplayText&gt;&lt;style face="superscript"&gt;92,127&lt;/style&gt;&lt;/DisplayText&gt;&lt;record&gt;&lt;rec-number&gt;1253&lt;/rec-number&gt;&lt;foreign-keys&gt;&lt;key app="EN" db-id="dda0wweazfww9besetpx2r5pt0asp9ztvs95"&gt;1253&lt;/key&gt;&lt;/foreign-keys&gt;&lt;ref-type name="Report"&gt;27&lt;/ref-type&gt;&lt;contributors&gt;&lt;authors&gt;&lt;author&gt;Australian Institute of Health and Welfare (AIHW),&lt;/author&gt;&lt;/authors&gt;&lt;/contributors&gt;&lt;titles&gt;&lt;title&gt;Cervical screening in Australia 2010-2011. Cancer series no. 76. Cat. no. CAN 72&lt;/title&gt;&lt;/titles&gt;&lt;dates&gt;&lt;year&gt;2013&lt;/year&gt;&lt;/dates&gt;&lt;pub-location&gt;Canberra&lt;/pub-location&gt;&lt;publisher&gt;AIHW&lt;/publisher&gt;&lt;urls&gt;&lt;/urls&gt;&lt;/record&gt;&lt;/Cite&gt;&lt;Cite&gt;&lt;Author&gt;Australian Institute of Health and Welfare&lt;/Author&gt;&lt;Year&gt;2012&lt;/Year&gt;&lt;RecNum&gt;1280&lt;/RecNum&gt;&lt;record&gt;&lt;rec-number&gt;1280&lt;/rec-number&gt;&lt;foreign-keys&gt;&lt;key app="EN" db-id="dda0wweazfww9besetpx2r5pt0asp9ztvs95"&gt;1280&lt;/key&gt;&lt;/foreign-keys&gt;&lt;ref-type name="Report"&gt;27&lt;/ref-type&gt;&lt;contributors&gt;&lt;authors&gt;&lt;author&gt;Australian Institute of Health and Welfare (AIHW),&lt;/author&gt;&lt;author&gt;Cancer Australia,&lt;/author&gt;&lt;/authors&gt;&lt;/contributors&gt;&lt;titles&gt;&lt;title&gt;Gynaecological cancers in Australia: an overview. Cancer series no. 70. Cat no. CAN 66&lt;/title&gt;&lt;/titles&gt;&lt;keywords&gt;&lt;keyword&gt;Cancer&lt;/keyword&gt;&lt;keyword&gt;Cancer screening&lt;/keyword&gt;&lt;keyword&gt;Government&lt;/keyword&gt;&lt;keyword&gt;Health&lt;/keyword&gt;&lt;keyword&gt;screening&lt;/keyword&gt;&lt;keyword&gt;survival&lt;/keyword&gt;&lt;keyword&gt;prevalence&lt;/keyword&gt;&lt;keyword&gt;Australia&lt;/keyword&gt;&lt;/keywords&gt;&lt;dates&gt;&lt;year&gt;2012&lt;/year&gt;&lt;/dates&gt;&lt;pub-location&gt;Canberra&lt;/pub-location&gt;&lt;publisher&gt;AIHW&lt;/publisher&gt;&lt;urls&gt;&lt;pdf-urls&gt;&lt;url&gt; G:\CERU\General\HPVCC Model\Publications\AIHW2012-GynaecologicalCancersInAustralia.pdf &lt;/url&gt;&lt;/pdf-urls&gt;&lt;/urls&gt;&lt;/record&gt;&lt;/Cite&gt;&lt;/EndNote&gt;</w:instrText>
      </w:r>
      <w:r w:rsidR="006D1565" w:rsidRPr="003408A6">
        <w:rPr>
          <w:lang w:val="en-AU"/>
        </w:rPr>
        <w:fldChar w:fldCharType="separate"/>
      </w:r>
      <w:hyperlink w:anchor="_ENREF_92" w:tooltip="Australian Institute of Health and Welfare (AIHW), 2013 #1253" w:history="1">
        <w:r w:rsidR="00F27F90" w:rsidRPr="00F27F90">
          <w:rPr>
            <w:noProof/>
            <w:vertAlign w:val="superscript"/>
            <w:lang w:val="en-AU"/>
          </w:rPr>
          <w:t>92</w:t>
        </w:r>
      </w:hyperlink>
      <w:r w:rsidR="00F27F90" w:rsidRPr="00F27F90">
        <w:rPr>
          <w:noProof/>
          <w:vertAlign w:val="superscript"/>
          <w:lang w:val="en-AU"/>
        </w:rPr>
        <w:t>,</w:t>
      </w:r>
      <w:hyperlink w:anchor="_ENREF_127" w:tooltip="Australian Institute of Health and Welfare (AIHW), 2012 #1280" w:history="1">
        <w:r w:rsidR="00F27F90" w:rsidRPr="00F27F90">
          <w:rPr>
            <w:noProof/>
            <w:vertAlign w:val="superscript"/>
            <w:lang w:val="en-AU"/>
          </w:rPr>
          <w:t>127</w:t>
        </w:r>
      </w:hyperlink>
      <w:r w:rsidR="006D1565" w:rsidRPr="003408A6">
        <w:rPr>
          <w:lang w:val="en-AU"/>
        </w:rPr>
        <w:fldChar w:fldCharType="end"/>
      </w:r>
      <w:r w:rsidRPr="003408A6">
        <w:rPr>
          <w:lang w:val="en-AU"/>
        </w:rPr>
        <w:t xml:space="preserve"> </w:t>
      </w:r>
    </w:p>
    <w:p w:rsidR="00621A71" w:rsidRDefault="00FD5559" w:rsidP="002413C8">
      <w:pPr>
        <w:pStyle w:val="BodyText"/>
        <w:rPr>
          <w:lang w:val="en-AU"/>
        </w:rPr>
      </w:pPr>
      <w:r w:rsidRPr="003408A6">
        <w:rPr>
          <w:lang w:val="en-AU"/>
        </w:rPr>
        <w:t>To date, there has been limited data on HPV vaccine uptake by Indigenous status, because Indigenous status is not a mandatory field for reporting to the NHVPR and completeness of reporting varies by jurisdiction</w:t>
      </w:r>
      <w:r w:rsidR="00BC51E3" w:rsidRPr="003408A6">
        <w:rPr>
          <w:lang w:val="en-AU"/>
        </w:rPr>
        <w:t>.</w:t>
      </w:r>
      <w:hyperlink w:anchor="_ENREF_41" w:tooltip="Brotherton, 2013 #1297" w:history="1">
        <w:r w:rsidR="00F27F90" w:rsidRPr="003408A6">
          <w:rPr>
            <w:lang w:val="en-AU"/>
          </w:rPr>
          <w:fldChar w:fldCharType="begin"/>
        </w:r>
        <w:r w:rsidR="00F27F90">
          <w:rPr>
            <w:lang w:val="en-AU"/>
          </w:rPr>
          <w:instrText xml:space="preserve"> ADDIN EN.CITE &lt;EndNote&gt;&lt;Cite&gt;&lt;Author&gt;Brotherton&lt;/Author&gt;&lt;Year&gt;2013&lt;/Year&gt;&lt;RecNum&gt;1297&lt;/RecNum&gt;&lt;DisplayText&gt;&lt;style face="superscript"&gt;41&lt;/style&gt;&lt;/DisplayText&gt;&lt;record&gt;&lt;rec-number&gt;1297&lt;/rec-number&gt;&lt;foreign-keys&gt;&lt;key app="EN" db-id="dda0wweazfww9besetpx2r5pt0asp9ztvs95"&gt;1297&lt;/key&gt;&lt;/foreign-keys&gt;&lt;ref-type name="Journal Article"&gt;17&lt;/ref-type&gt;&lt;contributors&gt;&lt;authors&gt;&lt;author&gt;Brotherton, J.M.L. &lt;/author&gt;&lt;author&gt;Murray, S.L.&lt;/author&gt;&lt;author&gt;Hall, M. &lt;/author&gt;&lt;author&gt;Andrewartha, L.K.&lt;/author&gt;&lt;author&gt;Banks, C.A.&lt;/author&gt;&lt;author&gt;Meijer, D.&lt;/author&gt;&lt;author&gt;Pitcher, H. &lt;/author&gt;&lt;author&gt;Scully, M.&lt;/author&gt;&lt;author&gt;Molchanoff,  L.&lt;/author&gt;&lt;/authors&gt;&lt;/contributors&gt;&lt;titles&gt;&lt;title&gt;Human papillomavirus vaccine coverage among female Australian adolescents: success of the school-based approach&lt;/title&gt;&lt;secondary-title&gt;Medical Journal of Australia&lt;/secondary-title&gt;&lt;/titles&gt;&lt;periodical&gt;&lt;full-title&gt;Medical Journal of Australia&lt;/full-title&gt;&lt;abbr-1&gt;Med. J. Aust.&lt;/abbr-1&gt;&lt;abbr-2&gt;Med J Aust&lt;/abbr-2&gt;&lt;/periodical&gt;&lt;pages&gt;614-617&lt;/pages&gt;&lt;volume&gt;199&lt;/volume&gt;&lt;dates&gt;&lt;year&gt;2013&lt;/year&gt;&lt;/dates&gt;&lt;urls&gt;&lt;/urls&gt;&lt;electronic-resource-num&gt;10.5694/mja13.10272&lt;/electronic-resource-num&gt;&lt;/record&gt;&lt;/Cite&gt;&lt;/EndNote&gt;</w:instrText>
        </w:r>
        <w:r w:rsidR="00F27F90" w:rsidRPr="003408A6">
          <w:rPr>
            <w:lang w:val="en-AU"/>
          </w:rPr>
          <w:fldChar w:fldCharType="separate"/>
        </w:r>
        <w:r w:rsidR="00F27F90" w:rsidRPr="003408A6">
          <w:rPr>
            <w:noProof/>
            <w:vertAlign w:val="superscript"/>
            <w:lang w:val="en-AU"/>
          </w:rPr>
          <w:t>41</w:t>
        </w:r>
        <w:r w:rsidR="00F27F90" w:rsidRPr="003408A6">
          <w:rPr>
            <w:lang w:val="en-AU"/>
          </w:rPr>
          <w:fldChar w:fldCharType="end"/>
        </w:r>
      </w:hyperlink>
      <w:r w:rsidRPr="003408A6">
        <w:rPr>
          <w:lang w:val="en-AU"/>
        </w:rPr>
        <w:t xml:space="preserve"> Based on data from Queensland and the Northern Territory, </w:t>
      </w:r>
      <w:r w:rsidR="00006FDF" w:rsidRPr="003408A6">
        <w:rPr>
          <w:lang w:val="en-AU"/>
        </w:rPr>
        <w:t>3</w:t>
      </w:r>
      <w:r w:rsidRPr="003408A6">
        <w:rPr>
          <w:lang w:val="en-AU"/>
        </w:rPr>
        <w:t>-dose uptake in females aged 12</w:t>
      </w:r>
      <w:r w:rsidR="00BC51E3" w:rsidRPr="003408A6">
        <w:rPr>
          <w:lang w:val="en-AU"/>
        </w:rPr>
        <w:t>–</w:t>
      </w:r>
      <w:r w:rsidRPr="003408A6">
        <w:rPr>
          <w:lang w:val="en-AU"/>
        </w:rPr>
        <w:t xml:space="preserve">17 years in 2007 was lower for Indigenous females than for females overall in each of these </w:t>
      </w:r>
      <w:r w:rsidR="001320B0" w:rsidRPr="003408A6">
        <w:rPr>
          <w:lang w:val="en-AU"/>
        </w:rPr>
        <w:t>jurisdictions</w:t>
      </w:r>
      <w:r w:rsidR="00BC51E3" w:rsidRPr="003408A6">
        <w:rPr>
          <w:lang w:val="en-AU"/>
        </w:rPr>
        <w:t>.</w:t>
      </w:r>
      <w:hyperlink w:anchor="_ENREF_41" w:tooltip="Brotherton, 2013 #1297" w:history="1">
        <w:r w:rsidR="00F27F90" w:rsidRPr="003408A6">
          <w:rPr>
            <w:lang w:val="en-AU"/>
          </w:rPr>
          <w:fldChar w:fldCharType="begin"/>
        </w:r>
        <w:r w:rsidR="00F27F90">
          <w:rPr>
            <w:lang w:val="en-AU"/>
          </w:rPr>
          <w:instrText xml:space="preserve"> ADDIN EN.CITE &lt;EndNote&gt;&lt;Cite&gt;&lt;Author&gt;Brotherton&lt;/Author&gt;&lt;Year&gt;2013&lt;/Year&gt;&lt;RecNum&gt;1297&lt;/RecNum&gt;&lt;DisplayText&gt;&lt;style face="superscript"&gt;41&lt;/style&gt;&lt;/DisplayText&gt;&lt;record&gt;&lt;rec-number&gt;1297&lt;/rec-number&gt;&lt;foreign-keys&gt;&lt;key app="EN" db-id="dda0wweazfww9besetpx2r5pt0asp9ztvs95"&gt;1297&lt;/key&gt;&lt;/foreign-keys&gt;&lt;ref-type name="Journal Article"&gt;17&lt;/ref-type&gt;&lt;contributors&gt;&lt;authors&gt;&lt;author&gt;Brotherton, J.M.L. &lt;/author&gt;&lt;author&gt;Murray, S.L.&lt;/author&gt;&lt;author&gt;Hall, M. &lt;/author&gt;&lt;author&gt;Andrewartha, L.K.&lt;/author&gt;&lt;author&gt;Banks, C.A.&lt;/author&gt;&lt;author&gt;Meijer, D.&lt;/author&gt;&lt;author&gt;Pitcher, H. &lt;/author&gt;&lt;author&gt;Scully, M.&lt;/author&gt;&lt;author&gt;Molchanoff,  L.&lt;/author&gt;&lt;/authors&gt;&lt;/contributors&gt;&lt;titles&gt;&lt;title&gt;Human papillomavirus vaccine coverage among female Australian adolescents: success of the school-based approach&lt;/title&gt;&lt;secondary-title&gt;Medical Journal of Australia&lt;/secondary-title&gt;&lt;/titles&gt;&lt;periodical&gt;&lt;full-title&gt;Medical Journal of Australia&lt;/full-title&gt;&lt;abbr-1&gt;Med. J. Aust.&lt;/abbr-1&gt;&lt;abbr-2&gt;Med J Aust&lt;/abbr-2&gt;&lt;/periodical&gt;&lt;pages&gt;614-617&lt;/pages&gt;&lt;volume&gt;199&lt;/volume&gt;&lt;dates&gt;&lt;year&gt;2013&lt;/year&gt;&lt;/dates&gt;&lt;urls&gt;&lt;/urls&gt;&lt;electronic-resource-num&gt;10.5694/mja13.10272&lt;/electronic-resource-num&gt;&lt;/record&gt;&lt;/Cite&gt;&lt;/EndNote&gt;</w:instrText>
        </w:r>
        <w:r w:rsidR="00F27F90" w:rsidRPr="003408A6">
          <w:rPr>
            <w:lang w:val="en-AU"/>
          </w:rPr>
          <w:fldChar w:fldCharType="separate"/>
        </w:r>
        <w:r w:rsidR="00F27F90" w:rsidRPr="003408A6">
          <w:rPr>
            <w:noProof/>
            <w:vertAlign w:val="superscript"/>
            <w:lang w:val="en-AU"/>
          </w:rPr>
          <w:t>41</w:t>
        </w:r>
        <w:r w:rsidR="00F27F90" w:rsidRPr="003408A6">
          <w:rPr>
            <w:lang w:val="en-AU"/>
          </w:rPr>
          <w:fldChar w:fldCharType="end"/>
        </w:r>
      </w:hyperlink>
      <w:r w:rsidRPr="003408A6">
        <w:rPr>
          <w:lang w:val="en-AU"/>
        </w:rPr>
        <w:t xml:space="preserve"> In Queensland, this appeared to be predominantly due to lower rates of course completion in Indigenous females</w:t>
      </w:r>
      <w:r w:rsidR="00621A71">
        <w:rPr>
          <w:lang w:val="en-AU"/>
        </w:rPr>
        <w:t>,</w:t>
      </w:r>
      <w:r w:rsidRPr="003408A6">
        <w:rPr>
          <w:lang w:val="en-AU"/>
        </w:rPr>
        <w:t xml:space="preserve"> whereas in the Northern Territory course completion was the same, </w:t>
      </w:r>
      <w:r w:rsidR="00BC51E3" w:rsidRPr="003408A6">
        <w:rPr>
          <w:lang w:val="en-AU"/>
        </w:rPr>
        <w:t xml:space="preserve">but </w:t>
      </w:r>
      <w:r w:rsidRPr="003408A6">
        <w:rPr>
          <w:lang w:val="en-AU"/>
        </w:rPr>
        <w:t>Indigenous females were less likely to start the vaccine course</w:t>
      </w:r>
      <w:r w:rsidR="00BC51E3" w:rsidRPr="003408A6">
        <w:rPr>
          <w:lang w:val="en-AU"/>
        </w:rPr>
        <w:t>.</w:t>
      </w:r>
      <w:hyperlink w:anchor="_ENREF_41" w:tooltip="Brotherton, 2013 #1297" w:history="1">
        <w:r w:rsidR="00F27F90" w:rsidRPr="003408A6">
          <w:rPr>
            <w:lang w:val="en-AU"/>
          </w:rPr>
          <w:fldChar w:fldCharType="begin"/>
        </w:r>
        <w:r w:rsidR="00F27F90">
          <w:rPr>
            <w:lang w:val="en-AU"/>
          </w:rPr>
          <w:instrText xml:space="preserve"> ADDIN EN.CITE &lt;EndNote&gt;&lt;Cite&gt;&lt;Author&gt;Brotherton&lt;/Author&gt;&lt;Year&gt;2013&lt;/Year&gt;&lt;RecNum&gt;1297&lt;/RecNum&gt;&lt;DisplayText&gt;&lt;style face="superscript"&gt;41&lt;/style&gt;&lt;/DisplayText&gt;&lt;record&gt;&lt;rec-number&gt;1297&lt;/rec-number&gt;&lt;foreign-keys&gt;&lt;key app="EN" db-id="dda0wweazfww9besetpx2r5pt0asp9ztvs95"&gt;1297&lt;/key&gt;&lt;/foreign-keys&gt;&lt;ref-type name="Journal Article"&gt;17&lt;/ref-type&gt;&lt;contributors&gt;&lt;authors&gt;&lt;author&gt;Brotherton, J.M.L. &lt;/author&gt;&lt;author&gt;Murray, S.L.&lt;/author&gt;&lt;author&gt;Hall, M. &lt;/author&gt;&lt;author&gt;Andrewartha, L.K.&lt;/author&gt;&lt;author&gt;Banks, C.A.&lt;/author&gt;&lt;author&gt;Meijer, D.&lt;/author&gt;&lt;author&gt;Pitcher, H. &lt;/author&gt;&lt;author&gt;Scully, M.&lt;/author&gt;&lt;author&gt;Molchanoff,  L.&lt;/author&gt;&lt;/authors&gt;&lt;/contributors&gt;&lt;titles&gt;&lt;title&gt;Human papillomavirus vaccine coverage among female Australian adolescents: success of the school-based approach&lt;/title&gt;&lt;secondary-title&gt;Medical Journal of Australia&lt;/secondary-title&gt;&lt;/titles&gt;&lt;periodical&gt;&lt;full-title&gt;Medical Journal of Australia&lt;/full-title&gt;&lt;abbr-1&gt;Med. J. Aust.&lt;/abbr-1&gt;&lt;abbr-2&gt;Med J Aust&lt;/abbr-2&gt;&lt;/periodical&gt;&lt;pages&gt;614-617&lt;/pages&gt;&lt;volume&gt;199&lt;/volume&gt;&lt;dates&gt;&lt;year&gt;2013&lt;/year&gt;&lt;/dates&gt;&lt;urls&gt;&lt;/urls&gt;&lt;electronic-resource-num&gt;10.5694/mja13.10272&lt;/electronic-resource-num&gt;&lt;/record&gt;&lt;/Cite&gt;&lt;/EndNote&gt;</w:instrText>
        </w:r>
        <w:r w:rsidR="00F27F90" w:rsidRPr="003408A6">
          <w:rPr>
            <w:lang w:val="en-AU"/>
          </w:rPr>
          <w:fldChar w:fldCharType="separate"/>
        </w:r>
        <w:r w:rsidR="00F27F90" w:rsidRPr="003408A6">
          <w:rPr>
            <w:noProof/>
            <w:vertAlign w:val="superscript"/>
            <w:lang w:val="en-AU"/>
          </w:rPr>
          <w:t>41</w:t>
        </w:r>
        <w:r w:rsidR="00F27F90" w:rsidRPr="003408A6">
          <w:rPr>
            <w:lang w:val="en-AU"/>
          </w:rPr>
          <w:fldChar w:fldCharType="end"/>
        </w:r>
      </w:hyperlink>
      <w:r w:rsidRPr="003408A6">
        <w:rPr>
          <w:lang w:val="en-AU"/>
        </w:rPr>
        <w:t xml:space="preserve"> These two </w:t>
      </w:r>
      <w:r w:rsidR="001320B0" w:rsidRPr="003408A6">
        <w:rPr>
          <w:lang w:val="en-AU"/>
        </w:rPr>
        <w:t>jurisdiction</w:t>
      </w:r>
      <w:r w:rsidRPr="003408A6">
        <w:rPr>
          <w:lang w:val="en-AU"/>
        </w:rPr>
        <w:t>s represent approximately 40% of the female Indigenous population aged 10</w:t>
      </w:r>
      <w:r w:rsidR="00BC51E3" w:rsidRPr="003408A6">
        <w:rPr>
          <w:lang w:val="en-AU"/>
        </w:rPr>
        <w:t>–</w:t>
      </w:r>
      <w:r w:rsidRPr="003408A6">
        <w:rPr>
          <w:lang w:val="en-AU"/>
        </w:rPr>
        <w:t>14 years, with most of the remainder residing in New South Wales (approximately 30%) and Western Australia (approximately 13%)</w:t>
      </w:r>
      <w:r w:rsidR="00BC51E3" w:rsidRPr="003408A6">
        <w:rPr>
          <w:lang w:val="en-AU"/>
        </w:rPr>
        <w:t>.</w:t>
      </w:r>
      <w:hyperlink w:anchor="_ENREF_121" w:tooltip="Australian Bureau of Statistics (ABS), 2009 #1273" w:history="1">
        <w:r w:rsidR="00F27F90" w:rsidRPr="003408A6">
          <w:rPr>
            <w:lang w:val="en-AU"/>
          </w:rPr>
          <w:fldChar w:fldCharType="begin"/>
        </w:r>
        <w:r w:rsidR="00F27F90">
          <w:rPr>
            <w:lang w:val="en-AU"/>
          </w:rPr>
          <w:instrText xml:space="preserve"> ADDIN EN.CITE &lt;EndNote&gt;&lt;Cite&gt;&lt;Author&gt;Australian Bureau of Statistics&lt;/Author&gt;&lt;Year&gt;2009&lt;/Year&gt;&lt;RecNum&gt;1273&lt;/RecNum&gt;&lt;DisplayText&gt;&lt;style face="superscript"&gt;121&lt;/style&gt;&lt;/DisplayText&gt;&lt;record&gt;&lt;rec-number&gt;1273&lt;/rec-number&gt;&lt;foreign-keys&gt;&lt;key app="EN" db-id="dda0wweazfww9besetpx2r5pt0asp9ztvs95"&gt;1273&lt;/key&gt;&lt;/foreign-keys&gt;&lt;ref-type name="Report"&gt;27&lt;/ref-type&gt;&lt;contributors&gt;&lt;authors&gt;&lt;author&gt;Australian Bureau of Statistics (ABS),&lt;/author&gt;&lt;/authors&gt;&lt;/contributors&gt;&lt;titles&gt;&lt;title&gt;3238.0 Experimental estimates and projections, Aboriginal and Torres Strait Islander Australians, 1991 to 2021&lt;/title&gt;&lt;/titles&gt;&lt;number&gt;9 October 2013&lt;/number&gt;&lt;dates&gt;&lt;year&gt;2009&lt;/year&gt;&lt;/dates&gt;&lt;pub-location&gt;Canberra&lt;/pub-location&gt;&lt;publisher&gt;ABS&lt;/publisher&gt;&lt;urls&gt;&lt;related-urls&gt;&lt;url&gt;http://www.abs.gov.au/AUSSTATS/abs@.nsf/DetailsPage/3238.01991%20to%202021?OpenDocument&lt;/url&gt;&lt;/related-urls&gt;&lt;/urls&gt;&lt;access-date&gt;9 October 2013&lt;/access-date&gt;&lt;/record&gt;&lt;/Cite&gt;&lt;/EndNote&gt;</w:instrText>
        </w:r>
        <w:r w:rsidR="00F27F90" w:rsidRPr="003408A6">
          <w:rPr>
            <w:lang w:val="en-AU"/>
          </w:rPr>
          <w:fldChar w:fldCharType="separate"/>
        </w:r>
        <w:r w:rsidR="00F27F90" w:rsidRPr="00F27F90">
          <w:rPr>
            <w:noProof/>
            <w:vertAlign w:val="superscript"/>
            <w:lang w:val="en-AU"/>
          </w:rPr>
          <w:t>121</w:t>
        </w:r>
        <w:r w:rsidR="00F27F90" w:rsidRPr="003408A6">
          <w:rPr>
            <w:lang w:val="en-AU"/>
          </w:rPr>
          <w:fldChar w:fldCharType="end"/>
        </w:r>
      </w:hyperlink>
      <w:r w:rsidRPr="003408A6">
        <w:rPr>
          <w:lang w:val="en-AU"/>
        </w:rPr>
        <w:t xml:space="preserve"> It is possible that uptake in Indigenous females in other </w:t>
      </w:r>
      <w:r w:rsidR="001320B0" w:rsidRPr="003408A6">
        <w:rPr>
          <w:lang w:val="en-AU"/>
        </w:rPr>
        <w:t>jurisdiction</w:t>
      </w:r>
      <w:r w:rsidRPr="003408A6">
        <w:rPr>
          <w:lang w:val="en-AU"/>
        </w:rPr>
        <w:t xml:space="preserve">s may be higher than reported in Queensland and the Northern Territory. </w:t>
      </w:r>
    </w:p>
    <w:p w:rsidR="00FD5559" w:rsidRPr="003408A6" w:rsidRDefault="00621A71" w:rsidP="002413C8">
      <w:pPr>
        <w:pStyle w:val="BodyText"/>
        <w:rPr>
          <w:lang w:val="en-AU"/>
        </w:rPr>
      </w:pPr>
      <w:r>
        <w:rPr>
          <w:lang w:val="en-AU"/>
        </w:rPr>
        <w:t>T</w:t>
      </w:r>
      <w:r w:rsidR="00FD5559" w:rsidRPr="003408A6">
        <w:rPr>
          <w:lang w:val="en-AU"/>
        </w:rPr>
        <w:t xml:space="preserve">here are some caveats around the findings in this study by Indigenous status. These include the possible contribution of changes in ascertainment of Indigenous status for Indigenous patients to changes in admission rates for Indigenous people – although this would likely work in the opposite direction to the declines observed here. Also, the findings of this analysis may not be representative of the jurisdictions (Tasmania and the Australian Capital Territory) which were excluded from the analysis by Indigenous status. </w:t>
      </w:r>
    </w:p>
    <w:p w:rsidR="00FD5559" w:rsidRPr="003408A6" w:rsidRDefault="00FD5559" w:rsidP="002413C8">
      <w:pPr>
        <w:pStyle w:val="BodyText"/>
        <w:rPr>
          <w:lang w:val="en-AU"/>
        </w:rPr>
      </w:pPr>
      <w:r w:rsidRPr="003408A6">
        <w:rPr>
          <w:lang w:val="en-AU"/>
        </w:rPr>
        <w:t>A strength of this study is that it uses national, routinely collected data, which include admissions from virtually all public and private hospitals in Australia over the period examined. To our knowledge, this represents the largest dataset analysed for post-</w:t>
      </w:r>
      <w:r w:rsidR="00621A71" w:rsidRPr="003408A6">
        <w:rPr>
          <w:lang w:val="en-AU"/>
        </w:rPr>
        <w:t>vaccin</w:t>
      </w:r>
      <w:r w:rsidR="00621A71">
        <w:rPr>
          <w:lang w:val="en-AU"/>
        </w:rPr>
        <w:t>e</w:t>
      </w:r>
      <w:r w:rsidR="00621A71" w:rsidRPr="003408A6">
        <w:rPr>
          <w:lang w:val="en-AU"/>
        </w:rPr>
        <w:t xml:space="preserve"> </w:t>
      </w:r>
      <w:r w:rsidRPr="003408A6">
        <w:rPr>
          <w:lang w:val="en-AU"/>
        </w:rPr>
        <w:t xml:space="preserve">trends in genital warts in Australia, and is likely the largest data collection for genital warts available at the current time in Australia. </w:t>
      </w:r>
    </w:p>
    <w:p w:rsidR="00FD5559" w:rsidRPr="003408A6" w:rsidRDefault="00FD5559" w:rsidP="002413C8">
      <w:pPr>
        <w:pStyle w:val="BodyText"/>
        <w:rPr>
          <w:lang w:val="en-AU"/>
        </w:rPr>
      </w:pPr>
      <w:r w:rsidRPr="003408A6">
        <w:rPr>
          <w:lang w:val="en-AU"/>
        </w:rPr>
        <w:t>One of the limitations of this study is that hospital admissions data only capture a subset of genital warts, as these are mostly managed in general practice and sexual health clinics</w:t>
      </w:r>
      <w:r w:rsidR="00BC51E3" w:rsidRPr="003408A6">
        <w:rPr>
          <w:lang w:val="en-AU"/>
        </w:rPr>
        <w:t>.</w:t>
      </w:r>
      <w:hyperlink w:anchor="_ENREF_128" w:tooltip="Grulich, 2003 #1291" w:history="1">
        <w:r w:rsidR="00F27F90" w:rsidRPr="003408A6">
          <w:rPr>
            <w:lang w:val="en-AU"/>
          </w:rPr>
          <w:fldChar w:fldCharType="begin">
            <w:fldData xml:space="preserve">PEVuZE5vdGU+PENpdGU+PEF1dGhvcj5HcnVsaWNoPC9BdXRob3I+PFllYXI+MjAwMzwvWWVhcj48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</w:fldData>
          </w:fldChar>
        </w:r>
        <w:r w:rsidR="00F27F90">
          <w:rPr>
            <w:lang w:val="en-AU"/>
          </w:rPr>
          <w:instrText xml:space="preserve"> ADDIN EN.CITE </w:instrText>
        </w:r>
        <w:r w:rsidR="00F27F90">
          <w:rPr>
            <w:lang w:val="en-AU"/>
          </w:rPr>
          <w:fldChar w:fldCharType="begin">
            <w:fldData xml:space="preserve">PEVuZE5vdGU+PENpdGU+PEF1dGhvcj5HcnVsaWNoPC9BdXRob3I+PFllYXI+MjAwMzwvWWVhcj48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128</w:t>
        </w:r>
        <w:r w:rsidR="00F27F90" w:rsidRPr="003408A6">
          <w:rPr>
            <w:lang w:val="en-AU"/>
          </w:rPr>
          <w:fldChar w:fldCharType="end"/>
        </w:r>
      </w:hyperlink>
      <w:r w:rsidRPr="003408A6">
        <w:rPr>
          <w:lang w:val="en-AU"/>
        </w:rPr>
        <w:t xml:space="preserve"> Based on published estimates for average incidence rates in Australia over the period 2000</w:t>
      </w:r>
      <w:r w:rsidR="00BC51E3" w:rsidRPr="003408A6">
        <w:rPr>
          <w:lang w:val="en-AU"/>
        </w:rPr>
        <w:t>–</w:t>
      </w:r>
      <w:r w:rsidRPr="003408A6">
        <w:rPr>
          <w:lang w:val="en-AU"/>
        </w:rPr>
        <w:t>2006, the admission rates observed in our hospital data in the same period represent approximately 8</w:t>
      </w:r>
      <w:r w:rsidR="00BC51E3" w:rsidRPr="003408A6">
        <w:rPr>
          <w:lang w:val="en-AU"/>
        </w:rPr>
        <w:t>–</w:t>
      </w:r>
      <w:r w:rsidRPr="003408A6">
        <w:rPr>
          <w:lang w:val="en-AU"/>
        </w:rPr>
        <w:t>11% of new cases in females and 3</w:t>
      </w:r>
      <w:r w:rsidR="00BC51E3" w:rsidRPr="003408A6">
        <w:rPr>
          <w:lang w:val="en-AU"/>
        </w:rPr>
        <w:t>–</w:t>
      </w:r>
      <w:r w:rsidRPr="003408A6">
        <w:rPr>
          <w:lang w:val="en-AU"/>
        </w:rPr>
        <w:t>5% of new cases in males aged under 30 years</w:t>
      </w:r>
      <w:r w:rsidR="00BC51E3" w:rsidRPr="003408A6">
        <w:rPr>
          <w:lang w:val="en-AU"/>
        </w:rPr>
        <w:t>.</w:t>
      </w:r>
      <w:hyperlink w:anchor="_ENREF_129" w:tooltip="Pirotta, 2010 #1294" w:history="1">
        <w:r w:rsidR="00F27F90" w:rsidRPr="003408A6">
          <w:rPr>
            <w:lang w:val="en-AU"/>
          </w:rPr>
          <w:fldChar w:fldCharType="begin">
            <w:fldData xml:space="preserve">PEVuZE5vdGU+PENpdGU+PEF1dGhvcj5QaXJvdHRhPC9BdXRob3I+PFllYXI+MjAxMDwvWWVhcj48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</w:fldData>
          </w:fldChar>
        </w:r>
        <w:r w:rsidR="00F27F90">
          <w:rPr>
            <w:lang w:val="en-AU"/>
          </w:rPr>
          <w:instrText xml:space="preserve"> ADDIN EN.CITE </w:instrText>
        </w:r>
        <w:r w:rsidR="00F27F90">
          <w:rPr>
            <w:lang w:val="en-AU"/>
          </w:rPr>
          <w:fldChar w:fldCharType="begin">
            <w:fldData xml:space="preserve">PEVuZE5vdGU+PENpdGU+PEF1dGhvcj5QaXJvdHRhPC9BdXRob3I+PFllYXI+MjAxMDwvWWVhcj48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</w:fldData>
          </w:fldChar>
        </w:r>
        <w:r w:rsidR="00F27F90">
          <w:rPr>
            <w:lang w:val="en-AU"/>
          </w:rPr>
          <w:instrText xml:space="preserve"> ADDIN EN.CITE.DATA </w:instrText>
        </w:r>
        <w:r w:rsidR="00F27F90">
          <w:rPr>
            <w:lang w:val="en-AU"/>
          </w:rPr>
        </w:r>
        <w:r w:rsidR="00F27F90">
          <w:rPr>
            <w:lang w:val="en-AU"/>
          </w:rPr>
          <w:fldChar w:fldCharType="end"/>
        </w:r>
        <w:r w:rsidR="00F27F90" w:rsidRPr="003408A6">
          <w:rPr>
            <w:lang w:val="en-AU"/>
          </w:rPr>
        </w:r>
        <w:r w:rsidR="00F27F90" w:rsidRPr="003408A6">
          <w:rPr>
            <w:lang w:val="en-AU"/>
          </w:rPr>
          <w:fldChar w:fldCharType="separate"/>
        </w:r>
        <w:r w:rsidR="00F27F90" w:rsidRPr="00F27F90">
          <w:rPr>
            <w:noProof/>
            <w:vertAlign w:val="superscript"/>
            <w:lang w:val="en-AU"/>
          </w:rPr>
          <w:t>129</w:t>
        </w:r>
        <w:r w:rsidR="00F27F90" w:rsidRPr="003408A6">
          <w:rPr>
            <w:lang w:val="en-AU"/>
          </w:rPr>
          <w:fldChar w:fldCharType="end"/>
        </w:r>
      </w:hyperlink>
      <w:r w:rsidRPr="003408A6">
        <w:rPr>
          <w:lang w:val="en-AU"/>
        </w:rPr>
        <w:t xml:space="preserve"> However</w:t>
      </w:r>
      <w:r w:rsidR="00BC51E3" w:rsidRPr="003408A6">
        <w:rPr>
          <w:lang w:val="en-AU"/>
        </w:rPr>
        <w:t>,</w:t>
      </w:r>
      <w:r w:rsidRPr="003408A6">
        <w:rPr>
          <w:lang w:val="en-AU"/>
        </w:rPr>
        <w:t xml:space="preserve"> we would expect that these represent the majority of severe cases. </w:t>
      </w:r>
    </w:p>
    <w:p w:rsidR="00FD5559" w:rsidRPr="003408A6" w:rsidRDefault="00FD5559" w:rsidP="002413C8">
      <w:pPr>
        <w:pStyle w:val="BodyText"/>
        <w:rPr>
          <w:lang w:val="en-AU"/>
        </w:rPr>
      </w:pPr>
      <w:r w:rsidRPr="003408A6">
        <w:rPr>
          <w:lang w:val="en-AU"/>
        </w:rPr>
        <w:t xml:space="preserve">Another limitation of this study is that it is an ecological study and information about the vaccination status of the individuals is not available in this data collection. In future, an analysis of linked data from the </w:t>
      </w:r>
      <w:r w:rsidR="00F07D6A" w:rsidRPr="003408A6">
        <w:rPr>
          <w:lang w:val="en-AU"/>
        </w:rPr>
        <w:t>NHVPR</w:t>
      </w:r>
      <w:r w:rsidRPr="003408A6">
        <w:rPr>
          <w:lang w:val="en-AU"/>
        </w:rPr>
        <w:t xml:space="preserve"> and </w:t>
      </w:r>
      <w:r w:rsidR="003902FE" w:rsidRPr="003408A6">
        <w:rPr>
          <w:lang w:val="en-AU"/>
        </w:rPr>
        <w:t>NHMD</w:t>
      </w:r>
      <w:r w:rsidRPr="003408A6">
        <w:rPr>
          <w:lang w:val="en-AU"/>
        </w:rPr>
        <w:t xml:space="preserve"> would be valuable in providing stronger evidence. Nevertheless, the declines in admissions here are both substantial and specific in terms of both the age</w:t>
      </w:r>
      <w:r w:rsidR="00BC51E3" w:rsidRPr="003408A6">
        <w:rPr>
          <w:lang w:val="en-AU"/>
        </w:rPr>
        <w:t xml:space="preserve"> </w:t>
      </w:r>
      <w:r w:rsidRPr="003408A6">
        <w:rPr>
          <w:lang w:val="en-AU"/>
        </w:rPr>
        <w:t xml:space="preserve">groups affected and the timing in relation to the implementation of the </w:t>
      </w:r>
      <w:r w:rsidR="00BC51E3" w:rsidRPr="003408A6">
        <w:rPr>
          <w:lang w:val="en-AU"/>
        </w:rPr>
        <w:t>National HPV Vaccination Program</w:t>
      </w:r>
      <w:r w:rsidRPr="003408A6">
        <w:rPr>
          <w:lang w:val="en-AU"/>
        </w:rPr>
        <w:t>. Furthermore, these declines are in contrast with observed increases in some other sexually transmitted infections</w:t>
      </w:r>
      <w:r w:rsidR="00621A71" w:rsidRPr="003408A6">
        <w:rPr>
          <w:lang w:val="en-AU"/>
        </w:rPr>
        <w:t>, including chlamydia and gonorrhoea</w:t>
      </w:r>
      <w:r w:rsidR="00621A71">
        <w:rPr>
          <w:lang w:val="en-AU"/>
        </w:rPr>
        <w:t>,</w:t>
      </w:r>
      <w:r w:rsidRPr="003408A6">
        <w:rPr>
          <w:lang w:val="en-AU"/>
        </w:rPr>
        <w:t xml:space="preserve"> in younger people over a similar period</w:t>
      </w:r>
      <w:r w:rsidR="00BC51E3" w:rsidRPr="003408A6">
        <w:rPr>
          <w:lang w:val="en-AU"/>
        </w:rPr>
        <w:t>,</w:t>
      </w:r>
      <w:hyperlink w:anchor="_ENREF_122" w:tooltip="The Kirby Institute, 2013 #1296" w:history="1">
        <w:r w:rsidR="00F27F90" w:rsidRPr="003408A6">
          <w:rPr>
            <w:lang w:val="en-AU"/>
          </w:rPr>
          <w:fldChar w:fldCharType="begin"/>
        </w:r>
        <w:r w:rsidR="00F27F90">
          <w:rPr>
            <w:lang w:val="en-AU"/>
          </w:rPr>
          <w:instrText xml:space="preserve"> ADDIN EN.CITE &lt;EndNote&gt;&lt;Cite&gt;&lt;Author&gt;The Kirby Institute&lt;/Author&gt;&lt;Year&gt;2013&lt;/Year&gt;&lt;RecNum&gt;1296&lt;/RecNum&gt;&lt;DisplayText&gt;&lt;style face="superscript"&gt;122&lt;/style&gt;&lt;/DisplayText&gt;&lt;record&gt;&lt;rec-number&gt;1296&lt;/rec-number&gt;&lt;foreign-keys&gt;&lt;key app="EN" db-id="dda0wweazfww9besetpx2r5pt0asp9ztvs95"&gt;1296&lt;/key&gt;&lt;/foreign-keys&gt;&lt;ref-type name="Report"&gt;27&lt;/ref-type&gt;&lt;contributors&gt;&lt;authors&gt;&lt;author&gt;The Kirby Institute,&lt;/author&gt;&lt;/authors&gt;&lt;/contributors&gt;&lt;titles&gt;&lt;title&gt;HIV, viral hepatitis and sexually transmissible infections in Australia. Annual surveillance report 2013&lt;/title&gt;&lt;/titles&gt;&lt;dates&gt;&lt;year&gt;2013&lt;/year&gt;&lt;/dates&gt;&lt;pub-location&gt;Sydney&lt;/pub-location&gt;&lt;publisher&gt;The Kirby Institute, The University of New South Wales&lt;/publisher&gt;&lt;urls&gt;&lt;/urls&gt;&lt;/record&gt;&lt;/Cite&gt;&lt;/EndNote&gt;</w:instrText>
        </w:r>
        <w:r w:rsidR="00F27F90" w:rsidRPr="003408A6">
          <w:rPr>
            <w:lang w:val="en-AU"/>
          </w:rPr>
          <w:fldChar w:fldCharType="separate"/>
        </w:r>
        <w:r w:rsidR="00F27F90" w:rsidRPr="00F27F90">
          <w:rPr>
            <w:noProof/>
            <w:vertAlign w:val="superscript"/>
            <w:lang w:val="en-AU"/>
          </w:rPr>
          <w:t>122</w:t>
        </w:r>
        <w:r w:rsidR="00F27F90" w:rsidRPr="003408A6">
          <w:rPr>
            <w:lang w:val="en-AU"/>
          </w:rPr>
          <w:fldChar w:fldCharType="end"/>
        </w:r>
      </w:hyperlink>
      <w:r w:rsidRPr="003408A6">
        <w:rPr>
          <w:lang w:val="en-AU"/>
        </w:rPr>
        <w:t xml:space="preserve"> suggesting that a reduction in sexual risk behaviour is unlikely to explain the observed declines in genital warts.</w:t>
      </w:r>
    </w:p>
    <w:p w:rsidR="00FD5559" w:rsidRPr="003408A6" w:rsidRDefault="00FD5559" w:rsidP="002413C8">
      <w:pPr>
        <w:pStyle w:val="BodyText"/>
        <w:rPr>
          <w:lang w:val="en-AU"/>
        </w:rPr>
      </w:pPr>
      <w:r w:rsidRPr="003408A6">
        <w:rPr>
          <w:lang w:val="en-AU"/>
        </w:rPr>
        <w:t>Other possible explanations for the observed declining trend include that treatments for warts may have been increasingly performed outside of hospital settings over the post-</w:t>
      </w:r>
      <w:r w:rsidR="00621A71" w:rsidRPr="003408A6">
        <w:rPr>
          <w:lang w:val="en-AU"/>
        </w:rPr>
        <w:t>vaccin</w:t>
      </w:r>
      <w:r w:rsidR="00621A71">
        <w:rPr>
          <w:lang w:val="en-AU"/>
        </w:rPr>
        <w:t>e</w:t>
      </w:r>
      <w:r w:rsidR="00621A71" w:rsidRPr="003408A6">
        <w:rPr>
          <w:lang w:val="en-AU"/>
        </w:rPr>
        <w:t xml:space="preserve"> </w:t>
      </w:r>
      <w:r w:rsidRPr="003408A6">
        <w:rPr>
          <w:lang w:val="en-AU"/>
        </w:rPr>
        <w:t>period</w:t>
      </w:r>
      <w:r w:rsidR="00BC51E3" w:rsidRPr="003408A6">
        <w:rPr>
          <w:lang w:val="en-AU"/>
        </w:rPr>
        <w:t>,</w:t>
      </w:r>
      <w:r w:rsidRPr="003408A6">
        <w:rPr>
          <w:lang w:val="en-AU"/>
        </w:rPr>
        <w:t xml:space="preserve"> for example, due to wider usage of topical treatments or other non-surgical methods. We feel this is unlikely to fully explain the substantial declines seen here, for a number of reasons. Firstly, it is likely that such changes would affect all age groups and not </w:t>
      </w:r>
      <w:r w:rsidR="00621A71">
        <w:rPr>
          <w:lang w:val="en-AU"/>
        </w:rPr>
        <w:t>just</w:t>
      </w:r>
      <w:r w:rsidR="00621A71" w:rsidRPr="003408A6">
        <w:rPr>
          <w:lang w:val="en-AU"/>
        </w:rPr>
        <w:t xml:space="preserve"> </w:t>
      </w:r>
      <w:r w:rsidRPr="003408A6">
        <w:rPr>
          <w:lang w:val="en-AU"/>
        </w:rPr>
        <w:t xml:space="preserve">the younger age groups </w:t>
      </w:r>
      <w:r w:rsidR="00621A71">
        <w:rPr>
          <w:lang w:val="en-AU"/>
        </w:rPr>
        <w:t>in whom</w:t>
      </w:r>
      <w:r w:rsidR="00621A71" w:rsidRPr="003408A6">
        <w:rPr>
          <w:lang w:val="en-AU"/>
        </w:rPr>
        <w:t xml:space="preserve"> </w:t>
      </w:r>
      <w:r w:rsidRPr="003408A6">
        <w:rPr>
          <w:lang w:val="en-AU"/>
        </w:rPr>
        <w:t>declines were both very strong and different from those in other age groups. Secondly, the availability and price of topical treatments did not change substantially over this period</w:t>
      </w:r>
      <w:r w:rsidR="00BC51E3" w:rsidRPr="003408A6">
        <w:rPr>
          <w:lang w:val="en-AU"/>
        </w:rPr>
        <w:t>.</w:t>
      </w:r>
      <w:hyperlink w:anchor="_ENREF_125" w:tooltip="Ali, 2013 #1272" w:history="1">
        <w:r w:rsidR="00F27F90" w:rsidRPr="003408A6">
          <w:rPr>
            <w:lang w:val="en-AU"/>
          </w:rPr>
          <w:fldChar w:fldCharType="begin"/>
        </w:r>
        <w:r w:rsidR="00F27F90">
          <w:rPr>
            <w:lang w:val="en-AU"/>
          </w:rPr>
          <w:instrText xml:space="preserve"> ADDIN EN.CITE &lt;EndNote&gt;&lt;Cite&gt;&lt;Author&gt;Ali&lt;/Author&gt;&lt;Year&gt;2013&lt;/Year&gt;&lt;RecNum&gt;1272&lt;/RecNum&gt;&lt;DisplayText&gt;&lt;style face="superscript"&gt;125&lt;/style&gt;&lt;/DisplayText&gt;&lt;record&gt;&lt;rec-number&gt;1272&lt;/rec-number&gt;&lt;foreign-keys&gt;&lt;key app="EN" db-id="dda0wweazfww9besetpx2r5pt0asp9ztvs95"&gt;1272&lt;/key&gt;&lt;/foreign-keys&gt;&lt;ref-type name="Journal Article"&gt;17&lt;/ref-type&gt;&lt;contributors&gt;&lt;authors&gt;&lt;author&gt;Ali, H.&lt;/author&gt;&lt;author&gt;Guy, R. J.&lt;/author&gt;&lt;author&gt;Wand, H.&lt;/author&gt;&lt;author&gt;Read, T. R.&lt;/author&gt;&lt;author&gt;Regan, D. G.&lt;/author&gt;&lt;author&gt;Grulich, A. E.&lt;/author&gt;&lt;author&gt;Fairley, C. K.&lt;/author&gt;&lt;author&gt;Donovan, B.&lt;/author&gt;&lt;/authors&gt;&lt;/contributors&gt;&lt;auth-address&gt;The Kirby Institute, The University of New South Wales, Sydney, NSW, Australia. hali@kirby.unsw.edu.au.&lt;/auth-address&gt;&lt;titles&gt;&lt;title&gt;Decline in in-patient treatments of genital warts among young Australians following the national HPV vaccination program&lt;/title&gt;&lt;secondary-title&gt;BMC Infect Dis&lt;/secondary-title&gt;&lt;alt-title&gt;BMC infectious diseases&lt;/alt-title&gt;&lt;/titles&gt;&lt;periodical&gt;&lt;full-title&gt;BMC Infectious Diseases&lt;/full-title&gt;&lt;abbr-1&gt;BMC Infect. Dis.&lt;/abbr-1&gt;&lt;abbr-2&gt;BMC Infect Dis&lt;/abbr-2&gt;&lt;/periodical&gt;&lt;alt-periodical&gt;&lt;full-title&gt;BMC Infectious Diseases&lt;/full-title&gt;&lt;abbr-1&gt;BMC Infect. Dis.&lt;/abbr-1&gt;&lt;abbr-2&gt;BMC Infect Dis&lt;/abbr-2&gt;&lt;/alt-periodical&gt;&lt;pages&gt;140&lt;/pages&gt;&lt;volume&gt;13&lt;/volume&gt;&lt;edition&gt;2013/03/20&lt;/edition&gt;&lt;dates&gt;&lt;year&gt;2013&lt;/year&gt;&lt;/dates&gt;&lt;isbn&gt;1471-2334 (Electronic)&amp;#xD;1471-2334 (Linking)&lt;/isbn&gt;&lt;accession-num&gt;23506489&lt;/accession-num&gt;&lt;urls&gt;&lt;related-urls&gt;&lt;url&gt;http://www.ncbi.nlm.nih.gov/pubmed/23506489&lt;/url&gt;&lt;/related-urls&gt;&lt;/urls&gt;&lt;custom2&gt;3606327&lt;/custom2&gt;&lt;electronic-resource-num&gt;10.1186/1471-2334-13-140&lt;/electronic-resource-num&gt;&lt;language&gt;eng&lt;/language&gt;&lt;/record&gt;&lt;/Cite&gt;&lt;/EndNote&gt;</w:instrText>
        </w:r>
        <w:r w:rsidR="00F27F90" w:rsidRPr="003408A6">
          <w:rPr>
            <w:lang w:val="en-AU"/>
          </w:rPr>
          <w:fldChar w:fldCharType="separate"/>
        </w:r>
        <w:r w:rsidR="00F27F90" w:rsidRPr="00F27F90">
          <w:rPr>
            <w:noProof/>
            <w:vertAlign w:val="superscript"/>
            <w:lang w:val="en-AU"/>
          </w:rPr>
          <w:t>125</w:t>
        </w:r>
        <w:r w:rsidR="00F27F90" w:rsidRPr="003408A6">
          <w:rPr>
            <w:lang w:val="en-AU"/>
          </w:rPr>
          <w:fldChar w:fldCharType="end"/>
        </w:r>
      </w:hyperlink>
      <w:r w:rsidRPr="003408A6">
        <w:rPr>
          <w:lang w:val="en-AU"/>
        </w:rPr>
        <w:t xml:space="preserve"> Thirdly, similar declines to those we have described here have been observed in a national network of sentinel sexual health clinics in Australia, suggesting that treatments have not shifted to these sites</w:t>
      </w:r>
      <w:r w:rsidR="00BC51E3" w:rsidRPr="003408A6">
        <w:rPr>
          <w:lang w:val="en-AU"/>
        </w:rPr>
        <w:t>.</w:t>
      </w:r>
      <w:hyperlink w:anchor="_ENREF_124" w:tooltip="Ali, 2013 #1271" w:history="1">
        <w:r w:rsidR="00F27F90" w:rsidRPr="003408A6">
          <w:rPr>
            <w:lang w:val="en-AU"/>
          </w:rPr>
          <w:fldChar w:fldCharType="begin"/>
        </w:r>
        <w:r w:rsidR="00F27F90">
          <w:rPr>
            <w:lang w:val="en-AU"/>
          </w:rPr>
          <w:instrText xml:space="preserve"> ADDIN EN.CITE &lt;EndNote&gt;&lt;Cite&gt;&lt;Author&gt;Ali&lt;/Author&gt;&lt;Year&gt;2013&lt;/Year&gt;&lt;RecNum&gt;1271&lt;/RecNum&gt;&lt;DisplayText&gt;&lt;style face="superscript"&gt;124&lt;/style&gt;&lt;/DisplayText&gt;&lt;record&gt;&lt;rec-number&gt;1271&lt;/rec-number&gt;&lt;foreign-keys&gt;&lt;key app="EN" db-id="dda0wweazfww9besetpx2r5pt0asp9ztvs95"&gt;1271&lt;/key&gt;&lt;/foreign-keys&gt;&lt;ref-type name="Journal Article"&gt;17&lt;/ref-type&gt;&lt;contributors&gt;&lt;authors&gt;&lt;author&gt;Ali, H.&lt;/author&gt;&lt;author&gt;Donovan, B.&lt;/author&gt;&lt;author&gt;Wand, H.&lt;/author&gt;&lt;author&gt;Read, T. R.&lt;/author&gt;&lt;author&gt;Regan, D. G.&lt;/author&gt;&lt;author&gt;Grulich, A. E.&lt;/author&gt;&lt;author&gt;Fairley, C. K.&lt;/author&gt;&lt;author&gt;Guy, R. J.&lt;/author&gt;&lt;/authors&gt;&lt;/contributors&gt;&lt;auth-address&gt;The Kirby Institute, University of New South Wales, Sydney, NSW 2052, Australia.&lt;/auth-address&gt;&lt;titles&gt;&lt;title&gt;Genital warts in young Australians five years into national human papillomavirus vaccination programme: national surveillance data&lt;/title&gt;&lt;secondary-title&gt;BMJ&lt;/secondary-title&gt;&lt;/titles&gt;&lt;periodical&gt;&lt;full-title&gt;BMJ&lt;/full-title&gt;&lt;abbr-1&gt;BMJ&lt;/abbr-1&gt;&lt;abbr-2&gt;BMJ&lt;/abbr-2&gt;&lt;/periodical&gt;&lt;pages&gt;f2032&lt;/pages&gt;&lt;volume&gt;346&lt;/volume&gt;&lt;edition&gt;2013/04/20&lt;/edition&gt;&lt;dates&gt;&lt;year&gt;2013&lt;/year&gt;&lt;/dates&gt;&lt;isbn&gt;1756-1833 (Electronic)&amp;#xD;0959-535X (Linking)&lt;/isbn&gt;&lt;accession-num&gt;23599298&lt;/accession-num&gt;&lt;urls&gt;&lt;related-urls&gt;&lt;url&gt;http://www.ncbi.nlm.nih.gov/pubmed/23599298&lt;/url&gt;&lt;/related-urls&gt;&lt;/urls&gt;&lt;electronic-resource-num&gt;10.1136/bmj.f2032&lt;/electronic-resource-num&gt;&lt;language&gt;eng&lt;/language&gt;&lt;/record&gt;&lt;/Cite&gt;&lt;/EndNote&gt;</w:instrText>
        </w:r>
        <w:r w:rsidR="00F27F90" w:rsidRPr="003408A6">
          <w:rPr>
            <w:lang w:val="en-AU"/>
          </w:rPr>
          <w:fldChar w:fldCharType="separate"/>
        </w:r>
        <w:r w:rsidR="00F27F90" w:rsidRPr="00F27F90">
          <w:rPr>
            <w:noProof/>
            <w:vertAlign w:val="superscript"/>
            <w:lang w:val="en-AU"/>
          </w:rPr>
          <w:t>124</w:t>
        </w:r>
        <w:r w:rsidR="00F27F90" w:rsidRPr="003408A6">
          <w:rPr>
            <w:lang w:val="en-AU"/>
          </w:rPr>
          <w:fldChar w:fldCharType="end"/>
        </w:r>
      </w:hyperlink>
      <w:r w:rsidRPr="003408A6">
        <w:rPr>
          <w:lang w:val="en-AU"/>
        </w:rPr>
        <w:t xml:space="preserve"> It is possible that treatments may have moved from both hospitals and sexual health clinics towards general practice</w:t>
      </w:r>
      <w:r w:rsidR="00BC51E3" w:rsidRPr="003408A6">
        <w:rPr>
          <w:lang w:val="en-AU"/>
        </w:rPr>
        <w:t>;</w:t>
      </w:r>
      <w:r w:rsidRPr="003408A6">
        <w:rPr>
          <w:lang w:val="en-AU"/>
        </w:rPr>
        <w:t xml:space="preserve"> however</w:t>
      </w:r>
      <w:r w:rsidR="00BC51E3" w:rsidRPr="003408A6">
        <w:rPr>
          <w:lang w:val="en-AU"/>
        </w:rPr>
        <w:t>,</w:t>
      </w:r>
      <w:r w:rsidRPr="003408A6">
        <w:rPr>
          <w:lang w:val="en-AU"/>
        </w:rPr>
        <w:t xml:space="preserve"> this seems unlikely to fully explain the observed declines, as they are both substantial and specific to certain age groups. An analysis of trends in warts in general practice would provide further information on this point, for example</w:t>
      </w:r>
      <w:r w:rsidR="00BC51E3" w:rsidRPr="003408A6">
        <w:rPr>
          <w:lang w:val="en-AU"/>
        </w:rPr>
        <w:t>,</w:t>
      </w:r>
      <w:r w:rsidRPr="003408A6">
        <w:rPr>
          <w:lang w:val="en-AU"/>
        </w:rPr>
        <w:t xml:space="preserve"> via the Bettering the Evaluation of Care and Health (BEACH) database</w:t>
      </w:r>
      <w:r w:rsidR="00BC51E3" w:rsidRPr="003408A6">
        <w:rPr>
          <w:lang w:val="en-AU"/>
        </w:rPr>
        <w:t>.</w:t>
      </w:r>
      <w:hyperlink w:anchor="_ENREF_130" w:tooltip="Britt, 2008 #1281" w:history="1">
        <w:r w:rsidR="00F27F90" w:rsidRPr="003408A6">
          <w:rPr>
            <w:lang w:val="en-AU"/>
          </w:rPr>
          <w:fldChar w:fldCharType="begin"/>
        </w:r>
        <w:r w:rsidR="00F27F90">
          <w:rPr>
            <w:lang w:val="en-AU"/>
          </w:rPr>
          <w:instrText xml:space="preserve"> ADDIN EN.CITE &lt;EndNote&gt;&lt;Cite&gt;&lt;Author&gt;Britt&lt;/Author&gt;&lt;Year&gt;2008&lt;/Year&gt;&lt;RecNum&gt;1281&lt;/RecNum&gt;&lt;DisplayText&gt;&lt;style face="superscript"&gt;130&lt;/style&gt;&lt;/DisplayText&gt;&lt;record&gt;&lt;rec-number&gt;1281&lt;/rec-number&gt;&lt;foreign-keys&gt;&lt;key app="EN" db-id="dda0wweazfww9besetpx2r5pt0asp9ztvs95"&gt;1281&lt;/key&gt;&lt;/foreign-keys&gt;&lt;ref-type name="Report"&gt;27&lt;/ref-type&gt;&lt;contributors&gt;&lt;authors&gt;&lt;author&gt;Britt, H.&lt;/author&gt;&lt;author&gt;Miller, G. C.&lt;/author&gt;&lt;author&gt;Charles, J.&lt;/author&gt;&lt;author&gt;Bayram, C.&lt;/author&gt;&lt;author&gt;Pan, Y.&lt;/author&gt;&lt;author&gt;Henderson, J.&lt;/author&gt;&lt;author&gt;Valenti, L.&lt;/author&gt;&lt;author&gt;O&amp;apos;Halloran, J.&lt;/author&gt;&lt;author&gt;Harrison, C.&lt;/author&gt;&lt;author&gt;Fahridin, S.&lt;/author&gt;&lt;/authors&gt;&lt;/contributors&gt;&lt;titles&gt;&lt;title&gt;General practice activity in Australia 2006-07. General practice series no. 21. Cat. no. GEP 21&lt;/title&gt;&lt;/titles&gt;&lt;volume&gt;21. Cat. no. GEP 21&lt;/volume&gt;&lt;keywords&gt;&lt;keyword&gt;Australia&lt;/keyword&gt;&lt;keyword&gt;General&lt;/keyword&gt;&lt;keyword&gt;Practice&lt;/keyword&gt;&lt;/keywords&gt;&lt;dates&gt;&lt;year&gt;2008&lt;/year&gt;&lt;/dates&gt;&lt;pub-location&gt;Canberra&lt;/pub-location&gt;&lt;publisher&gt;Australian Institute of Health and Welfare and the University of Sydney&lt;/publisher&gt;&lt;urls&gt;&lt;related-urls&gt;&lt;url&gt;http://www.aihw.gov.au/publication-detail/?id=6442468067&lt;/url&gt;&lt;/related-urls&gt;&lt;/urls&gt;&lt;access-date&gt;13 December 2013&lt;/access-date&gt;&lt;/record&gt;&lt;/Cite&gt;&lt;/EndNote&gt;</w:instrText>
        </w:r>
        <w:r w:rsidR="00F27F90" w:rsidRPr="003408A6">
          <w:rPr>
            <w:lang w:val="en-AU"/>
          </w:rPr>
          <w:fldChar w:fldCharType="separate"/>
        </w:r>
        <w:r w:rsidR="00F27F90" w:rsidRPr="00F27F90">
          <w:rPr>
            <w:noProof/>
            <w:vertAlign w:val="superscript"/>
            <w:lang w:val="en-AU"/>
          </w:rPr>
          <w:t>130</w:t>
        </w:r>
        <w:r w:rsidR="00F27F90" w:rsidRPr="003408A6">
          <w:rPr>
            <w:lang w:val="en-AU"/>
          </w:rPr>
          <w:fldChar w:fldCharType="end"/>
        </w:r>
      </w:hyperlink>
    </w:p>
    <w:p w:rsidR="00621A71" w:rsidRDefault="00FD5559" w:rsidP="002413C8">
      <w:pPr>
        <w:pStyle w:val="BodyText"/>
        <w:rPr>
          <w:lang w:val="en-AU"/>
        </w:rPr>
      </w:pPr>
      <w:r w:rsidRPr="003408A6">
        <w:rPr>
          <w:lang w:val="en-AU"/>
        </w:rPr>
        <w:t xml:space="preserve">Another possible explanation is that there were changes in the rates of admissions for the principal diagnoses included here, when warts was not </w:t>
      </w:r>
      <w:r w:rsidR="00BC51E3" w:rsidRPr="003408A6">
        <w:rPr>
          <w:lang w:val="en-AU"/>
        </w:rPr>
        <w:t xml:space="preserve">the </w:t>
      </w:r>
      <w:r w:rsidRPr="003408A6">
        <w:rPr>
          <w:lang w:val="en-AU"/>
        </w:rPr>
        <w:t>primary reason for the admission. The most common procedures performed in males were related to warts treatment, and then procedures such as colonoscopy/sigmoidoscopy or relating to haemorrhoids. These procedures are more likely to be performed in older males, and so any changes in these are unlikely to have affected our findings for 18</w:t>
      </w:r>
      <w:r w:rsidR="00BC51E3" w:rsidRPr="003408A6">
        <w:rPr>
          <w:lang w:val="en-AU"/>
        </w:rPr>
        <w:t>–</w:t>
      </w:r>
      <w:r w:rsidRPr="003408A6">
        <w:rPr>
          <w:lang w:val="en-AU"/>
        </w:rPr>
        <w:t>26</w:t>
      </w:r>
      <w:r w:rsidR="00BC51E3" w:rsidRPr="003408A6">
        <w:rPr>
          <w:lang w:val="en-AU"/>
        </w:rPr>
        <w:t>-</w:t>
      </w:r>
      <w:r w:rsidRPr="003408A6">
        <w:rPr>
          <w:lang w:val="en-AU"/>
        </w:rPr>
        <w:t>year</w:t>
      </w:r>
      <w:r w:rsidR="00BC51E3" w:rsidRPr="003408A6">
        <w:rPr>
          <w:lang w:val="en-AU"/>
        </w:rPr>
        <w:t>-</w:t>
      </w:r>
      <w:r w:rsidRPr="003408A6">
        <w:rPr>
          <w:lang w:val="en-AU"/>
        </w:rPr>
        <w:t>old males, but rather are more likely to have affected admissions in older males, for example</w:t>
      </w:r>
      <w:r w:rsidR="00BC51E3" w:rsidRPr="003408A6">
        <w:rPr>
          <w:lang w:val="en-AU"/>
        </w:rPr>
        <w:t>,</w:t>
      </w:r>
      <w:r w:rsidRPr="003408A6">
        <w:rPr>
          <w:lang w:val="en-AU"/>
        </w:rPr>
        <w:t xml:space="preserve"> those in </w:t>
      </w:r>
      <w:r w:rsidR="00BC51E3" w:rsidRPr="003408A6">
        <w:rPr>
          <w:lang w:val="en-AU"/>
        </w:rPr>
        <w:t xml:space="preserve">the </w:t>
      </w:r>
      <w:r w:rsidRPr="003408A6">
        <w:rPr>
          <w:lang w:val="en-AU"/>
        </w:rPr>
        <w:t>31</w:t>
      </w:r>
      <w:r w:rsidR="00BC51E3" w:rsidRPr="003408A6">
        <w:rPr>
          <w:lang w:val="en-AU"/>
        </w:rPr>
        <w:t>–</w:t>
      </w:r>
      <w:r w:rsidRPr="003408A6">
        <w:rPr>
          <w:lang w:val="en-AU"/>
        </w:rPr>
        <w:t>69 years age group, where no changes were observed. In females, the most common procedures apart from those relating to warts treatments were related to follow-up or treatment of cervical abnormalities. Changes in patterns of admissions for these procedures is plausible, but are unlikely to explain the very strong declines in genital warts in younger females aged 12</w:t>
      </w:r>
      <w:r w:rsidR="00BC51E3" w:rsidRPr="003408A6">
        <w:rPr>
          <w:lang w:val="en-AU"/>
        </w:rPr>
        <w:t>–</w:t>
      </w:r>
      <w:r w:rsidRPr="003408A6">
        <w:rPr>
          <w:lang w:val="en-AU"/>
        </w:rPr>
        <w:t xml:space="preserve">17 years, as screening is not recommended for this age group. </w:t>
      </w:r>
    </w:p>
    <w:p w:rsidR="00FD5559" w:rsidRPr="003408A6" w:rsidRDefault="00FD5559" w:rsidP="002413C8">
      <w:pPr>
        <w:pStyle w:val="BodyText"/>
        <w:rPr>
          <w:lang w:val="en-AU"/>
        </w:rPr>
      </w:pPr>
      <w:r w:rsidRPr="003408A6">
        <w:rPr>
          <w:lang w:val="en-AU"/>
        </w:rPr>
        <w:t>When we excluded admissions in females aged 18</w:t>
      </w:r>
      <w:r w:rsidR="00BC51E3" w:rsidRPr="003408A6">
        <w:rPr>
          <w:lang w:val="en-AU"/>
        </w:rPr>
        <w:t>–</w:t>
      </w:r>
      <w:r w:rsidRPr="003408A6">
        <w:rPr>
          <w:lang w:val="en-AU"/>
        </w:rPr>
        <w:t>26 years which also involved a procedure plausibly for follow-up of a screen-detected cervical abnormality, a strong decline from mid-2008 was still evident, and was significantly greater than the trend in the pre-vaccine period. Thus screening changes do not appear to explain the decline from mid-2008 on</w:t>
      </w:r>
      <w:r w:rsidR="00621A71">
        <w:rPr>
          <w:lang w:val="en-AU"/>
        </w:rPr>
        <w:t>wards</w:t>
      </w:r>
      <w:r w:rsidRPr="003408A6">
        <w:rPr>
          <w:lang w:val="en-AU"/>
        </w:rPr>
        <w:t>, because this decline also occurred in women who were admitted for reasons unrelated to cervical screening. It is also unlikely to be a continuation of an earlier secular trend because the post-</w:t>
      </w:r>
      <w:r w:rsidR="00621A71" w:rsidRPr="003408A6">
        <w:rPr>
          <w:lang w:val="en-AU"/>
        </w:rPr>
        <w:t>vaccin</w:t>
      </w:r>
      <w:r w:rsidR="00621A71">
        <w:rPr>
          <w:lang w:val="en-AU"/>
        </w:rPr>
        <w:t>e</w:t>
      </w:r>
      <w:r w:rsidR="00621A71" w:rsidRPr="003408A6">
        <w:rPr>
          <w:lang w:val="en-AU"/>
        </w:rPr>
        <w:t xml:space="preserve"> </w:t>
      </w:r>
      <w:r w:rsidRPr="003408A6">
        <w:rPr>
          <w:lang w:val="en-AU"/>
        </w:rPr>
        <w:t>decline was much stronger than the earlier decline in females in age groups eligible for HPV vaccination. It is possible that a secular trend in declining referrals was occurring prior to the vaccination program</w:t>
      </w:r>
      <w:r w:rsidR="00BC51E3" w:rsidRPr="003408A6">
        <w:rPr>
          <w:lang w:val="en-AU"/>
        </w:rPr>
        <w:t>;</w:t>
      </w:r>
      <w:r w:rsidRPr="003408A6">
        <w:rPr>
          <w:lang w:val="en-AU"/>
        </w:rPr>
        <w:t xml:space="preserve"> however</w:t>
      </w:r>
      <w:r w:rsidR="00BC51E3" w:rsidRPr="003408A6">
        <w:rPr>
          <w:lang w:val="en-AU"/>
        </w:rPr>
        <w:t>,</w:t>
      </w:r>
      <w:r w:rsidRPr="003408A6">
        <w:rPr>
          <w:lang w:val="en-AU"/>
        </w:rPr>
        <w:t xml:space="preserve"> the underlying mechanism cannot be determined from these data. It is unlikely to have been related to cervical screening, however, because it also occurred in women who were admitted for reasons unrelated to cervical screening.</w:t>
      </w:r>
    </w:p>
    <w:p w:rsidR="00FD5559" w:rsidRPr="003408A6" w:rsidRDefault="00FD5559" w:rsidP="002413C8">
      <w:pPr>
        <w:pStyle w:val="Heading2"/>
      </w:pPr>
      <w:bookmarkStart w:id="258" w:name="_Toc372811177"/>
      <w:bookmarkStart w:id="259" w:name="_Toc396926147"/>
      <w:r w:rsidRPr="003408A6">
        <w:t>Conclusions</w:t>
      </w:r>
      <w:bookmarkEnd w:id="258"/>
      <w:bookmarkEnd w:id="259"/>
    </w:p>
    <w:p w:rsidR="00FD5559" w:rsidRPr="003408A6" w:rsidRDefault="00FD5559" w:rsidP="002413C8">
      <w:pPr>
        <w:pStyle w:val="BodyText"/>
        <w:rPr>
          <w:lang w:val="en-AU"/>
        </w:rPr>
      </w:pPr>
      <w:r w:rsidRPr="003408A6">
        <w:rPr>
          <w:lang w:val="en-AU"/>
        </w:rPr>
        <w:t>There has been a marked decline in admissions involving a diagnosis of genital warts in young females (</w:t>
      </w:r>
      <w:r w:rsidR="00621A71">
        <w:rPr>
          <w:lang w:val="en-AU"/>
        </w:rPr>
        <w:t xml:space="preserve">aged </w:t>
      </w:r>
      <w:r w:rsidRPr="003408A6">
        <w:rPr>
          <w:lang w:val="en-AU"/>
        </w:rPr>
        <w:t>12</w:t>
      </w:r>
      <w:r w:rsidR="00BC51E3" w:rsidRPr="003408A6">
        <w:rPr>
          <w:lang w:val="en-AU"/>
        </w:rPr>
        <w:t>–</w:t>
      </w:r>
      <w:r w:rsidRPr="003408A6">
        <w:rPr>
          <w:lang w:val="en-AU"/>
        </w:rPr>
        <w:t>26 years) and also in young males (</w:t>
      </w:r>
      <w:r w:rsidR="00621A71">
        <w:rPr>
          <w:lang w:val="en-AU"/>
        </w:rPr>
        <w:t xml:space="preserve">aged </w:t>
      </w:r>
      <w:r w:rsidRPr="003408A6">
        <w:rPr>
          <w:lang w:val="en-AU"/>
        </w:rPr>
        <w:t>18</w:t>
      </w:r>
      <w:r w:rsidR="00BC51E3" w:rsidRPr="003408A6">
        <w:rPr>
          <w:lang w:val="en-AU"/>
        </w:rPr>
        <w:t>–</w:t>
      </w:r>
      <w:r w:rsidRPr="003408A6">
        <w:rPr>
          <w:lang w:val="en-AU"/>
        </w:rPr>
        <w:t>26 years) in Australia since the implementation of the National HPV Vaccination Program. These declines are consistent with other evidence from Australia which suggest</w:t>
      </w:r>
      <w:r w:rsidR="00BC51E3" w:rsidRPr="003408A6">
        <w:rPr>
          <w:lang w:val="en-AU"/>
        </w:rPr>
        <w:t>s</w:t>
      </w:r>
      <w:r w:rsidRPr="003408A6">
        <w:rPr>
          <w:lang w:val="en-AU"/>
        </w:rPr>
        <w:t xml:space="preserve"> that the program has had a rapid and substantial impact on genital warts in young people. They also contribute to evidence of herd immunity benefits in males from the female vaccination program. This study also provides the first indication that the impact of vaccination </w:t>
      </w:r>
      <w:r w:rsidR="00BC51E3" w:rsidRPr="003408A6">
        <w:rPr>
          <w:lang w:val="en-AU"/>
        </w:rPr>
        <w:t xml:space="preserve">in </w:t>
      </w:r>
      <w:r w:rsidRPr="003408A6">
        <w:rPr>
          <w:lang w:val="en-AU"/>
        </w:rPr>
        <w:t xml:space="preserve">Indigenous females appears to be similar to that in other Australian females. </w:t>
      </w:r>
    </w:p>
    <w:p w:rsidR="00FD5559" w:rsidRPr="003408A6" w:rsidRDefault="00FD5559">
      <w:r w:rsidRPr="003408A6">
        <w:br w:type="page"/>
      </w:r>
    </w:p>
    <w:p w:rsidR="006869FF" w:rsidRPr="003408A6" w:rsidRDefault="006869FF" w:rsidP="006D1A8B">
      <w:pPr>
        <w:pStyle w:val="Heading1"/>
      </w:pPr>
      <w:bookmarkStart w:id="260" w:name="_Toc372811182"/>
      <w:bookmarkStart w:id="261" w:name="_Toc396926148"/>
      <w:r w:rsidRPr="003408A6">
        <w:t>References</w:t>
      </w:r>
      <w:bookmarkEnd w:id="260"/>
      <w:bookmarkEnd w:id="261"/>
    </w:p>
    <w:p w:rsidR="00F27F90" w:rsidRPr="00F27F90" w:rsidRDefault="006D1565" w:rsidP="00F27F90">
      <w:pPr>
        <w:pStyle w:val="EndNoteBibliography"/>
        <w:spacing w:after="240"/>
      </w:pPr>
      <w:r w:rsidRPr="003408A6">
        <w:rPr>
          <w:szCs w:val="22"/>
        </w:rPr>
        <w:fldChar w:fldCharType="begin"/>
      </w:r>
      <w:r w:rsidRPr="003408A6">
        <w:rPr>
          <w:szCs w:val="22"/>
        </w:rPr>
        <w:instrText xml:space="preserve"> ADDIN EN.REFLIST </w:instrText>
      </w:r>
      <w:r w:rsidRPr="003408A6">
        <w:rPr>
          <w:szCs w:val="22"/>
        </w:rPr>
        <w:fldChar w:fldCharType="separate"/>
      </w:r>
      <w:bookmarkStart w:id="262" w:name="_ENREF_1"/>
      <w:r w:rsidR="00F27F90" w:rsidRPr="00F27F90">
        <w:t>1.</w:t>
      </w:r>
      <w:r w:rsidR="00F27F90" w:rsidRPr="00F27F90">
        <w:tab/>
        <w:t xml:space="preserve">Muñoz N, Bosch FX, de Sanjose S, et al. Epidemiologic classification of human papillomavirus types associated with cervical cancer. </w:t>
      </w:r>
      <w:r w:rsidR="00F27F90" w:rsidRPr="00F27F90">
        <w:rPr>
          <w:i/>
        </w:rPr>
        <w:t>New England Journal of Medicine</w:t>
      </w:r>
      <w:r w:rsidR="00F27F90" w:rsidRPr="00F27F90">
        <w:t xml:space="preserve"> 2003;348:518-27.</w:t>
      </w:r>
      <w:bookmarkEnd w:id="262"/>
    </w:p>
    <w:p w:rsidR="00F27F90" w:rsidRPr="00F27F90" w:rsidRDefault="00F27F90" w:rsidP="00F27F90">
      <w:pPr>
        <w:pStyle w:val="EndNoteBibliography"/>
        <w:spacing w:after="240"/>
      </w:pPr>
      <w:bookmarkStart w:id="263" w:name="_ENREF_2"/>
      <w:r w:rsidRPr="00F27F90">
        <w:t>2.</w:t>
      </w:r>
      <w:r w:rsidRPr="00F27F90">
        <w:tab/>
        <w:t xml:space="preserve">Franco EL, Villa LL, Ruiz A, Costa MC. Transmission of cervical human papillomavirus infection by sexual activity: differences between low and high oncogenic risk types. </w:t>
      </w:r>
      <w:r w:rsidRPr="00F27F90">
        <w:rPr>
          <w:i/>
        </w:rPr>
        <w:t>Journal of Infectious Diseases</w:t>
      </w:r>
      <w:r w:rsidRPr="00F27F90">
        <w:t xml:space="preserve"> 1995;172:756-63.</w:t>
      </w:r>
      <w:bookmarkEnd w:id="263"/>
    </w:p>
    <w:p w:rsidR="00F27F90" w:rsidRPr="00F27F90" w:rsidRDefault="00F27F90" w:rsidP="00F27F90">
      <w:pPr>
        <w:pStyle w:val="EndNoteBibliography"/>
        <w:spacing w:after="240"/>
      </w:pPr>
      <w:bookmarkStart w:id="264" w:name="_ENREF_3"/>
      <w:r w:rsidRPr="00F27F90">
        <w:t>3.</w:t>
      </w:r>
      <w:r w:rsidRPr="00F27F90">
        <w:tab/>
        <w:t xml:space="preserve">Burchell AN, Winer RL, de Sanjose S, Franco EL. Chapter 6: Epidemiology and transmission dynamics of genital HPV infection. </w:t>
      </w:r>
      <w:r w:rsidRPr="00F27F90">
        <w:rPr>
          <w:i/>
        </w:rPr>
        <w:t>Vaccine</w:t>
      </w:r>
      <w:r w:rsidRPr="00F27F90">
        <w:t xml:space="preserve"> 2006;24 Suppl 3:S3/52-S3/61.</w:t>
      </w:r>
      <w:bookmarkEnd w:id="264"/>
    </w:p>
    <w:p w:rsidR="00F27F90" w:rsidRPr="00F27F90" w:rsidRDefault="00F27F90" w:rsidP="00F27F90">
      <w:pPr>
        <w:pStyle w:val="EndNoteBibliography"/>
        <w:spacing w:after="240"/>
      </w:pPr>
      <w:bookmarkStart w:id="265" w:name="_ENREF_4"/>
      <w:r w:rsidRPr="00F27F90">
        <w:t>4.</w:t>
      </w:r>
      <w:r w:rsidRPr="00F27F90">
        <w:tab/>
        <w:t xml:space="preserve">Dillner J. The serological response to papillomaviruses. </w:t>
      </w:r>
      <w:r w:rsidRPr="00F27F90">
        <w:rPr>
          <w:i/>
        </w:rPr>
        <w:t>Seminars in Cancer Biology</w:t>
      </w:r>
      <w:r w:rsidRPr="00F27F90">
        <w:t xml:space="preserve"> 1999;9:423-30.</w:t>
      </w:r>
      <w:bookmarkEnd w:id="265"/>
    </w:p>
    <w:p w:rsidR="00F27F90" w:rsidRPr="00F27F90" w:rsidRDefault="00F27F90" w:rsidP="00F27F90">
      <w:pPr>
        <w:pStyle w:val="EndNoteBibliography"/>
        <w:spacing w:after="240"/>
      </w:pPr>
      <w:bookmarkStart w:id="266" w:name="_ENREF_5"/>
      <w:r w:rsidRPr="00F27F90">
        <w:t>5.</w:t>
      </w:r>
      <w:r w:rsidRPr="00F27F90">
        <w:tab/>
        <w:t xml:space="preserve">Georgieva S, Iordanov V, Sergieva S. Nature of cervical cancer and other HPV-associated cancers. </w:t>
      </w:r>
      <w:r w:rsidRPr="00F27F90">
        <w:rPr>
          <w:i/>
        </w:rPr>
        <w:t>Journal of BUON</w:t>
      </w:r>
      <w:r w:rsidRPr="00F27F90">
        <w:t xml:space="preserve"> 2009;14:391-8.</w:t>
      </w:r>
      <w:bookmarkEnd w:id="266"/>
    </w:p>
    <w:p w:rsidR="00F27F90" w:rsidRPr="00F27F90" w:rsidRDefault="00F27F90" w:rsidP="00F27F90">
      <w:pPr>
        <w:pStyle w:val="EndNoteBibliography"/>
        <w:spacing w:after="240"/>
      </w:pPr>
      <w:bookmarkStart w:id="267" w:name="_ENREF_6"/>
      <w:r w:rsidRPr="00F27F90">
        <w:t>6.</w:t>
      </w:r>
      <w:r w:rsidRPr="00F27F90">
        <w:tab/>
        <w:t xml:space="preserve">Koutsky L. Epidemiology of genital human papillomavirus infection. </w:t>
      </w:r>
      <w:r w:rsidRPr="00F27F90">
        <w:rPr>
          <w:i/>
        </w:rPr>
        <w:t>American Journal of Medicine</w:t>
      </w:r>
      <w:r w:rsidRPr="00F27F90">
        <w:t xml:space="preserve"> 1997;102:3-8.</w:t>
      </w:r>
      <w:bookmarkEnd w:id="267"/>
    </w:p>
    <w:p w:rsidR="00F27F90" w:rsidRPr="00F27F90" w:rsidRDefault="00F27F90" w:rsidP="00F27F90">
      <w:pPr>
        <w:pStyle w:val="EndNoteBibliography"/>
        <w:spacing w:after="240"/>
      </w:pPr>
      <w:bookmarkStart w:id="268" w:name="_ENREF_7"/>
      <w:r w:rsidRPr="00F27F90">
        <w:t>7.</w:t>
      </w:r>
      <w:r w:rsidRPr="00F27F90">
        <w:tab/>
        <w:t xml:space="preserve">Dunne EF, Markowitz LE. Genital human papillomavirus infection. </w:t>
      </w:r>
      <w:r w:rsidRPr="00F27F90">
        <w:rPr>
          <w:i/>
        </w:rPr>
        <w:t>Clinical Infectious Diseases</w:t>
      </w:r>
      <w:r w:rsidRPr="00F27F90">
        <w:t xml:space="preserve"> 2006;43:624-9.</w:t>
      </w:r>
      <w:bookmarkEnd w:id="268"/>
    </w:p>
    <w:p w:rsidR="00F27F90" w:rsidRPr="00F27F90" w:rsidRDefault="00F27F90" w:rsidP="00F27F90">
      <w:pPr>
        <w:pStyle w:val="EndNoteBibliography"/>
        <w:spacing w:after="240"/>
      </w:pPr>
      <w:bookmarkStart w:id="269" w:name="_ENREF_8"/>
      <w:r w:rsidRPr="00F27F90">
        <w:t>8.</w:t>
      </w:r>
      <w:r w:rsidRPr="00F27F90">
        <w:tab/>
        <w:t xml:space="preserve">Winer RL, Feng Q, Hughes JP, et al. Risk of female human papillomavirus acquisition associated with first male sex partner. </w:t>
      </w:r>
      <w:r w:rsidRPr="00F27F90">
        <w:rPr>
          <w:i/>
        </w:rPr>
        <w:t>Journal of Infectious Diseases</w:t>
      </w:r>
      <w:r w:rsidRPr="00F27F90">
        <w:t xml:space="preserve"> 2008;197:279-82.</w:t>
      </w:r>
      <w:bookmarkEnd w:id="269"/>
    </w:p>
    <w:p w:rsidR="00F27F90" w:rsidRPr="00F27F90" w:rsidRDefault="00F27F90" w:rsidP="00F27F90">
      <w:pPr>
        <w:pStyle w:val="EndNoteBibliography"/>
        <w:spacing w:after="240"/>
      </w:pPr>
      <w:bookmarkStart w:id="270" w:name="_ENREF_9"/>
      <w:r w:rsidRPr="00F27F90">
        <w:t>9.</w:t>
      </w:r>
      <w:r w:rsidRPr="00F27F90">
        <w:tab/>
        <w:t xml:space="preserve">International Agency for Research on Cancer. </w:t>
      </w:r>
      <w:hyperlink r:id="rId57" w:history="1">
        <w:r w:rsidRPr="00281E8C">
          <w:rPr>
            <w:rStyle w:val="Hyperlink"/>
          </w:rPr>
          <w:t>CANCERMondial</w:t>
        </w:r>
      </w:hyperlink>
      <w:r w:rsidRPr="00F27F90">
        <w:t>. 2012. (Accessed 11 July 2012).</w:t>
      </w:r>
      <w:bookmarkEnd w:id="270"/>
    </w:p>
    <w:p w:rsidR="00F27F90" w:rsidRPr="00F27F90" w:rsidRDefault="00F27F90" w:rsidP="00F27F90">
      <w:pPr>
        <w:pStyle w:val="EndNoteBibliography"/>
        <w:spacing w:after="240"/>
      </w:pPr>
      <w:bookmarkStart w:id="271" w:name="_ENREF_10"/>
      <w:r w:rsidRPr="00F27F90">
        <w:t>10.</w:t>
      </w:r>
      <w:r w:rsidRPr="00F27F90">
        <w:tab/>
        <w:t>Australian Institute of Health and Welfare (AIHW). Cervical screening in Australia 2009-2010. Cancer series no. 67. Cat. no. CAN 63. Canberra: AIHW; 2012.</w:t>
      </w:r>
      <w:bookmarkEnd w:id="271"/>
    </w:p>
    <w:p w:rsidR="00F27F90" w:rsidRPr="00F27F90" w:rsidRDefault="00F27F90" w:rsidP="00F27F90">
      <w:pPr>
        <w:pStyle w:val="EndNoteBibliography"/>
        <w:spacing w:after="240"/>
      </w:pPr>
      <w:bookmarkStart w:id="272" w:name="_ENREF_11"/>
      <w:r w:rsidRPr="00F27F90">
        <w:t>11.</w:t>
      </w:r>
      <w:r w:rsidRPr="00F27F90">
        <w:tab/>
        <w:t xml:space="preserve">Condon J, Armstrong B, Barnes T, Zhao Y. Cancer incidence and survival for indigenous Australians in the Northern Territory. </w:t>
      </w:r>
      <w:r w:rsidRPr="00F27F90">
        <w:rPr>
          <w:i/>
        </w:rPr>
        <w:t>Australian and New Zealand Journal of Public Health</w:t>
      </w:r>
      <w:r w:rsidRPr="00F27F90">
        <w:t xml:space="preserve"> 2005;29:123-8.</w:t>
      </w:r>
      <w:bookmarkEnd w:id="272"/>
    </w:p>
    <w:p w:rsidR="00F27F90" w:rsidRPr="00F27F90" w:rsidRDefault="00F27F90" w:rsidP="00F27F90">
      <w:pPr>
        <w:pStyle w:val="EndNoteBibliography"/>
        <w:spacing w:after="240"/>
      </w:pPr>
      <w:bookmarkStart w:id="273" w:name="_ENREF_12"/>
      <w:r w:rsidRPr="00F27F90">
        <w:t>12.</w:t>
      </w:r>
      <w:r w:rsidRPr="00F27F90">
        <w:tab/>
        <w:t xml:space="preserve">de Sanjose S, Quint WG, Alemany L, et al. Human papillomavirus genotype attribution in invasive cervical cancer: a retrospective cross-sectional worldwide study. </w:t>
      </w:r>
      <w:r w:rsidRPr="00F27F90">
        <w:rPr>
          <w:i/>
        </w:rPr>
        <w:t>Lancet Oncology</w:t>
      </w:r>
      <w:r w:rsidRPr="00F27F90">
        <w:t xml:space="preserve"> 2010;11:1048-56.</w:t>
      </w:r>
      <w:bookmarkEnd w:id="273"/>
    </w:p>
    <w:p w:rsidR="00F27F90" w:rsidRPr="00F27F90" w:rsidRDefault="00F27F90" w:rsidP="00F27F90">
      <w:pPr>
        <w:pStyle w:val="EndNoteBibliography"/>
        <w:spacing w:after="240"/>
      </w:pPr>
      <w:bookmarkStart w:id="274" w:name="_ENREF_13"/>
      <w:r w:rsidRPr="00F27F90">
        <w:t>13.</w:t>
      </w:r>
      <w:r w:rsidRPr="00F27F90">
        <w:tab/>
        <w:t xml:space="preserve">Garland S, Steben M, Sings H, et al. Natural history of genital warts: analysis of the placebo arm of 2 randomized phase III trials of a quadrivalent human papillomavirus (types 6, 11, 16, and 18) vaccine. </w:t>
      </w:r>
      <w:r w:rsidRPr="00F27F90">
        <w:rPr>
          <w:i/>
        </w:rPr>
        <w:t>Journal of Infectious Diseases</w:t>
      </w:r>
      <w:r w:rsidRPr="00F27F90">
        <w:t xml:space="preserve"> 2009;199:805-14.</w:t>
      </w:r>
      <w:bookmarkEnd w:id="274"/>
    </w:p>
    <w:p w:rsidR="00F27F90" w:rsidRPr="00F27F90" w:rsidRDefault="00F27F90" w:rsidP="00F27F90">
      <w:pPr>
        <w:pStyle w:val="EndNoteBibliography"/>
        <w:spacing w:after="240"/>
      </w:pPr>
      <w:bookmarkStart w:id="275" w:name="_ENREF_14"/>
      <w:r w:rsidRPr="00F27F90">
        <w:t>14.</w:t>
      </w:r>
      <w:r w:rsidRPr="00F27F90">
        <w:tab/>
        <w:t xml:space="preserve">Newall AT, Brotherton JM, Quinn HE, et al. Population seroprevalence of human papillomavirus types 6, 11, 16, and 18 in men, women, and children in Australia. </w:t>
      </w:r>
      <w:r w:rsidRPr="00F27F90">
        <w:rPr>
          <w:i/>
        </w:rPr>
        <w:t>Clinical Infectious Diseases</w:t>
      </w:r>
      <w:r w:rsidRPr="00F27F90">
        <w:t xml:space="preserve"> 2008;46:1647-55.</w:t>
      </w:r>
      <w:bookmarkEnd w:id="275"/>
    </w:p>
    <w:p w:rsidR="00F27F90" w:rsidRPr="00F27F90" w:rsidRDefault="00F27F90" w:rsidP="00F27F90">
      <w:pPr>
        <w:pStyle w:val="EndNoteBibliography"/>
        <w:spacing w:after="240"/>
      </w:pPr>
      <w:bookmarkStart w:id="276" w:name="_ENREF_15"/>
      <w:r w:rsidRPr="00F27F90">
        <w:t>15.</w:t>
      </w:r>
      <w:r w:rsidRPr="00F27F90">
        <w:tab/>
        <w:t xml:space="preserve">Pirotta M, Stein AN, Conway EL, et al. Genital warts incidence and healthcare resource utilisation in Australia. </w:t>
      </w:r>
      <w:r w:rsidRPr="00F27F90">
        <w:rPr>
          <w:i/>
        </w:rPr>
        <w:t>Sexually Transmitted Infections</w:t>
      </w:r>
      <w:r w:rsidRPr="00F27F90">
        <w:t xml:space="preserve"> 2010;86:181-6.</w:t>
      </w:r>
      <w:bookmarkEnd w:id="276"/>
    </w:p>
    <w:p w:rsidR="00F27F90" w:rsidRPr="00F27F90" w:rsidRDefault="00F27F90" w:rsidP="00F27F90">
      <w:pPr>
        <w:pStyle w:val="EndNoteBibliography"/>
        <w:spacing w:after="240"/>
      </w:pPr>
      <w:bookmarkStart w:id="277" w:name="_ENREF_16"/>
      <w:r w:rsidRPr="00F27F90">
        <w:t>16.</w:t>
      </w:r>
      <w:r w:rsidRPr="00F27F90">
        <w:tab/>
        <w:t>GlaxoSmithKline Australia. Cervarix</w:t>
      </w:r>
      <w:r w:rsidRPr="00F27F90">
        <w:rPr>
          <w:vertAlign w:val="superscript"/>
        </w:rPr>
        <w:t xml:space="preserve"> </w:t>
      </w:r>
      <w:r w:rsidRPr="00F27F90">
        <w:t>product information. Human papillomavirus vaccine types 16 and 18 (recombinant, AS04 adjuvanted). 2011.</w:t>
      </w:r>
      <w:bookmarkEnd w:id="277"/>
    </w:p>
    <w:p w:rsidR="00F27F90" w:rsidRPr="00F27F90" w:rsidRDefault="00F27F90" w:rsidP="00F27F90">
      <w:pPr>
        <w:pStyle w:val="EndNoteBibliography"/>
        <w:spacing w:after="240"/>
      </w:pPr>
      <w:bookmarkStart w:id="278" w:name="_ENREF_17"/>
      <w:r w:rsidRPr="00F27F90">
        <w:t>17.</w:t>
      </w:r>
      <w:r w:rsidRPr="00F27F90">
        <w:tab/>
        <w:t xml:space="preserve">Villa LL, Costa RL, Petta CA, et al. Prophylactic quadrivalent human papillomavirus (types 6, 11, 16, and 18) L1 virus-like particle vaccine in young women: a randomised double-blind placebo-controlled multicentre phase II efficacy trial. </w:t>
      </w:r>
      <w:r w:rsidRPr="00F27F90">
        <w:rPr>
          <w:i/>
        </w:rPr>
        <w:t>Lancet Oncology</w:t>
      </w:r>
      <w:r w:rsidRPr="00F27F90">
        <w:t xml:space="preserve"> 2005;6:271-8.</w:t>
      </w:r>
      <w:bookmarkEnd w:id="278"/>
    </w:p>
    <w:p w:rsidR="00F27F90" w:rsidRPr="00F27F90" w:rsidRDefault="00F27F90" w:rsidP="00F27F90">
      <w:pPr>
        <w:pStyle w:val="EndNoteBibliography"/>
        <w:spacing w:after="240"/>
      </w:pPr>
      <w:bookmarkStart w:id="279" w:name="_ENREF_18"/>
      <w:r w:rsidRPr="00F27F90">
        <w:t>18.</w:t>
      </w:r>
      <w:r w:rsidRPr="00F27F90">
        <w:tab/>
        <w:t xml:space="preserve">Harper DM, Franco EL, Wheeler C, et al. Efficacy of a bivalent L1 virus-like particle vaccine in prevention of infection with human papillomavirus types 16 and 18 in young women: a randomised controlled trial. </w:t>
      </w:r>
      <w:r w:rsidRPr="00F27F90">
        <w:rPr>
          <w:i/>
        </w:rPr>
        <w:t>Lancet</w:t>
      </w:r>
      <w:r w:rsidRPr="00F27F90">
        <w:t xml:space="preserve"> 2004;364:1757-65.</w:t>
      </w:r>
      <w:bookmarkEnd w:id="279"/>
    </w:p>
    <w:p w:rsidR="00F27F90" w:rsidRPr="00F27F90" w:rsidRDefault="00F27F90" w:rsidP="00F27F90">
      <w:pPr>
        <w:pStyle w:val="EndNoteBibliography"/>
        <w:spacing w:after="240"/>
      </w:pPr>
      <w:bookmarkStart w:id="280" w:name="_ENREF_19"/>
      <w:r w:rsidRPr="00F27F90">
        <w:t>19.</w:t>
      </w:r>
      <w:r w:rsidRPr="00F27F90">
        <w:tab/>
        <w:t xml:space="preserve">Harper DM, Franco EL, Wheeler CM, et al. Sustained efficacy up to 4.5 years of a bivalent L1 virus-like particle vaccine against human papillomavirus types 16 and 18: follow-up from a randomised control trial. </w:t>
      </w:r>
      <w:r w:rsidRPr="00F27F90">
        <w:rPr>
          <w:i/>
        </w:rPr>
        <w:t>Lancet</w:t>
      </w:r>
      <w:r w:rsidRPr="00F27F90">
        <w:t xml:space="preserve"> 2006;367:1247-55.</w:t>
      </w:r>
      <w:bookmarkEnd w:id="280"/>
    </w:p>
    <w:p w:rsidR="00F27F90" w:rsidRPr="00F27F90" w:rsidRDefault="00F27F90" w:rsidP="00F27F90">
      <w:pPr>
        <w:pStyle w:val="EndNoteBibliography"/>
        <w:spacing w:after="240"/>
      </w:pPr>
      <w:bookmarkStart w:id="281" w:name="_ENREF_20"/>
      <w:r w:rsidRPr="00F27F90">
        <w:t>20.</w:t>
      </w:r>
      <w:r w:rsidRPr="00F27F90">
        <w:tab/>
        <w:t>Merck Sharp &amp; Dohme Pty Limited. Gardasil product information (Quadrivalent human papillomavirus (types 6, 11, 16, 18) recombinant vaccine). 2011.</w:t>
      </w:r>
      <w:bookmarkEnd w:id="281"/>
    </w:p>
    <w:p w:rsidR="00F27F90" w:rsidRPr="00F27F90" w:rsidRDefault="00F27F90" w:rsidP="00F27F90">
      <w:pPr>
        <w:pStyle w:val="EndNoteBibliography"/>
        <w:spacing w:after="240"/>
      </w:pPr>
      <w:bookmarkStart w:id="282" w:name="_ENREF_21"/>
      <w:r w:rsidRPr="00F27F90">
        <w:t>21.</w:t>
      </w:r>
      <w:r w:rsidRPr="00F27F90">
        <w:tab/>
        <w:t xml:space="preserve">Theraputic Goods Administration. </w:t>
      </w:r>
      <w:hyperlink r:id="rId58" w:history="1">
        <w:r w:rsidRPr="006F06C9">
          <w:rPr>
            <w:rStyle w:val="Hyperlink"/>
          </w:rPr>
          <w:t>Australian Public Assessment Report for Gardasil. Canberra: Commonwealth of Australia</w:t>
        </w:r>
      </w:hyperlink>
      <w:r w:rsidRPr="00F27F90">
        <w:t>; 2011. (Accessed 13 December 2013).</w:t>
      </w:r>
      <w:bookmarkEnd w:id="282"/>
    </w:p>
    <w:p w:rsidR="00F27F90" w:rsidRPr="00F27F90" w:rsidRDefault="00F27F90" w:rsidP="00F27F90">
      <w:pPr>
        <w:pStyle w:val="EndNoteBibliography"/>
        <w:spacing w:after="240"/>
      </w:pPr>
      <w:bookmarkStart w:id="283" w:name="_ENREF_22"/>
      <w:r w:rsidRPr="001625B1">
        <w:t>22.</w:t>
      </w:r>
      <w:r w:rsidRPr="001625B1">
        <w:tab/>
        <w:t xml:space="preserve">Abbott T. </w:t>
      </w:r>
      <w:hyperlink r:id="rId59" w:history="1">
        <w:r w:rsidRPr="001625B1">
          <w:rPr>
            <w:rStyle w:val="Hyperlink"/>
          </w:rPr>
          <w:t>Media release: Government funds Gardasil</w:t>
        </w:r>
      </w:hyperlink>
      <w:r w:rsidRPr="001625B1">
        <w:t>. 2006. Accessed 9 July 2012).</w:t>
      </w:r>
      <w:bookmarkEnd w:id="283"/>
    </w:p>
    <w:p w:rsidR="00F27F90" w:rsidRPr="00F27F90" w:rsidRDefault="00F27F90" w:rsidP="00F27F90">
      <w:pPr>
        <w:pStyle w:val="EndNoteBibliography"/>
        <w:spacing w:after="240"/>
      </w:pPr>
      <w:bookmarkStart w:id="284" w:name="_ENREF_23"/>
      <w:r w:rsidRPr="00F27F90">
        <w:t>23.</w:t>
      </w:r>
      <w:r w:rsidRPr="00F27F90">
        <w:tab/>
        <w:t xml:space="preserve">Ward K, Quinn H, Bachelor M, et al. Adolescent school-based vaccination in Australia. </w:t>
      </w:r>
      <w:r w:rsidRPr="00F27F90">
        <w:rPr>
          <w:i/>
        </w:rPr>
        <w:t>Communicable Diseases Intelligence</w:t>
      </w:r>
      <w:r w:rsidRPr="00F27F90">
        <w:t xml:space="preserve"> 2013;37:E156-67.</w:t>
      </w:r>
      <w:bookmarkEnd w:id="284"/>
    </w:p>
    <w:p w:rsidR="00F27F90" w:rsidRPr="00F27F90" w:rsidRDefault="00F27F90" w:rsidP="00F27F90">
      <w:pPr>
        <w:pStyle w:val="EndNoteBibliography"/>
        <w:spacing w:after="240"/>
      </w:pPr>
      <w:bookmarkStart w:id="285" w:name="_ENREF_24"/>
      <w:r w:rsidRPr="00F27F90">
        <w:t>24.</w:t>
      </w:r>
      <w:r w:rsidRPr="00F27F90">
        <w:tab/>
        <w:t xml:space="preserve">Victorian Cytology Service (VCS). </w:t>
      </w:r>
      <w:hyperlink r:id="rId60" w:history="1">
        <w:r w:rsidRPr="00281E8C">
          <w:rPr>
            <w:rStyle w:val="Hyperlink"/>
          </w:rPr>
          <w:t>The National Human Papillomavirus (HPV) Vaccination Program Register</w:t>
        </w:r>
      </w:hyperlink>
      <w:r w:rsidRPr="00F27F90">
        <w:t>. 2010. (Accessed 7 March 2011).</w:t>
      </w:r>
      <w:bookmarkEnd w:id="285"/>
    </w:p>
    <w:p w:rsidR="00F27F90" w:rsidRPr="00F27F90" w:rsidRDefault="00F27F90" w:rsidP="00F27F90">
      <w:pPr>
        <w:pStyle w:val="EndNoteBibliography"/>
        <w:spacing w:after="240"/>
      </w:pPr>
      <w:bookmarkStart w:id="286" w:name="_ENREF_25"/>
      <w:r w:rsidRPr="00F27F90">
        <w:t>25.</w:t>
      </w:r>
      <w:r w:rsidRPr="00F27F90">
        <w:tab/>
        <w:t xml:space="preserve">Pharmacutical Benefits Advisory Committee (PBAC). </w:t>
      </w:r>
      <w:hyperlink r:id="rId61" w:history="1">
        <w:r w:rsidRPr="00281E8C">
          <w:rPr>
            <w:rStyle w:val="Hyperlink"/>
          </w:rPr>
          <w:t>November 2011 PBAC outcomes - positive recommendations</w:t>
        </w:r>
      </w:hyperlink>
      <w:r w:rsidRPr="00F27F90">
        <w:t>. 2011. (Accessed 13 December 2013).</w:t>
      </w:r>
      <w:bookmarkEnd w:id="286"/>
    </w:p>
    <w:p w:rsidR="00F27F90" w:rsidRPr="00F27F90" w:rsidRDefault="00F27F90" w:rsidP="00F27F90">
      <w:pPr>
        <w:pStyle w:val="EndNoteBibliography"/>
        <w:spacing w:after="240"/>
      </w:pPr>
      <w:bookmarkStart w:id="287" w:name="_ENREF_26"/>
      <w:r w:rsidRPr="00BA0604">
        <w:t>26.</w:t>
      </w:r>
      <w:r w:rsidRPr="00BA0604">
        <w:tab/>
        <w:t xml:space="preserve">Plibersek T. </w:t>
      </w:r>
      <w:hyperlink r:id="rId62" w:history="1">
        <w:r w:rsidRPr="00BA0604">
          <w:rPr>
            <w:rStyle w:val="Hyperlink"/>
          </w:rPr>
          <w:t>Media release: HPV vaccine extended to boys</w:t>
        </w:r>
      </w:hyperlink>
      <w:r w:rsidRPr="00BA0604">
        <w:t>. 2012. (Accessed 12 July 2013).</w:t>
      </w:r>
      <w:bookmarkEnd w:id="287"/>
    </w:p>
    <w:p w:rsidR="00F27F90" w:rsidRPr="00F27F90" w:rsidRDefault="00F27F90" w:rsidP="00F27F90">
      <w:pPr>
        <w:pStyle w:val="EndNoteBibliography"/>
        <w:spacing w:after="240"/>
      </w:pPr>
      <w:bookmarkStart w:id="288" w:name="_ENREF_27"/>
      <w:r w:rsidRPr="00F27F90">
        <w:t>27.</w:t>
      </w:r>
      <w:r w:rsidRPr="00F27F90">
        <w:tab/>
        <w:t xml:space="preserve">Brotherton JM, Leask J, Jackson C, McCaffery K, Trevena LJ. National survey of general practitioners' experience of delivering the National Human Papillomavirus Vaccination Program. </w:t>
      </w:r>
      <w:r w:rsidRPr="00F27F90">
        <w:rPr>
          <w:i/>
        </w:rPr>
        <w:t>Sexual Health</w:t>
      </w:r>
      <w:r w:rsidRPr="00F27F90">
        <w:t xml:space="preserve"> 2010;7:291-8.</w:t>
      </w:r>
      <w:bookmarkEnd w:id="288"/>
    </w:p>
    <w:p w:rsidR="00F27F90" w:rsidRPr="00F27F90" w:rsidRDefault="00F27F90" w:rsidP="00F27F90">
      <w:pPr>
        <w:pStyle w:val="EndNoteBibliography"/>
        <w:spacing w:after="240"/>
      </w:pPr>
      <w:bookmarkStart w:id="289" w:name="_ENREF_28"/>
      <w:r w:rsidRPr="00F27F90">
        <w:t>28.</w:t>
      </w:r>
      <w:r w:rsidRPr="00F27F90">
        <w:tab/>
        <w:t xml:space="preserve">Leask J, Jackson C, Trevena L, McCaffery K, Brotherton J. Implementation of the Australian HPV vaccination program for adult women: qualitative key informant interviews. </w:t>
      </w:r>
      <w:r w:rsidRPr="00F27F90">
        <w:rPr>
          <w:i/>
        </w:rPr>
        <w:t>Vaccine</w:t>
      </w:r>
      <w:r w:rsidRPr="00F27F90">
        <w:t xml:space="preserve"> 2009;27:5505-12.</w:t>
      </w:r>
      <w:bookmarkEnd w:id="289"/>
    </w:p>
    <w:p w:rsidR="00F27F90" w:rsidRPr="00F27F90" w:rsidRDefault="00F27F90" w:rsidP="00F27F90">
      <w:pPr>
        <w:pStyle w:val="EndNoteBibliography"/>
        <w:spacing w:after="240"/>
      </w:pPr>
      <w:bookmarkStart w:id="290" w:name="_ENREF_29"/>
      <w:r w:rsidRPr="00F27F90">
        <w:t>29.</w:t>
      </w:r>
      <w:r w:rsidRPr="00F27F90">
        <w:tab/>
        <w:t xml:space="preserve">Cooper-Robbins S, Bernard D, McCaffery K, Skinner SR. 'It's a logistical nightmare!' Recommendations for optimising human papillomavirus school-based vaccination experience. </w:t>
      </w:r>
      <w:r w:rsidRPr="00F27F90">
        <w:rPr>
          <w:i/>
        </w:rPr>
        <w:t>Sexual Health</w:t>
      </w:r>
      <w:r w:rsidRPr="00F27F90">
        <w:t xml:space="preserve"> 2010;7:271-8.</w:t>
      </w:r>
      <w:bookmarkEnd w:id="290"/>
    </w:p>
    <w:p w:rsidR="00F27F90" w:rsidRPr="00F27F90" w:rsidRDefault="00F27F90" w:rsidP="00F27F90">
      <w:pPr>
        <w:pStyle w:val="EndNoteBibliography"/>
        <w:spacing w:after="240"/>
      </w:pPr>
      <w:bookmarkStart w:id="291" w:name="_ENREF_30"/>
      <w:r w:rsidRPr="00F27F90">
        <w:t>30.</w:t>
      </w:r>
      <w:r w:rsidRPr="00F27F90">
        <w:tab/>
        <w:t xml:space="preserve">Kent H, Heffernan ME, Silvers J, Moore E, Garland SM. Role of the nurse immuniser in implementing and maintaining the National Human Papillomavirus 'Cervical Cancer' Vaccine rollout through a school-based program in Victoria. </w:t>
      </w:r>
      <w:r w:rsidRPr="00F27F90">
        <w:rPr>
          <w:i/>
        </w:rPr>
        <w:t>Sexual Health</w:t>
      </w:r>
      <w:r w:rsidRPr="00F27F90">
        <w:t xml:space="preserve"> 2010;7:391-3.</w:t>
      </w:r>
      <w:bookmarkEnd w:id="291"/>
    </w:p>
    <w:p w:rsidR="00F27F90" w:rsidRPr="00F27F90" w:rsidRDefault="00F27F90" w:rsidP="00F27F90">
      <w:pPr>
        <w:pStyle w:val="EndNoteBibliography"/>
        <w:spacing w:after="240"/>
      </w:pPr>
      <w:bookmarkStart w:id="292" w:name="_ENREF_31"/>
      <w:r w:rsidRPr="00F27F90">
        <w:t>31.</w:t>
      </w:r>
      <w:r w:rsidRPr="00F27F90">
        <w:tab/>
        <w:t xml:space="preserve">Reeve C, De La Rue S, Pashen D, Culpan M, Cheffins T. School-based vaccinations delivered by general practice in rural north Queensland: an evaluation of a new human papilloma virus vaccination program [erratum appears in Commun Dis Intell. 2008 Sep;32(3):369]. </w:t>
      </w:r>
      <w:r w:rsidRPr="00F27F90">
        <w:rPr>
          <w:i/>
        </w:rPr>
        <w:t>Communicable Diseases Intelligence</w:t>
      </w:r>
      <w:r w:rsidRPr="00F27F90">
        <w:t xml:space="preserve"> 2008;32:94-8.</w:t>
      </w:r>
      <w:bookmarkEnd w:id="292"/>
    </w:p>
    <w:p w:rsidR="00F27F90" w:rsidRPr="00F27F90" w:rsidRDefault="00F27F90" w:rsidP="00F27F90">
      <w:pPr>
        <w:pStyle w:val="EndNoteBibliography"/>
        <w:spacing w:after="240"/>
      </w:pPr>
      <w:bookmarkStart w:id="293" w:name="_ENREF_32"/>
      <w:r w:rsidRPr="00F27F90">
        <w:t>32.</w:t>
      </w:r>
      <w:r w:rsidRPr="00F27F90">
        <w:tab/>
        <w:t xml:space="preserve">Watson M, Shaw D, Molchanoff L, McInnes C. Challenges, lessons learned and results following the implementation of a human papillomavirus school vaccination program in South Australia. </w:t>
      </w:r>
      <w:r w:rsidRPr="00F27F90">
        <w:rPr>
          <w:i/>
        </w:rPr>
        <w:t>Australian and New Zealand Journal of Public Health</w:t>
      </w:r>
      <w:r w:rsidRPr="00F27F90">
        <w:t xml:space="preserve"> 2009;33:365-70.</w:t>
      </w:r>
      <w:bookmarkEnd w:id="293"/>
    </w:p>
    <w:p w:rsidR="00F27F90" w:rsidRPr="00F27F90" w:rsidRDefault="00F27F90" w:rsidP="00F27F90">
      <w:pPr>
        <w:pStyle w:val="EndNoteBibliography"/>
        <w:spacing w:after="240"/>
      </w:pPr>
      <w:bookmarkStart w:id="294" w:name="_ENREF_33"/>
      <w:r w:rsidRPr="00F27F90">
        <w:t>33.</w:t>
      </w:r>
      <w:r w:rsidRPr="00F27F90">
        <w:tab/>
        <w:t xml:space="preserve">Cooper-Robbins SC, Bernard D, McCaffery K, et al. "Is cancer contagious?": Australian adolescent girls and their parents: making the most of limited information about HPV and HPV vaccination. </w:t>
      </w:r>
      <w:r w:rsidRPr="00F27F90">
        <w:rPr>
          <w:i/>
        </w:rPr>
        <w:t>Vaccine</w:t>
      </w:r>
      <w:r w:rsidRPr="00F27F90">
        <w:t xml:space="preserve"> 2010;28:3398-408.</w:t>
      </w:r>
      <w:bookmarkEnd w:id="294"/>
    </w:p>
    <w:p w:rsidR="00F27F90" w:rsidRPr="00F27F90" w:rsidRDefault="00F27F90" w:rsidP="00F27F90">
      <w:pPr>
        <w:pStyle w:val="EndNoteBibliography"/>
        <w:spacing w:after="240"/>
      </w:pPr>
      <w:bookmarkStart w:id="295" w:name="_ENREF_34"/>
      <w:r w:rsidRPr="00F27F90">
        <w:t>34.</w:t>
      </w:r>
      <w:r w:rsidRPr="00F27F90">
        <w:tab/>
        <w:t xml:space="preserve">Cooper-Robbins SC, Ward K, Skinner SR. School-based vaccination: a systematic review of process evaluations. </w:t>
      </w:r>
      <w:r w:rsidRPr="00F27F90">
        <w:rPr>
          <w:i/>
        </w:rPr>
        <w:t>Vaccine</w:t>
      </w:r>
      <w:r w:rsidRPr="00F27F90">
        <w:t xml:space="preserve"> 2011;29:9588-99.</w:t>
      </w:r>
      <w:bookmarkEnd w:id="295"/>
    </w:p>
    <w:p w:rsidR="00F27F90" w:rsidRPr="00F27F90" w:rsidRDefault="00F27F90" w:rsidP="00F27F90">
      <w:pPr>
        <w:pStyle w:val="EndNoteBibliography"/>
        <w:spacing w:after="240"/>
      </w:pPr>
      <w:bookmarkStart w:id="296" w:name="_ENREF_35"/>
      <w:r w:rsidRPr="00F27F90">
        <w:t>35.</w:t>
      </w:r>
      <w:r w:rsidRPr="00F27F90">
        <w:tab/>
        <w:t>Queensland Health Immunisation Program. Evaluation of the school based vaccination program (2007-2009). Stakeholders' report. Brisbane: Queensland Government; 2010.</w:t>
      </w:r>
      <w:bookmarkEnd w:id="296"/>
    </w:p>
    <w:p w:rsidR="00F27F90" w:rsidRPr="00F27F90" w:rsidRDefault="00F27F90" w:rsidP="00F27F90">
      <w:pPr>
        <w:pStyle w:val="EndNoteBibliography"/>
        <w:spacing w:after="240"/>
      </w:pPr>
      <w:bookmarkStart w:id="297" w:name="_ENREF_36"/>
      <w:r w:rsidRPr="00F27F90">
        <w:t>36.</w:t>
      </w:r>
      <w:r w:rsidRPr="00F27F90">
        <w:tab/>
        <w:t xml:space="preserve">COAG. </w:t>
      </w:r>
      <w:hyperlink r:id="rId63" w:history="1">
        <w:r w:rsidRPr="00E501D4">
          <w:rPr>
            <w:rStyle w:val="Hyperlink"/>
          </w:rPr>
          <w:t>National Partnership Agreement on Essential Vaccines.</w:t>
        </w:r>
      </w:hyperlink>
      <w:r w:rsidRPr="00F27F90">
        <w:t xml:space="preserve"> 2009.</w:t>
      </w:r>
      <w:bookmarkEnd w:id="297"/>
    </w:p>
    <w:p w:rsidR="00F27F90" w:rsidRPr="00F27F90" w:rsidRDefault="00F27F90" w:rsidP="00F27F90">
      <w:pPr>
        <w:pStyle w:val="EndNoteBibliography"/>
        <w:spacing w:after="240"/>
      </w:pPr>
      <w:bookmarkStart w:id="298" w:name="_ENREF_37"/>
      <w:r w:rsidRPr="00F27F90">
        <w:t>37.</w:t>
      </w:r>
      <w:r w:rsidRPr="00F27F90">
        <w:tab/>
        <w:t>PBAC. November 2011 PBAC Outcomes - Positive Recommendations. Australian Department of Health:2011 (Accessed 1/05/2014).</w:t>
      </w:r>
      <w:bookmarkEnd w:id="298"/>
    </w:p>
    <w:p w:rsidR="00F27F90" w:rsidRPr="00F27F90" w:rsidRDefault="00F27F90" w:rsidP="00F27F90">
      <w:pPr>
        <w:pStyle w:val="EndNoteBibliography"/>
        <w:spacing w:after="240"/>
      </w:pPr>
      <w:bookmarkStart w:id="299" w:name="_ENREF_38"/>
      <w:r w:rsidRPr="00F27F90">
        <w:t>38.</w:t>
      </w:r>
      <w:r w:rsidRPr="00F27F90">
        <w:tab/>
        <w:t xml:space="preserve">Brotherton J, Gertig D, Chappell G, Rowlands L, Saville M. Catching up with the catch-up: HPV vaccination coverage data for Australian women aged 18-26 years from the National HPV Vaccination Program Register. </w:t>
      </w:r>
      <w:r w:rsidRPr="00F27F90">
        <w:rPr>
          <w:i/>
        </w:rPr>
        <w:t>Communicable Diseases Intelligence</w:t>
      </w:r>
      <w:r w:rsidRPr="00F27F90">
        <w:t xml:space="preserve"> 2011;35:197-201.</w:t>
      </w:r>
      <w:bookmarkEnd w:id="299"/>
    </w:p>
    <w:p w:rsidR="00F27F90" w:rsidRPr="00F27F90" w:rsidRDefault="00F27F90" w:rsidP="00F27F90">
      <w:pPr>
        <w:pStyle w:val="EndNoteBibliography"/>
        <w:spacing w:after="240"/>
      </w:pPr>
      <w:bookmarkStart w:id="300" w:name="_ENREF_39"/>
      <w:r w:rsidRPr="00F27F90">
        <w:t>39.</w:t>
      </w:r>
      <w:r w:rsidRPr="00F27F90">
        <w:tab/>
        <w:t xml:space="preserve">Gertig DM, Brotherton JM, Saville M. Measuring human papillomavirus (HPV) vaccination coverage and the role of the National HPV Vaccination Program Register, Australia. </w:t>
      </w:r>
      <w:r w:rsidRPr="00F27F90">
        <w:rPr>
          <w:i/>
        </w:rPr>
        <w:t>Sexual Health</w:t>
      </w:r>
      <w:r w:rsidRPr="00F27F90">
        <w:t xml:space="preserve"> 2011;8:171-8.</w:t>
      </w:r>
      <w:bookmarkEnd w:id="300"/>
    </w:p>
    <w:p w:rsidR="00F27F90" w:rsidRPr="00F27F90" w:rsidRDefault="00F27F90" w:rsidP="00F27F90">
      <w:pPr>
        <w:pStyle w:val="EndNoteBibliography"/>
        <w:spacing w:after="240"/>
      </w:pPr>
      <w:bookmarkStart w:id="301" w:name="_ENREF_40"/>
      <w:r w:rsidRPr="00F27F90">
        <w:t>40.</w:t>
      </w:r>
      <w:r w:rsidRPr="00F27F90">
        <w:tab/>
        <w:t xml:space="preserve">Barbaro B, Brotherton JML. Assessing HPV vaccine coverage in Australia by geography and socioeconomic status: are we protecting those most at risk? </w:t>
      </w:r>
      <w:r w:rsidRPr="00F27F90">
        <w:rPr>
          <w:i/>
        </w:rPr>
        <w:t>Australian and New Zealand Journal of Public Health</w:t>
      </w:r>
      <w:r w:rsidRPr="00F27F90">
        <w:t xml:space="preserve"> 2014; Jun 24: [Epub ahead of print] doi: 10.1111/753-6405.12218.</w:t>
      </w:r>
      <w:bookmarkEnd w:id="301"/>
    </w:p>
    <w:p w:rsidR="00F27F90" w:rsidRPr="00F27F90" w:rsidRDefault="00F27F90" w:rsidP="00F27F90">
      <w:pPr>
        <w:pStyle w:val="EndNoteBibliography"/>
        <w:spacing w:after="240"/>
      </w:pPr>
      <w:bookmarkStart w:id="302" w:name="_ENREF_41"/>
      <w:r w:rsidRPr="00F27F90">
        <w:t>41.</w:t>
      </w:r>
      <w:r w:rsidRPr="00F27F90">
        <w:tab/>
        <w:t xml:space="preserve">Brotherton JML, Murray SL, Hall M, et al. Human papillomavirus vaccine coverage among female Australian adolescents: success of the school-based approach. </w:t>
      </w:r>
      <w:r w:rsidRPr="00F27F90">
        <w:rPr>
          <w:i/>
        </w:rPr>
        <w:t>Medical Journal of Australia</w:t>
      </w:r>
      <w:r w:rsidRPr="00F27F90">
        <w:t xml:space="preserve"> 2013;199:614-7.</w:t>
      </w:r>
      <w:bookmarkEnd w:id="302"/>
    </w:p>
    <w:p w:rsidR="00F27F90" w:rsidRPr="00F27F90" w:rsidRDefault="00F27F90" w:rsidP="00F27F90">
      <w:pPr>
        <w:pStyle w:val="EndNoteBibliography"/>
        <w:spacing w:after="240"/>
      </w:pPr>
      <w:bookmarkStart w:id="303" w:name="_ENREF_42"/>
      <w:r w:rsidRPr="00F27F90">
        <w:t>42.</w:t>
      </w:r>
      <w:r w:rsidRPr="00F27F90">
        <w:tab/>
        <w:t xml:space="preserve">Barbaro B, Brotherton JML. Measuring HPV vaccination coverage in Australia: comparing two alternative population denominators. </w:t>
      </w:r>
      <w:r w:rsidRPr="00F27F90">
        <w:rPr>
          <w:i/>
        </w:rPr>
        <w:t>Manuscript in preparation</w:t>
      </w:r>
      <w:r w:rsidRPr="00F27F90">
        <w:t xml:space="preserve"> 2014.</w:t>
      </w:r>
      <w:bookmarkEnd w:id="303"/>
    </w:p>
    <w:p w:rsidR="00F27F90" w:rsidRPr="00F27F90" w:rsidRDefault="00F27F90" w:rsidP="00F27F90">
      <w:pPr>
        <w:pStyle w:val="EndNoteBibliography"/>
        <w:spacing w:after="240"/>
      </w:pPr>
      <w:bookmarkStart w:id="304" w:name="_ENREF_43"/>
      <w:r w:rsidRPr="00F27F90">
        <w:t>43.</w:t>
      </w:r>
      <w:r w:rsidRPr="00F27F90">
        <w:tab/>
        <w:t xml:space="preserve">Brotherton JML, Winch K. What is the effect of making a ‘third dose assumption’ on HPV vaccination coverage estimates? </w:t>
      </w:r>
      <w:r w:rsidRPr="00F27F90">
        <w:rPr>
          <w:i/>
        </w:rPr>
        <w:t>Manuscript in preparation</w:t>
      </w:r>
      <w:r w:rsidRPr="00F27F90">
        <w:t xml:space="preserve"> 2014.</w:t>
      </w:r>
      <w:bookmarkEnd w:id="304"/>
    </w:p>
    <w:p w:rsidR="00F27F90" w:rsidRPr="00F27F90" w:rsidRDefault="00F27F90" w:rsidP="00F27F90">
      <w:pPr>
        <w:pStyle w:val="EndNoteBibliography"/>
        <w:spacing w:after="240"/>
      </w:pPr>
      <w:bookmarkStart w:id="305" w:name="_ENREF_44"/>
      <w:r w:rsidRPr="00F27F90">
        <w:t>44.</w:t>
      </w:r>
      <w:r w:rsidRPr="00F27F90">
        <w:tab/>
        <w:t xml:space="preserve">Brotherton JM, Mullins RM. Will vaccinated women attend cervical screening? A population based survey of human papillomavirus vaccination and cervical screening among young women in Victoria, Australia. </w:t>
      </w:r>
      <w:r w:rsidRPr="00F27F90">
        <w:rPr>
          <w:i/>
        </w:rPr>
        <w:t>Cancer Epidemiology</w:t>
      </w:r>
      <w:r w:rsidRPr="00F27F90">
        <w:t xml:space="preserve"> 2012;36:298-302.</w:t>
      </w:r>
      <w:bookmarkEnd w:id="305"/>
    </w:p>
    <w:p w:rsidR="00F27F90" w:rsidRPr="00F27F90" w:rsidRDefault="00F27F90" w:rsidP="00F27F90">
      <w:pPr>
        <w:pStyle w:val="EndNoteBibliography"/>
        <w:spacing w:after="240"/>
      </w:pPr>
      <w:bookmarkStart w:id="306" w:name="_ENREF_45"/>
      <w:r w:rsidRPr="00F27F90">
        <w:t>45.</w:t>
      </w:r>
      <w:r w:rsidRPr="00F27F90">
        <w:tab/>
        <w:t xml:space="preserve">Brotherton JML, Liu B, Donovan B, Kaldor JM, Saville M. Human papillomavirus (HPV) vaccination coverage in young Australian women is higher than previously estimated: independent estimates from a nationally representative mobile phone survey. </w:t>
      </w:r>
      <w:r w:rsidRPr="00F27F90">
        <w:rPr>
          <w:i/>
        </w:rPr>
        <w:t>Vaccine</w:t>
      </w:r>
      <w:r w:rsidRPr="00F27F90">
        <w:t xml:space="preserve"> 2014;32:592-7.</w:t>
      </w:r>
      <w:bookmarkEnd w:id="306"/>
    </w:p>
    <w:p w:rsidR="00F27F90" w:rsidRPr="00F27F90" w:rsidRDefault="00F27F90" w:rsidP="00F27F90">
      <w:pPr>
        <w:pStyle w:val="EndNoteBibliography"/>
        <w:spacing w:after="240"/>
      </w:pPr>
      <w:bookmarkStart w:id="307" w:name="_ENREF_46"/>
      <w:r w:rsidRPr="00F27F90">
        <w:t>46.</w:t>
      </w:r>
      <w:r w:rsidRPr="00F27F90">
        <w:tab/>
        <w:t xml:space="preserve">Laemelle-Ruff I, Barbaro B, Brotherton JML. HPV vaccine coverage in young women: results by Divisions of General Practice (2007-2009), and insights into under-notification. </w:t>
      </w:r>
      <w:r w:rsidRPr="00F27F90">
        <w:rPr>
          <w:i/>
        </w:rPr>
        <w:t>Australian Family Physician</w:t>
      </w:r>
      <w:r w:rsidRPr="00F27F90">
        <w:t xml:space="preserve"> 2013;42:880-4.</w:t>
      </w:r>
      <w:bookmarkEnd w:id="307"/>
    </w:p>
    <w:p w:rsidR="00F27F90" w:rsidRPr="00F27F90" w:rsidRDefault="00F27F90" w:rsidP="00F27F90">
      <w:pPr>
        <w:pStyle w:val="EndNoteBibliography"/>
        <w:spacing w:after="240"/>
      </w:pPr>
      <w:bookmarkStart w:id="308" w:name="_ENREF_47"/>
      <w:r w:rsidRPr="00F27F90">
        <w:t>47.</w:t>
      </w:r>
      <w:r w:rsidRPr="00F27F90">
        <w:tab/>
        <w:t xml:space="preserve">Watson M, D'Onise K, Lynch J, Brotherton JML. What are the barriers to better three-dose coverage with HPV vaccination in school based programs? </w:t>
      </w:r>
      <w:r w:rsidRPr="00F27F90">
        <w:rPr>
          <w:i/>
        </w:rPr>
        <w:t>Australian and New Zealand Journal of Public Health</w:t>
      </w:r>
      <w:r w:rsidRPr="00F27F90">
        <w:t xml:space="preserve"> 2014;38:91-2.</w:t>
      </w:r>
      <w:bookmarkEnd w:id="308"/>
    </w:p>
    <w:p w:rsidR="00F27F90" w:rsidRPr="00F27F90" w:rsidRDefault="00F27F90" w:rsidP="00F27F90">
      <w:pPr>
        <w:pStyle w:val="EndNoteBibliography"/>
        <w:spacing w:after="240"/>
      </w:pPr>
      <w:bookmarkStart w:id="309" w:name="_ENREF_48"/>
      <w:r w:rsidRPr="00F27F90">
        <w:t>48.</w:t>
      </w:r>
      <w:r w:rsidRPr="00F27F90">
        <w:tab/>
        <w:t xml:space="preserve">Potts A, Sinka K, Love J, et al. High uptake of HPV immunisation in Scotland – perspectives on maximising uptake. </w:t>
      </w:r>
      <w:r w:rsidRPr="00F27F90">
        <w:rPr>
          <w:i/>
        </w:rPr>
        <w:t>Euro Surveillance</w:t>
      </w:r>
      <w:r w:rsidRPr="00F27F90">
        <w:t xml:space="preserve"> 2013;18:pii=20593.</w:t>
      </w:r>
      <w:bookmarkEnd w:id="309"/>
    </w:p>
    <w:p w:rsidR="00F27F90" w:rsidRPr="00F27F90" w:rsidRDefault="00F27F90" w:rsidP="00F27F90">
      <w:pPr>
        <w:pStyle w:val="EndNoteBibliography"/>
        <w:spacing w:after="240"/>
      </w:pPr>
      <w:bookmarkStart w:id="310" w:name="_ENREF_49"/>
      <w:r w:rsidRPr="00F27F90">
        <w:t>49.</w:t>
      </w:r>
      <w:r w:rsidRPr="00F27F90">
        <w:tab/>
        <w:t xml:space="preserve">Barbaro B, Brotherton JML, Gertig D. Human papillomavirus vaccination and cervical cancer screening by socioeconomic status, Victoria. </w:t>
      </w:r>
      <w:r w:rsidRPr="00F27F90">
        <w:rPr>
          <w:i/>
        </w:rPr>
        <w:t>Medical Journal of Australia</w:t>
      </w:r>
      <w:r w:rsidRPr="00F27F90">
        <w:t xml:space="preserve"> 2012;196:445.</w:t>
      </w:r>
      <w:bookmarkEnd w:id="310"/>
    </w:p>
    <w:p w:rsidR="00F27F90" w:rsidRPr="00F27F90" w:rsidRDefault="00F27F90" w:rsidP="00F27F90">
      <w:pPr>
        <w:pStyle w:val="EndNoteBibliography"/>
        <w:spacing w:after="240"/>
      </w:pPr>
      <w:bookmarkStart w:id="311" w:name="_ENREF_50"/>
      <w:r w:rsidRPr="00F27F90">
        <w:t>50.</w:t>
      </w:r>
      <w:r w:rsidRPr="00F27F90">
        <w:tab/>
        <w:t xml:space="preserve">Hull BP, Lawrence GL, MacIntyre CR, McIntyre PB. Estimating immunisation coverage: is the 'third dose assumption' still valid? </w:t>
      </w:r>
      <w:r w:rsidRPr="00F27F90">
        <w:rPr>
          <w:i/>
        </w:rPr>
        <w:t>Communicable Diseases Intelligence</w:t>
      </w:r>
      <w:r w:rsidRPr="00F27F90">
        <w:t xml:space="preserve"> 2003;27:357-61.</w:t>
      </w:r>
      <w:bookmarkEnd w:id="311"/>
    </w:p>
    <w:p w:rsidR="00F27F90" w:rsidRPr="00F27F90" w:rsidRDefault="00F27F90" w:rsidP="00F27F90">
      <w:pPr>
        <w:pStyle w:val="EndNoteBibliography"/>
        <w:spacing w:after="240"/>
      </w:pPr>
      <w:bookmarkStart w:id="312" w:name="_ENREF_51"/>
      <w:r w:rsidRPr="00F27F90">
        <w:t>51.</w:t>
      </w:r>
      <w:r w:rsidRPr="00F27F90">
        <w:tab/>
        <w:t xml:space="preserve">Brotherton JML, Batchelor M, Winch K. Utility of reports and routine correspondence from the National HPV Vaccination Program Register. </w:t>
      </w:r>
      <w:r w:rsidRPr="00F27F90">
        <w:rPr>
          <w:i/>
        </w:rPr>
        <w:t>Medical Journal of Australia</w:t>
      </w:r>
      <w:r w:rsidRPr="00F27F90">
        <w:t xml:space="preserve"> 2013;199:463.</w:t>
      </w:r>
      <w:bookmarkEnd w:id="312"/>
    </w:p>
    <w:p w:rsidR="00F27F90" w:rsidRPr="00F27F90" w:rsidRDefault="00F27F90" w:rsidP="00F27F90">
      <w:pPr>
        <w:pStyle w:val="EndNoteBibliography"/>
        <w:spacing w:after="240"/>
      </w:pPr>
      <w:bookmarkStart w:id="313" w:name="_ENREF_52"/>
      <w:r w:rsidRPr="00F27F90">
        <w:t>52.</w:t>
      </w:r>
      <w:r w:rsidRPr="00F27F90">
        <w:tab/>
        <w:t>Council for International Organizations of Medical Sciences (CIOMS), World Health Organization.</w:t>
      </w:r>
      <w:r w:rsidRPr="0041141C">
        <w:t xml:space="preserve"> Definition and application of terms for vaccine pharmacovigilance: report of CIOMS/WHO Working Group on Vaccine Pharmacovigilance</w:t>
      </w:r>
      <w:r w:rsidRPr="00F27F90">
        <w:t xml:space="preserve">. Geneva: CIOMS; 2012. </w:t>
      </w:r>
      <w:bookmarkEnd w:id="313"/>
      <w:r w:rsidR="0041141C">
        <w:t>(</w:t>
      </w:r>
      <w:r w:rsidR="0041141C" w:rsidRPr="0041141C">
        <w:t>http://whqlibdoc.who.int/publications/2012/9789290360834_eng.pdf</w:t>
      </w:r>
      <w:r w:rsidR="0041141C">
        <w:t>)</w:t>
      </w:r>
      <w:r w:rsidR="003C5791" w:rsidRPr="003C5791">
        <w:t xml:space="preserve"> </w:t>
      </w:r>
      <w:r w:rsidR="003C5791" w:rsidRPr="00F27F90">
        <w:t>(Accessed 5 December 2013)</w:t>
      </w:r>
    </w:p>
    <w:p w:rsidR="00F27F90" w:rsidRPr="00F27F90" w:rsidRDefault="00F27F90" w:rsidP="00F27F90">
      <w:pPr>
        <w:pStyle w:val="EndNoteBibliography"/>
        <w:spacing w:after="240"/>
      </w:pPr>
      <w:bookmarkStart w:id="314" w:name="_ENREF_53"/>
      <w:r w:rsidRPr="00F27F90">
        <w:t>53.</w:t>
      </w:r>
      <w:r w:rsidRPr="00F27F90">
        <w:tab/>
        <w:t xml:space="preserve">Markowitz LE, Tsu V, Deeks SL, et al. Human papillomavirus vaccine introduction—the first five years. </w:t>
      </w:r>
      <w:r w:rsidRPr="00F27F90">
        <w:rPr>
          <w:i/>
        </w:rPr>
        <w:t>Vaccine</w:t>
      </w:r>
      <w:r w:rsidRPr="00F27F90">
        <w:t xml:space="preserve"> 2012;30 Suppl 5:F139-48.</w:t>
      </w:r>
      <w:bookmarkEnd w:id="314"/>
    </w:p>
    <w:p w:rsidR="00F27F90" w:rsidRPr="00F27F90" w:rsidRDefault="00F27F90" w:rsidP="00F27F90">
      <w:pPr>
        <w:pStyle w:val="EndNoteBibliography"/>
        <w:spacing w:after="240"/>
      </w:pPr>
      <w:bookmarkStart w:id="315" w:name="_ENREF_54"/>
      <w:r w:rsidRPr="00F27F90">
        <w:t>54.</w:t>
      </w:r>
      <w:r w:rsidRPr="00F27F90">
        <w:tab/>
        <w:t xml:space="preserve">Mahajan D, Roomiani I, Gold MS, et al. Annual report: surveillance of adverse events following immunisation in Australia, 2009. </w:t>
      </w:r>
      <w:r w:rsidRPr="00F27F90">
        <w:rPr>
          <w:i/>
        </w:rPr>
        <w:t>Communicable Diseases Intelligence</w:t>
      </w:r>
      <w:r w:rsidRPr="00F27F90">
        <w:t xml:space="preserve"> 2010;34:259-76.</w:t>
      </w:r>
      <w:bookmarkEnd w:id="315"/>
    </w:p>
    <w:p w:rsidR="00F27F90" w:rsidRPr="00F27F90" w:rsidRDefault="00F27F90" w:rsidP="00F27F90">
      <w:pPr>
        <w:pStyle w:val="EndNoteBibliography"/>
        <w:spacing w:after="240"/>
      </w:pPr>
      <w:bookmarkStart w:id="316" w:name="_ENREF_55"/>
      <w:r w:rsidRPr="00F27F90">
        <w:t>55.</w:t>
      </w:r>
      <w:r w:rsidRPr="00F27F90">
        <w:tab/>
        <w:t xml:space="preserve">Joura EA, Leodolter S, Hernandez-Avila M, et al. Efficacy of a quadrivalent prophylactic human papillomavirus (types 6, 11, 16, and 18) L1 virus-like-particle vaccine against high-grade vulval and vaginal lesions: a combined analysis of three randomised clinical trials. </w:t>
      </w:r>
      <w:r w:rsidRPr="00F27F90">
        <w:rPr>
          <w:i/>
        </w:rPr>
        <w:t>Lancet</w:t>
      </w:r>
      <w:r w:rsidRPr="00F27F90">
        <w:t xml:space="preserve"> 2007;369:1693-702.</w:t>
      </w:r>
      <w:bookmarkEnd w:id="316"/>
    </w:p>
    <w:p w:rsidR="00F27F90" w:rsidRPr="00F27F90" w:rsidRDefault="00F27F90" w:rsidP="00F27F90">
      <w:pPr>
        <w:pStyle w:val="EndNoteBibliography"/>
        <w:spacing w:after="240"/>
      </w:pPr>
      <w:bookmarkStart w:id="317" w:name="_ENREF_56"/>
      <w:r w:rsidRPr="00F27F90">
        <w:t>56.</w:t>
      </w:r>
      <w:r w:rsidRPr="00F27F90">
        <w:tab/>
        <w:t xml:space="preserve">Brotherton JM, Gold MS, Kemp AS, et al. Anaphylaxis following quadrivalent human papillomavirus vaccination. </w:t>
      </w:r>
      <w:r w:rsidRPr="00F27F90">
        <w:rPr>
          <w:i/>
        </w:rPr>
        <w:t>Canadian Medical Association Journal</w:t>
      </w:r>
      <w:r w:rsidRPr="00F27F90">
        <w:t xml:space="preserve"> 2008;179:525-33.</w:t>
      </w:r>
      <w:bookmarkEnd w:id="317"/>
    </w:p>
    <w:p w:rsidR="00F27F90" w:rsidRPr="00F27F90" w:rsidRDefault="00F27F90" w:rsidP="00F27F90">
      <w:pPr>
        <w:pStyle w:val="EndNoteBibliography"/>
        <w:spacing w:after="240"/>
      </w:pPr>
      <w:bookmarkStart w:id="318" w:name="_ENREF_57"/>
      <w:r w:rsidRPr="00F27F90">
        <w:t>57.</w:t>
      </w:r>
      <w:r w:rsidRPr="00F27F90">
        <w:tab/>
        <w:t xml:space="preserve">Buttery JP, Madin S, Crawford NW, et al. Mass psychogenic response to human papillomavirus vaccination. </w:t>
      </w:r>
      <w:r w:rsidRPr="00F27F90">
        <w:rPr>
          <w:i/>
        </w:rPr>
        <w:t>Medical Journal of Australia</w:t>
      </w:r>
      <w:r w:rsidRPr="00F27F90">
        <w:t xml:space="preserve"> 2008;189:261-2.</w:t>
      </w:r>
      <w:bookmarkEnd w:id="318"/>
    </w:p>
    <w:p w:rsidR="00F27F90" w:rsidRPr="00F27F90" w:rsidRDefault="00F27F90" w:rsidP="00F27F90">
      <w:pPr>
        <w:pStyle w:val="EndNoteBibliography"/>
        <w:spacing w:after="240"/>
      </w:pPr>
      <w:bookmarkStart w:id="319" w:name="_ENREF_58"/>
      <w:r w:rsidRPr="00F27F90">
        <w:t>58.</w:t>
      </w:r>
      <w:r w:rsidRPr="00F27F90">
        <w:tab/>
        <w:t xml:space="preserve">Das A, Chang D, Biankin AV, Merrett ND. Pancreatitis following human papillomavirus vaccination. </w:t>
      </w:r>
      <w:r w:rsidRPr="00F27F90">
        <w:rPr>
          <w:i/>
        </w:rPr>
        <w:t>Medical Journal of Australia</w:t>
      </w:r>
      <w:r w:rsidRPr="00F27F90">
        <w:t xml:space="preserve"> 2008;189:178.</w:t>
      </w:r>
      <w:bookmarkEnd w:id="319"/>
    </w:p>
    <w:p w:rsidR="00F27F90" w:rsidRPr="00F27F90" w:rsidRDefault="00F27F90" w:rsidP="00F27F90">
      <w:pPr>
        <w:pStyle w:val="EndNoteBibliography"/>
        <w:spacing w:after="240"/>
      </w:pPr>
      <w:bookmarkStart w:id="320" w:name="_ENREF_59"/>
      <w:r w:rsidRPr="00F27F90">
        <w:t>59.</w:t>
      </w:r>
      <w:r w:rsidRPr="00F27F90">
        <w:tab/>
        <w:t xml:space="preserve">Kang LW, Crawford N, Tang ML, et al. Hypersensitivity reactions to human papillomavirus vaccine in Australian schoolgirls: retrospective cohort study. </w:t>
      </w:r>
      <w:r w:rsidRPr="00F27F90">
        <w:rPr>
          <w:i/>
        </w:rPr>
        <w:t>BMJ</w:t>
      </w:r>
      <w:r w:rsidRPr="00F27F90">
        <w:t xml:space="preserve"> 2008;337:a2642.</w:t>
      </w:r>
      <w:bookmarkEnd w:id="320"/>
    </w:p>
    <w:p w:rsidR="00F27F90" w:rsidRPr="00F27F90" w:rsidRDefault="00F27F90" w:rsidP="00F27F90">
      <w:pPr>
        <w:pStyle w:val="EndNoteBibliography"/>
        <w:spacing w:after="240"/>
      </w:pPr>
      <w:bookmarkStart w:id="321" w:name="_ENREF_60"/>
      <w:r w:rsidRPr="00F27F90">
        <w:t>60.</w:t>
      </w:r>
      <w:r w:rsidRPr="00F27F90">
        <w:tab/>
        <w:t xml:space="preserve">Ojaimi S, Buttery JP, Korman TM. Quadrivalent human papillomavirus recombinant vaccine associated lipoatrophy. </w:t>
      </w:r>
      <w:r w:rsidRPr="00F27F90">
        <w:rPr>
          <w:i/>
        </w:rPr>
        <w:t>Vaccine</w:t>
      </w:r>
      <w:r w:rsidRPr="00F27F90">
        <w:t xml:space="preserve"> 2009;27:4876-8.</w:t>
      </w:r>
      <w:bookmarkEnd w:id="321"/>
    </w:p>
    <w:p w:rsidR="00F27F90" w:rsidRPr="00F27F90" w:rsidRDefault="00F27F90" w:rsidP="00F27F90">
      <w:pPr>
        <w:pStyle w:val="EndNoteBibliography"/>
        <w:spacing w:after="240"/>
      </w:pPr>
      <w:bookmarkStart w:id="322" w:name="_ENREF_61"/>
      <w:r w:rsidRPr="00F27F90">
        <w:t>61.</w:t>
      </w:r>
      <w:r w:rsidRPr="00F27F90">
        <w:tab/>
        <w:t xml:space="preserve">Sutton I, Lahoria R, Tan I, Clouston P, Barnett M. CNS demyelination and quadrivalent HPV vaccination. </w:t>
      </w:r>
      <w:r w:rsidRPr="00F27F90">
        <w:rPr>
          <w:i/>
        </w:rPr>
        <w:t>Multiple Sclerosis</w:t>
      </w:r>
      <w:r w:rsidRPr="00F27F90">
        <w:t xml:space="preserve"> 2009;15:116-9.</w:t>
      </w:r>
      <w:bookmarkEnd w:id="322"/>
    </w:p>
    <w:p w:rsidR="00F27F90" w:rsidRPr="00F27F90" w:rsidRDefault="00F27F90" w:rsidP="00F27F90">
      <w:pPr>
        <w:pStyle w:val="EndNoteBibliography"/>
        <w:spacing w:after="240"/>
      </w:pPr>
      <w:bookmarkStart w:id="323" w:name="_ENREF_62"/>
      <w:r w:rsidRPr="00F27F90">
        <w:t>62.</w:t>
      </w:r>
      <w:r w:rsidRPr="00F27F90">
        <w:tab/>
        <w:t xml:space="preserve">Zhou W, Pool V, Iskander JK, et al. Surveillance for safety after immunization: Vaccine Adverse Event Reporting System (VAERS) - United States, 1991-2001. </w:t>
      </w:r>
      <w:r w:rsidRPr="00F27F90">
        <w:rPr>
          <w:i/>
        </w:rPr>
        <w:t>MMWR Surveillance Summaries</w:t>
      </w:r>
      <w:r w:rsidRPr="00F27F90">
        <w:t xml:space="preserve"> 2003;52(SS-1):1-24.</w:t>
      </w:r>
      <w:bookmarkEnd w:id="323"/>
    </w:p>
    <w:p w:rsidR="00F27F90" w:rsidRPr="00F27F90" w:rsidRDefault="00F27F90" w:rsidP="00F27F90">
      <w:pPr>
        <w:pStyle w:val="EndNoteBibliography"/>
        <w:spacing w:after="240"/>
      </w:pPr>
      <w:bookmarkStart w:id="324" w:name="_ENREF_63"/>
      <w:r w:rsidRPr="00F27F90">
        <w:t>63.</w:t>
      </w:r>
      <w:r w:rsidRPr="00F27F90">
        <w:tab/>
        <w:t xml:space="preserve">Brown EG, Wood L, Wood S. The medical dictionary for regulatory activities (MedDRA). </w:t>
      </w:r>
      <w:r w:rsidRPr="00F27F90">
        <w:rPr>
          <w:i/>
        </w:rPr>
        <w:t>Drug Safety</w:t>
      </w:r>
      <w:r w:rsidRPr="00F27F90">
        <w:t xml:space="preserve"> 1999;20:109-17.</w:t>
      </w:r>
      <w:bookmarkEnd w:id="324"/>
    </w:p>
    <w:p w:rsidR="00F27F90" w:rsidRPr="00F27F90" w:rsidRDefault="00F27F90" w:rsidP="00F27F90">
      <w:pPr>
        <w:pStyle w:val="EndNoteBibliography"/>
        <w:spacing w:after="240"/>
      </w:pPr>
      <w:bookmarkStart w:id="325" w:name="_ENREF_64"/>
      <w:r w:rsidRPr="00F27F90">
        <w:t>64.</w:t>
      </w:r>
      <w:r w:rsidRPr="00F27F90">
        <w:tab/>
        <w:t xml:space="preserve">Reisinger KS, Block SL, Lazcano-Ponce E, et al. Safety and persistent immunogenicity of a quadrivalent human papillomavirus types 6, 11, 16, 18 L1 virus-like particle vaccine in preadolescents and adolescents: a randomized controlled trial. </w:t>
      </w:r>
      <w:r w:rsidRPr="00F27F90">
        <w:rPr>
          <w:i/>
        </w:rPr>
        <w:t>Pediatric Infectious Disease Journal</w:t>
      </w:r>
      <w:r w:rsidRPr="00F27F90">
        <w:t xml:space="preserve"> 2007;26:201-9.</w:t>
      </w:r>
      <w:bookmarkEnd w:id="325"/>
    </w:p>
    <w:p w:rsidR="00F27F90" w:rsidRPr="00F27F90" w:rsidRDefault="00F27F90" w:rsidP="00F27F90">
      <w:pPr>
        <w:pStyle w:val="EndNoteBibliography"/>
        <w:spacing w:after="240"/>
      </w:pPr>
      <w:bookmarkStart w:id="326" w:name="_ENREF_65"/>
      <w:r w:rsidRPr="00F27F90">
        <w:t>65.</w:t>
      </w:r>
      <w:r w:rsidRPr="00F27F90">
        <w:tab/>
        <w:t xml:space="preserve">World Health Organization. </w:t>
      </w:r>
      <w:r w:rsidRPr="003C5791">
        <w:t>Causality assessment of adverse event following immunization (AEFI): user manual for the revised WHO classification</w:t>
      </w:r>
      <w:r w:rsidRPr="00F27F90">
        <w:t xml:space="preserve">. 2008. </w:t>
      </w:r>
      <w:r w:rsidR="003C5791">
        <w:t>(</w:t>
      </w:r>
      <w:r w:rsidR="003C5791" w:rsidRPr="003C5791">
        <w:t>http://www.who.int/vaccine_safety/publications/aevi_manual.pdf</w:t>
      </w:r>
      <w:r w:rsidR="003C5791">
        <w:t>)</w:t>
      </w:r>
      <w:r w:rsidR="003C5791" w:rsidRPr="00F27F90">
        <w:t xml:space="preserve"> </w:t>
      </w:r>
      <w:r w:rsidRPr="00F27F90">
        <w:t>(Accessed 13 December 2013).</w:t>
      </w:r>
      <w:bookmarkEnd w:id="326"/>
    </w:p>
    <w:p w:rsidR="00F27F90" w:rsidRPr="00F27F90" w:rsidRDefault="00F27F90" w:rsidP="00F27F90">
      <w:pPr>
        <w:pStyle w:val="EndNoteBibliography"/>
        <w:spacing w:after="240"/>
      </w:pPr>
      <w:bookmarkStart w:id="327" w:name="_ENREF_66"/>
      <w:r w:rsidRPr="00F27F90">
        <w:t>66.</w:t>
      </w:r>
      <w:r w:rsidRPr="00F27F90">
        <w:tab/>
        <w:t xml:space="preserve">Kuno-Sakai H, Kimura M. Removal of gelatin from live vaccines and DTaP: an ultimate solution for vaccine-related gelatin allergy. </w:t>
      </w:r>
      <w:r w:rsidRPr="00F27F90">
        <w:rPr>
          <w:i/>
        </w:rPr>
        <w:t>Biologicals</w:t>
      </w:r>
      <w:r w:rsidRPr="00F27F90">
        <w:t xml:space="preserve"> 2003;31:245-9.</w:t>
      </w:r>
      <w:bookmarkEnd w:id="327"/>
    </w:p>
    <w:p w:rsidR="00F27F90" w:rsidRPr="00F27F90" w:rsidRDefault="00F27F90" w:rsidP="00F27F90">
      <w:pPr>
        <w:pStyle w:val="EndNoteBibliography"/>
        <w:spacing w:after="240"/>
      </w:pPr>
      <w:bookmarkStart w:id="328" w:name="_ENREF_67"/>
      <w:r w:rsidRPr="00F27F90">
        <w:t>67.</w:t>
      </w:r>
      <w:r w:rsidRPr="00F27F90">
        <w:tab/>
        <w:t xml:space="preserve">Australian Government Department of Health, Therapeutic Goods Administration (TGA). </w:t>
      </w:r>
      <w:hyperlink r:id="rId64" w:history="1">
        <w:r w:rsidRPr="00281E8C">
          <w:rPr>
            <w:rStyle w:val="Hyperlink"/>
          </w:rPr>
          <w:t>Gardasil (human papillomavirus vaccine)</w:t>
        </w:r>
      </w:hyperlink>
      <w:r w:rsidRPr="00F27F90">
        <w:t>. 2010. (Accessed 13 December 2013).</w:t>
      </w:r>
      <w:bookmarkEnd w:id="328"/>
    </w:p>
    <w:p w:rsidR="00F27F90" w:rsidRPr="00F27F90" w:rsidRDefault="00F27F90" w:rsidP="00F27F90">
      <w:pPr>
        <w:pStyle w:val="EndNoteBibliography"/>
        <w:spacing w:after="240"/>
      </w:pPr>
      <w:bookmarkStart w:id="329" w:name="_ENREF_68"/>
      <w:r w:rsidRPr="00F27F90">
        <w:t>68.</w:t>
      </w:r>
      <w:r w:rsidRPr="00F27F90">
        <w:tab/>
        <w:t xml:space="preserve">Bohlke K, Davis RL, Marcy SM, Braun MM, al e. Risk of anaphylaxis after vaccination of children and adolescents. </w:t>
      </w:r>
      <w:r w:rsidRPr="00F27F90">
        <w:rPr>
          <w:i/>
        </w:rPr>
        <w:t>Pediatrics in Review</w:t>
      </w:r>
      <w:r w:rsidRPr="00F27F90">
        <w:t xml:space="preserve"> 2003;112:815-20.</w:t>
      </w:r>
      <w:bookmarkEnd w:id="329"/>
    </w:p>
    <w:p w:rsidR="00F27F90" w:rsidRPr="00F27F90" w:rsidRDefault="00F27F90" w:rsidP="00F27F90">
      <w:pPr>
        <w:pStyle w:val="EndNoteBibliography"/>
        <w:spacing w:after="240"/>
      </w:pPr>
      <w:bookmarkStart w:id="330" w:name="_ENREF_69"/>
      <w:r w:rsidRPr="00F27F90">
        <w:t>69.</w:t>
      </w:r>
      <w:r w:rsidRPr="00F27F90">
        <w:tab/>
        <w:t xml:space="preserve">Slade BA, Leidel L, Vellozzi C, et al. Postlicensure safety surveillance for quadrivalent human papillomavirus recombinant vaccine. </w:t>
      </w:r>
      <w:r w:rsidRPr="00F27F90">
        <w:rPr>
          <w:i/>
        </w:rPr>
        <w:t>JAMA</w:t>
      </w:r>
      <w:r w:rsidRPr="00F27F90">
        <w:t xml:space="preserve"> 2009;302:750-7.</w:t>
      </w:r>
      <w:bookmarkEnd w:id="330"/>
    </w:p>
    <w:p w:rsidR="00F27F90" w:rsidRPr="00F27F90" w:rsidRDefault="00F27F90" w:rsidP="00F27F90">
      <w:pPr>
        <w:pStyle w:val="EndNoteBibliography"/>
        <w:spacing w:after="240"/>
      </w:pPr>
      <w:bookmarkStart w:id="331" w:name="_ENREF_70"/>
      <w:r w:rsidRPr="00F27F90">
        <w:t>70.</w:t>
      </w:r>
      <w:r w:rsidRPr="00F27F90">
        <w:tab/>
        <w:t>Vaccine Adverse Event Reporting System (VAERS). 2013. Available from: https://vaers.hhs.gov/index (Accessed 5 December 2013).</w:t>
      </w:r>
      <w:bookmarkEnd w:id="331"/>
    </w:p>
    <w:p w:rsidR="00F27F90" w:rsidRPr="00F27F90" w:rsidRDefault="00F27F90" w:rsidP="00F27F90">
      <w:pPr>
        <w:pStyle w:val="EndNoteBibliography"/>
        <w:spacing w:after="240"/>
      </w:pPr>
      <w:bookmarkStart w:id="332" w:name="_ENREF_71"/>
      <w:r w:rsidRPr="00F27F90">
        <w:t>71.</w:t>
      </w:r>
      <w:r w:rsidRPr="00F27F90">
        <w:tab/>
        <w:t xml:space="preserve">Richards S, Chalkiadis G, Lakshman R, Buttery JP, Crawford NW. Complex regional pain syndrome following immunisation. </w:t>
      </w:r>
      <w:r w:rsidRPr="00F27F90">
        <w:rPr>
          <w:i/>
        </w:rPr>
        <w:t>Archives of Disease in Childhood</w:t>
      </w:r>
      <w:r w:rsidRPr="00F27F90">
        <w:t xml:space="preserve"> 2012;97:913-5.</w:t>
      </w:r>
      <w:bookmarkEnd w:id="332"/>
    </w:p>
    <w:p w:rsidR="00F27F90" w:rsidRPr="00F27F90" w:rsidRDefault="00F27F90" w:rsidP="00F27F90">
      <w:pPr>
        <w:pStyle w:val="EndNoteBibliography"/>
        <w:spacing w:after="240"/>
      </w:pPr>
      <w:bookmarkStart w:id="333" w:name="_ENREF_72"/>
      <w:r w:rsidRPr="00F27F90">
        <w:t>72.</w:t>
      </w:r>
      <w:r w:rsidRPr="00F27F90">
        <w:tab/>
        <w:t xml:space="preserve">Gilmour S, Kanda M, Kusumi E, et al. HPV vaccination programme in Japan. </w:t>
      </w:r>
      <w:r w:rsidRPr="00F27F90">
        <w:rPr>
          <w:i/>
        </w:rPr>
        <w:t>Lancet</w:t>
      </w:r>
      <w:r w:rsidRPr="00F27F90">
        <w:t xml:space="preserve"> 2013;382:768.</w:t>
      </w:r>
      <w:bookmarkEnd w:id="333"/>
    </w:p>
    <w:p w:rsidR="00F27F90" w:rsidRPr="00F27F90" w:rsidRDefault="00F27F90" w:rsidP="00F27F90">
      <w:pPr>
        <w:pStyle w:val="EndNoteBibliography"/>
        <w:spacing w:after="240"/>
      </w:pPr>
      <w:bookmarkStart w:id="334" w:name="_ENREF_73"/>
      <w:r w:rsidRPr="00F27F90">
        <w:t>73.</w:t>
      </w:r>
      <w:r w:rsidRPr="00F27F90">
        <w:tab/>
        <w:t xml:space="preserve">Crawford NW, Clothier HJ, Elia S, et al. Syncope and seizures following human papillomavirus vaccination: a retrospective case series. </w:t>
      </w:r>
      <w:r w:rsidRPr="00F27F90">
        <w:rPr>
          <w:i/>
        </w:rPr>
        <w:t>Medical Journal of Australia</w:t>
      </w:r>
      <w:r w:rsidRPr="00F27F90">
        <w:t xml:space="preserve"> 2011;194:16-8.</w:t>
      </w:r>
      <w:bookmarkEnd w:id="334"/>
    </w:p>
    <w:p w:rsidR="00F27F90" w:rsidRPr="00F27F90" w:rsidRDefault="00F27F90" w:rsidP="00F27F90">
      <w:pPr>
        <w:pStyle w:val="EndNoteBibliography"/>
        <w:spacing w:after="240"/>
      </w:pPr>
      <w:bookmarkStart w:id="335" w:name="_ENREF_74"/>
      <w:r w:rsidRPr="00F27F90">
        <w:t>74.</w:t>
      </w:r>
      <w:r w:rsidRPr="00F27F90">
        <w:tab/>
        <w:t xml:space="preserve">Therapeutic Goods Administration (TGA). </w:t>
      </w:r>
      <w:hyperlink r:id="rId65" w:history="1">
        <w:r w:rsidRPr="00F466C3">
          <w:rPr>
            <w:rStyle w:val="Hyperlink"/>
          </w:rPr>
          <w:t>Human papillomavirus vaccine (GARDASIL). Advice from the TGA.</w:t>
        </w:r>
      </w:hyperlink>
      <w:r w:rsidRPr="00F27F90">
        <w:t xml:space="preserve"> (Accessed 13 December 2013).</w:t>
      </w:r>
      <w:bookmarkEnd w:id="335"/>
    </w:p>
    <w:p w:rsidR="00F27F90" w:rsidRPr="00F27F90" w:rsidRDefault="00F27F90" w:rsidP="00F27F90">
      <w:pPr>
        <w:pStyle w:val="EndNoteBibliography"/>
        <w:spacing w:after="240"/>
      </w:pPr>
      <w:bookmarkStart w:id="336" w:name="_ENREF_75"/>
      <w:r w:rsidRPr="00F27F90">
        <w:t>75.</w:t>
      </w:r>
      <w:r w:rsidRPr="00F27F90">
        <w:tab/>
        <w:t xml:space="preserve">Simon LS. Pharmacovigilance: towards a better understanding of the benefit to risk ratio. </w:t>
      </w:r>
      <w:r w:rsidRPr="00F27F90">
        <w:rPr>
          <w:i/>
        </w:rPr>
        <w:t>Annals of the Rheumatic Diseases</w:t>
      </w:r>
      <w:r w:rsidRPr="00F27F90">
        <w:t xml:space="preserve"> 2002;61(Suppl II):ii88-9.</w:t>
      </w:r>
      <w:bookmarkEnd w:id="336"/>
    </w:p>
    <w:p w:rsidR="00F27F90" w:rsidRPr="00F27F90" w:rsidRDefault="00F27F90" w:rsidP="00F27F90">
      <w:pPr>
        <w:pStyle w:val="EndNoteBibliography"/>
        <w:spacing w:after="240"/>
      </w:pPr>
      <w:bookmarkStart w:id="337" w:name="_ENREF_76"/>
      <w:r w:rsidRPr="00F27F90">
        <w:t>76.</w:t>
      </w:r>
      <w:r w:rsidRPr="00F27F90">
        <w:tab/>
        <w:t xml:space="preserve">Horvath J. </w:t>
      </w:r>
      <w:hyperlink r:id="rId66" w:history="1">
        <w:r w:rsidRPr="00AD2417">
          <w:rPr>
            <w:rStyle w:val="Hyperlink"/>
          </w:rPr>
          <w:t>Review of the management of adverse events associated with Panvax and Fluvax</w:t>
        </w:r>
      </w:hyperlink>
      <w:r w:rsidRPr="00AD2417">
        <w:t>.</w:t>
      </w:r>
      <w:r w:rsidRPr="00F27F90">
        <w:t xml:space="preserve"> Canberra: Australian Government Department of Health and Ageing; 2011. (Accessed 23 April 2014).</w:t>
      </w:r>
      <w:bookmarkEnd w:id="337"/>
    </w:p>
    <w:p w:rsidR="00F27F90" w:rsidRPr="00F27F90" w:rsidRDefault="00F27F90" w:rsidP="00F27F90">
      <w:pPr>
        <w:pStyle w:val="EndNoteBibliography"/>
        <w:spacing w:after="240"/>
      </w:pPr>
      <w:bookmarkStart w:id="338" w:name="_ENREF_77"/>
      <w:r w:rsidRPr="00F27F90">
        <w:t>77.</w:t>
      </w:r>
      <w:r w:rsidRPr="00F27F90">
        <w:tab/>
        <w:t xml:space="preserve">van ’t Klooster TM, Kemmeren JM, Vermeer-de Bondt PE, et al. </w:t>
      </w:r>
      <w:r w:rsidRPr="001625B1">
        <w:t>Human papillomavirus vaccination catch-up campaign in 2009 for girls born in 1993 to 1996 in the Netherlands: results of the post-marketing safety surveillance.</w:t>
      </w:r>
      <w:r w:rsidRPr="00F27F90">
        <w:t xml:space="preserve"> Bilthoven, Netherlands: National Institute for Public Health and the Environment; 2011. </w:t>
      </w:r>
      <w:r w:rsidR="001625B1">
        <w:t>(</w:t>
      </w:r>
      <w:r w:rsidR="001625B1" w:rsidRPr="001625B1">
        <w:t>http://www.rivm.nl/bibliotheek/rapporten/210012001.pdf</w:t>
      </w:r>
      <w:r w:rsidR="001625B1" w:rsidRPr="00F27F90">
        <w:t xml:space="preserve"> </w:t>
      </w:r>
      <w:r w:rsidR="001625B1">
        <w:t xml:space="preserve">) </w:t>
      </w:r>
      <w:r w:rsidRPr="00F27F90">
        <w:t>Accessed 13 December 2013.</w:t>
      </w:r>
      <w:bookmarkEnd w:id="338"/>
    </w:p>
    <w:p w:rsidR="00F27F90" w:rsidRPr="00F27F90" w:rsidRDefault="00F27F90" w:rsidP="00F27F90">
      <w:pPr>
        <w:pStyle w:val="EndNoteBibliography"/>
        <w:spacing w:after="240"/>
      </w:pPr>
      <w:bookmarkStart w:id="339" w:name="_ENREF_78"/>
      <w:r w:rsidRPr="00F27F90">
        <w:t>78.</w:t>
      </w:r>
      <w:r w:rsidRPr="00F27F90">
        <w:tab/>
        <w:t>The Medicines and Healthcare products Regulatory Agency (MHRA).</w:t>
      </w:r>
      <w:r w:rsidRPr="00B0505D">
        <w:t xml:space="preserve"> </w:t>
      </w:r>
      <w:hyperlink r:id="rId67" w:history="1">
        <w:r w:rsidRPr="00B0505D">
          <w:rPr>
            <w:rStyle w:val="Hyperlink"/>
          </w:rPr>
          <w:t>Cervarix (HPV vaccine): Update on UK safety covering the first two years of the HPV immunisation programme. October 2010.</w:t>
        </w:r>
      </w:hyperlink>
      <w:r w:rsidRPr="00F27F90">
        <w:t xml:space="preserve"> (Accessed 5 December 2013).</w:t>
      </w:r>
      <w:bookmarkEnd w:id="339"/>
    </w:p>
    <w:p w:rsidR="00F27F90" w:rsidRPr="00F27F90" w:rsidRDefault="00F27F90" w:rsidP="00F27F90">
      <w:pPr>
        <w:pStyle w:val="EndNoteBibliography"/>
        <w:spacing w:after="240"/>
      </w:pPr>
      <w:bookmarkStart w:id="340" w:name="_ENREF_79"/>
      <w:r w:rsidRPr="00F27F90">
        <w:t>79.</w:t>
      </w:r>
      <w:r w:rsidRPr="00F27F90">
        <w:tab/>
        <w:t xml:space="preserve">Macartney KK, Chiu C, Georgousakis M, Brotherton J. Safety of human papillomavirus vaccines: a review. </w:t>
      </w:r>
      <w:r w:rsidRPr="00F27F90">
        <w:rPr>
          <w:i/>
        </w:rPr>
        <w:t>Drug Safety</w:t>
      </w:r>
      <w:r w:rsidRPr="00F27F90">
        <w:t xml:space="preserve"> 2013;36:393-412.</w:t>
      </w:r>
      <w:bookmarkEnd w:id="340"/>
    </w:p>
    <w:p w:rsidR="00F27F90" w:rsidRPr="00F27F90" w:rsidRDefault="00F27F90" w:rsidP="00F27F90">
      <w:pPr>
        <w:pStyle w:val="EndNoteBibliography"/>
        <w:spacing w:after="240"/>
      </w:pPr>
      <w:bookmarkStart w:id="341" w:name="_ENREF_80"/>
      <w:r w:rsidRPr="00F27F90">
        <w:t>80.</w:t>
      </w:r>
      <w:r w:rsidRPr="00F27F90">
        <w:tab/>
        <w:t xml:space="preserve">Labadie J. Postlicensure safety evaluation of human papilloma virus vaccines. </w:t>
      </w:r>
      <w:r w:rsidRPr="00F27F90">
        <w:rPr>
          <w:i/>
        </w:rPr>
        <w:t xml:space="preserve">International Journal of Risk and Safety in Medicine </w:t>
      </w:r>
      <w:r w:rsidRPr="00F27F90">
        <w:t>2011;23:103-12.</w:t>
      </w:r>
      <w:bookmarkEnd w:id="341"/>
    </w:p>
    <w:p w:rsidR="00F27F90" w:rsidRPr="00F27F90" w:rsidRDefault="00F27F90" w:rsidP="00F27F90">
      <w:pPr>
        <w:pStyle w:val="EndNoteBibliography"/>
        <w:spacing w:after="240"/>
      </w:pPr>
      <w:bookmarkStart w:id="342" w:name="_ENREF_81"/>
      <w:r w:rsidRPr="00F27F90">
        <w:t>81.</w:t>
      </w:r>
      <w:r w:rsidRPr="00F27F90">
        <w:tab/>
        <w:t xml:space="preserve">Einstein MH, Baron M, Levin MJ, et al. Comparative immunogenicity and safety of human papillomavirus (HPV)-16/18 vaccine and HPV-6/11/16/18 vaccine: follow-up from months 12-24 in a Phase III randomized study of healthy women aged 18-45 years. </w:t>
      </w:r>
      <w:r w:rsidRPr="00F27F90">
        <w:rPr>
          <w:i/>
        </w:rPr>
        <w:t>Human Vaccines</w:t>
      </w:r>
      <w:r w:rsidRPr="00F27F90">
        <w:t xml:space="preserve"> 2011;7:1343-58.</w:t>
      </w:r>
      <w:bookmarkEnd w:id="342"/>
    </w:p>
    <w:p w:rsidR="00F27F90" w:rsidRPr="00F27F90" w:rsidRDefault="00F27F90" w:rsidP="00F27F90">
      <w:pPr>
        <w:pStyle w:val="EndNoteBibliography"/>
        <w:spacing w:after="240"/>
      </w:pPr>
      <w:bookmarkStart w:id="343" w:name="_ENREF_82"/>
      <w:r w:rsidRPr="00F27F90">
        <w:t>82.</w:t>
      </w:r>
      <w:r w:rsidRPr="00F27F90">
        <w:tab/>
        <w:t xml:space="preserve">Reisinger KS, Block SL, Lazcano-Ponce E, et al. Safety and persistent immunogenicity of a quadrivalent human papillomavirus types 6, 11, 16, 18 L1 virus-like particle vaccine in preadolescents and adolescents: a randomized controlled trial. </w:t>
      </w:r>
      <w:r w:rsidRPr="00F27F90">
        <w:rPr>
          <w:i/>
        </w:rPr>
        <w:t>Pediatric Infectious Disease Journal</w:t>
      </w:r>
      <w:r w:rsidRPr="00F27F90">
        <w:t xml:space="preserve"> 2007;26:201-9.</w:t>
      </w:r>
      <w:bookmarkEnd w:id="343"/>
    </w:p>
    <w:p w:rsidR="00F27F90" w:rsidRPr="00F27F90" w:rsidRDefault="00F27F90" w:rsidP="00F27F90">
      <w:pPr>
        <w:pStyle w:val="EndNoteBibliography"/>
        <w:spacing w:after="240"/>
      </w:pPr>
      <w:bookmarkStart w:id="344" w:name="_ENREF_83"/>
      <w:r w:rsidRPr="00F27F90">
        <w:t>83.</w:t>
      </w:r>
      <w:r w:rsidRPr="00F27F90">
        <w:tab/>
        <w:t xml:space="preserve">Lawrence GL, Boyd I, McIntyre PB, Isaacs D. Annual report: surveillance of adverse events following immunisation in Australia, 2004 [erratum appears in Commun Dis Intell. 2005;29(4):416]. </w:t>
      </w:r>
      <w:r w:rsidRPr="00F27F90">
        <w:rPr>
          <w:i/>
        </w:rPr>
        <w:t>Communicable Diseases Intelligence</w:t>
      </w:r>
      <w:r w:rsidRPr="00F27F90">
        <w:t xml:space="preserve"> 2005;29:248-62.</w:t>
      </w:r>
      <w:bookmarkEnd w:id="344"/>
    </w:p>
    <w:p w:rsidR="00F27F90" w:rsidRPr="00F27F90" w:rsidRDefault="00F27F90" w:rsidP="00F27F90">
      <w:pPr>
        <w:pStyle w:val="EndNoteBibliography"/>
        <w:spacing w:after="240"/>
      </w:pPr>
      <w:bookmarkStart w:id="345" w:name="_ENREF_84"/>
      <w:r w:rsidRPr="00F27F90">
        <w:t>84.</w:t>
      </w:r>
      <w:r w:rsidRPr="00F27F90">
        <w:tab/>
        <w:t xml:space="preserve">Lawrence GL, Boyd I, McIntyre PB, Isaacs D. Annual report: surveillance of adverse events following immunisation in Australia, 2005. </w:t>
      </w:r>
      <w:r w:rsidRPr="00F27F90">
        <w:rPr>
          <w:i/>
        </w:rPr>
        <w:t>Communicable Diseases Intelligence</w:t>
      </w:r>
      <w:r w:rsidRPr="00F27F90">
        <w:t xml:space="preserve"> 2006;30:319-33.</w:t>
      </w:r>
      <w:bookmarkEnd w:id="345"/>
    </w:p>
    <w:p w:rsidR="00F27F90" w:rsidRPr="00F27F90" w:rsidRDefault="00F27F90" w:rsidP="00F27F90">
      <w:pPr>
        <w:pStyle w:val="EndNoteBibliography"/>
        <w:spacing w:after="240"/>
      </w:pPr>
      <w:bookmarkStart w:id="346" w:name="_ENREF_85"/>
      <w:r w:rsidRPr="00F27F90">
        <w:t>85.</w:t>
      </w:r>
      <w:r w:rsidRPr="00F27F90">
        <w:tab/>
        <w:t xml:space="preserve">Clements CJ. Mass psychogenic illness after vaccination. </w:t>
      </w:r>
      <w:r w:rsidRPr="00F27F90">
        <w:rPr>
          <w:i/>
        </w:rPr>
        <w:t>Drug Safety</w:t>
      </w:r>
      <w:r w:rsidRPr="00F27F90">
        <w:t xml:space="preserve"> 2003;26:599-604.</w:t>
      </w:r>
      <w:bookmarkEnd w:id="346"/>
    </w:p>
    <w:p w:rsidR="00F27F90" w:rsidRPr="00F27F90" w:rsidRDefault="00F27F90" w:rsidP="00F27F90">
      <w:pPr>
        <w:pStyle w:val="EndNoteBibliography"/>
        <w:spacing w:after="240"/>
      </w:pPr>
      <w:bookmarkStart w:id="347" w:name="_ENREF_86"/>
      <w:r w:rsidRPr="00F27F90">
        <w:t>86.</w:t>
      </w:r>
      <w:r w:rsidRPr="00F27F90">
        <w:tab/>
        <w:t xml:space="preserve">Ruggeberg JU, Gold MS, Bayas JM, et al. Anaphylaxis: case definition and guidelines for data collection, analysis, and presentation of immunization safety data. </w:t>
      </w:r>
      <w:r w:rsidRPr="00F27F90">
        <w:rPr>
          <w:i/>
        </w:rPr>
        <w:t>Vaccine</w:t>
      </w:r>
      <w:r w:rsidRPr="00F27F90">
        <w:t xml:space="preserve"> 2007;25:5675-84.</w:t>
      </w:r>
      <w:bookmarkEnd w:id="347"/>
    </w:p>
    <w:p w:rsidR="00F27F90" w:rsidRPr="00F27F90" w:rsidRDefault="00F27F90" w:rsidP="00F27F90">
      <w:pPr>
        <w:pStyle w:val="EndNoteBibliography"/>
        <w:spacing w:after="240"/>
      </w:pPr>
      <w:bookmarkStart w:id="348" w:name="_ENREF_87"/>
      <w:r w:rsidRPr="00F27F90">
        <w:t>87.</w:t>
      </w:r>
      <w:r w:rsidRPr="00F27F90">
        <w:tab/>
        <w:t xml:space="preserve">Konno R, Dobbelaere KO, Godeaux OO, al. E. Immunogenicity, reactogenicity, and safety of human papillomavirus 16/18 AS04-adjuvanted vaccine in Japanese women: interim analysis of a phase II, double-blind, randomized controlled trial at month 7. </w:t>
      </w:r>
      <w:r w:rsidRPr="00F27F90">
        <w:rPr>
          <w:i/>
        </w:rPr>
        <w:t>International Journal of Gynecological Cancer</w:t>
      </w:r>
      <w:r w:rsidRPr="00F27F90">
        <w:t xml:space="preserve"> 2009;19:905-11 </w:t>
      </w:r>
      <w:bookmarkEnd w:id="348"/>
    </w:p>
    <w:p w:rsidR="00F27F90" w:rsidRPr="00F27F90" w:rsidRDefault="00F27F90" w:rsidP="00F27F90">
      <w:pPr>
        <w:pStyle w:val="EndNoteBibliography"/>
        <w:spacing w:after="240"/>
      </w:pPr>
      <w:bookmarkStart w:id="349" w:name="_ENREF_88"/>
      <w:r w:rsidRPr="00F27F90">
        <w:t>88.</w:t>
      </w:r>
      <w:r w:rsidRPr="00F27F90">
        <w:tab/>
        <w:t xml:space="preserve">Gee J, Naleway A, Shui I, et al. Monitoring the safety of quadrivalent human papillomavirus vaccine: findings from the Vaccine Safety Datalink. </w:t>
      </w:r>
      <w:r w:rsidRPr="00F27F90">
        <w:rPr>
          <w:i/>
        </w:rPr>
        <w:t>Vaccine</w:t>
      </w:r>
      <w:r w:rsidRPr="00F27F90">
        <w:t xml:space="preserve"> 2011;29:8279-420.</w:t>
      </w:r>
      <w:bookmarkEnd w:id="349"/>
    </w:p>
    <w:p w:rsidR="00F27F90" w:rsidRPr="00F27F90" w:rsidRDefault="00F27F90" w:rsidP="00F27F90">
      <w:pPr>
        <w:pStyle w:val="EndNoteBibliography"/>
        <w:spacing w:after="240"/>
      </w:pPr>
      <w:bookmarkStart w:id="350" w:name="_ENREF_89"/>
      <w:r w:rsidRPr="00F27F90">
        <w:t>89.</w:t>
      </w:r>
      <w:r w:rsidRPr="00F27F90">
        <w:tab/>
        <w:t xml:space="preserve">Arnheim-Dahlström L, Pasternak B, Svanström H, Sparen P, Hviid A. Autoimmune, neurological, and venous thromboembolic adverse events after vaccination of adolescent girls with quadrivalent human papillomavirus in Denmark and Sweden: cohort study. </w:t>
      </w:r>
      <w:r w:rsidRPr="00F27F90">
        <w:rPr>
          <w:i/>
        </w:rPr>
        <w:t>BMJ</w:t>
      </w:r>
      <w:r w:rsidRPr="00F27F90">
        <w:t xml:space="preserve"> 2013;347:5906.</w:t>
      </w:r>
      <w:bookmarkEnd w:id="350"/>
    </w:p>
    <w:p w:rsidR="00F27F90" w:rsidRPr="00F27F90" w:rsidRDefault="00F27F90" w:rsidP="00F27F90">
      <w:pPr>
        <w:pStyle w:val="EndNoteBibliography"/>
        <w:spacing w:after="240"/>
      </w:pPr>
      <w:bookmarkStart w:id="351" w:name="_ENREF_90"/>
      <w:r w:rsidRPr="00F27F90">
        <w:t>90.</w:t>
      </w:r>
      <w:r w:rsidRPr="00F27F90">
        <w:tab/>
      </w:r>
      <w:hyperlink r:id="rId68" w:history="1">
        <w:r w:rsidRPr="00B0505D">
          <w:rPr>
            <w:rStyle w:val="Hyperlink"/>
          </w:rPr>
          <w:t>GACVS Safety update on HPV vaccines</w:t>
        </w:r>
      </w:hyperlink>
      <w:r w:rsidRPr="00F27F90">
        <w:t>. Geneva, 13 June 2013. 2013. (Accessed 5 December 2013).</w:t>
      </w:r>
      <w:bookmarkEnd w:id="351"/>
    </w:p>
    <w:p w:rsidR="00F27F90" w:rsidRPr="00F27F90" w:rsidRDefault="00F27F90" w:rsidP="00F27F90">
      <w:pPr>
        <w:pStyle w:val="EndNoteBibliography"/>
        <w:spacing w:after="240"/>
      </w:pPr>
      <w:bookmarkStart w:id="352" w:name="_ENREF_91"/>
      <w:r w:rsidRPr="00F27F90">
        <w:t>91.</w:t>
      </w:r>
      <w:r w:rsidRPr="00F27F90">
        <w:tab/>
        <w:t>Australian Institute of Health and Welfare (AIHW). Cervical Screening in Australia 2008-2009. Cancer series no. 61. Cat. no. CAN 57. Canberra: AIHW; 2011.</w:t>
      </w:r>
      <w:bookmarkEnd w:id="352"/>
    </w:p>
    <w:p w:rsidR="00F27F90" w:rsidRPr="00F27F90" w:rsidRDefault="00F27F90" w:rsidP="00F27F90">
      <w:pPr>
        <w:pStyle w:val="EndNoteBibliography"/>
        <w:spacing w:after="240"/>
      </w:pPr>
      <w:bookmarkStart w:id="353" w:name="_ENREF_92"/>
      <w:r w:rsidRPr="00F27F90">
        <w:t>92.</w:t>
      </w:r>
      <w:r w:rsidRPr="00F27F90">
        <w:tab/>
        <w:t>Australian Institute of Health and Welfare (AIHW). Cervical screening in Australia 2010-2011. Cancer series no. 76. Cat. no. CAN 72. Canberra: AIHW; 2013.</w:t>
      </w:r>
      <w:bookmarkEnd w:id="353"/>
    </w:p>
    <w:p w:rsidR="00F27F90" w:rsidRPr="00F27F90" w:rsidRDefault="00F27F90" w:rsidP="00F27F90">
      <w:pPr>
        <w:pStyle w:val="EndNoteBibliography"/>
        <w:spacing w:after="240"/>
      </w:pPr>
      <w:bookmarkStart w:id="354" w:name="_ENREF_93"/>
      <w:r w:rsidRPr="00F27F90">
        <w:t>93.</w:t>
      </w:r>
      <w:r w:rsidRPr="00F27F90">
        <w:tab/>
        <w:t xml:space="preserve">Australian Institute of Health and Welfare. </w:t>
      </w:r>
      <w:hyperlink r:id="rId69" w:anchor="scope" w:history="1">
        <w:r w:rsidRPr="00F466C3">
          <w:rPr>
            <w:rStyle w:val="Hyperlink"/>
          </w:rPr>
          <w:t>National Hospital Morbidity Database: scope of the database</w:t>
        </w:r>
      </w:hyperlink>
      <w:r w:rsidRPr="00F27F90">
        <w:t>. 2013. (Accessed 24 October 2013).</w:t>
      </w:r>
      <w:bookmarkEnd w:id="354"/>
    </w:p>
    <w:p w:rsidR="00F27F90" w:rsidRPr="00F27F90" w:rsidRDefault="00F27F90" w:rsidP="00F27F90">
      <w:pPr>
        <w:pStyle w:val="EndNoteBibliography"/>
        <w:spacing w:after="240"/>
      </w:pPr>
      <w:bookmarkStart w:id="355" w:name="_ENREF_94"/>
      <w:r w:rsidRPr="00F27F90">
        <w:t>94.</w:t>
      </w:r>
      <w:r w:rsidRPr="00F27F90">
        <w:tab/>
        <w:t>National Cervical Screening Program. An abnormal Pap smear result - what this means for you. Canberra: Australian Government; 2006.</w:t>
      </w:r>
      <w:bookmarkEnd w:id="355"/>
    </w:p>
    <w:p w:rsidR="00F27F90" w:rsidRPr="00F27F90" w:rsidRDefault="00F27F90" w:rsidP="00F27F90">
      <w:pPr>
        <w:pStyle w:val="EndNoteBibliography"/>
        <w:spacing w:after="240"/>
      </w:pPr>
      <w:bookmarkStart w:id="356" w:name="_ENREF_95"/>
      <w:r w:rsidRPr="00F27F90">
        <w:t>95.</w:t>
      </w:r>
      <w:r w:rsidRPr="00F27F90">
        <w:tab/>
        <w:t>Smith A, Agius P, Mitchell A, Barrett C, Pitts M. Secondary students and sexual health report 2008, Monograph Series No. 70. Melbourne: Australian Research Centre in Sex, Health  &amp; Society, La Trobe University; 2009.</w:t>
      </w:r>
      <w:bookmarkEnd w:id="356"/>
    </w:p>
    <w:p w:rsidR="00F27F90" w:rsidRPr="00F27F90" w:rsidRDefault="00F27F90" w:rsidP="00F27F90">
      <w:pPr>
        <w:pStyle w:val="EndNoteBibliography"/>
        <w:spacing w:after="240"/>
      </w:pPr>
      <w:bookmarkStart w:id="357" w:name="_ENREF_96"/>
      <w:r w:rsidRPr="00F27F90">
        <w:t>96.</w:t>
      </w:r>
      <w:r w:rsidRPr="00F27F90">
        <w:tab/>
        <w:t xml:space="preserve">Lancucki L, Fender M, Koukari A, et al. A fall-off in cervical screening coverage of younger women in developed countries. </w:t>
      </w:r>
      <w:r w:rsidRPr="00F27F90">
        <w:rPr>
          <w:i/>
        </w:rPr>
        <w:t>Journal of Medical Screening</w:t>
      </w:r>
      <w:r w:rsidRPr="00F27F90">
        <w:t xml:space="preserve"> 2010;17:91-6.</w:t>
      </w:r>
      <w:bookmarkEnd w:id="357"/>
    </w:p>
    <w:p w:rsidR="00F27F90" w:rsidRPr="00F27F90" w:rsidRDefault="00F27F90" w:rsidP="00F27F90">
      <w:pPr>
        <w:pStyle w:val="EndNoteBibliography"/>
        <w:spacing w:after="240"/>
      </w:pPr>
      <w:bookmarkStart w:id="358" w:name="_ENREF_97"/>
      <w:r w:rsidRPr="00F27F90">
        <w:t>97.</w:t>
      </w:r>
      <w:r w:rsidRPr="00F27F90">
        <w:tab/>
        <w:t xml:space="preserve">Australian Government Department of Health and Ageing. </w:t>
      </w:r>
      <w:hyperlink r:id="rId70" w:history="1">
        <w:r w:rsidRPr="00F466C3">
          <w:rPr>
            <w:rStyle w:val="Hyperlink"/>
          </w:rPr>
          <w:t>Policy for screening women vaccinated against HPV</w:t>
        </w:r>
      </w:hyperlink>
      <w:r w:rsidRPr="00F27F90">
        <w:t>. 2007. (Accessed 13 December 2013).</w:t>
      </w:r>
      <w:bookmarkEnd w:id="358"/>
    </w:p>
    <w:p w:rsidR="00F27F90" w:rsidRPr="00F27F90" w:rsidRDefault="00F27F90" w:rsidP="00F27F90">
      <w:pPr>
        <w:pStyle w:val="EndNoteBibliography"/>
        <w:spacing w:after="240"/>
      </w:pPr>
      <w:bookmarkStart w:id="359" w:name="_ENREF_98"/>
      <w:r w:rsidRPr="00F27F90">
        <w:t>98.</w:t>
      </w:r>
      <w:r w:rsidRPr="00F27F90">
        <w:tab/>
        <w:t xml:space="preserve">Brotherton JM, Fridman M, May CL, et al. Early effect of the HPV vaccination programme on cervical abnormalities in Victoria, Australia: an ecological study. </w:t>
      </w:r>
      <w:r w:rsidRPr="00F27F90">
        <w:rPr>
          <w:i/>
        </w:rPr>
        <w:t>Lancet</w:t>
      </w:r>
      <w:r w:rsidRPr="00F27F90">
        <w:t xml:space="preserve"> 2011;377:2085-92.</w:t>
      </w:r>
      <w:bookmarkEnd w:id="359"/>
    </w:p>
    <w:p w:rsidR="00F27F90" w:rsidRPr="00F27F90" w:rsidRDefault="00F27F90" w:rsidP="00F27F90">
      <w:pPr>
        <w:pStyle w:val="EndNoteBibliography"/>
        <w:spacing w:after="240"/>
      </w:pPr>
      <w:bookmarkStart w:id="360" w:name="_ENREF_99"/>
      <w:r w:rsidRPr="00F27F90">
        <w:t>99.</w:t>
      </w:r>
      <w:r w:rsidRPr="00F27F90">
        <w:tab/>
        <w:t xml:space="preserve">Kulasingam SL, Pagliusi S, Myers E. Potential effects of decreased cervical cancer screening participation after HPV vaccination: an example from the U.S. </w:t>
      </w:r>
      <w:r w:rsidRPr="00F27F90">
        <w:rPr>
          <w:i/>
        </w:rPr>
        <w:t>Vaccine</w:t>
      </w:r>
      <w:r w:rsidRPr="00F27F90">
        <w:t xml:space="preserve"> 2007;25:8110-3.</w:t>
      </w:r>
      <w:bookmarkEnd w:id="360"/>
    </w:p>
    <w:p w:rsidR="00F27F90" w:rsidRPr="00F27F90" w:rsidRDefault="00F27F90" w:rsidP="00F27F90">
      <w:pPr>
        <w:pStyle w:val="EndNoteBibliography"/>
        <w:spacing w:after="240"/>
      </w:pPr>
      <w:bookmarkStart w:id="361" w:name="_ENREF_100"/>
      <w:r w:rsidRPr="00F27F90">
        <w:t>100.</w:t>
      </w:r>
      <w:r w:rsidRPr="00F27F90">
        <w:tab/>
        <w:t xml:space="preserve">PapScreen Victoria. </w:t>
      </w:r>
      <w:hyperlink r:id="rId71" w:history="1">
        <w:r w:rsidRPr="00F466C3">
          <w:rPr>
            <w:rStyle w:val="Hyperlink"/>
          </w:rPr>
          <w:t>Barriers to screening for women.</w:t>
        </w:r>
      </w:hyperlink>
      <w:r w:rsidRPr="00F27F90">
        <w:t xml:space="preserve"> (Accessed 31 October 2012).</w:t>
      </w:r>
      <w:bookmarkEnd w:id="361"/>
    </w:p>
    <w:p w:rsidR="00F27F90" w:rsidRPr="00F27F90" w:rsidRDefault="00F27F90" w:rsidP="00F27F90">
      <w:pPr>
        <w:pStyle w:val="EndNoteBibliography"/>
        <w:spacing w:after="240"/>
      </w:pPr>
      <w:bookmarkStart w:id="362" w:name="_ENREF_101"/>
      <w:r w:rsidRPr="00F27F90">
        <w:t>101.</w:t>
      </w:r>
      <w:r w:rsidRPr="00F27F90">
        <w:tab/>
        <w:t>World Health Organization International Agency for Research on Cancer. IARC handbooks of cancer prevention: cervix cancer screening. Lyon: IARC Press; 2005.</w:t>
      </w:r>
      <w:bookmarkEnd w:id="362"/>
    </w:p>
    <w:p w:rsidR="00F27F90" w:rsidRPr="00F27F90" w:rsidRDefault="00F27F90" w:rsidP="00F27F90">
      <w:pPr>
        <w:pStyle w:val="EndNoteBibliography"/>
        <w:spacing w:after="240"/>
      </w:pPr>
      <w:bookmarkStart w:id="363" w:name="_ENREF_102"/>
      <w:r w:rsidRPr="00F27F90">
        <w:t>102.</w:t>
      </w:r>
      <w:r w:rsidRPr="00F27F90">
        <w:tab/>
        <w:t xml:space="preserve">Tabrizi SN, Brotherton JM, Kaldor JM, et al. Fall in human papillomavirus prevalence following a national vaccination program. </w:t>
      </w:r>
      <w:r w:rsidRPr="00F27F90">
        <w:rPr>
          <w:i/>
        </w:rPr>
        <w:t>Journal of Infectious Diseases</w:t>
      </w:r>
      <w:r w:rsidRPr="00F27F90">
        <w:t xml:space="preserve"> 2012;206:1645-51.</w:t>
      </w:r>
      <w:bookmarkEnd w:id="363"/>
    </w:p>
    <w:p w:rsidR="00F27F90" w:rsidRPr="00F27F90" w:rsidRDefault="00F27F90" w:rsidP="00F27F90">
      <w:pPr>
        <w:pStyle w:val="EndNoteBibliography"/>
        <w:spacing w:after="240"/>
      </w:pPr>
      <w:bookmarkStart w:id="364" w:name="_ENREF_103"/>
      <w:r w:rsidRPr="00F27F90">
        <w:t>103.</w:t>
      </w:r>
      <w:r w:rsidRPr="00F27F90">
        <w:tab/>
        <w:t>World Health Organization (WHO). Report of the meeting on HPV Vaccine Coverage and Impact Monitoring. Geneva: WHO; 2010.</w:t>
      </w:r>
      <w:bookmarkEnd w:id="364"/>
    </w:p>
    <w:p w:rsidR="00F27F90" w:rsidRPr="00F27F90" w:rsidRDefault="00F27F90" w:rsidP="00F27F90">
      <w:pPr>
        <w:pStyle w:val="EndNoteBibliography"/>
        <w:spacing w:after="240"/>
      </w:pPr>
      <w:bookmarkStart w:id="365" w:name="_ENREF_104"/>
      <w:r w:rsidRPr="00F27F90">
        <w:t>104.</w:t>
      </w:r>
      <w:r w:rsidRPr="00F27F90">
        <w:tab/>
        <w:t xml:space="preserve">Markowitz LE, Dunne EF, Saraiya M, et al. Quadrivalent human papillomavirus vaccine: recommendations of the Advisory Committee on Immunization Practices (ACIP). </w:t>
      </w:r>
      <w:r w:rsidRPr="00F27F90">
        <w:rPr>
          <w:i/>
        </w:rPr>
        <w:t>MMWR Recommendations and Reports</w:t>
      </w:r>
      <w:r w:rsidRPr="00F27F90">
        <w:t xml:space="preserve"> 2007;56(RR-2):1-24.</w:t>
      </w:r>
      <w:bookmarkEnd w:id="365"/>
    </w:p>
    <w:p w:rsidR="00F27F90" w:rsidRPr="00F27F90" w:rsidRDefault="00F27F90" w:rsidP="00F27F90">
      <w:pPr>
        <w:pStyle w:val="EndNoteBibliography"/>
        <w:spacing w:after="240"/>
      </w:pPr>
      <w:bookmarkStart w:id="366" w:name="_ENREF_105"/>
      <w:r w:rsidRPr="00F27F90">
        <w:t>105.</w:t>
      </w:r>
      <w:r w:rsidRPr="00F27F90">
        <w:tab/>
        <w:t xml:space="preserve">Markowitz L, Hariri S, Lin C, et al. Reduction in human papillomavirus (HPV) prevalence among young women following HPV vaccine introduction in the United States, National Health and Nutrition Examinatiion Surveys, 2003-2010. </w:t>
      </w:r>
      <w:r w:rsidRPr="00F27F90">
        <w:rPr>
          <w:i/>
        </w:rPr>
        <w:t>Journal of Infectious Diseases</w:t>
      </w:r>
      <w:r w:rsidRPr="00F27F90">
        <w:t xml:space="preserve"> 2013;208:385-93.</w:t>
      </w:r>
      <w:bookmarkEnd w:id="366"/>
    </w:p>
    <w:p w:rsidR="00F27F90" w:rsidRPr="00F27F90" w:rsidRDefault="00F27F90" w:rsidP="00F27F90">
      <w:pPr>
        <w:pStyle w:val="EndNoteBibliography"/>
        <w:spacing w:after="240"/>
      </w:pPr>
      <w:bookmarkStart w:id="367" w:name="_ENREF_106"/>
      <w:r w:rsidRPr="00F27F90">
        <w:t>106.</w:t>
      </w:r>
      <w:r w:rsidRPr="00F27F90">
        <w:tab/>
        <w:t xml:space="preserve">Mullins R, Coomber K, Broun K, Wakefield M. Promoting cervical screening after introduction of the human papillomavirus vaccine: the effect of repeated mass media campaigns. </w:t>
      </w:r>
      <w:r w:rsidRPr="00F27F90">
        <w:rPr>
          <w:i/>
        </w:rPr>
        <w:t>Journal of Medical Screening</w:t>
      </w:r>
      <w:r w:rsidRPr="00F27F90">
        <w:t xml:space="preserve"> 2013;20:27-32.</w:t>
      </w:r>
      <w:bookmarkEnd w:id="367"/>
    </w:p>
    <w:p w:rsidR="00F27F90" w:rsidRPr="00F27F90" w:rsidRDefault="00F27F90" w:rsidP="00F27F90">
      <w:pPr>
        <w:pStyle w:val="EndNoteBibliography"/>
        <w:spacing w:after="240"/>
      </w:pPr>
      <w:bookmarkStart w:id="368" w:name="_ENREF_107"/>
      <w:r w:rsidRPr="00F27F90">
        <w:t>107.</w:t>
      </w:r>
      <w:r w:rsidRPr="00F27F90">
        <w:tab/>
        <w:t xml:space="preserve">Bowring J, Walker P. The “Jade Goody effect”: what now for cervical cancer prevention? </w:t>
      </w:r>
      <w:r w:rsidRPr="00F27F90">
        <w:rPr>
          <w:i/>
        </w:rPr>
        <w:t>Journal of Family Planning and Reproductive Health Care</w:t>
      </w:r>
      <w:r w:rsidRPr="00F27F90">
        <w:t xml:space="preserve"> 2010;36:51-4.</w:t>
      </w:r>
      <w:bookmarkEnd w:id="368"/>
    </w:p>
    <w:p w:rsidR="00F27F90" w:rsidRPr="00F27F90" w:rsidRDefault="00F27F90" w:rsidP="00F27F90">
      <w:pPr>
        <w:pStyle w:val="EndNoteBibliography"/>
        <w:spacing w:after="240"/>
      </w:pPr>
      <w:bookmarkStart w:id="369" w:name="_ENREF_108"/>
      <w:r w:rsidRPr="00F27F90">
        <w:t>108.</w:t>
      </w:r>
      <w:r w:rsidRPr="00F27F90">
        <w:tab/>
        <w:t xml:space="preserve">Woodman CB, Collins S, Winter H, et al. Natural history of cervical human papillomavirus infection in young women: a longitudinal cohort study. </w:t>
      </w:r>
      <w:r w:rsidRPr="00F27F90">
        <w:rPr>
          <w:i/>
        </w:rPr>
        <w:t>Lancet</w:t>
      </w:r>
      <w:r w:rsidRPr="00F27F90">
        <w:t xml:space="preserve"> 2001;357:1831-6.</w:t>
      </w:r>
      <w:bookmarkEnd w:id="369"/>
    </w:p>
    <w:p w:rsidR="00F27F90" w:rsidRPr="00F27F90" w:rsidRDefault="00F27F90" w:rsidP="00F27F90">
      <w:pPr>
        <w:pStyle w:val="EndNoteBibliography"/>
        <w:spacing w:after="240"/>
      </w:pPr>
      <w:bookmarkStart w:id="370" w:name="_ENREF_109"/>
      <w:r w:rsidRPr="00F27F90">
        <w:t>109.</w:t>
      </w:r>
      <w:r w:rsidRPr="00F27F90">
        <w:tab/>
        <w:t xml:space="preserve">Koutsky LA, Holmes KK, Critchlow CW, et al. A cohort study of the risk of cervical intraepithelial neoplasia grade 2 or 3 in relation to papillomavirus infection. </w:t>
      </w:r>
      <w:r w:rsidRPr="00F27F90">
        <w:rPr>
          <w:i/>
        </w:rPr>
        <w:t>New England Journal of Medicine</w:t>
      </w:r>
      <w:r w:rsidRPr="00F27F90">
        <w:t xml:space="preserve"> 1992;327:1272-8.</w:t>
      </w:r>
      <w:bookmarkEnd w:id="370"/>
    </w:p>
    <w:p w:rsidR="00F27F90" w:rsidRPr="00F27F90" w:rsidRDefault="00F27F90" w:rsidP="00F27F90">
      <w:pPr>
        <w:pStyle w:val="EndNoteBibliography"/>
        <w:spacing w:after="240"/>
      </w:pPr>
      <w:bookmarkStart w:id="371" w:name="_ENREF_110"/>
      <w:r w:rsidRPr="00F27F90">
        <w:t>110.</w:t>
      </w:r>
      <w:r w:rsidRPr="00F27F90">
        <w:tab/>
        <w:t xml:space="preserve">Winer RL, Kiviat NB, Hughes JP, et al. Development and duration of human papillomavirus lesions, after initial infection. </w:t>
      </w:r>
      <w:r w:rsidRPr="00F27F90">
        <w:rPr>
          <w:i/>
        </w:rPr>
        <w:t>Journal of Infectious Diseases</w:t>
      </w:r>
      <w:r w:rsidRPr="00F27F90">
        <w:t xml:space="preserve"> 2005;191:731-8.</w:t>
      </w:r>
      <w:bookmarkEnd w:id="371"/>
    </w:p>
    <w:p w:rsidR="00F27F90" w:rsidRPr="00F27F90" w:rsidRDefault="00F27F90" w:rsidP="00F27F90">
      <w:pPr>
        <w:pStyle w:val="EndNoteBibliography"/>
        <w:spacing w:after="240"/>
      </w:pPr>
      <w:bookmarkStart w:id="372" w:name="_ENREF_111"/>
      <w:r w:rsidRPr="00F27F90">
        <w:t>111.</w:t>
      </w:r>
      <w:r w:rsidRPr="00F27F90">
        <w:tab/>
        <w:t xml:space="preserve">Australian Bureau of Statistics. </w:t>
      </w:r>
      <w:hyperlink r:id="rId72" w:history="1">
        <w:r w:rsidRPr="00F466C3">
          <w:rPr>
            <w:rStyle w:val="Hyperlink"/>
          </w:rPr>
          <w:t>Demographic, social and economic characteristics overview: Aboriginal and Torres Strait Islander people and where they live</w:t>
        </w:r>
      </w:hyperlink>
      <w:r w:rsidRPr="00F27F90">
        <w:t>. 2010. (Accessed 16 June 2013).</w:t>
      </w:r>
      <w:bookmarkEnd w:id="372"/>
    </w:p>
    <w:p w:rsidR="00F27F90" w:rsidRPr="00F27F90" w:rsidRDefault="00F27F90" w:rsidP="00F27F90">
      <w:pPr>
        <w:pStyle w:val="EndNoteBibliography"/>
        <w:spacing w:after="240"/>
      </w:pPr>
      <w:bookmarkStart w:id="373" w:name="_ENREF_112"/>
      <w:r w:rsidRPr="00F27F90">
        <w:t>112.</w:t>
      </w:r>
      <w:r w:rsidRPr="00F27F90">
        <w:tab/>
        <w:t xml:space="preserve">Garland SM, Brotherton JM, Condon JR, et al. Human papillomavirus prevalence among indigenous and non-indigenous Australian women prior to a national HPV vaccination program. </w:t>
      </w:r>
      <w:r w:rsidRPr="00F27F90">
        <w:rPr>
          <w:i/>
        </w:rPr>
        <w:t>BMC Medicine</w:t>
      </w:r>
      <w:r w:rsidRPr="00F27F90">
        <w:t xml:space="preserve"> 2011;9:104.</w:t>
      </w:r>
      <w:bookmarkEnd w:id="373"/>
    </w:p>
    <w:p w:rsidR="00F27F90" w:rsidRPr="00F27F90" w:rsidRDefault="00F27F90" w:rsidP="00F27F90">
      <w:pPr>
        <w:pStyle w:val="EndNoteBibliography"/>
        <w:spacing w:after="240"/>
      </w:pPr>
      <w:bookmarkStart w:id="374" w:name="_ENREF_113"/>
      <w:r w:rsidRPr="00F27F90">
        <w:t>113.</w:t>
      </w:r>
      <w:r w:rsidRPr="00F27F90">
        <w:tab/>
        <w:t xml:space="preserve">Australian Bureau of Statistics. </w:t>
      </w:r>
      <w:hyperlink r:id="rId73" w:history="1">
        <w:r w:rsidRPr="00F466C3">
          <w:rPr>
            <w:rStyle w:val="Hyperlink"/>
          </w:rPr>
          <w:t>3101.0 - Australian Demographic Statistics, March quarter 2013</w:t>
        </w:r>
      </w:hyperlink>
      <w:r w:rsidRPr="00F27F90">
        <w:t>. 2013. (Accessed 9 October 2013).</w:t>
      </w:r>
      <w:bookmarkEnd w:id="374"/>
    </w:p>
    <w:p w:rsidR="00F27F90" w:rsidRPr="00F27F90" w:rsidRDefault="00F27F90" w:rsidP="00F27F90">
      <w:pPr>
        <w:pStyle w:val="EndNoteBibliography"/>
        <w:spacing w:after="240"/>
      </w:pPr>
      <w:bookmarkStart w:id="375" w:name="_ENREF_114"/>
      <w:r w:rsidRPr="00F27F90">
        <w:t>114.</w:t>
      </w:r>
      <w:r w:rsidRPr="00F27F90">
        <w:tab/>
        <w:t>Australian Government Department of Health.</w:t>
      </w:r>
      <w:hyperlink r:id="rId74" w:history="1">
        <w:r w:rsidRPr="00F466C3">
          <w:rPr>
            <w:rStyle w:val="Hyperlink"/>
          </w:rPr>
          <w:t xml:space="preserve"> Immunise Australia Program - Human Papillomavirus (HPV)</w:t>
        </w:r>
      </w:hyperlink>
      <w:r w:rsidRPr="00F27F90">
        <w:t>. 2013. (Accessed 9 May 2013).</w:t>
      </w:r>
      <w:bookmarkEnd w:id="375"/>
    </w:p>
    <w:p w:rsidR="00F27F90" w:rsidRPr="00F27F90" w:rsidRDefault="00F27F90" w:rsidP="00F27F90">
      <w:pPr>
        <w:pStyle w:val="EndNoteBibliography"/>
        <w:spacing w:after="240"/>
      </w:pPr>
      <w:bookmarkStart w:id="376" w:name="_ENREF_115"/>
      <w:r w:rsidRPr="00F27F90">
        <w:t>115.</w:t>
      </w:r>
      <w:r w:rsidRPr="00F27F90">
        <w:tab/>
        <w:t xml:space="preserve">Kreimer AR, Rodriguez AC, Hildesheim A, et al. Proof-of-principle evaluation of the efficacy of fewer than three doses of a bivalent HPV16/18 vaccine. </w:t>
      </w:r>
      <w:r w:rsidRPr="00F27F90">
        <w:rPr>
          <w:i/>
        </w:rPr>
        <w:t>Journal of the National Cancer Institute</w:t>
      </w:r>
      <w:r w:rsidRPr="00F27F90">
        <w:t xml:space="preserve"> 2011;103:1444-51.</w:t>
      </w:r>
      <w:bookmarkEnd w:id="376"/>
    </w:p>
    <w:p w:rsidR="00F27F90" w:rsidRPr="00F27F90" w:rsidRDefault="00F27F90" w:rsidP="00F27F90">
      <w:pPr>
        <w:pStyle w:val="EndNoteBibliography"/>
        <w:spacing w:after="240"/>
      </w:pPr>
      <w:bookmarkStart w:id="377" w:name="_ENREF_116"/>
      <w:r w:rsidRPr="00F27F90">
        <w:t>116.</w:t>
      </w:r>
      <w:r w:rsidRPr="00F27F90">
        <w:tab/>
        <w:t xml:space="preserve">Dobson S, McNeil S, Dionne M, et al. Immunogenicity of 2 doses of HPV vaccine in younger adolescents vs 3 doses in young women: a randomized clinical trial. </w:t>
      </w:r>
      <w:r w:rsidRPr="00F27F90">
        <w:rPr>
          <w:i/>
        </w:rPr>
        <w:t>JAMA</w:t>
      </w:r>
      <w:r w:rsidRPr="00F27F90">
        <w:t xml:space="preserve"> 2013;309:1793-802.</w:t>
      </w:r>
      <w:bookmarkEnd w:id="377"/>
    </w:p>
    <w:p w:rsidR="00F27F90" w:rsidRPr="00F27F90" w:rsidRDefault="00F27F90" w:rsidP="00F27F90">
      <w:pPr>
        <w:pStyle w:val="EndNoteBibliography"/>
        <w:spacing w:after="240"/>
      </w:pPr>
      <w:bookmarkStart w:id="378" w:name="_ENREF_117"/>
      <w:r w:rsidRPr="00F27F90">
        <w:t>117.</w:t>
      </w:r>
      <w:r w:rsidRPr="00F27F90">
        <w:tab/>
        <w:t xml:space="preserve">Donovan B, Franklin N, Guy R, et al. Quadrivalent human papillomavirus vaccination and trends in genital warts in Australia: analysis of national sentinel surveillance data. </w:t>
      </w:r>
      <w:r w:rsidRPr="00F27F90">
        <w:rPr>
          <w:i/>
        </w:rPr>
        <w:t>Lancet Infectious Diseases</w:t>
      </w:r>
      <w:r w:rsidRPr="00F27F90">
        <w:t xml:space="preserve"> 2011;11:39-44.</w:t>
      </w:r>
      <w:bookmarkEnd w:id="378"/>
    </w:p>
    <w:p w:rsidR="00F27F90" w:rsidRPr="00F27F90" w:rsidRDefault="00F27F90" w:rsidP="00F27F90">
      <w:pPr>
        <w:pStyle w:val="EndNoteBibliography"/>
        <w:spacing w:after="240"/>
      </w:pPr>
      <w:bookmarkStart w:id="379" w:name="_ENREF_118"/>
      <w:r w:rsidRPr="00F27F90">
        <w:t>118.</w:t>
      </w:r>
      <w:r w:rsidRPr="00F27F90">
        <w:tab/>
        <w:t>Australian Institute of Health and Welfare (AIHW). Improving the quality of Indigenous identification in hospital separations data. Health Services Series no. 25. Cat. no. HSE 101. Canberra: AIHW; 2005.</w:t>
      </w:r>
      <w:bookmarkEnd w:id="379"/>
    </w:p>
    <w:p w:rsidR="00F27F90" w:rsidRPr="00F27F90" w:rsidRDefault="00F27F90" w:rsidP="00F27F90">
      <w:pPr>
        <w:pStyle w:val="EndNoteBibliography"/>
        <w:spacing w:after="240"/>
      </w:pPr>
      <w:bookmarkStart w:id="380" w:name="_ENREF_119"/>
      <w:r w:rsidRPr="00F27F90">
        <w:t>119.</w:t>
      </w:r>
      <w:r w:rsidRPr="00F27F90">
        <w:tab/>
        <w:t>Australian Institute of Health and Welfare (AIHW). Indigenous identification in hospital separations data—quality report. Health Services Series no. 35. Cat. no. HSE 85. Canberra: AIHW; 2010.</w:t>
      </w:r>
      <w:bookmarkEnd w:id="380"/>
    </w:p>
    <w:p w:rsidR="00F27F90" w:rsidRPr="00F27F90" w:rsidRDefault="00F27F90" w:rsidP="00F27F90">
      <w:pPr>
        <w:pStyle w:val="EndNoteBibliography"/>
        <w:spacing w:after="240"/>
      </w:pPr>
      <w:bookmarkStart w:id="381" w:name="_ENREF_120"/>
      <w:r w:rsidRPr="00F27F90">
        <w:t>120.</w:t>
      </w:r>
      <w:r w:rsidRPr="00F27F90">
        <w:tab/>
        <w:t>Australian Institute of Health and Welfare (AIHW). Indigenous identification in hospital separations data–quality report. Cat. no. IHW 90. Canberra: AIHW; 2013.</w:t>
      </w:r>
      <w:bookmarkEnd w:id="381"/>
    </w:p>
    <w:p w:rsidR="00F27F90" w:rsidRPr="00F27F90" w:rsidRDefault="00F27F90" w:rsidP="00F27F90">
      <w:pPr>
        <w:pStyle w:val="EndNoteBibliography"/>
        <w:spacing w:after="240"/>
      </w:pPr>
      <w:bookmarkStart w:id="382" w:name="_ENREF_121"/>
      <w:r w:rsidRPr="00F27F90">
        <w:t>121.</w:t>
      </w:r>
      <w:r w:rsidRPr="00F27F90">
        <w:tab/>
        <w:t xml:space="preserve">Australian Bureau of Statistics (ABS). </w:t>
      </w:r>
      <w:hyperlink r:id="rId75" w:history="1">
        <w:r w:rsidRPr="00F466C3">
          <w:rPr>
            <w:rStyle w:val="Hyperlink"/>
          </w:rPr>
          <w:t>3238.0 Experimental estimates and projections, Aboriginal and Torres Strait Islander Australians, 1991 to 2021</w:t>
        </w:r>
      </w:hyperlink>
      <w:r w:rsidRPr="00F27F90">
        <w:t>. Canberra: ABS; 2009. (Accessed 9 October 2013).</w:t>
      </w:r>
      <w:bookmarkEnd w:id="382"/>
    </w:p>
    <w:p w:rsidR="00F27F90" w:rsidRPr="00F27F90" w:rsidRDefault="00F27F90" w:rsidP="00F27F90">
      <w:pPr>
        <w:pStyle w:val="EndNoteBibliography"/>
        <w:spacing w:after="240"/>
      </w:pPr>
      <w:bookmarkStart w:id="383" w:name="_ENREF_122"/>
      <w:r w:rsidRPr="00F27F90">
        <w:t>122.</w:t>
      </w:r>
      <w:r w:rsidRPr="00F27F90">
        <w:tab/>
        <w:t>The Kirby Institute. HIV, viral hepatitis and sexually transmissible infections in Australia. Annual surveillance report 2013. Sydney: The Kirby Institute, The University of New South Wales; 2013.</w:t>
      </w:r>
      <w:bookmarkEnd w:id="383"/>
    </w:p>
    <w:p w:rsidR="00F27F90" w:rsidRPr="00F27F90" w:rsidRDefault="00F27F90" w:rsidP="00F27F90">
      <w:pPr>
        <w:pStyle w:val="EndNoteBibliography"/>
        <w:spacing w:after="240"/>
      </w:pPr>
      <w:bookmarkStart w:id="384" w:name="_ENREF_123"/>
      <w:r w:rsidRPr="00F27F90">
        <w:t>123.</w:t>
      </w:r>
      <w:r w:rsidRPr="00F27F90">
        <w:tab/>
        <w:t>National Cervical Screening Program.</w:t>
      </w:r>
      <w:r w:rsidRPr="00B0505D">
        <w:t xml:space="preserve"> </w:t>
      </w:r>
      <w:hyperlink r:id="rId76" w:history="1">
        <w:r w:rsidRPr="00B0505D">
          <w:rPr>
            <w:rStyle w:val="Hyperlink"/>
          </w:rPr>
          <w:t>Screening to prevent cervical cancer: guidelines for the management of asymptomatic women with screen detected abnormalities.</w:t>
        </w:r>
      </w:hyperlink>
      <w:r w:rsidRPr="00F27F90">
        <w:t xml:space="preserve"> Canberra: Australian Government, National Health and Medical Research Council; 2005. (Accessed 17 September 2013).</w:t>
      </w:r>
      <w:bookmarkEnd w:id="384"/>
    </w:p>
    <w:p w:rsidR="00F27F90" w:rsidRPr="00F27F90" w:rsidRDefault="00F27F90" w:rsidP="00F27F90">
      <w:pPr>
        <w:pStyle w:val="EndNoteBibliography"/>
        <w:spacing w:after="240"/>
      </w:pPr>
      <w:bookmarkStart w:id="385" w:name="_ENREF_124"/>
      <w:r w:rsidRPr="00F27F90">
        <w:t>124.</w:t>
      </w:r>
      <w:r w:rsidRPr="00F27F90">
        <w:tab/>
        <w:t xml:space="preserve">Ali H, Donovan B, Wand H, et al. Genital warts in young Australians five years into national human papillomavirus vaccination programme: national surveillance data. </w:t>
      </w:r>
      <w:r w:rsidRPr="00F27F90">
        <w:rPr>
          <w:i/>
        </w:rPr>
        <w:t>BMJ</w:t>
      </w:r>
      <w:r w:rsidRPr="00F27F90">
        <w:t xml:space="preserve"> 2013;346:f2032.</w:t>
      </w:r>
      <w:bookmarkEnd w:id="385"/>
    </w:p>
    <w:p w:rsidR="00F27F90" w:rsidRPr="00F27F90" w:rsidRDefault="00F27F90" w:rsidP="00F27F90">
      <w:pPr>
        <w:pStyle w:val="EndNoteBibliography"/>
        <w:spacing w:after="240"/>
      </w:pPr>
      <w:bookmarkStart w:id="386" w:name="_ENREF_125"/>
      <w:r w:rsidRPr="00F27F90">
        <w:t>125.</w:t>
      </w:r>
      <w:r w:rsidRPr="00F27F90">
        <w:tab/>
        <w:t xml:space="preserve">Ali H, Guy RJ, Wand H, et al. Decline in in-patient treatments of genital warts among young Australians following the national HPV vaccination program. </w:t>
      </w:r>
      <w:r w:rsidRPr="00F27F90">
        <w:rPr>
          <w:i/>
        </w:rPr>
        <w:t>BMC Infectious Diseases</w:t>
      </w:r>
      <w:r w:rsidRPr="00F27F90">
        <w:t xml:space="preserve"> 2013;13:140.</w:t>
      </w:r>
      <w:bookmarkEnd w:id="386"/>
    </w:p>
    <w:p w:rsidR="00F27F90" w:rsidRPr="00F27F90" w:rsidRDefault="00F27F90" w:rsidP="00F27F90">
      <w:pPr>
        <w:pStyle w:val="EndNoteBibliography"/>
        <w:spacing w:after="240"/>
      </w:pPr>
      <w:bookmarkStart w:id="387" w:name="_ENREF_126"/>
      <w:r w:rsidRPr="00F27F90">
        <w:t>126.</w:t>
      </w:r>
      <w:r w:rsidRPr="00F27F90">
        <w:tab/>
        <w:t xml:space="preserve">Tabrizi SN, Brotherton JM, Kaldor JM, et al. Fall in human papillomavirus prevalence following a national vaccination program. </w:t>
      </w:r>
      <w:r w:rsidRPr="00F27F90">
        <w:rPr>
          <w:i/>
        </w:rPr>
        <w:t>Journal of Infectious Diseases</w:t>
      </w:r>
      <w:r w:rsidRPr="00F27F90">
        <w:t xml:space="preserve"> 2012;206:1645-51.</w:t>
      </w:r>
      <w:bookmarkEnd w:id="387"/>
    </w:p>
    <w:p w:rsidR="00F27F90" w:rsidRPr="00F27F90" w:rsidRDefault="00F27F90" w:rsidP="00F27F90">
      <w:pPr>
        <w:pStyle w:val="EndNoteBibliography"/>
        <w:spacing w:after="240"/>
      </w:pPr>
      <w:bookmarkStart w:id="388" w:name="_ENREF_127"/>
      <w:r w:rsidRPr="00F27F90">
        <w:t>127.</w:t>
      </w:r>
      <w:r w:rsidRPr="00F27F90">
        <w:tab/>
        <w:t>Australian Institute of Health and Welfare (AIHW), Cancer Australia. Gynaecological cancers in Australia: an overview. Cancer series no. 70. Cat no. CAN 66. Canberra: AIHW; 2012.</w:t>
      </w:r>
      <w:bookmarkEnd w:id="388"/>
    </w:p>
    <w:p w:rsidR="00F27F90" w:rsidRPr="00F27F90" w:rsidRDefault="00F27F90" w:rsidP="00F27F90">
      <w:pPr>
        <w:pStyle w:val="EndNoteBibliography"/>
        <w:spacing w:after="240"/>
      </w:pPr>
      <w:bookmarkStart w:id="389" w:name="_ENREF_128"/>
      <w:r w:rsidRPr="00F27F90">
        <w:t>128.</w:t>
      </w:r>
      <w:r w:rsidRPr="00F27F90">
        <w:tab/>
        <w:t xml:space="preserve">Grulich AE, de Visser RO, Smith AM, Rissel CE, Richters J. Sex in Australia: sexually transmissible infection and blood-borne virus history in a representative sample of adults. </w:t>
      </w:r>
      <w:r w:rsidRPr="00F27F90">
        <w:rPr>
          <w:i/>
        </w:rPr>
        <w:t>Australian and New Zealand Journal of Public Health</w:t>
      </w:r>
      <w:r w:rsidRPr="00F27F90">
        <w:t xml:space="preserve"> 2003;27:234-41.</w:t>
      </w:r>
      <w:bookmarkEnd w:id="389"/>
    </w:p>
    <w:p w:rsidR="00F27F90" w:rsidRPr="00F27F90" w:rsidRDefault="00F27F90" w:rsidP="00F27F90">
      <w:pPr>
        <w:pStyle w:val="EndNoteBibliography"/>
        <w:spacing w:after="240"/>
      </w:pPr>
      <w:bookmarkStart w:id="390" w:name="_ENREF_129"/>
      <w:r w:rsidRPr="00F27F90">
        <w:t>129.</w:t>
      </w:r>
      <w:r w:rsidRPr="00F27F90">
        <w:tab/>
        <w:t xml:space="preserve">Pirotta M, Stein AN, Conway EL, et al. Genital warts incidence and healthcare resource utilisation in Australia. </w:t>
      </w:r>
      <w:r w:rsidRPr="00F27F90">
        <w:rPr>
          <w:i/>
        </w:rPr>
        <w:t>Sexually Transmitted Infections</w:t>
      </w:r>
      <w:r w:rsidRPr="00F27F90">
        <w:t xml:space="preserve"> 2010;86:181-6.</w:t>
      </w:r>
      <w:bookmarkEnd w:id="390"/>
    </w:p>
    <w:p w:rsidR="00F27F90" w:rsidRPr="00F27F90" w:rsidRDefault="00F27F90" w:rsidP="00F27F90">
      <w:pPr>
        <w:pStyle w:val="EndNoteBibliography"/>
      </w:pPr>
      <w:bookmarkStart w:id="391" w:name="_ENREF_130"/>
      <w:r w:rsidRPr="00F27F90">
        <w:t>130.</w:t>
      </w:r>
      <w:r w:rsidRPr="00F27F90">
        <w:tab/>
        <w:t xml:space="preserve">Britt H, Miller GC, Charles J, et al. </w:t>
      </w:r>
      <w:hyperlink r:id="rId77" w:history="1">
        <w:r w:rsidRPr="00F466C3">
          <w:rPr>
            <w:rStyle w:val="Hyperlink"/>
          </w:rPr>
          <w:t>General practice activity in Australia 2006-07. General practice series no. 21. Cat. no. GEP 21</w:t>
        </w:r>
      </w:hyperlink>
      <w:r w:rsidRPr="00F27F90">
        <w:t>. Canberra: Australian Institute of Health and Welfare and the University of Sydney; 2008. (Accessed 13 December 2013).</w:t>
      </w:r>
      <w:bookmarkEnd w:id="391"/>
    </w:p>
    <w:p w:rsidR="00857F16" w:rsidRPr="003408A6" w:rsidRDefault="006D1565" w:rsidP="009502FD">
      <w:pPr>
        <w:tabs>
          <w:tab w:val="left" w:pos="851"/>
        </w:tabs>
        <w:spacing w:after="120"/>
        <w:ind w:left="851" w:hanging="851"/>
        <w:rPr>
          <w:rFonts w:cs="Arial"/>
          <w:b/>
          <w:color w:val="004280"/>
          <w:kern w:val="32"/>
          <w:sz w:val="28"/>
          <w:szCs w:val="28"/>
        </w:rPr>
      </w:pPr>
      <w:r w:rsidRPr="003408A6">
        <w:rPr>
          <w:rFonts w:cs="Arial"/>
          <w:szCs w:val="22"/>
        </w:rPr>
        <w:fldChar w:fldCharType="end"/>
      </w:r>
      <w:r w:rsidR="00857F16" w:rsidRPr="003408A6">
        <w:br w:type="page"/>
      </w:r>
    </w:p>
    <w:p w:rsidR="00BF5C6F" w:rsidRPr="003408A6" w:rsidRDefault="00BF5C6F" w:rsidP="006D1A8B">
      <w:pPr>
        <w:pStyle w:val="Heading1"/>
      </w:pPr>
      <w:bookmarkStart w:id="392" w:name="_Toc396926149"/>
      <w:r w:rsidRPr="003408A6">
        <w:t>Appendices</w:t>
      </w:r>
      <w:bookmarkEnd w:id="210"/>
      <w:bookmarkEnd w:id="392"/>
      <w:r w:rsidRPr="003408A6">
        <w:t xml:space="preserve"> </w:t>
      </w:r>
    </w:p>
    <w:p w:rsidR="00E57E44" w:rsidRPr="003408A6" w:rsidRDefault="00E57E44" w:rsidP="00C448A2">
      <w:pPr>
        <w:pStyle w:val="Heading2"/>
      </w:pPr>
      <w:bookmarkStart w:id="393" w:name="_Appendix_A:_Matrix"/>
      <w:bookmarkStart w:id="394" w:name="_Toc342319063"/>
      <w:bookmarkStart w:id="395" w:name="_Toc373497100"/>
      <w:bookmarkStart w:id="396" w:name="_Toc396926150"/>
      <w:bookmarkEnd w:id="393"/>
      <w:r w:rsidRPr="003408A6">
        <w:t xml:space="preserve">Appendix </w:t>
      </w:r>
      <w:bookmarkEnd w:id="394"/>
      <w:r w:rsidRPr="003408A6">
        <w:t>2.1</w:t>
      </w:r>
      <w:bookmarkEnd w:id="395"/>
      <w:bookmarkEnd w:id="396"/>
    </w:p>
    <w:p w:rsidR="00E57E44" w:rsidRPr="003408A6" w:rsidRDefault="00E57E44" w:rsidP="009502FD">
      <w:pPr>
        <w:pStyle w:val="Appendixunnumberedfiguretableheading"/>
      </w:pPr>
      <w:r w:rsidRPr="003408A6">
        <w:t xml:space="preserve">Sampling </w:t>
      </w:r>
      <w:r w:rsidR="00276359" w:rsidRPr="003408A6">
        <w:t>m</w:t>
      </w:r>
      <w:r w:rsidRPr="003408A6">
        <w:t>atrix</w:t>
      </w:r>
      <w:r w:rsidR="00276359" w:rsidRPr="003408A6">
        <w:t xml:space="preserve"> of stakeholders for interview in the process evaluation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850"/>
        <w:gridCol w:w="851"/>
        <w:gridCol w:w="850"/>
        <w:gridCol w:w="709"/>
        <w:gridCol w:w="850"/>
        <w:gridCol w:w="709"/>
        <w:gridCol w:w="709"/>
        <w:gridCol w:w="709"/>
      </w:tblGrid>
      <w:tr w:rsidR="00E57E44" w:rsidRPr="003408A6" w:rsidTr="006B6D0F">
        <w:tc>
          <w:tcPr>
            <w:tcW w:w="1985" w:type="dxa"/>
            <w:shd w:val="clear" w:color="auto" w:fill="auto"/>
            <w:vAlign w:val="center"/>
          </w:tcPr>
          <w:p w:rsidR="00E57E44" w:rsidRPr="003408A6" w:rsidRDefault="00E57E44" w:rsidP="009502FD">
            <w:pPr>
              <w:pStyle w:val="Tablecolumnheading"/>
              <w:rPr>
                <w:lang w:val="en-AU"/>
              </w:rPr>
            </w:pPr>
            <w:r w:rsidRPr="003408A6">
              <w:rPr>
                <w:lang w:val="en-AU"/>
              </w:rPr>
              <w:t>Stakeholder</w:t>
            </w:r>
          </w:p>
        </w:tc>
        <w:tc>
          <w:tcPr>
            <w:tcW w:w="1276" w:type="dxa"/>
            <w:shd w:val="clear" w:color="auto" w:fill="auto"/>
            <w:vAlign w:val="center"/>
          </w:tcPr>
          <w:p w:rsidR="00E57E44" w:rsidRPr="003408A6" w:rsidRDefault="00E57E44" w:rsidP="009502FD">
            <w:pPr>
              <w:pStyle w:val="Tablecolumnheadings"/>
              <w:rPr>
                <w:lang w:val="en-AU"/>
              </w:rPr>
            </w:pPr>
            <w:r w:rsidRPr="003408A6">
              <w:rPr>
                <w:lang w:val="en-AU"/>
              </w:rPr>
              <w:t>National</w:t>
            </w:r>
          </w:p>
        </w:tc>
        <w:tc>
          <w:tcPr>
            <w:tcW w:w="850" w:type="dxa"/>
            <w:shd w:val="clear" w:color="auto" w:fill="auto"/>
            <w:vAlign w:val="center"/>
          </w:tcPr>
          <w:p w:rsidR="00E57E44" w:rsidRPr="003408A6" w:rsidRDefault="00E57E44" w:rsidP="009502FD">
            <w:pPr>
              <w:pStyle w:val="Tablecolumnheadings"/>
              <w:rPr>
                <w:lang w:val="en-AU"/>
              </w:rPr>
            </w:pPr>
            <w:r w:rsidRPr="003408A6">
              <w:rPr>
                <w:lang w:val="en-AU"/>
              </w:rPr>
              <w:t>NSW</w:t>
            </w:r>
          </w:p>
        </w:tc>
        <w:tc>
          <w:tcPr>
            <w:tcW w:w="851" w:type="dxa"/>
            <w:shd w:val="clear" w:color="auto" w:fill="auto"/>
            <w:vAlign w:val="center"/>
          </w:tcPr>
          <w:p w:rsidR="00E57E44" w:rsidRPr="003408A6" w:rsidRDefault="00E57E44" w:rsidP="009502FD">
            <w:pPr>
              <w:pStyle w:val="Tablecolumnheadings"/>
              <w:rPr>
                <w:lang w:val="en-AU"/>
              </w:rPr>
            </w:pPr>
            <w:r w:rsidRPr="003408A6">
              <w:rPr>
                <w:lang w:val="en-AU"/>
              </w:rPr>
              <w:t>ACT</w:t>
            </w:r>
          </w:p>
        </w:tc>
        <w:tc>
          <w:tcPr>
            <w:tcW w:w="850" w:type="dxa"/>
            <w:shd w:val="clear" w:color="auto" w:fill="auto"/>
            <w:vAlign w:val="center"/>
          </w:tcPr>
          <w:p w:rsidR="00E57E44" w:rsidRPr="003408A6" w:rsidRDefault="00E57E44" w:rsidP="009502FD">
            <w:pPr>
              <w:pStyle w:val="Tablecolumnheadings"/>
              <w:rPr>
                <w:lang w:val="en-AU"/>
              </w:rPr>
            </w:pPr>
            <w:r w:rsidRPr="003408A6">
              <w:rPr>
                <w:lang w:val="en-AU"/>
              </w:rPr>
              <w:t>QLD</w:t>
            </w:r>
          </w:p>
        </w:tc>
        <w:tc>
          <w:tcPr>
            <w:tcW w:w="709" w:type="dxa"/>
            <w:shd w:val="clear" w:color="auto" w:fill="auto"/>
            <w:vAlign w:val="center"/>
          </w:tcPr>
          <w:p w:rsidR="00E57E44" w:rsidRPr="003408A6" w:rsidRDefault="00E57E44" w:rsidP="009502FD">
            <w:pPr>
              <w:pStyle w:val="Tablecolumnheadings"/>
              <w:rPr>
                <w:lang w:val="en-AU"/>
              </w:rPr>
            </w:pPr>
            <w:r w:rsidRPr="003408A6">
              <w:rPr>
                <w:lang w:val="en-AU"/>
              </w:rPr>
              <w:t>VIC</w:t>
            </w:r>
          </w:p>
        </w:tc>
        <w:tc>
          <w:tcPr>
            <w:tcW w:w="850" w:type="dxa"/>
            <w:shd w:val="clear" w:color="auto" w:fill="auto"/>
            <w:vAlign w:val="center"/>
          </w:tcPr>
          <w:p w:rsidR="00E57E44" w:rsidRPr="003408A6" w:rsidRDefault="00E57E44" w:rsidP="009502FD">
            <w:pPr>
              <w:pStyle w:val="Tablecolumnheadings"/>
              <w:rPr>
                <w:lang w:val="en-AU"/>
              </w:rPr>
            </w:pPr>
            <w:r w:rsidRPr="003408A6">
              <w:rPr>
                <w:lang w:val="en-AU"/>
              </w:rPr>
              <w:t>TAS</w:t>
            </w:r>
          </w:p>
        </w:tc>
        <w:tc>
          <w:tcPr>
            <w:tcW w:w="709" w:type="dxa"/>
            <w:shd w:val="clear" w:color="auto" w:fill="auto"/>
            <w:vAlign w:val="center"/>
          </w:tcPr>
          <w:p w:rsidR="00E57E44" w:rsidRPr="003408A6" w:rsidRDefault="00E57E44" w:rsidP="009502FD">
            <w:pPr>
              <w:pStyle w:val="Tablecolumnheadings"/>
              <w:rPr>
                <w:lang w:val="en-AU"/>
              </w:rPr>
            </w:pPr>
            <w:r w:rsidRPr="003408A6">
              <w:rPr>
                <w:lang w:val="en-AU"/>
              </w:rPr>
              <w:t>SA</w:t>
            </w:r>
          </w:p>
        </w:tc>
        <w:tc>
          <w:tcPr>
            <w:tcW w:w="709" w:type="dxa"/>
            <w:shd w:val="clear" w:color="auto" w:fill="auto"/>
            <w:vAlign w:val="center"/>
          </w:tcPr>
          <w:p w:rsidR="00E57E44" w:rsidRPr="003408A6" w:rsidRDefault="00E57E44" w:rsidP="009502FD">
            <w:pPr>
              <w:pStyle w:val="Tablecolumnheadings"/>
              <w:rPr>
                <w:lang w:val="en-AU"/>
              </w:rPr>
            </w:pPr>
            <w:r w:rsidRPr="003408A6">
              <w:rPr>
                <w:lang w:val="en-AU"/>
              </w:rPr>
              <w:t>NT</w:t>
            </w:r>
          </w:p>
        </w:tc>
        <w:tc>
          <w:tcPr>
            <w:tcW w:w="709" w:type="dxa"/>
            <w:shd w:val="clear" w:color="auto" w:fill="auto"/>
            <w:vAlign w:val="center"/>
          </w:tcPr>
          <w:p w:rsidR="00E57E44" w:rsidRPr="003408A6" w:rsidRDefault="00E57E44" w:rsidP="009502FD">
            <w:pPr>
              <w:pStyle w:val="Tablecolumnheadings"/>
              <w:rPr>
                <w:lang w:val="en-AU"/>
              </w:rPr>
            </w:pPr>
            <w:r w:rsidRPr="003408A6">
              <w:rPr>
                <w:lang w:val="en-AU"/>
              </w:rPr>
              <w:t>WA</w:t>
            </w:r>
          </w:p>
        </w:tc>
      </w:tr>
      <w:tr w:rsidR="00E57E44" w:rsidRPr="003408A6" w:rsidTr="006B6D0F">
        <w:trPr>
          <w:trHeight w:val="872"/>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Department of Health </w:t>
            </w:r>
            <w:r w:rsidR="000149CA" w:rsidRPr="003408A6">
              <w:rPr>
                <w:lang w:val="en-AU"/>
              </w:rPr>
              <w:t>and</w:t>
            </w:r>
            <w:r w:rsidRPr="003408A6">
              <w:rPr>
                <w:lang w:val="en-AU"/>
              </w:rPr>
              <w:t xml:space="preserve"> Ageing </w:t>
            </w:r>
          </w:p>
        </w:tc>
        <w:tc>
          <w:tcPr>
            <w:tcW w:w="1276" w:type="dxa"/>
            <w:shd w:val="clear" w:color="auto" w:fill="auto"/>
            <w:vAlign w:val="center"/>
          </w:tcPr>
          <w:p w:rsidR="00E57E44" w:rsidRPr="003408A6" w:rsidRDefault="00E57E44" w:rsidP="009502FD">
            <w:pPr>
              <w:pStyle w:val="Tabletext0beforeafter-centred"/>
              <w:rPr>
                <w:lang w:val="en-AU"/>
              </w:rPr>
            </w:pPr>
            <w:r w:rsidRPr="003408A6">
              <w:rPr>
                <w:lang w:val="en-AU"/>
              </w:rPr>
              <w:t>2 reps</w:t>
            </w:r>
          </w:p>
        </w:tc>
        <w:tc>
          <w:tcPr>
            <w:tcW w:w="850" w:type="dxa"/>
            <w:shd w:val="clear" w:color="auto" w:fill="auto"/>
            <w:vAlign w:val="center"/>
          </w:tcPr>
          <w:p w:rsidR="00E57E44" w:rsidRPr="003408A6" w:rsidRDefault="00E57E44" w:rsidP="009502FD">
            <w:pPr>
              <w:pStyle w:val="Tabletext0beforeafter-centred"/>
              <w:rPr>
                <w:lang w:val="en-AU"/>
              </w:rPr>
            </w:pPr>
          </w:p>
        </w:tc>
        <w:tc>
          <w:tcPr>
            <w:tcW w:w="851" w:type="dxa"/>
            <w:shd w:val="clear" w:color="auto" w:fill="auto"/>
            <w:vAlign w:val="center"/>
          </w:tcPr>
          <w:p w:rsidR="00E57E44" w:rsidRPr="003408A6" w:rsidRDefault="00E57E44" w:rsidP="009502FD">
            <w:pPr>
              <w:pStyle w:val="Tabletext0beforeafter-centred"/>
              <w:rPr>
                <w:lang w:val="en-AU"/>
              </w:rPr>
            </w:pPr>
          </w:p>
        </w:tc>
        <w:tc>
          <w:tcPr>
            <w:tcW w:w="850" w:type="dxa"/>
            <w:shd w:val="clear" w:color="auto" w:fill="auto"/>
            <w:vAlign w:val="center"/>
          </w:tcPr>
          <w:p w:rsidR="00E57E44" w:rsidRPr="003408A6" w:rsidRDefault="00E57E44" w:rsidP="009502FD">
            <w:pPr>
              <w:pStyle w:val="Tabletext0beforeafter-centred"/>
              <w:rPr>
                <w:lang w:val="en-AU"/>
              </w:rPr>
            </w:pPr>
          </w:p>
        </w:tc>
        <w:tc>
          <w:tcPr>
            <w:tcW w:w="709" w:type="dxa"/>
            <w:shd w:val="clear" w:color="auto" w:fill="auto"/>
            <w:vAlign w:val="center"/>
          </w:tcPr>
          <w:p w:rsidR="00E57E44" w:rsidRPr="003408A6" w:rsidRDefault="00E57E44" w:rsidP="009502FD">
            <w:pPr>
              <w:pStyle w:val="Tabletext0beforeafter-centred"/>
              <w:rPr>
                <w:lang w:val="en-AU"/>
              </w:rPr>
            </w:pPr>
          </w:p>
        </w:tc>
        <w:tc>
          <w:tcPr>
            <w:tcW w:w="850" w:type="dxa"/>
            <w:shd w:val="clear" w:color="auto" w:fill="auto"/>
            <w:vAlign w:val="center"/>
          </w:tcPr>
          <w:p w:rsidR="00E57E44" w:rsidRPr="003408A6" w:rsidRDefault="00E57E44" w:rsidP="009502FD">
            <w:pPr>
              <w:pStyle w:val="Tabletext0beforeafter-centred"/>
              <w:rPr>
                <w:lang w:val="en-AU"/>
              </w:rPr>
            </w:pPr>
          </w:p>
        </w:tc>
        <w:tc>
          <w:tcPr>
            <w:tcW w:w="709" w:type="dxa"/>
            <w:shd w:val="clear" w:color="auto" w:fill="auto"/>
            <w:vAlign w:val="center"/>
          </w:tcPr>
          <w:p w:rsidR="00E57E44" w:rsidRPr="003408A6" w:rsidRDefault="00E57E44" w:rsidP="009502FD">
            <w:pPr>
              <w:pStyle w:val="Tabletext0beforeafter-centred"/>
              <w:rPr>
                <w:lang w:val="en-AU"/>
              </w:rPr>
            </w:pPr>
          </w:p>
        </w:tc>
        <w:tc>
          <w:tcPr>
            <w:tcW w:w="709" w:type="dxa"/>
            <w:shd w:val="clear" w:color="auto" w:fill="auto"/>
            <w:vAlign w:val="center"/>
          </w:tcPr>
          <w:p w:rsidR="00E57E44" w:rsidRPr="003408A6" w:rsidRDefault="00E57E44" w:rsidP="009502FD">
            <w:pPr>
              <w:pStyle w:val="Tabletext0beforeafter-centred"/>
              <w:rPr>
                <w:lang w:val="en-AU"/>
              </w:rPr>
            </w:pPr>
          </w:p>
        </w:tc>
        <w:tc>
          <w:tcPr>
            <w:tcW w:w="709" w:type="dxa"/>
            <w:shd w:val="clear" w:color="auto" w:fill="auto"/>
            <w:vAlign w:val="center"/>
          </w:tcPr>
          <w:p w:rsidR="00E57E44" w:rsidRPr="003408A6" w:rsidRDefault="00E57E44" w:rsidP="009502FD">
            <w:pPr>
              <w:pStyle w:val="Tabletext0beforeafter-centred"/>
              <w:rPr>
                <w:lang w:val="en-AU"/>
              </w:rPr>
            </w:pPr>
          </w:p>
        </w:tc>
      </w:tr>
      <w:tr w:rsidR="00E57E44" w:rsidRPr="003408A6" w:rsidTr="006B6D0F">
        <w:trPr>
          <w:trHeight w:val="908"/>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Key immunisation expert </w:t>
            </w:r>
          </w:p>
        </w:tc>
        <w:tc>
          <w:tcPr>
            <w:tcW w:w="1276" w:type="dxa"/>
            <w:shd w:val="clear" w:color="auto" w:fill="auto"/>
            <w:vAlign w:val="center"/>
          </w:tcPr>
          <w:p w:rsidR="00E57E44" w:rsidRPr="003408A6" w:rsidRDefault="00E57E44" w:rsidP="009502FD">
            <w:pPr>
              <w:pStyle w:val="Tabletext0beforeafter-centred"/>
              <w:rPr>
                <w:lang w:val="en-AU"/>
              </w:rPr>
            </w:pPr>
            <w:r w:rsidRPr="003408A6">
              <w:rPr>
                <w:lang w:val="en-AU"/>
              </w:rPr>
              <w:t xml:space="preserve">2 reps </w:t>
            </w:r>
          </w:p>
        </w:tc>
        <w:tc>
          <w:tcPr>
            <w:tcW w:w="850" w:type="dxa"/>
            <w:shd w:val="clear" w:color="auto" w:fill="auto"/>
            <w:vAlign w:val="center"/>
          </w:tcPr>
          <w:p w:rsidR="00E57E44" w:rsidRPr="003408A6" w:rsidRDefault="00E57E44" w:rsidP="009502FD">
            <w:pPr>
              <w:pStyle w:val="Tabletext0beforeafter-centred"/>
              <w:rPr>
                <w:b/>
                <w:lang w:val="en-AU"/>
              </w:rPr>
            </w:pP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r>
      <w:tr w:rsidR="00E57E44" w:rsidRPr="003408A6" w:rsidTr="006B6D0F">
        <w:trPr>
          <w:trHeight w:val="908"/>
        </w:trPr>
        <w:tc>
          <w:tcPr>
            <w:tcW w:w="1985" w:type="dxa"/>
            <w:shd w:val="clear" w:color="auto" w:fill="auto"/>
          </w:tcPr>
          <w:p w:rsidR="00E57E44" w:rsidRPr="003408A6" w:rsidRDefault="00E57E44" w:rsidP="009502FD">
            <w:pPr>
              <w:pStyle w:val="Tabletext0beforeafter"/>
              <w:rPr>
                <w:lang w:val="en-AU"/>
              </w:rPr>
            </w:pPr>
            <w:r w:rsidRPr="003408A6">
              <w:rPr>
                <w:lang w:val="en-AU"/>
              </w:rPr>
              <w:t>National HPV Vaccination Register</w:t>
            </w:r>
          </w:p>
        </w:tc>
        <w:tc>
          <w:tcPr>
            <w:tcW w:w="1276"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r>
      <w:tr w:rsidR="00E57E44" w:rsidRPr="003408A6" w:rsidTr="006B6D0F">
        <w:trPr>
          <w:trHeight w:val="908"/>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Jurisdictional Immunisation Coordinator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State/territory </w:t>
            </w:r>
            <w:r w:rsidR="006311E2" w:rsidRPr="003408A6">
              <w:rPr>
                <w:lang w:val="en-AU"/>
              </w:rPr>
              <w:t>Cervical S</w:t>
            </w:r>
            <w:r w:rsidRPr="003408A6">
              <w:rPr>
                <w:lang w:val="en-AU"/>
              </w:rPr>
              <w:t xml:space="preserve">creening </w:t>
            </w:r>
            <w:r w:rsidR="006311E2" w:rsidRPr="003408A6">
              <w:rPr>
                <w:lang w:val="en-AU"/>
              </w:rPr>
              <w:t>P</w:t>
            </w:r>
            <w:r w:rsidRPr="003408A6">
              <w:rPr>
                <w:lang w:val="en-AU"/>
              </w:rPr>
              <w:t>rogram managers</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371FBC">
            <w:pPr>
              <w:pStyle w:val="Tabletext0beforeafter"/>
              <w:rPr>
                <w:lang w:val="en-AU"/>
              </w:rPr>
            </w:pPr>
            <w:r w:rsidRPr="003408A6">
              <w:rPr>
                <w:lang w:val="en-AU"/>
              </w:rPr>
              <w:t>Division of General Practice/Medicare Locals</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Regional state/territory government immunisation coordinators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School-based vaccination program coordinators (regional/local)</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General </w:t>
            </w:r>
            <w:r w:rsidR="006311E2" w:rsidRPr="003408A6">
              <w:rPr>
                <w:lang w:val="en-AU"/>
              </w:rPr>
              <w:t>p</w:t>
            </w:r>
            <w:r w:rsidRPr="003408A6">
              <w:rPr>
                <w:lang w:val="en-AU"/>
              </w:rPr>
              <w:t xml:space="preserve">ractitioner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Practice </w:t>
            </w:r>
            <w:r w:rsidR="006311E2" w:rsidRPr="003408A6">
              <w:rPr>
                <w:lang w:val="en-AU"/>
              </w:rPr>
              <w:t>n</w:t>
            </w:r>
            <w:r w:rsidRPr="003408A6">
              <w:rPr>
                <w:lang w:val="en-AU"/>
              </w:rPr>
              <w:t xml:space="preserve">urse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 xml:space="preserve">Remote area immunisation provider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r>
      <w:tr w:rsidR="00E57E44" w:rsidRPr="003408A6" w:rsidTr="006B6D0F">
        <w:trPr>
          <w:trHeight w:val="843"/>
        </w:trPr>
        <w:tc>
          <w:tcPr>
            <w:tcW w:w="1985" w:type="dxa"/>
            <w:shd w:val="clear" w:color="auto" w:fill="auto"/>
          </w:tcPr>
          <w:p w:rsidR="00E57E44" w:rsidRPr="003408A6" w:rsidRDefault="00E57E44" w:rsidP="009502FD">
            <w:pPr>
              <w:pStyle w:val="Tabletext0beforeafter"/>
              <w:rPr>
                <w:lang w:val="en-AU"/>
              </w:rPr>
            </w:pPr>
            <w:r w:rsidRPr="003408A6">
              <w:rPr>
                <w:lang w:val="en-AU"/>
              </w:rPr>
              <w:t>Health professional</w:t>
            </w:r>
            <w:r w:rsidR="006311E2" w:rsidRPr="003408A6">
              <w:rPr>
                <w:lang w:val="en-AU"/>
              </w:rPr>
              <w:t>(</w:t>
            </w:r>
            <w:r w:rsidRPr="003408A6">
              <w:rPr>
                <w:lang w:val="en-AU"/>
              </w:rPr>
              <w:t>s</w:t>
            </w:r>
            <w:r w:rsidR="006311E2" w:rsidRPr="003408A6">
              <w:rPr>
                <w:lang w:val="en-AU"/>
              </w:rPr>
              <w:t>)</w:t>
            </w:r>
            <w:r w:rsidRPr="003408A6">
              <w:rPr>
                <w:lang w:val="en-AU"/>
              </w:rPr>
              <w:t xml:space="preserve"> from Aboriginal Medical Services </w:t>
            </w:r>
          </w:p>
        </w:tc>
        <w:tc>
          <w:tcPr>
            <w:tcW w:w="1276"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851"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850"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p>
        </w:tc>
        <w:tc>
          <w:tcPr>
            <w:tcW w:w="709" w:type="dxa"/>
            <w:shd w:val="clear" w:color="auto" w:fill="auto"/>
            <w:vAlign w:val="center"/>
          </w:tcPr>
          <w:p w:rsidR="00E57E44" w:rsidRPr="003408A6" w:rsidRDefault="00E57E44" w:rsidP="009502FD">
            <w:pPr>
              <w:pStyle w:val="Tabletext0beforeafter-centred"/>
              <w:rPr>
                <w:b/>
                <w:lang w:val="en-AU"/>
              </w:rPr>
            </w:pPr>
            <w:r w:rsidRPr="003408A6">
              <w:rPr>
                <w:b/>
                <w:lang w:val="en-AU"/>
              </w:rPr>
              <w:t>X</w:t>
            </w:r>
          </w:p>
        </w:tc>
        <w:tc>
          <w:tcPr>
            <w:tcW w:w="709" w:type="dxa"/>
            <w:shd w:val="clear" w:color="auto" w:fill="auto"/>
            <w:vAlign w:val="center"/>
          </w:tcPr>
          <w:p w:rsidR="00E57E44" w:rsidRPr="003408A6" w:rsidRDefault="00E57E44" w:rsidP="009502FD">
            <w:pPr>
              <w:pStyle w:val="Tabletext0beforeafter-centred"/>
              <w:rPr>
                <w:b/>
                <w:lang w:val="en-AU"/>
              </w:rPr>
            </w:pPr>
          </w:p>
        </w:tc>
      </w:tr>
    </w:tbl>
    <w:p w:rsidR="00E57E44" w:rsidRPr="003408A6" w:rsidRDefault="00E57E44" w:rsidP="009502FD">
      <w:pPr>
        <w:pStyle w:val="BodyText"/>
        <w:rPr>
          <w:lang w:val="en-AU"/>
        </w:rPr>
      </w:pPr>
      <w:r w:rsidRPr="003408A6">
        <w:rPr>
          <w:lang w:val="en-AU"/>
        </w:rPr>
        <w:fldChar w:fldCharType="begin"/>
      </w:r>
      <w:r w:rsidRPr="003408A6">
        <w:rPr>
          <w:lang w:val="en-AU"/>
        </w:rPr>
        <w:instrText xml:space="preserve"> ADDIN </w:instrText>
      </w:r>
      <w:r w:rsidRPr="003408A6">
        <w:rPr>
          <w:lang w:val="en-AU"/>
        </w:rPr>
        <w:fldChar w:fldCharType="end"/>
      </w:r>
    </w:p>
    <w:p w:rsidR="00FD1514" w:rsidRPr="003408A6" w:rsidRDefault="00FD1514" w:rsidP="00FD1514">
      <w:pPr>
        <w:pStyle w:val="Heading2"/>
      </w:pPr>
      <w:bookmarkStart w:id="397" w:name="_Appendix_B:_Interview"/>
      <w:bookmarkStart w:id="398" w:name="_Appendix_B._Interview"/>
      <w:bookmarkStart w:id="399" w:name="_Toc396926151"/>
      <w:bookmarkStart w:id="400" w:name="_Toc373497101"/>
      <w:bookmarkStart w:id="401" w:name="_Toc305598755"/>
      <w:bookmarkEnd w:id="397"/>
      <w:bookmarkEnd w:id="398"/>
      <w:r w:rsidRPr="003408A6">
        <w:t>Appendix 2.</w:t>
      </w:r>
      <w:r>
        <w:t>2</w:t>
      </w:r>
      <w:bookmarkEnd w:id="399"/>
      <w:r w:rsidRPr="003408A6">
        <w:t xml:space="preserve"> </w:t>
      </w:r>
    </w:p>
    <w:p w:rsidR="00FD1514" w:rsidRPr="003408A6" w:rsidRDefault="00FD1514" w:rsidP="00FD1514">
      <w:pPr>
        <w:pStyle w:val="Non-TOCHeading"/>
      </w:pPr>
      <w:r w:rsidRPr="003408A6">
        <w:t>Interview questionnaire</w:t>
      </w:r>
    </w:p>
    <w:p w:rsidR="00FD1514" w:rsidRPr="003408A6" w:rsidRDefault="00FD1514" w:rsidP="00FD1514">
      <w:pPr>
        <w:pStyle w:val="Non-TOCHeading"/>
        <w:jc w:val="center"/>
      </w:pPr>
      <w:r w:rsidRPr="003408A6">
        <w:t>Evaluation of the National Human Papillomavirus Vaccination Program</w:t>
      </w:r>
    </w:p>
    <w:p w:rsidR="00FD1514" w:rsidRPr="003408A6" w:rsidRDefault="00FD1514" w:rsidP="00FD1514">
      <w:pPr>
        <w:pStyle w:val="Non-TOCHeading"/>
        <w:jc w:val="center"/>
      </w:pPr>
      <w:r w:rsidRPr="003408A6">
        <w:t>Immunisation Coordinators</w:t>
      </w:r>
    </w:p>
    <w:p w:rsidR="00FD1514" w:rsidRPr="003408A6" w:rsidRDefault="00FD1514" w:rsidP="00FD1514">
      <w:pPr>
        <w:pStyle w:val="Bodytextbullets"/>
        <w:rPr>
          <w:lang w:val="en-AU"/>
        </w:rPr>
      </w:pPr>
      <w:r w:rsidRPr="003408A6">
        <w:rPr>
          <w:lang w:val="en-AU"/>
        </w:rPr>
        <w:t>The National Centre for Immunisation Research and Surveillance (NCIRS) is currently undertaking an evaluation of the National Human Papillomavirus</w:t>
      </w:r>
      <w:r>
        <w:rPr>
          <w:lang w:val="en-AU"/>
        </w:rPr>
        <w:t xml:space="preserve"> </w:t>
      </w:r>
      <w:r w:rsidRPr="003408A6">
        <w:rPr>
          <w:lang w:val="en-AU"/>
        </w:rPr>
        <w:t xml:space="preserve">(HPV) Vaccination Program. </w:t>
      </w:r>
    </w:p>
    <w:p w:rsidR="00FD1514" w:rsidRPr="003408A6" w:rsidRDefault="00FD1514" w:rsidP="00FD1514">
      <w:pPr>
        <w:pStyle w:val="Bodytextbullets"/>
        <w:rPr>
          <w:lang w:val="en-AU"/>
        </w:rPr>
      </w:pPr>
      <w:r w:rsidRPr="003408A6">
        <w:rPr>
          <w:lang w:val="en-AU"/>
        </w:rPr>
        <w:t xml:space="preserve">The results will be provided to the Australian Government and the National Immunisation Committee (NIC) to inform future national vaccination programs. </w:t>
      </w:r>
    </w:p>
    <w:p w:rsidR="00FD1514" w:rsidRPr="003408A6" w:rsidRDefault="00FD1514" w:rsidP="00FD1514">
      <w:pPr>
        <w:pStyle w:val="Bodytextbullets"/>
        <w:rPr>
          <w:lang w:val="en-AU"/>
        </w:rPr>
      </w:pPr>
      <w:r w:rsidRPr="003408A6">
        <w:rPr>
          <w:lang w:val="en-AU"/>
        </w:rPr>
        <w:t>This questionnaire is divided into two parts:</w:t>
      </w:r>
    </w:p>
    <w:p w:rsidR="00FD1514" w:rsidRPr="003408A6" w:rsidRDefault="00FD1514" w:rsidP="00FD1514">
      <w:pPr>
        <w:pStyle w:val="Bodytextbullets"/>
        <w:numPr>
          <w:ilvl w:val="1"/>
          <w:numId w:val="4"/>
        </w:numPr>
        <w:ind w:left="924" w:hanging="357"/>
        <w:rPr>
          <w:lang w:val="en-AU"/>
        </w:rPr>
      </w:pPr>
      <w:r w:rsidRPr="003408A6">
        <w:rPr>
          <w:b/>
          <w:lang w:val="en-AU"/>
        </w:rPr>
        <w:t>Part A</w:t>
      </w:r>
      <w:r w:rsidRPr="003408A6">
        <w:rPr>
          <w:lang w:val="en-AU"/>
        </w:rPr>
        <w:t xml:space="preserve"> – has been designed to be completed online. It consists or a series of short answer questions on your knowledge and experience of the program. We will email you the link to the online survey. If you would prefer to complete an email version then please contact Stephanie Knox at </w:t>
      </w:r>
      <w:hyperlink r:id="rId78" w:history="1">
        <w:r w:rsidRPr="003408A6">
          <w:rPr>
            <w:rStyle w:val="Hyperlink"/>
            <w:szCs w:val="22"/>
            <w:lang w:val="en-AU"/>
          </w:rPr>
          <w:t>stephanie.knox@health.nsw.gov.au</w:t>
        </w:r>
      </w:hyperlink>
      <w:r w:rsidRPr="003408A6">
        <w:rPr>
          <w:lang w:val="en-AU"/>
        </w:rPr>
        <w:t xml:space="preserve"> for a printable copy of Part A.</w:t>
      </w:r>
    </w:p>
    <w:p w:rsidR="00FD1514" w:rsidRPr="003408A6" w:rsidRDefault="00FD1514" w:rsidP="00FD1514">
      <w:pPr>
        <w:pStyle w:val="Bodytextbullets"/>
        <w:numPr>
          <w:ilvl w:val="1"/>
          <w:numId w:val="4"/>
        </w:numPr>
        <w:ind w:left="924" w:hanging="357"/>
        <w:rPr>
          <w:lang w:val="en-AU"/>
        </w:rPr>
      </w:pPr>
      <w:r w:rsidRPr="003408A6">
        <w:rPr>
          <w:b/>
          <w:lang w:val="en-AU"/>
        </w:rPr>
        <w:t>Part B</w:t>
      </w:r>
      <w:r w:rsidRPr="003408A6">
        <w:rPr>
          <w:lang w:val="en-AU"/>
        </w:rPr>
        <w:t xml:space="preserve"> – these questions will be the basis for a telephone interview. They are being provided now to allow you time to reflect on them and collect any supporting information to inform your responses. </w:t>
      </w:r>
    </w:p>
    <w:p w:rsidR="00FD1514" w:rsidRPr="003408A6" w:rsidRDefault="00FD1514" w:rsidP="00FD1514">
      <w:pPr>
        <w:pStyle w:val="Bodytextbullets"/>
        <w:rPr>
          <w:lang w:val="en-AU"/>
        </w:rPr>
      </w:pPr>
      <w:r w:rsidRPr="003408A6">
        <w:rPr>
          <w:lang w:val="en-AU"/>
        </w:rPr>
        <w:t xml:space="preserve">All information you provide will be confidential and the final report to the Department of Health and Ageing will contain de-identified, summarised information. </w:t>
      </w:r>
    </w:p>
    <w:p w:rsidR="00FD1514" w:rsidRPr="003408A6" w:rsidRDefault="00FD1514" w:rsidP="00FD1514">
      <w:pPr>
        <w:pStyle w:val="BodyText"/>
        <w:rPr>
          <w:lang w:val="en-AU"/>
        </w:rPr>
      </w:pPr>
      <w:r w:rsidRPr="003408A6">
        <w:rPr>
          <w:lang w:val="en-AU"/>
        </w:rPr>
        <w:t>This will cover the following</w:t>
      </w:r>
    </w:p>
    <w:p w:rsidR="00FD1514" w:rsidRPr="003408A6" w:rsidRDefault="00FD1514" w:rsidP="00FD1514">
      <w:pPr>
        <w:numPr>
          <w:ilvl w:val="0"/>
          <w:numId w:val="17"/>
        </w:numPr>
        <w:tabs>
          <w:tab w:val="clear" w:pos="2520"/>
          <w:tab w:val="left" w:pos="426"/>
          <w:tab w:val="num" w:pos="567"/>
        </w:tabs>
        <w:spacing w:after="240"/>
        <w:ind w:left="567" w:hanging="283"/>
        <w:jc w:val="both"/>
        <w:rPr>
          <w:rFonts w:cs="Arial"/>
          <w:bCs/>
          <w:szCs w:val="22"/>
        </w:rPr>
      </w:pPr>
      <w:r w:rsidRPr="003408A6">
        <w:rPr>
          <w:rFonts w:cs="Arial"/>
          <w:bCs/>
          <w:szCs w:val="22"/>
        </w:rPr>
        <w:t xml:space="preserve">Your role during the program </w:t>
      </w:r>
    </w:p>
    <w:p w:rsidR="00FD1514" w:rsidRPr="003408A6" w:rsidRDefault="00FD1514" w:rsidP="00FD1514">
      <w:pPr>
        <w:numPr>
          <w:ilvl w:val="0"/>
          <w:numId w:val="17"/>
        </w:numPr>
        <w:tabs>
          <w:tab w:val="clear" w:pos="2520"/>
          <w:tab w:val="left" w:pos="426"/>
          <w:tab w:val="num" w:pos="567"/>
        </w:tabs>
        <w:spacing w:after="240"/>
        <w:ind w:left="567" w:hanging="283"/>
        <w:jc w:val="both"/>
        <w:rPr>
          <w:rFonts w:cs="Arial"/>
          <w:bCs/>
          <w:szCs w:val="22"/>
        </w:rPr>
      </w:pPr>
      <w:r w:rsidRPr="003408A6">
        <w:rPr>
          <w:rFonts w:cs="Arial"/>
          <w:bCs/>
          <w:szCs w:val="22"/>
        </w:rPr>
        <w:t xml:space="preserve">Program planning and implementation </w:t>
      </w:r>
    </w:p>
    <w:p w:rsidR="00FD1514" w:rsidRPr="003408A6" w:rsidRDefault="00FD1514" w:rsidP="00FD1514">
      <w:pPr>
        <w:numPr>
          <w:ilvl w:val="0"/>
          <w:numId w:val="17"/>
        </w:numPr>
        <w:tabs>
          <w:tab w:val="clear" w:pos="2520"/>
          <w:tab w:val="left" w:pos="426"/>
          <w:tab w:val="num" w:pos="567"/>
        </w:tabs>
        <w:spacing w:after="240"/>
        <w:ind w:left="567" w:hanging="283"/>
        <w:jc w:val="both"/>
        <w:rPr>
          <w:rFonts w:cs="Arial"/>
          <w:bCs/>
          <w:szCs w:val="22"/>
        </w:rPr>
      </w:pPr>
      <w:r w:rsidRPr="003408A6">
        <w:rPr>
          <w:rFonts w:cs="Arial"/>
          <w:bCs/>
          <w:szCs w:val="22"/>
        </w:rPr>
        <w:t>Communication strategies &amp; resources</w:t>
      </w:r>
    </w:p>
    <w:p w:rsidR="00FD1514" w:rsidRPr="003408A6" w:rsidRDefault="00FD1514" w:rsidP="00FD1514">
      <w:pPr>
        <w:numPr>
          <w:ilvl w:val="0"/>
          <w:numId w:val="17"/>
        </w:numPr>
        <w:tabs>
          <w:tab w:val="clear" w:pos="2520"/>
          <w:tab w:val="left" w:pos="426"/>
          <w:tab w:val="num" w:pos="567"/>
        </w:tabs>
        <w:spacing w:after="240"/>
        <w:ind w:left="567" w:hanging="283"/>
        <w:jc w:val="both"/>
        <w:rPr>
          <w:rFonts w:cs="Arial"/>
          <w:bCs/>
          <w:szCs w:val="22"/>
        </w:rPr>
      </w:pPr>
      <w:r w:rsidRPr="003408A6">
        <w:rPr>
          <w:rFonts w:cs="Arial"/>
          <w:bCs/>
          <w:szCs w:val="22"/>
        </w:rPr>
        <w:t xml:space="preserve">Data </w:t>
      </w:r>
    </w:p>
    <w:p w:rsidR="00FD1514" w:rsidRPr="003408A6" w:rsidRDefault="00FD1514" w:rsidP="00FD1514">
      <w:pPr>
        <w:numPr>
          <w:ilvl w:val="0"/>
          <w:numId w:val="17"/>
        </w:numPr>
        <w:tabs>
          <w:tab w:val="clear" w:pos="2520"/>
          <w:tab w:val="left" w:pos="426"/>
          <w:tab w:val="num" w:pos="567"/>
        </w:tabs>
        <w:spacing w:after="240"/>
        <w:ind w:left="567" w:hanging="283"/>
        <w:jc w:val="both"/>
        <w:rPr>
          <w:rFonts w:cs="Arial"/>
          <w:bCs/>
          <w:szCs w:val="22"/>
        </w:rPr>
      </w:pPr>
      <w:r w:rsidRPr="003408A6">
        <w:rPr>
          <w:rFonts w:cs="Arial"/>
          <w:bCs/>
          <w:szCs w:val="22"/>
        </w:rPr>
        <w:t xml:space="preserve">Program strengths and challenges </w:t>
      </w:r>
    </w:p>
    <w:p w:rsidR="00FD1514" w:rsidRPr="003408A6" w:rsidRDefault="00FD1514" w:rsidP="00FD1514">
      <w:pPr>
        <w:pStyle w:val="Non-TOCHeading"/>
      </w:pPr>
      <w:r w:rsidRPr="003408A6">
        <w:t>Internal Use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992"/>
        <w:gridCol w:w="1275"/>
        <w:gridCol w:w="1200"/>
        <w:gridCol w:w="1343"/>
        <w:gridCol w:w="1745"/>
      </w:tblGrid>
      <w:tr w:rsidR="00FD1514" w:rsidRPr="003408A6" w:rsidTr="00FD1514">
        <w:tc>
          <w:tcPr>
            <w:tcW w:w="1701" w:type="dxa"/>
            <w:shd w:val="clear" w:color="auto" w:fill="auto"/>
            <w:vAlign w:val="center"/>
          </w:tcPr>
          <w:p w:rsidR="00FD1514" w:rsidRPr="003408A6" w:rsidRDefault="00FD1514" w:rsidP="00FD1514">
            <w:pPr>
              <w:pStyle w:val="Tablecolumnheadings"/>
              <w:rPr>
                <w:lang w:val="en-AU"/>
              </w:rPr>
            </w:pPr>
            <w:r w:rsidRPr="003408A6">
              <w:rPr>
                <w:lang w:val="en-AU"/>
              </w:rPr>
              <w:t>Participant</w:t>
            </w:r>
          </w:p>
        </w:tc>
        <w:tc>
          <w:tcPr>
            <w:tcW w:w="2268" w:type="dxa"/>
            <w:shd w:val="clear" w:color="auto" w:fill="auto"/>
            <w:vAlign w:val="center"/>
          </w:tcPr>
          <w:p w:rsidR="00FD1514" w:rsidRPr="003408A6" w:rsidRDefault="00FD1514" w:rsidP="00FD1514">
            <w:pPr>
              <w:pStyle w:val="Tablecolumnheadings"/>
              <w:rPr>
                <w:lang w:val="en-AU"/>
              </w:rPr>
            </w:pPr>
            <w:r w:rsidRPr="003408A6">
              <w:rPr>
                <w:lang w:val="en-AU"/>
              </w:rPr>
              <w:t>Participant</w:t>
            </w:r>
          </w:p>
          <w:p w:rsidR="00FD1514" w:rsidRPr="003408A6" w:rsidRDefault="00FD1514" w:rsidP="00FD1514">
            <w:pPr>
              <w:pStyle w:val="Tablecolumnheadings"/>
              <w:rPr>
                <w:lang w:val="en-AU"/>
              </w:rPr>
            </w:pPr>
            <w:r w:rsidRPr="003408A6">
              <w:rPr>
                <w:lang w:val="en-AU"/>
              </w:rPr>
              <w:t xml:space="preserve">Affiliation </w:t>
            </w:r>
          </w:p>
        </w:tc>
        <w:tc>
          <w:tcPr>
            <w:tcW w:w="1276" w:type="dxa"/>
            <w:shd w:val="clear" w:color="auto" w:fill="auto"/>
            <w:vAlign w:val="center"/>
          </w:tcPr>
          <w:p w:rsidR="00FD1514" w:rsidRPr="003408A6" w:rsidRDefault="00FD1514" w:rsidP="00FD1514">
            <w:pPr>
              <w:pStyle w:val="Tablecolumnheadings"/>
              <w:rPr>
                <w:lang w:val="en-AU"/>
              </w:rPr>
            </w:pPr>
            <w:r w:rsidRPr="003408A6">
              <w:rPr>
                <w:lang w:val="en-AU"/>
              </w:rPr>
              <w:t>Interviewer</w:t>
            </w:r>
          </w:p>
        </w:tc>
        <w:tc>
          <w:tcPr>
            <w:tcW w:w="1244" w:type="dxa"/>
            <w:shd w:val="clear" w:color="auto" w:fill="auto"/>
            <w:vAlign w:val="center"/>
          </w:tcPr>
          <w:p w:rsidR="00FD1514" w:rsidRPr="003408A6" w:rsidRDefault="00FD1514" w:rsidP="00FD1514">
            <w:pPr>
              <w:pStyle w:val="Tablecolumnheadings"/>
              <w:rPr>
                <w:lang w:val="en-AU"/>
              </w:rPr>
            </w:pPr>
            <w:r w:rsidRPr="003408A6">
              <w:rPr>
                <w:lang w:val="en-AU"/>
              </w:rPr>
              <w:t>Interview Date</w:t>
            </w:r>
          </w:p>
        </w:tc>
        <w:tc>
          <w:tcPr>
            <w:tcW w:w="1419" w:type="dxa"/>
            <w:shd w:val="clear" w:color="auto" w:fill="auto"/>
            <w:vAlign w:val="center"/>
          </w:tcPr>
          <w:p w:rsidR="00FD1514" w:rsidRPr="003408A6" w:rsidRDefault="00FD1514" w:rsidP="00FD1514">
            <w:pPr>
              <w:pStyle w:val="Tablecolumnheadings"/>
              <w:rPr>
                <w:lang w:val="en-AU"/>
              </w:rPr>
            </w:pPr>
            <w:r w:rsidRPr="003408A6">
              <w:rPr>
                <w:lang w:val="en-AU"/>
              </w:rPr>
              <w:t>Recorded</w:t>
            </w:r>
          </w:p>
        </w:tc>
        <w:tc>
          <w:tcPr>
            <w:tcW w:w="1839" w:type="dxa"/>
            <w:shd w:val="clear" w:color="auto" w:fill="auto"/>
            <w:vAlign w:val="center"/>
          </w:tcPr>
          <w:p w:rsidR="00FD1514" w:rsidRPr="003408A6" w:rsidRDefault="00FD1514" w:rsidP="00FD1514">
            <w:pPr>
              <w:pStyle w:val="Tablecolumnheadings"/>
              <w:rPr>
                <w:lang w:val="en-AU"/>
              </w:rPr>
            </w:pPr>
            <w:r w:rsidRPr="003408A6">
              <w:rPr>
                <w:lang w:val="en-AU"/>
              </w:rPr>
              <w:t>Transcription complete</w:t>
            </w:r>
          </w:p>
        </w:tc>
      </w:tr>
      <w:tr w:rsidR="00FD1514" w:rsidRPr="003408A6" w:rsidTr="00FD1514">
        <w:tc>
          <w:tcPr>
            <w:tcW w:w="1701" w:type="dxa"/>
            <w:shd w:val="clear" w:color="auto" w:fill="auto"/>
          </w:tcPr>
          <w:p w:rsidR="00FD1514" w:rsidRPr="003408A6" w:rsidRDefault="00FD1514" w:rsidP="00FD1514">
            <w:pPr>
              <w:pStyle w:val="Tabletext"/>
              <w:rPr>
                <w:lang w:val="en-AU"/>
              </w:rPr>
            </w:pPr>
          </w:p>
          <w:p w:rsidR="00FD1514" w:rsidRPr="003408A6" w:rsidRDefault="00FD1514" w:rsidP="00FD1514">
            <w:pPr>
              <w:pStyle w:val="Tabletext"/>
              <w:rPr>
                <w:lang w:val="en-AU"/>
              </w:rPr>
            </w:pPr>
          </w:p>
        </w:tc>
        <w:tc>
          <w:tcPr>
            <w:tcW w:w="2268" w:type="dxa"/>
            <w:shd w:val="clear" w:color="auto" w:fill="auto"/>
          </w:tcPr>
          <w:p w:rsidR="00FD1514" w:rsidRPr="003408A6" w:rsidRDefault="00FD1514" w:rsidP="00FD1514">
            <w:pPr>
              <w:pStyle w:val="Tabletext"/>
              <w:rPr>
                <w:lang w:val="en-AU"/>
              </w:rPr>
            </w:pPr>
          </w:p>
        </w:tc>
        <w:tc>
          <w:tcPr>
            <w:tcW w:w="1276" w:type="dxa"/>
            <w:shd w:val="clear" w:color="auto" w:fill="auto"/>
          </w:tcPr>
          <w:p w:rsidR="00FD1514" w:rsidRPr="003408A6" w:rsidRDefault="00FD1514" w:rsidP="00FD1514">
            <w:pPr>
              <w:pStyle w:val="Tabletext"/>
              <w:rPr>
                <w:lang w:val="en-AU"/>
              </w:rPr>
            </w:pPr>
          </w:p>
        </w:tc>
        <w:tc>
          <w:tcPr>
            <w:tcW w:w="1244" w:type="dxa"/>
            <w:shd w:val="clear" w:color="auto" w:fill="auto"/>
          </w:tcPr>
          <w:p w:rsidR="00FD1514" w:rsidRPr="003408A6" w:rsidRDefault="00FD1514" w:rsidP="00FD1514">
            <w:pPr>
              <w:pStyle w:val="Tabletext"/>
              <w:rPr>
                <w:lang w:val="en-AU"/>
              </w:rPr>
            </w:pPr>
          </w:p>
        </w:tc>
        <w:tc>
          <w:tcPr>
            <w:tcW w:w="1419" w:type="dxa"/>
            <w:shd w:val="clear" w:color="auto" w:fill="auto"/>
          </w:tcPr>
          <w:p w:rsidR="00FD1514" w:rsidRPr="003408A6" w:rsidRDefault="00FD1514" w:rsidP="00FD1514">
            <w:pPr>
              <w:pStyle w:val="Tabletext"/>
              <w:rPr>
                <w:lang w:val="en-AU"/>
              </w:rPr>
            </w:pPr>
          </w:p>
        </w:tc>
        <w:tc>
          <w:tcPr>
            <w:tcW w:w="1839" w:type="dxa"/>
            <w:shd w:val="clear" w:color="auto" w:fill="auto"/>
          </w:tcPr>
          <w:p w:rsidR="00FD1514" w:rsidRPr="003408A6" w:rsidRDefault="00FD1514" w:rsidP="00FD1514">
            <w:pPr>
              <w:pStyle w:val="Tabletext"/>
              <w:rPr>
                <w:lang w:val="en-AU"/>
              </w:rPr>
            </w:pPr>
          </w:p>
        </w:tc>
      </w:tr>
    </w:tbl>
    <w:p w:rsidR="00FD1514" w:rsidRPr="003408A6" w:rsidRDefault="00FD1514" w:rsidP="00FD1514">
      <w:pPr>
        <w:spacing w:after="120"/>
        <w:rPr>
          <w:rFonts w:cs="Arial"/>
          <w:b/>
          <w:sz w:val="32"/>
          <w:szCs w:val="32"/>
          <w:u w:val="single"/>
        </w:rPr>
      </w:pPr>
      <w:r w:rsidRPr="003408A6">
        <w:rPr>
          <w:rFonts w:cs="Arial"/>
          <w:b/>
          <w:sz w:val="32"/>
          <w:szCs w:val="32"/>
          <w:u w:val="single"/>
        </w:rPr>
        <w:br w:type="page"/>
      </w:r>
    </w:p>
    <w:p w:rsidR="00FD1514" w:rsidRPr="003408A6" w:rsidRDefault="00FD1514" w:rsidP="00FD1514">
      <w:pPr>
        <w:tabs>
          <w:tab w:val="left" w:pos="426"/>
        </w:tabs>
        <w:spacing w:after="120"/>
        <w:ind w:left="426" w:hanging="426"/>
        <w:rPr>
          <w:rFonts w:cs="Arial"/>
          <w:b/>
          <w:sz w:val="32"/>
          <w:szCs w:val="32"/>
          <w:u w:val="single"/>
        </w:rPr>
      </w:pPr>
      <w:r w:rsidRPr="003408A6">
        <w:rPr>
          <w:rFonts w:cs="Arial"/>
          <w:b/>
          <w:sz w:val="32"/>
          <w:szCs w:val="32"/>
          <w:u w:val="single"/>
        </w:rPr>
        <w:t>PART B: Telephone interview</w:t>
      </w:r>
    </w:p>
    <w:p w:rsidR="00FD1514" w:rsidRPr="003408A6" w:rsidRDefault="00FD1514" w:rsidP="00FD1514">
      <w:pPr>
        <w:tabs>
          <w:tab w:val="left" w:pos="1560"/>
        </w:tabs>
        <w:spacing w:after="120"/>
        <w:rPr>
          <w:rFonts w:cs="Arial"/>
          <w:b/>
          <w:bCs/>
          <w:i/>
          <w:color w:val="000000"/>
        </w:rPr>
      </w:pPr>
      <w:r w:rsidRPr="003408A6">
        <w:rPr>
          <w:rFonts w:cs="Arial"/>
          <w:b/>
          <w:bCs/>
          <w:i/>
          <w:color w:val="000000"/>
        </w:rPr>
        <w:t xml:space="preserve">These questions will be the basis for your telephone interview, written responses are not required. </w:t>
      </w:r>
    </w:p>
    <w:p w:rsidR="00FD1514" w:rsidRPr="003408A6" w:rsidRDefault="00FD1514" w:rsidP="00FD1514">
      <w:pPr>
        <w:tabs>
          <w:tab w:val="left" w:pos="1560"/>
        </w:tabs>
        <w:spacing w:after="120"/>
        <w:rPr>
          <w:rFonts w:cs="Arial"/>
          <w:b/>
          <w:bCs/>
          <w:i/>
        </w:rPr>
      </w:pPr>
      <w:r w:rsidRPr="003408A6">
        <w:rPr>
          <w:rFonts w:cs="Arial"/>
          <w:b/>
          <w:bCs/>
          <w:i/>
        </w:rPr>
        <w:t>We would like to record this interview. Is this alright with you?</w:t>
      </w: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Participant details</w:t>
      </w: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Job title: </w:t>
      </w:r>
    </w:p>
    <w:p w:rsidR="00FD1514" w:rsidRPr="003408A6" w:rsidRDefault="00FD1514" w:rsidP="00FD1514">
      <w:pPr>
        <w:spacing w:after="120"/>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Organisation </w:t>
      </w:r>
    </w:p>
    <w:p w:rsidR="00FD1514" w:rsidRPr="003408A6" w:rsidRDefault="00FD1514" w:rsidP="00FD1514">
      <w:pPr>
        <w:spacing w:after="120"/>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Professional background </w:t>
      </w:r>
    </w:p>
    <w:p w:rsidR="00FD1514" w:rsidRPr="003408A6" w:rsidRDefault="00FD1514" w:rsidP="00FD1514">
      <w:pPr>
        <w:spacing w:after="120"/>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What is/was your role and its responsibilities in the implementation of the National HPV Vaccination Program:</w:t>
      </w:r>
    </w:p>
    <w:p w:rsidR="00FD1514" w:rsidRPr="003408A6" w:rsidRDefault="00FD1514" w:rsidP="00FD1514">
      <w:pPr>
        <w:numPr>
          <w:ilvl w:val="2"/>
          <w:numId w:val="18"/>
        </w:numPr>
        <w:tabs>
          <w:tab w:val="left" w:pos="284"/>
        </w:tabs>
        <w:spacing w:after="120"/>
        <w:rPr>
          <w:rFonts w:cs="Arial"/>
          <w:bCs/>
        </w:rPr>
      </w:pPr>
      <w:r w:rsidRPr="003408A6">
        <w:rPr>
          <w:rFonts w:cs="Arial"/>
          <w:bCs/>
        </w:rPr>
        <w:t>School-based program for adolescent boys?</w:t>
      </w:r>
    </w:p>
    <w:p w:rsidR="00FD1514" w:rsidRPr="003408A6" w:rsidRDefault="00FD1514" w:rsidP="00FD1514">
      <w:pPr>
        <w:spacing w:after="120"/>
        <w:ind w:left="1638"/>
        <w:rPr>
          <w:rFonts w:cs="Arial"/>
          <w:bCs/>
        </w:rPr>
      </w:pPr>
    </w:p>
    <w:p w:rsidR="00FD1514" w:rsidRPr="003408A6" w:rsidRDefault="00FD1514" w:rsidP="00FD1514">
      <w:pPr>
        <w:numPr>
          <w:ilvl w:val="2"/>
          <w:numId w:val="18"/>
        </w:numPr>
        <w:tabs>
          <w:tab w:val="left" w:pos="284"/>
        </w:tabs>
        <w:spacing w:after="120"/>
        <w:rPr>
          <w:rFonts w:cs="Arial"/>
          <w:bCs/>
        </w:rPr>
      </w:pPr>
      <w:r w:rsidRPr="003408A6">
        <w:rPr>
          <w:rFonts w:cs="Arial"/>
          <w:bCs/>
        </w:rPr>
        <w:t>School-based program for adolescent girls</w:t>
      </w:r>
    </w:p>
    <w:p w:rsidR="00FD1514" w:rsidRPr="003408A6" w:rsidRDefault="00FD1514" w:rsidP="00FD1514">
      <w:pPr>
        <w:spacing w:after="120"/>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Were you in your current position during the planning/roll-out of the National HPV school-based Vaccination Program for adolescent boys (From July 2012).</w:t>
      </w:r>
    </w:p>
    <w:p w:rsidR="00FD1514" w:rsidRPr="003408A6" w:rsidRDefault="00FD1514" w:rsidP="00FD1514">
      <w:pPr>
        <w:spacing w:after="120"/>
        <w:ind w:left="851"/>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 Were you involved in the planning/roll-out of the FEMALE National HPV Vaccination Program for adolescent girls and young women (From November 2006)?</w:t>
      </w:r>
    </w:p>
    <w:p w:rsidR="00FD1514" w:rsidRPr="003408A6" w:rsidRDefault="00FD1514" w:rsidP="00FD1514">
      <w:pPr>
        <w:numPr>
          <w:ilvl w:val="2"/>
          <w:numId w:val="18"/>
        </w:numPr>
        <w:tabs>
          <w:tab w:val="left" w:pos="284"/>
        </w:tabs>
        <w:spacing w:after="120"/>
        <w:rPr>
          <w:rFonts w:cs="Arial"/>
          <w:bCs/>
        </w:rPr>
      </w:pPr>
      <w:r w:rsidRPr="003408A6">
        <w:rPr>
          <w:rFonts w:cs="Arial"/>
          <w:bCs/>
        </w:rPr>
        <w:t>In what role?</w:t>
      </w:r>
    </w:p>
    <w:p w:rsidR="00FD1514" w:rsidRPr="003408A6" w:rsidRDefault="00FD1514" w:rsidP="00FD1514">
      <w:pPr>
        <w:spacing w:after="120"/>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How long were/have you been involved in the female HPV program? </w:t>
      </w:r>
    </w:p>
    <w:p w:rsidR="00FD1514" w:rsidRPr="003408A6" w:rsidRDefault="00FD1514" w:rsidP="00FD1514">
      <w:pPr>
        <w:spacing w:after="120"/>
        <w:ind w:left="851"/>
        <w:rPr>
          <w:rFonts w:cs="Arial"/>
          <w:bCs/>
        </w:rPr>
      </w:pPr>
    </w:p>
    <w:p w:rsidR="00FD1514" w:rsidRPr="003408A6" w:rsidRDefault="00FD1514" w:rsidP="00FD1514">
      <w:pPr>
        <w:numPr>
          <w:ilvl w:val="1"/>
          <w:numId w:val="18"/>
        </w:numPr>
        <w:tabs>
          <w:tab w:val="clear" w:pos="574"/>
          <w:tab w:val="left" w:pos="284"/>
          <w:tab w:val="num" w:pos="1362"/>
        </w:tabs>
        <w:spacing w:after="120"/>
        <w:ind w:left="851" w:hanging="567"/>
        <w:rPr>
          <w:rFonts w:cs="Arial"/>
          <w:bCs/>
        </w:rPr>
      </w:pPr>
      <w:r w:rsidRPr="003408A6">
        <w:rPr>
          <w:rFonts w:cs="Arial"/>
          <w:bCs/>
        </w:rPr>
        <w:t xml:space="preserve">Is there another person from your organisation who could provide additional information regarding the implementation of either the female or the male program? </w:t>
      </w:r>
    </w:p>
    <w:p w:rsidR="00FD1514" w:rsidRPr="003408A6" w:rsidRDefault="00FD1514" w:rsidP="00FD1514">
      <w:pPr>
        <w:numPr>
          <w:ilvl w:val="2"/>
          <w:numId w:val="18"/>
        </w:numPr>
        <w:tabs>
          <w:tab w:val="left" w:pos="1560"/>
        </w:tabs>
        <w:spacing w:after="120"/>
        <w:ind w:left="1560" w:hanging="709"/>
        <w:rPr>
          <w:rFonts w:cs="Arial"/>
          <w:bCs/>
        </w:rPr>
      </w:pPr>
      <w:r w:rsidRPr="003408A6">
        <w:rPr>
          <w:rFonts w:cs="Arial"/>
          <w:bCs/>
        </w:rPr>
        <w:t xml:space="preserve">Name: </w:t>
      </w:r>
    </w:p>
    <w:p w:rsidR="00FD1514" w:rsidRPr="003408A6" w:rsidRDefault="00FD1514" w:rsidP="00FD1514">
      <w:pPr>
        <w:numPr>
          <w:ilvl w:val="2"/>
          <w:numId w:val="18"/>
        </w:numPr>
        <w:tabs>
          <w:tab w:val="left" w:pos="1560"/>
        </w:tabs>
        <w:spacing w:after="120"/>
        <w:ind w:left="1560" w:hanging="709"/>
        <w:rPr>
          <w:rFonts w:cs="Arial"/>
          <w:bCs/>
        </w:rPr>
      </w:pPr>
      <w:r w:rsidRPr="003408A6">
        <w:rPr>
          <w:rFonts w:cs="Arial"/>
          <w:bCs/>
        </w:rPr>
        <w:t xml:space="preserve">Job title during program: </w:t>
      </w:r>
    </w:p>
    <w:p w:rsidR="00FD1514" w:rsidRPr="003408A6" w:rsidRDefault="00FD1514" w:rsidP="00FD1514">
      <w:pPr>
        <w:numPr>
          <w:ilvl w:val="2"/>
          <w:numId w:val="18"/>
        </w:numPr>
        <w:tabs>
          <w:tab w:val="left" w:pos="1560"/>
        </w:tabs>
        <w:spacing w:after="120"/>
        <w:ind w:left="1560" w:hanging="709"/>
        <w:rPr>
          <w:rFonts w:cs="Arial"/>
          <w:bCs/>
        </w:rPr>
      </w:pPr>
      <w:r w:rsidRPr="003408A6">
        <w:rPr>
          <w:rFonts w:cs="Arial"/>
          <w:bCs/>
        </w:rPr>
        <w:t xml:space="preserve">Contact details: </w:t>
      </w: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Cs/>
        </w:rPr>
        <w:br w:type="page"/>
      </w:r>
      <w:bookmarkStart w:id="402" w:name="OLE_LINK3"/>
      <w:r w:rsidRPr="003408A6">
        <w:rPr>
          <w:rFonts w:cs="Arial"/>
          <w:b/>
          <w:sz w:val="32"/>
          <w:szCs w:val="32"/>
        </w:rPr>
        <w:t xml:space="preserve">Communication and Resources </w:t>
      </w:r>
    </w:p>
    <w:p w:rsidR="00FD1514" w:rsidRPr="003408A6" w:rsidRDefault="00FD1514" w:rsidP="00FD1514">
      <w:pPr>
        <w:spacing w:after="120"/>
        <w:ind w:left="22"/>
        <w:rPr>
          <w:rFonts w:cs="Arial"/>
          <w:b/>
          <w:bCs/>
          <w:szCs w:val="22"/>
        </w:rPr>
      </w:pPr>
      <w:r w:rsidRPr="003408A6">
        <w:rPr>
          <w:rFonts w:cs="Arial"/>
          <w:b/>
          <w:bCs/>
          <w:szCs w:val="22"/>
        </w:rPr>
        <w:t>MALE PROGRAM</w:t>
      </w:r>
    </w:p>
    <w:p w:rsidR="00FD1514" w:rsidRPr="003408A6" w:rsidRDefault="00FD1514" w:rsidP="00FD1514">
      <w:pPr>
        <w:spacing w:after="120"/>
        <w:ind w:left="22"/>
        <w:rPr>
          <w:rFonts w:cs="Arial"/>
          <w:bCs/>
          <w:szCs w:val="22"/>
        </w:rPr>
      </w:pPr>
      <w:r w:rsidRPr="003408A6">
        <w:rPr>
          <w:rFonts w:cs="Arial"/>
          <w:bCs/>
          <w:szCs w:val="22"/>
        </w:rPr>
        <w:t>Let’s begin with the recent extension of the National Human Papillomavirus (HPV) Vaccination Program to include adolescent boys commencing February 2013.</w:t>
      </w:r>
    </w:p>
    <w:bookmarkEnd w:id="402"/>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How and when were you advised about the extension of the National HPV Vaccination Program to adolescent boys (Male program)?</w:t>
      </w:r>
    </w:p>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Who were your target stakeholder groups/organisations to inform about the Male program?</w:t>
      </w:r>
    </w:p>
    <w:p w:rsidR="00FD1514" w:rsidRPr="003408A6" w:rsidRDefault="00FD1514" w:rsidP="00FD1514">
      <w:pPr>
        <w:tabs>
          <w:tab w:val="num" w:pos="2138"/>
        </w:tabs>
        <w:spacing w:after="120"/>
        <w:ind w:left="999"/>
        <w:rPr>
          <w:rFonts w:cs="Arial"/>
          <w:bCs/>
          <w:szCs w:val="22"/>
        </w:rPr>
      </w:pPr>
    </w:p>
    <w:p w:rsidR="00347C38" w:rsidRDefault="00FD1514" w:rsidP="00FD1514">
      <w:pPr>
        <w:numPr>
          <w:ilvl w:val="1"/>
          <w:numId w:val="20"/>
        </w:numPr>
        <w:tabs>
          <w:tab w:val="left" w:pos="284"/>
          <w:tab w:val="num" w:pos="2138"/>
        </w:tabs>
        <w:spacing w:after="120"/>
        <w:rPr>
          <w:rFonts w:cs="Arial"/>
          <w:bCs/>
          <w:szCs w:val="22"/>
        </w:rPr>
      </w:pPr>
      <w:r w:rsidRPr="003408A6">
        <w:rPr>
          <w:rFonts w:cs="Arial"/>
          <w:bCs/>
          <w:szCs w:val="22"/>
        </w:rPr>
        <w:t xml:space="preserve"> How did you advise them about the program?</w:t>
      </w:r>
    </w:p>
    <w:p w:rsidR="00347C38" w:rsidRDefault="00347C38" w:rsidP="00347C38">
      <w:pPr>
        <w:pStyle w:val="ListParagraph"/>
        <w:rPr>
          <w:rFonts w:cs="Arial"/>
          <w:bCs/>
          <w:szCs w:val="22"/>
        </w:rPr>
      </w:pPr>
    </w:p>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 xml:space="preserve">Has your organisation developed any program-specific resources for the male program? </w:t>
      </w:r>
    </w:p>
    <w:p w:rsidR="00FD1514" w:rsidRPr="003408A6" w:rsidRDefault="00FD1514" w:rsidP="00FD1514">
      <w:pPr>
        <w:spacing w:after="120"/>
        <w:ind w:left="810" w:firstLine="436"/>
        <w:rPr>
          <w:rFonts w:cs="Arial"/>
          <w:bCs/>
          <w:szCs w:val="22"/>
        </w:rPr>
      </w:pPr>
      <w:r w:rsidRPr="003408A6">
        <w:rPr>
          <w:rFonts w:cs="Arial"/>
          <w:bCs/>
          <w:szCs w:val="22"/>
        </w:rPr>
        <w:t xml:space="preserve"> If yes, please describe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What was developed?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Why?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When? (ie: pre/post program commencement)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Who was the target audience/s?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How were they distributed?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Key messages in these materials?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Evaluations/feedback obtained? </w:t>
      </w:r>
    </w:p>
    <w:p w:rsidR="00FD1514" w:rsidRPr="003408A6" w:rsidRDefault="00FD1514" w:rsidP="00FD1514">
      <w:pPr>
        <w:tabs>
          <w:tab w:val="num" w:pos="2138"/>
        </w:tabs>
        <w:spacing w:after="120"/>
        <w:ind w:left="1377"/>
        <w:rPr>
          <w:rFonts w:cs="Arial"/>
          <w:bCs/>
          <w:szCs w:val="22"/>
        </w:rPr>
      </w:pPr>
    </w:p>
    <w:p w:rsidR="00FD1514" w:rsidRPr="003408A6" w:rsidRDefault="00FD1514" w:rsidP="00FD1514">
      <w:pPr>
        <w:numPr>
          <w:ilvl w:val="1"/>
          <w:numId w:val="20"/>
        </w:numPr>
        <w:tabs>
          <w:tab w:val="left" w:pos="284"/>
          <w:tab w:val="num" w:pos="2138"/>
        </w:tabs>
        <w:spacing w:after="120"/>
        <w:rPr>
          <w:rFonts w:cs="Arial"/>
          <w:bCs/>
          <w:szCs w:val="22"/>
        </w:rPr>
      </w:pPr>
      <w:bookmarkStart w:id="403" w:name="OLE_LINK8"/>
      <w:r w:rsidRPr="003408A6">
        <w:rPr>
          <w:rFonts w:cs="Arial"/>
          <w:bCs/>
          <w:szCs w:val="22"/>
        </w:rPr>
        <w:t xml:space="preserve">Have you (or anyone for your organisation) attended any education specific to the male program? </w:t>
      </w:r>
    </w:p>
    <w:bookmarkEnd w:id="403"/>
    <w:p w:rsidR="00FD1514" w:rsidRPr="003408A6" w:rsidRDefault="00FD1514" w:rsidP="00FD1514">
      <w:pPr>
        <w:spacing w:after="120"/>
        <w:ind w:left="1750"/>
        <w:rPr>
          <w:rFonts w:cs="Arial"/>
          <w:bCs/>
          <w:szCs w:val="22"/>
        </w:rPr>
      </w:pPr>
      <w:r w:rsidRPr="003408A6">
        <w:rPr>
          <w:rFonts w:cs="Arial"/>
          <w:bCs/>
          <w:szCs w:val="22"/>
        </w:rPr>
        <w:t>If yes, please describe</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How delivered? (ie teleconference?)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Where?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 When?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Who provided?</w:t>
      </w:r>
    </w:p>
    <w:p w:rsidR="00FD1514" w:rsidRPr="003408A6" w:rsidRDefault="00FD1514" w:rsidP="00FD1514">
      <w:pPr>
        <w:spacing w:after="120"/>
        <w:ind w:left="1750"/>
        <w:rPr>
          <w:rFonts w:cs="Arial"/>
          <w:bCs/>
          <w:szCs w:val="22"/>
        </w:rPr>
      </w:pPr>
    </w:p>
    <w:p w:rsidR="00FD1514" w:rsidRPr="003408A6" w:rsidRDefault="00FD1514" w:rsidP="00FD1514">
      <w:pPr>
        <w:spacing w:after="120"/>
        <w:ind w:left="22"/>
        <w:rPr>
          <w:rFonts w:cs="Arial"/>
          <w:b/>
          <w:bCs/>
          <w:szCs w:val="22"/>
        </w:rPr>
      </w:pPr>
      <w:r w:rsidRPr="003408A6">
        <w:rPr>
          <w:rFonts w:cs="Arial"/>
          <w:b/>
          <w:bCs/>
          <w:szCs w:val="22"/>
        </w:rPr>
        <w:t>FEMALE PROGRAM</w:t>
      </w:r>
    </w:p>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 xml:space="preserve">Can you recall what program specific information/communication resources were available for the female HPV program prior to 2013?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Who were the main providers of this information (ie govt, vaccine providers, professional bodies)?</w:t>
      </w:r>
    </w:p>
    <w:p w:rsidR="00FD1514" w:rsidRPr="003408A6" w:rsidRDefault="00FD1514" w:rsidP="00FD1514">
      <w:pPr>
        <w:tabs>
          <w:tab w:val="num" w:pos="2138"/>
        </w:tabs>
        <w:spacing w:after="120"/>
        <w:ind w:left="1750"/>
        <w:rPr>
          <w:rFonts w:cs="Arial"/>
          <w:bCs/>
          <w:color w:val="808080"/>
          <w:szCs w:val="22"/>
        </w:rPr>
      </w:pP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What was your experience of the quality and availability these information resources?</w:t>
      </w:r>
    </w:p>
    <w:p w:rsidR="00FD1514" w:rsidRPr="003408A6" w:rsidRDefault="00FD1514" w:rsidP="00FD1514">
      <w:pPr>
        <w:spacing w:after="120"/>
        <w:ind w:left="2232"/>
        <w:rPr>
          <w:rFonts w:cs="Arial"/>
          <w:bCs/>
          <w:szCs w:val="22"/>
        </w:rPr>
      </w:pPr>
    </w:p>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Did your organisation develop any program specific resources for the female HPV program?</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What was developed?</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When? </w:t>
      </w:r>
    </w:p>
    <w:p w:rsidR="00FD1514" w:rsidRPr="003408A6" w:rsidRDefault="00FD1514" w:rsidP="00FD1514">
      <w:pPr>
        <w:numPr>
          <w:ilvl w:val="2"/>
          <w:numId w:val="20"/>
        </w:numPr>
        <w:tabs>
          <w:tab w:val="left" w:pos="284"/>
          <w:tab w:val="num" w:pos="1966"/>
        </w:tabs>
        <w:spacing w:after="120"/>
        <w:ind w:left="1750"/>
        <w:rPr>
          <w:rFonts w:cs="Arial"/>
          <w:bCs/>
          <w:color w:val="808080"/>
          <w:szCs w:val="22"/>
        </w:rPr>
      </w:pPr>
      <w:r w:rsidRPr="003408A6">
        <w:rPr>
          <w:rFonts w:cs="Arial"/>
          <w:bCs/>
          <w:color w:val="808080"/>
          <w:szCs w:val="22"/>
        </w:rPr>
        <w:t xml:space="preserve">Key messages in these materials? </w:t>
      </w:r>
    </w:p>
    <w:p w:rsidR="00FD1514" w:rsidRPr="003408A6" w:rsidRDefault="00FD1514" w:rsidP="00FD1514">
      <w:pPr>
        <w:spacing w:after="120"/>
        <w:ind w:left="1922"/>
        <w:rPr>
          <w:rFonts w:cs="Arial"/>
          <w:bCs/>
          <w:szCs w:val="22"/>
        </w:rPr>
      </w:pPr>
    </w:p>
    <w:p w:rsidR="00FD1514" w:rsidRPr="003408A6" w:rsidRDefault="00FD1514" w:rsidP="00FD1514">
      <w:pPr>
        <w:numPr>
          <w:ilvl w:val="1"/>
          <w:numId w:val="20"/>
        </w:numPr>
        <w:tabs>
          <w:tab w:val="left" w:pos="284"/>
          <w:tab w:val="num" w:pos="2138"/>
        </w:tabs>
        <w:spacing w:after="120"/>
        <w:rPr>
          <w:rFonts w:cs="Arial"/>
          <w:bCs/>
          <w:szCs w:val="22"/>
        </w:rPr>
      </w:pPr>
      <w:r w:rsidRPr="003408A6">
        <w:rPr>
          <w:rFonts w:cs="Arial"/>
          <w:bCs/>
          <w:szCs w:val="22"/>
        </w:rPr>
        <w:t xml:space="preserve">Have you (or anyone for your organisation) attended any education specific to the Female HPV program? </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 xml:space="preserve">When? </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Who provided?</w:t>
      </w:r>
    </w:p>
    <w:p w:rsidR="00FD1514" w:rsidRPr="003408A6" w:rsidRDefault="00FD1514" w:rsidP="00FD1514">
      <w:pPr>
        <w:spacing w:after="120"/>
        <w:rPr>
          <w:rFonts w:cs="Arial"/>
          <w:bCs/>
          <w:szCs w:val="22"/>
        </w:rPr>
      </w:pP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 xml:space="preserve"> Service Delivery</w:t>
      </w:r>
    </w:p>
    <w:p w:rsidR="00FD1514" w:rsidRPr="003408A6" w:rsidRDefault="00FD1514" w:rsidP="00FD1514">
      <w:pPr>
        <w:keepNext/>
        <w:keepLines/>
        <w:numPr>
          <w:ilvl w:val="1"/>
          <w:numId w:val="21"/>
        </w:numPr>
        <w:tabs>
          <w:tab w:val="left" w:pos="426"/>
        </w:tabs>
        <w:spacing w:after="120"/>
        <w:rPr>
          <w:rFonts w:cs="Arial"/>
          <w:bCs/>
          <w:color w:val="7F7F7F"/>
          <w:szCs w:val="22"/>
        </w:rPr>
      </w:pPr>
      <w:r w:rsidRPr="003408A6">
        <w:rPr>
          <w:rFonts w:cs="Arial"/>
          <w:bCs/>
          <w:szCs w:val="22"/>
        </w:rPr>
        <w:t>Please comment on the initial rollout of the National HPV Vaccination Program for</w:t>
      </w:r>
      <w:r w:rsidRPr="003408A6">
        <w:rPr>
          <w:rFonts w:cs="Arial"/>
          <w:bCs/>
          <w:color w:val="000000"/>
          <w:szCs w:val="22"/>
        </w:rPr>
        <w:t xml:space="preserve"> adolescent males (February 2013) in your jurisdiction. </w:t>
      </w:r>
      <w:r w:rsidRPr="003408A6">
        <w:rPr>
          <w:rFonts w:cs="Arial"/>
          <w:bCs/>
          <w:szCs w:val="22"/>
        </w:rPr>
        <w:t xml:space="preserve">: </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The lead time between the program announcement (July 2012) and commencement (February 2013)</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Obtaining vaccines</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Initial availability of information and resources</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Timetable for school-based catch-up program</w:t>
      </w:r>
    </w:p>
    <w:p w:rsidR="00FD1514" w:rsidRPr="003408A6" w:rsidRDefault="00FD1514" w:rsidP="00FD1514">
      <w:pPr>
        <w:spacing w:after="120"/>
        <w:ind w:left="1922"/>
        <w:rPr>
          <w:rFonts w:cs="Arial"/>
          <w:bCs/>
          <w:szCs w:val="22"/>
        </w:rPr>
      </w:pPr>
    </w:p>
    <w:p w:rsidR="00347C38" w:rsidRDefault="00FD1514" w:rsidP="00347C38">
      <w:pPr>
        <w:numPr>
          <w:ilvl w:val="1"/>
          <w:numId w:val="21"/>
        </w:numPr>
        <w:tabs>
          <w:tab w:val="left" w:pos="284"/>
          <w:tab w:val="num" w:pos="1284"/>
          <w:tab w:val="num" w:pos="1503"/>
        </w:tabs>
        <w:spacing w:after="120"/>
        <w:rPr>
          <w:rFonts w:cs="Arial"/>
          <w:bCs/>
          <w:szCs w:val="22"/>
        </w:rPr>
      </w:pPr>
      <w:bookmarkStart w:id="404" w:name="OLE_LINK11"/>
      <w:r w:rsidRPr="00347C38">
        <w:rPr>
          <w:rFonts w:cs="Arial"/>
          <w:bCs/>
          <w:szCs w:val="22"/>
        </w:rPr>
        <w:t>Did your organisation receive any funding for the MALE program</w:t>
      </w:r>
      <w:bookmarkEnd w:id="404"/>
      <w:r w:rsidRPr="00347C38">
        <w:rPr>
          <w:rFonts w:cs="Arial"/>
          <w:bCs/>
          <w:szCs w:val="22"/>
        </w:rPr>
        <w:t>?</w:t>
      </w:r>
    </w:p>
    <w:p w:rsidR="00FD1514" w:rsidRPr="00347C38" w:rsidRDefault="00347C38" w:rsidP="00347C38">
      <w:pPr>
        <w:tabs>
          <w:tab w:val="left" w:pos="284"/>
          <w:tab w:val="num" w:pos="1284"/>
        </w:tabs>
        <w:spacing w:after="120"/>
        <w:ind w:left="788"/>
        <w:rPr>
          <w:rFonts w:cs="Arial"/>
          <w:bCs/>
          <w:szCs w:val="22"/>
        </w:rPr>
      </w:pPr>
      <w:r>
        <w:rPr>
          <w:rFonts w:cs="Arial"/>
          <w:bCs/>
          <w:szCs w:val="22"/>
        </w:rPr>
        <w:tab/>
      </w:r>
      <w:r w:rsidR="00FD1514" w:rsidRPr="00347C38">
        <w:rPr>
          <w:rFonts w:cs="Arial"/>
          <w:bCs/>
          <w:szCs w:val="22"/>
        </w:rPr>
        <w:t xml:space="preserve">If yes, please describe; </w:t>
      </w:r>
    </w:p>
    <w:p w:rsidR="00FD1514" w:rsidRPr="003408A6" w:rsidRDefault="00FD1514" w:rsidP="00FD1514">
      <w:pPr>
        <w:numPr>
          <w:ilvl w:val="2"/>
          <w:numId w:val="21"/>
        </w:numPr>
        <w:tabs>
          <w:tab w:val="left" w:pos="284"/>
        </w:tabs>
        <w:spacing w:after="120"/>
        <w:ind w:left="1728"/>
        <w:rPr>
          <w:rFonts w:cs="Arial"/>
          <w:bCs/>
          <w:color w:val="808080"/>
          <w:szCs w:val="22"/>
        </w:rPr>
      </w:pPr>
      <w:r w:rsidRPr="003408A6">
        <w:rPr>
          <w:rFonts w:cs="Arial"/>
          <w:bCs/>
          <w:color w:val="808080"/>
          <w:szCs w:val="22"/>
        </w:rPr>
        <w:t xml:space="preserve">who from? </w:t>
      </w:r>
    </w:p>
    <w:p w:rsidR="00FD1514" w:rsidRPr="003408A6" w:rsidRDefault="00FD1514" w:rsidP="00FD1514">
      <w:pPr>
        <w:numPr>
          <w:ilvl w:val="2"/>
          <w:numId w:val="21"/>
        </w:numPr>
        <w:tabs>
          <w:tab w:val="left" w:pos="284"/>
        </w:tabs>
        <w:spacing w:after="120"/>
        <w:ind w:left="1728"/>
        <w:rPr>
          <w:rFonts w:cs="Arial"/>
          <w:bCs/>
          <w:color w:val="808080"/>
          <w:szCs w:val="22"/>
        </w:rPr>
      </w:pPr>
      <w:r w:rsidRPr="003408A6">
        <w:rPr>
          <w:rFonts w:cs="Arial"/>
          <w:bCs/>
          <w:color w:val="808080"/>
          <w:szCs w:val="22"/>
        </w:rPr>
        <w:t xml:space="preserve">what was this used for?  </w:t>
      </w:r>
    </w:p>
    <w:p w:rsidR="00FD1514" w:rsidRPr="003408A6" w:rsidRDefault="00FD1514" w:rsidP="00FD1514">
      <w:pPr>
        <w:numPr>
          <w:ilvl w:val="2"/>
          <w:numId w:val="21"/>
        </w:numPr>
        <w:tabs>
          <w:tab w:val="left" w:pos="284"/>
        </w:tabs>
        <w:spacing w:after="120"/>
        <w:ind w:left="1728"/>
        <w:rPr>
          <w:rFonts w:cs="Arial"/>
          <w:bCs/>
          <w:color w:val="808080"/>
          <w:szCs w:val="22"/>
        </w:rPr>
      </w:pPr>
      <w:r w:rsidRPr="003408A6">
        <w:rPr>
          <w:rFonts w:cs="Arial"/>
          <w:bCs/>
          <w:color w:val="808080"/>
          <w:szCs w:val="22"/>
        </w:rPr>
        <w:t xml:space="preserve">when was this received? </w:t>
      </w:r>
    </w:p>
    <w:p w:rsidR="00FD1514" w:rsidRPr="003408A6" w:rsidRDefault="00FD1514" w:rsidP="00FD1514">
      <w:pPr>
        <w:numPr>
          <w:ilvl w:val="2"/>
          <w:numId w:val="21"/>
        </w:numPr>
        <w:tabs>
          <w:tab w:val="left" w:pos="284"/>
        </w:tabs>
        <w:spacing w:after="120"/>
        <w:ind w:left="1728"/>
        <w:rPr>
          <w:rFonts w:cs="Arial"/>
          <w:bCs/>
          <w:szCs w:val="22"/>
        </w:rPr>
      </w:pPr>
      <w:r w:rsidRPr="003408A6">
        <w:rPr>
          <w:rFonts w:cs="Arial"/>
          <w:bCs/>
          <w:szCs w:val="22"/>
        </w:rPr>
        <w:t>Did the funding arrangements for the MALE program differ from the previous funding arrangements for the Female program?</w:t>
      </w:r>
    </w:p>
    <w:p w:rsidR="00FD1514" w:rsidRPr="003408A6" w:rsidRDefault="00FD1514" w:rsidP="00FD1514">
      <w:pPr>
        <w:spacing w:after="120"/>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Please describe any collaborations/partnerships which have occurred between your organisation and other health services in the delivery of the National MALE HPV Vaccination Program. (eg Medicare Locals, Cancer Council)</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Were these collaborations different to any existing collaborations for the National FEMALE HPV Vaccination Program (eg: in 2012)?</w:t>
      </w:r>
    </w:p>
    <w:p w:rsidR="00FD1514" w:rsidRPr="003408A6" w:rsidRDefault="00FD1514" w:rsidP="00FD1514">
      <w:pPr>
        <w:spacing w:after="120"/>
        <w:ind w:left="1922"/>
        <w:rPr>
          <w:rFonts w:cs="Arial"/>
          <w:bCs/>
          <w:szCs w:val="22"/>
        </w:rPr>
      </w:pPr>
    </w:p>
    <w:p w:rsidR="00FD1514" w:rsidRPr="003408A6" w:rsidRDefault="00FD1514" w:rsidP="00FD1514">
      <w:pPr>
        <w:spacing w:after="120"/>
        <w:rPr>
          <w:rFonts w:cs="Arial"/>
          <w:bCs/>
          <w:szCs w:val="22"/>
        </w:rPr>
      </w:pPr>
      <w:bookmarkStart w:id="405" w:name="OLE_LINK13"/>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Who do you use as immunisation providers in the male HPV program in your region?</w:t>
      </w:r>
    </w:p>
    <w:p w:rsidR="00FD1514" w:rsidRPr="003408A6" w:rsidRDefault="00FD1514" w:rsidP="00FD1514">
      <w:pPr>
        <w:spacing w:after="120"/>
        <w:ind w:left="1355"/>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Do you deliver the male and female HPV vaccination programs as separate or integrated programs in terms of:</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Providers</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Vaccine supply?</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Vaccination day schedules?</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Information and other resources?</w:t>
      </w:r>
    </w:p>
    <w:p w:rsidR="00FD1514" w:rsidRPr="003408A6" w:rsidRDefault="00FD1514" w:rsidP="00FD1514">
      <w:pPr>
        <w:tabs>
          <w:tab w:val="num" w:pos="999"/>
        </w:tabs>
        <w:spacing w:after="120"/>
        <w:ind w:left="999"/>
        <w:rPr>
          <w:rFonts w:cs="Arial"/>
          <w:bCs/>
          <w:szCs w:val="22"/>
        </w:rPr>
      </w:pPr>
    </w:p>
    <w:p w:rsidR="00FD1514" w:rsidRPr="003408A6" w:rsidRDefault="00FD1514" w:rsidP="00FD1514">
      <w:pPr>
        <w:numPr>
          <w:ilvl w:val="1"/>
          <w:numId w:val="21"/>
        </w:numPr>
        <w:tabs>
          <w:tab w:val="left" w:pos="284"/>
          <w:tab w:val="num" w:pos="851"/>
        </w:tabs>
        <w:spacing w:after="120"/>
        <w:rPr>
          <w:rFonts w:cs="Arial"/>
          <w:bCs/>
          <w:szCs w:val="22"/>
        </w:rPr>
      </w:pPr>
      <w:r w:rsidRPr="003408A6">
        <w:rPr>
          <w:rFonts w:cs="Arial"/>
          <w:bCs/>
          <w:szCs w:val="22"/>
        </w:rPr>
        <w:t xml:space="preserve">Were there any aspects of service delivery National </w:t>
      </w:r>
      <w:r w:rsidRPr="003408A6">
        <w:rPr>
          <w:rFonts w:cs="Arial"/>
          <w:bCs/>
          <w:color w:val="000000"/>
          <w:szCs w:val="22"/>
        </w:rPr>
        <w:t>HPV</w:t>
      </w:r>
      <w:r w:rsidRPr="003408A6">
        <w:rPr>
          <w:rFonts w:cs="Arial"/>
          <w:bCs/>
          <w:szCs w:val="22"/>
        </w:rPr>
        <w:t xml:space="preserve"> </w:t>
      </w:r>
      <w:r w:rsidRPr="003408A6">
        <w:rPr>
          <w:rFonts w:cs="Arial"/>
          <w:bCs/>
          <w:color w:val="000000"/>
          <w:szCs w:val="22"/>
        </w:rPr>
        <w:t xml:space="preserve">Vaccination Program </w:t>
      </w:r>
      <w:r w:rsidRPr="003408A6">
        <w:rPr>
          <w:rFonts w:cs="Arial"/>
          <w:bCs/>
          <w:szCs w:val="22"/>
        </w:rPr>
        <w:t xml:space="preserve">which were different to other school-based vaccination programs? If yes, please describe. </w:t>
      </w:r>
    </w:p>
    <w:p w:rsidR="00FD1514" w:rsidRPr="003408A6" w:rsidRDefault="00FD1514" w:rsidP="00FD1514">
      <w:pPr>
        <w:spacing w:after="120"/>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Did any media attention affect the implementation of the MALE program (either positively or negatively)</w:t>
      </w:r>
    </w:p>
    <w:p w:rsidR="00FD1514" w:rsidRPr="003408A6" w:rsidRDefault="00FD1514" w:rsidP="00FD1514">
      <w:pPr>
        <w:spacing w:after="120"/>
        <w:ind w:left="1922"/>
        <w:rPr>
          <w:rFonts w:cs="Arial"/>
          <w:bCs/>
          <w:szCs w:val="22"/>
        </w:rPr>
      </w:pPr>
      <w:r w:rsidRPr="003408A6">
        <w:rPr>
          <w:rFonts w:cs="Arial"/>
          <w:bCs/>
          <w:szCs w:val="22"/>
        </w:rPr>
        <w:t>If yes, please describe.</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Was the impact of the media on the MALE program any different to that experienced for the FEMALE program?</w:t>
      </w:r>
    </w:p>
    <w:p w:rsidR="00FD1514" w:rsidRPr="003408A6" w:rsidRDefault="00FD1514" w:rsidP="00FD1514">
      <w:pPr>
        <w:spacing w:after="120"/>
        <w:ind w:left="999"/>
        <w:rPr>
          <w:rFonts w:cs="Arial"/>
          <w:bCs/>
          <w:szCs w:val="22"/>
        </w:rPr>
      </w:pPr>
      <w:bookmarkStart w:id="406" w:name="OLE_LINK14"/>
      <w:bookmarkStart w:id="407" w:name="OLE_LINK15"/>
      <w:bookmarkEnd w:id="405"/>
      <w:r w:rsidRPr="003408A6">
        <w:rPr>
          <w:rFonts w:cs="Arial"/>
          <w:bCs/>
          <w:szCs w:val="22"/>
        </w:rPr>
        <w:t xml:space="preserve"> </w:t>
      </w: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 xml:space="preserve">Do you have a </w:t>
      </w:r>
      <w:r w:rsidRPr="003408A6">
        <w:rPr>
          <w:rFonts w:cs="Arial"/>
          <w:bCs/>
          <w:color w:val="000000"/>
          <w:szCs w:val="22"/>
        </w:rPr>
        <w:t>tailored program particularly for the following groups:</w:t>
      </w:r>
    </w:p>
    <w:p w:rsidR="00FD1514" w:rsidRPr="003408A6" w:rsidRDefault="00FD1514" w:rsidP="00FD1514">
      <w:pPr>
        <w:numPr>
          <w:ilvl w:val="2"/>
          <w:numId w:val="21"/>
        </w:numPr>
        <w:tabs>
          <w:tab w:val="left" w:pos="284"/>
        </w:tabs>
        <w:spacing w:after="120"/>
        <w:rPr>
          <w:rFonts w:cs="Arial"/>
          <w:bCs/>
          <w:color w:val="000000"/>
          <w:szCs w:val="22"/>
        </w:rPr>
      </w:pPr>
      <w:r w:rsidRPr="003408A6">
        <w:rPr>
          <w:rFonts w:cs="Arial"/>
          <w:bCs/>
          <w:color w:val="000000"/>
          <w:szCs w:val="22"/>
        </w:rPr>
        <w:t xml:space="preserve">Aboriginal or Torres Strait Islander boys/girls/young people or their parents? </w:t>
      </w:r>
    </w:p>
    <w:p w:rsidR="00FD1514" w:rsidRPr="003408A6" w:rsidRDefault="00FD1514" w:rsidP="00FD1514">
      <w:pPr>
        <w:spacing w:after="120"/>
        <w:ind w:left="1728"/>
        <w:rPr>
          <w:rFonts w:cs="Arial"/>
          <w:bCs/>
          <w:color w:val="808080"/>
          <w:szCs w:val="22"/>
        </w:rPr>
      </w:pPr>
      <w:r w:rsidRPr="003408A6">
        <w:rPr>
          <w:rFonts w:cs="Arial"/>
          <w:bCs/>
          <w:color w:val="808080"/>
          <w:szCs w:val="22"/>
        </w:rPr>
        <w:t>If yes please describe</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What was developed? </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Who developed? </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When? </w:t>
      </w:r>
    </w:p>
    <w:p w:rsidR="00FD1514" w:rsidRPr="003408A6" w:rsidRDefault="00FD1514" w:rsidP="00FD1514">
      <w:pPr>
        <w:spacing w:after="120"/>
        <w:ind w:left="1728"/>
        <w:rPr>
          <w:rFonts w:cs="Arial"/>
          <w:bCs/>
          <w:color w:val="808080"/>
          <w:szCs w:val="22"/>
        </w:rPr>
      </w:pPr>
      <w:r w:rsidRPr="003408A6">
        <w:rPr>
          <w:rFonts w:cs="Arial"/>
          <w:bCs/>
          <w:color w:val="808080"/>
          <w:szCs w:val="22"/>
        </w:rPr>
        <w:t>Key messages/actions?</w:t>
      </w:r>
    </w:p>
    <w:p w:rsidR="00FD1514" w:rsidRPr="003408A6" w:rsidRDefault="00FD1514" w:rsidP="00FD1514">
      <w:pPr>
        <w:spacing w:after="120"/>
        <w:ind w:left="1728"/>
        <w:rPr>
          <w:rFonts w:cs="Arial"/>
          <w:bCs/>
          <w:color w:val="808080"/>
          <w:szCs w:val="22"/>
        </w:rPr>
      </w:pPr>
      <w:r w:rsidRPr="003408A6">
        <w:rPr>
          <w:rFonts w:cs="Arial"/>
          <w:bCs/>
          <w:color w:val="808080"/>
          <w:szCs w:val="22"/>
        </w:rPr>
        <w:t>How was it implemented?</w:t>
      </w:r>
    </w:p>
    <w:p w:rsidR="00FD1514" w:rsidRPr="003408A6" w:rsidRDefault="00FD1514" w:rsidP="00FD1514">
      <w:pPr>
        <w:spacing w:after="120"/>
        <w:ind w:left="1922"/>
        <w:rPr>
          <w:rFonts w:cs="Arial"/>
          <w:bCs/>
          <w:szCs w:val="22"/>
        </w:rPr>
      </w:pPr>
    </w:p>
    <w:p w:rsidR="00FD1514" w:rsidRPr="003408A6" w:rsidRDefault="00FD1514" w:rsidP="00FD1514">
      <w:pPr>
        <w:numPr>
          <w:ilvl w:val="2"/>
          <w:numId w:val="21"/>
        </w:numPr>
        <w:tabs>
          <w:tab w:val="left" w:pos="284"/>
        </w:tabs>
        <w:spacing w:after="120"/>
        <w:rPr>
          <w:rFonts w:cs="Arial"/>
          <w:bCs/>
          <w:color w:val="000000"/>
          <w:szCs w:val="22"/>
        </w:rPr>
      </w:pPr>
      <w:r w:rsidRPr="003408A6">
        <w:rPr>
          <w:rFonts w:cs="Arial"/>
          <w:bCs/>
          <w:color w:val="000000"/>
          <w:szCs w:val="22"/>
        </w:rPr>
        <w:t xml:space="preserve"> Boys/girls/young people or parents from Culturally and Linguistically Diverse backgrounds</w:t>
      </w:r>
    </w:p>
    <w:p w:rsidR="00FD1514" w:rsidRPr="003408A6" w:rsidRDefault="00FD1514" w:rsidP="00FD1514">
      <w:pPr>
        <w:tabs>
          <w:tab w:val="num" w:pos="2138"/>
        </w:tabs>
        <w:spacing w:after="120"/>
        <w:ind w:left="1355"/>
        <w:rPr>
          <w:rFonts w:cs="Arial"/>
          <w:bCs/>
          <w:szCs w:val="22"/>
        </w:rPr>
      </w:pPr>
      <w:r w:rsidRPr="003408A6">
        <w:rPr>
          <w:rFonts w:cs="Arial"/>
          <w:bCs/>
          <w:szCs w:val="22"/>
        </w:rPr>
        <w:t>If yes please describe</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What was developed? </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Who developed? </w:t>
      </w:r>
    </w:p>
    <w:p w:rsidR="00FD1514" w:rsidRPr="003408A6" w:rsidRDefault="00FD1514" w:rsidP="00FD1514">
      <w:pPr>
        <w:spacing w:after="120"/>
        <w:ind w:left="1728"/>
        <w:rPr>
          <w:rFonts w:cs="Arial"/>
          <w:bCs/>
          <w:color w:val="808080"/>
          <w:szCs w:val="22"/>
        </w:rPr>
      </w:pPr>
      <w:r w:rsidRPr="003408A6">
        <w:rPr>
          <w:rFonts w:cs="Arial"/>
          <w:bCs/>
          <w:color w:val="808080"/>
          <w:szCs w:val="22"/>
        </w:rPr>
        <w:t xml:space="preserve">When? </w:t>
      </w:r>
    </w:p>
    <w:p w:rsidR="00FD1514" w:rsidRPr="003408A6" w:rsidRDefault="00FD1514" w:rsidP="00FD1514">
      <w:pPr>
        <w:spacing w:after="120"/>
        <w:ind w:left="1728"/>
        <w:rPr>
          <w:rFonts w:cs="Arial"/>
          <w:bCs/>
          <w:color w:val="808080"/>
          <w:szCs w:val="22"/>
        </w:rPr>
      </w:pPr>
      <w:r w:rsidRPr="003408A6">
        <w:rPr>
          <w:rFonts w:cs="Arial"/>
          <w:bCs/>
          <w:color w:val="808080"/>
          <w:szCs w:val="22"/>
        </w:rPr>
        <w:t>Key messages/actions?</w:t>
      </w:r>
    </w:p>
    <w:p w:rsidR="00FD1514" w:rsidRPr="003408A6" w:rsidRDefault="00FD1514" w:rsidP="00FD1514">
      <w:pPr>
        <w:spacing w:after="120"/>
        <w:ind w:left="999"/>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Was/is there any location/group/population who were/are not well served by the HPV vaccination program in your organisation’s catchment? (Due to access/information/consent issues?)</w:t>
      </w:r>
    </w:p>
    <w:p w:rsidR="00FD1514" w:rsidRPr="003408A6" w:rsidRDefault="00FD1514" w:rsidP="00FD1514">
      <w:pPr>
        <w:spacing w:after="120"/>
        <w:ind w:left="1355"/>
        <w:rPr>
          <w:rFonts w:cs="Arial"/>
          <w:bCs/>
          <w:szCs w:val="22"/>
        </w:rPr>
      </w:pPr>
    </w:p>
    <w:p w:rsidR="00FD1514" w:rsidRPr="003408A6" w:rsidRDefault="00FD1514" w:rsidP="00FD1514">
      <w:pPr>
        <w:rPr>
          <w:rFonts w:cs="Arial"/>
          <w:bCs/>
          <w:szCs w:val="22"/>
        </w:rPr>
      </w:pPr>
      <w:r w:rsidRPr="003408A6">
        <w:rPr>
          <w:rFonts w:cs="Arial"/>
          <w:bCs/>
          <w:szCs w:val="22"/>
        </w:rPr>
        <w:br w:type="page"/>
      </w:r>
    </w:p>
    <w:p w:rsidR="00FD1514" w:rsidRPr="003408A6" w:rsidRDefault="00FD1514" w:rsidP="00FD1514">
      <w:pPr>
        <w:spacing w:after="120"/>
        <w:ind w:left="504"/>
        <w:rPr>
          <w:rFonts w:cs="Arial"/>
          <w:bCs/>
          <w:szCs w:val="22"/>
        </w:rPr>
      </w:pP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School engagement</w:t>
      </w:r>
    </w:p>
    <w:p w:rsidR="00FD1514" w:rsidRPr="003408A6" w:rsidRDefault="00FD1514" w:rsidP="00FD1514">
      <w:pPr>
        <w:spacing w:after="120"/>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Please describe how you and your organisation communicate with schools and the education sector in your region in the delivery of the National HPV Vaccination Program? Eg:</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Informing Schools of the program</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Informing students and parents</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Organising consent</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Organising vaccination days</w:t>
      </w:r>
    </w:p>
    <w:p w:rsidR="00FD1514" w:rsidRPr="003408A6" w:rsidRDefault="00FD1514" w:rsidP="00FD1514">
      <w:pPr>
        <w:spacing w:after="120"/>
        <w:ind w:left="574"/>
        <w:rPr>
          <w:rFonts w:cs="Arial"/>
          <w:bCs/>
          <w:szCs w:val="22"/>
        </w:rPr>
      </w:pPr>
    </w:p>
    <w:p w:rsidR="00FD1514" w:rsidRPr="003408A6" w:rsidRDefault="00FD1514" w:rsidP="00FD1514">
      <w:pPr>
        <w:numPr>
          <w:ilvl w:val="1"/>
          <w:numId w:val="18"/>
        </w:numPr>
        <w:tabs>
          <w:tab w:val="clear" w:pos="574"/>
          <w:tab w:val="left" w:pos="284"/>
          <w:tab w:val="num" w:pos="851"/>
        </w:tabs>
        <w:spacing w:after="120"/>
        <w:ind w:left="851" w:hanging="567"/>
        <w:rPr>
          <w:rFonts w:cs="Arial"/>
          <w:bCs/>
          <w:szCs w:val="22"/>
        </w:rPr>
      </w:pPr>
      <w:r w:rsidRPr="003408A6">
        <w:rPr>
          <w:rFonts w:cs="Arial"/>
          <w:bCs/>
          <w:szCs w:val="22"/>
        </w:rPr>
        <w:t>Have there been any issues of parental consent in your jurisdiction?</w:t>
      </w:r>
    </w:p>
    <w:p w:rsidR="00FD1514" w:rsidRPr="003408A6" w:rsidRDefault="00FD1514" w:rsidP="00FD1514">
      <w:pPr>
        <w:numPr>
          <w:ilvl w:val="2"/>
          <w:numId w:val="18"/>
        </w:numPr>
        <w:tabs>
          <w:tab w:val="clear" w:pos="1854"/>
          <w:tab w:val="left" w:pos="284"/>
          <w:tab w:val="num" w:pos="1440"/>
        </w:tabs>
        <w:spacing w:after="120"/>
        <w:ind w:left="1224"/>
        <w:rPr>
          <w:rFonts w:cs="Arial"/>
          <w:bCs/>
          <w:szCs w:val="22"/>
        </w:rPr>
      </w:pPr>
      <w:r w:rsidRPr="003408A6">
        <w:rPr>
          <w:rFonts w:cs="Arial"/>
          <w:bCs/>
          <w:szCs w:val="22"/>
        </w:rPr>
        <w:t>For the vaccination of adolescent males?</w:t>
      </w:r>
    </w:p>
    <w:p w:rsidR="00FD1514" w:rsidRPr="003408A6" w:rsidRDefault="00FD1514" w:rsidP="00FD1514">
      <w:pPr>
        <w:numPr>
          <w:ilvl w:val="2"/>
          <w:numId w:val="18"/>
        </w:numPr>
        <w:tabs>
          <w:tab w:val="clear" w:pos="1854"/>
          <w:tab w:val="left" w:pos="284"/>
          <w:tab w:val="num" w:pos="1440"/>
        </w:tabs>
        <w:spacing w:after="120"/>
        <w:ind w:left="1224"/>
        <w:rPr>
          <w:rFonts w:cs="Arial"/>
          <w:bCs/>
          <w:szCs w:val="22"/>
        </w:rPr>
      </w:pPr>
      <w:r w:rsidRPr="003408A6">
        <w:rPr>
          <w:rFonts w:cs="Arial"/>
          <w:bCs/>
          <w:szCs w:val="22"/>
        </w:rPr>
        <w:t>For the vaccination of adolescent females?</w:t>
      </w:r>
    </w:p>
    <w:p w:rsidR="00347C38" w:rsidRDefault="00FD1514" w:rsidP="00347C38">
      <w:pPr>
        <w:numPr>
          <w:ilvl w:val="2"/>
          <w:numId w:val="18"/>
        </w:numPr>
        <w:tabs>
          <w:tab w:val="clear" w:pos="1854"/>
          <w:tab w:val="left" w:pos="284"/>
          <w:tab w:val="num" w:pos="1440"/>
        </w:tabs>
        <w:spacing w:after="120"/>
        <w:ind w:left="1224"/>
        <w:rPr>
          <w:rFonts w:cs="Arial"/>
          <w:bCs/>
          <w:szCs w:val="22"/>
        </w:rPr>
      </w:pPr>
      <w:r w:rsidRPr="003408A6">
        <w:rPr>
          <w:rFonts w:cs="Arial"/>
          <w:bCs/>
          <w:szCs w:val="22"/>
        </w:rPr>
        <w:t>Do you have any program specific strategies for obtaining parental consent?</w:t>
      </w:r>
    </w:p>
    <w:p w:rsidR="00FD1514" w:rsidRPr="00347C38" w:rsidRDefault="00347C38" w:rsidP="00347C38">
      <w:pPr>
        <w:tabs>
          <w:tab w:val="left" w:pos="284"/>
        </w:tabs>
        <w:spacing w:after="120"/>
        <w:ind w:left="1224"/>
        <w:rPr>
          <w:rFonts w:cs="Arial"/>
          <w:bCs/>
          <w:szCs w:val="22"/>
        </w:rPr>
      </w:pPr>
      <w:r>
        <w:rPr>
          <w:rFonts w:cs="Arial"/>
          <w:bCs/>
          <w:szCs w:val="22"/>
        </w:rPr>
        <w:tab/>
      </w:r>
      <w:r w:rsidR="00FD1514" w:rsidRPr="00347C38">
        <w:rPr>
          <w:rFonts w:cs="Arial"/>
          <w:bCs/>
          <w:szCs w:val="22"/>
        </w:rPr>
        <w:t>Please describe</w:t>
      </w:r>
    </w:p>
    <w:p w:rsidR="00FD1514" w:rsidRPr="003408A6" w:rsidRDefault="00FD1514" w:rsidP="00FD1514">
      <w:pPr>
        <w:spacing w:after="120"/>
        <w:ind w:left="360"/>
        <w:rPr>
          <w:rFonts w:cs="Arial"/>
          <w:bCs/>
          <w:szCs w:val="22"/>
        </w:rPr>
      </w:pP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 xml:space="preserve">The vaccine </w:t>
      </w:r>
    </w:p>
    <w:p w:rsidR="00FD1514" w:rsidRPr="003408A6" w:rsidRDefault="00FD1514" w:rsidP="00FD1514">
      <w:pPr>
        <w:tabs>
          <w:tab w:val="num" w:pos="1284"/>
        </w:tabs>
        <w:spacing w:after="120"/>
        <w:ind w:left="788"/>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 xml:space="preserve">Please describe any issues with vaccine supply (i.e. vaccine shortage) and/or vaccine management which you have encountered with the human papillomavirus vaccine?  </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For the male HPV program</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For the female HPV program</w:t>
      </w:r>
    </w:p>
    <w:p w:rsidR="00FD1514" w:rsidRPr="003408A6" w:rsidRDefault="00FD1514" w:rsidP="00FD1514">
      <w:pPr>
        <w:tabs>
          <w:tab w:val="num" w:pos="1284"/>
        </w:tabs>
        <w:spacing w:after="120"/>
        <w:ind w:left="788"/>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 xml:space="preserve">Are you aware of any reports of administration issues with the human papillomavirus vaccine? </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 xml:space="preserve">If yes, please describe (What and who reporting). </w:t>
      </w:r>
    </w:p>
    <w:p w:rsidR="00FD1514" w:rsidRPr="003408A6" w:rsidRDefault="00FD1514" w:rsidP="00FD1514">
      <w:pPr>
        <w:spacing w:after="120"/>
        <w:ind w:left="1355"/>
        <w:rPr>
          <w:rFonts w:cs="Arial"/>
          <w:bCs/>
          <w:szCs w:val="22"/>
        </w:rPr>
      </w:pP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 xml:space="preserve">Data </w:t>
      </w:r>
    </w:p>
    <w:p w:rsidR="00FD1514" w:rsidRPr="003408A6" w:rsidRDefault="00FD1514" w:rsidP="00FD1514">
      <w:pPr>
        <w:numPr>
          <w:ilvl w:val="1"/>
          <w:numId w:val="21"/>
        </w:numPr>
        <w:tabs>
          <w:tab w:val="left" w:pos="284"/>
        </w:tabs>
        <w:spacing w:after="120"/>
        <w:rPr>
          <w:rFonts w:cs="Arial"/>
          <w:bCs/>
          <w:szCs w:val="22"/>
        </w:rPr>
      </w:pPr>
      <w:r w:rsidRPr="003408A6">
        <w:rPr>
          <w:rFonts w:cs="Arial"/>
          <w:bCs/>
          <w:szCs w:val="22"/>
        </w:rPr>
        <w:t>Can you please describe your reporting requirements and processes to the National HPV Vaccination Program Register?</w:t>
      </w:r>
    </w:p>
    <w:p w:rsidR="00FD1514" w:rsidRPr="003408A6" w:rsidRDefault="00FD1514" w:rsidP="00FD1514">
      <w:pPr>
        <w:tabs>
          <w:tab w:val="left" w:pos="284"/>
        </w:tabs>
        <w:spacing w:after="120"/>
        <w:ind w:left="999"/>
        <w:rPr>
          <w:rFonts w:cs="Arial"/>
          <w:bCs/>
          <w:szCs w:val="22"/>
        </w:rPr>
      </w:pPr>
    </w:p>
    <w:p w:rsidR="00FD1514" w:rsidRPr="003408A6" w:rsidRDefault="00FD1514" w:rsidP="00FD1514">
      <w:pPr>
        <w:numPr>
          <w:ilvl w:val="1"/>
          <w:numId w:val="21"/>
        </w:numPr>
        <w:tabs>
          <w:tab w:val="left" w:pos="284"/>
        </w:tabs>
        <w:spacing w:after="120"/>
        <w:rPr>
          <w:rFonts w:cs="Arial"/>
          <w:bCs/>
          <w:szCs w:val="22"/>
        </w:rPr>
      </w:pPr>
      <w:r w:rsidRPr="003408A6">
        <w:rPr>
          <w:rFonts w:cs="Arial"/>
          <w:bCs/>
          <w:szCs w:val="22"/>
        </w:rPr>
        <w:t>With the start of the male program, the Department of Health and Ageing, in conjunction with the TGA and states and territories, introduced rapid school-based reporting of four acute significant adverse events following immunisation (AEFI) with HPV to the TGA. How do you record and report adverse events following immunisation?</w:t>
      </w:r>
    </w:p>
    <w:p w:rsidR="00FD1514" w:rsidRPr="003408A6" w:rsidRDefault="00FD1514" w:rsidP="00FD1514">
      <w:pPr>
        <w:spacing w:after="120"/>
        <w:ind w:left="1355"/>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How well is information on the Indigenous Status of vaccination recipients collected and recorded in your program? (eg consent forms, providers’ reporting).</w:t>
      </w:r>
    </w:p>
    <w:p w:rsidR="00FD1514" w:rsidRPr="003408A6" w:rsidRDefault="00FD1514" w:rsidP="00FD1514">
      <w:pPr>
        <w:spacing w:after="120"/>
        <w:ind w:left="1355"/>
        <w:rPr>
          <w:rFonts w:cs="Arial"/>
          <w:bCs/>
          <w:szCs w:val="22"/>
        </w:rPr>
      </w:pPr>
    </w:p>
    <w:p w:rsidR="00FD1514" w:rsidRPr="003408A6" w:rsidRDefault="00FD1514" w:rsidP="00FD1514">
      <w:pPr>
        <w:spacing w:after="120"/>
        <w:ind w:left="1355"/>
        <w:rPr>
          <w:rFonts w:cs="Arial"/>
          <w:bCs/>
          <w:szCs w:val="22"/>
        </w:rPr>
      </w:pPr>
    </w:p>
    <w:p w:rsidR="00FD1514" w:rsidRPr="003408A6" w:rsidRDefault="00FD1514" w:rsidP="00FD1514">
      <w:pPr>
        <w:numPr>
          <w:ilvl w:val="1"/>
          <w:numId w:val="21"/>
        </w:numPr>
        <w:tabs>
          <w:tab w:val="left" w:pos="284"/>
        </w:tabs>
        <w:spacing w:after="120"/>
        <w:ind w:left="1355" w:hanging="567"/>
        <w:rPr>
          <w:rFonts w:cs="Arial"/>
          <w:bCs/>
          <w:szCs w:val="22"/>
        </w:rPr>
      </w:pPr>
      <w:r w:rsidRPr="003408A6">
        <w:rPr>
          <w:rFonts w:cs="Arial"/>
          <w:bCs/>
          <w:szCs w:val="22"/>
        </w:rPr>
        <w:t>Do you have access to coverage data for:</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 xml:space="preserve">The school-based program for adolescent girls? </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 xml:space="preserve">The school-based program for adolescent boys? </w:t>
      </w:r>
    </w:p>
    <w:p w:rsidR="00FD1514" w:rsidRPr="003408A6" w:rsidRDefault="00FD1514" w:rsidP="00FD1514">
      <w:pPr>
        <w:numPr>
          <w:ilvl w:val="2"/>
          <w:numId w:val="21"/>
        </w:numPr>
        <w:tabs>
          <w:tab w:val="left" w:pos="284"/>
        </w:tabs>
        <w:spacing w:after="120"/>
        <w:rPr>
          <w:rFonts w:cs="Arial"/>
          <w:bCs/>
          <w:color w:val="808080"/>
          <w:szCs w:val="22"/>
        </w:rPr>
      </w:pPr>
      <w:r w:rsidRPr="003408A6">
        <w:rPr>
          <w:rFonts w:cs="Arial"/>
          <w:bCs/>
          <w:color w:val="808080"/>
          <w:szCs w:val="22"/>
        </w:rPr>
        <w:t>The community catch-up program for young women?</w:t>
      </w:r>
      <w:r w:rsidRPr="003408A6" w:rsidDel="00B47DCB">
        <w:rPr>
          <w:rFonts w:cs="Arial"/>
          <w:bCs/>
          <w:color w:val="808080"/>
          <w:szCs w:val="22"/>
        </w:rPr>
        <w:t xml:space="preserve"> </w:t>
      </w:r>
    </w:p>
    <w:p w:rsidR="00FD1514" w:rsidRPr="003408A6" w:rsidRDefault="00FD1514" w:rsidP="00FD1514">
      <w:pPr>
        <w:spacing w:after="120"/>
        <w:ind w:left="1922"/>
        <w:rPr>
          <w:rFonts w:cs="Arial"/>
          <w:bCs/>
          <w:szCs w:val="22"/>
        </w:rPr>
      </w:pPr>
    </w:p>
    <w:p w:rsidR="00FD1514" w:rsidRPr="00347C38" w:rsidRDefault="00FD1514" w:rsidP="00347C38">
      <w:pPr>
        <w:numPr>
          <w:ilvl w:val="1"/>
          <w:numId w:val="21"/>
        </w:numPr>
        <w:tabs>
          <w:tab w:val="clear" w:pos="999"/>
          <w:tab w:val="left" w:pos="284"/>
          <w:tab w:val="num" w:pos="851"/>
          <w:tab w:val="num" w:pos="1418"/>
        </w:tabs>
        <w:spacing w:after="120"/>
        <w:ind w:left="1418" w:hanging="567"/>
        <w:rPr>
          <w:rFonts w:cs="Arial"/>
          <w:bCs/>
        </w:rPr>
      </w:pPr>
      <w:r w:rsidRPr="00347C38">
        <w:rPr>
          <w:rFonts w:cs="Arial"/>
          <w:bCs/>
          <w:szCs w:val="22"/>
        </w:rPr>
        <w:t>Do you have any other comments or concerns about data requirements or availability?</w:t>
      </w:r>
    </w:p>
    <w:p w:rsidR="00FD1514" w:rsidRPr="003408A6" w:rsidRDefault="00FD1514" w:rsidP="00FD1514">
      <w:pPr>
        <w:numPr>
          <w:ilvl w:val="0"/>
          <w:numId w:val="18"/>
        </w:numPr>
        <w:tabs>
          <w:tab w:val="clear" w:pos="360"/>
          <w:tab w:val="left" w:pos="284"/>
          <w:tab w:val="num" w:pos="864"/>
        </w:tabs>
        <w:spacing w:after="120"/>
        <w:rPr>
          <w:rFonts w:cs="Arial"/>
          <w:b/>
          <w:sz w:val="32"/>
          <w:szCs w:val="32"/>
        </w:rPr>
      </w:pPr>
      <w:r w:rsidRPr="003408A6">
        <w:rPr>
          <w:rFonts w:cs="Arial"/>
          <w:b/>
          <w:sz w:val="32"/>
          <w:szCs w:val="32"/>
        </w:rPr>
        <w:t xml:space="preserve"> Strengths and challenges</w:t>
      </w:r>
    </w:p>
    <w:p w:rsidR="00FD1514" w:rsidRPr="003408A6" w:rsidRDefault="00FD1514" w:rsidP="00FD1514">
      <w:pPr>
        <w:numPr>
          <w:ilvl w:val="1"/>
          <w:numId w:val="21"/>
        </w:numPr>
        <w:tabs>
          <w:tab w:val="left" w:pos="284"/>
          <w:tab w:val="num" w:pos="851"/>
        </w:tabs>
        <w:spacing w:after="120"/>
        <w:rPr>
          <w:rFonts w:cs="Arial"/>
          <w:bCs/>
          <w:szCs w:val="22"/>
        </w:rPr>
      </w:pPr>
      <w:r w:rsidRPr="003408A6">
        <w:rPr>
          <w:rFonts w:cs="Arial"/>
          <w:bCs/>
          <w:szCs w:val="22"/>
        </w:rPr>
        <w:t>From your perspective and compared with other national vaccination programs;</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What, if any, are the strengths of the implementation of the extended National HPV Vaccination Program for males?</w:t>
      </w:r>
    </w:p>
    <w:p w:rsidR="00FD1514" w:rsidRPr="003408A6" w:rsidRDefault="00FD1514" w:rsidP="00FD1514">
      <w:pPr>
        <w:spacing w:after="120"/>
        <w:ind w:left="720"/>
        <w:rPr>
          <w:rFonts w:cs="Arial"/>
          <w:bCs/>
          <w:szCs w:val="22"/>
        </w:rPr>
      </w:pPr>
    </w:p>
    <w:p w:rsidR="00FD1514" w:rsidRPr="003408A6" w:rsidRDefault="00FD1514" w:rsidP="00FD1514">
      <w:pPr>
        <w:spacing w:after="120"/>
        <w:ind w:left="720"/>
        <w:rPr>
          <w:rFonts w:cs="Arial"/>
          <w:bCs/>
          <w:szCs w:val="22"/>
        </w:rPr>
      </w:pP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What, if any, are the challenges of the implementation of the extended National HPV Vaccination Program for males?</w:t>
      </w:r>
    </w:p>
    <w:p w:rsidR="00FD1514" w:rsidRPr="003408A6" w:rsidRDefault="00FD1514" w:rsidP="00FD1514">
      <w:pPr>
        <w:spacing w:after="120"/>
        <w:ind w:left="720"/>
        <w:rPr>
          <w:rFonts w:cs="Arial"/>
          <w:bCs/>
          <w:szCs w:val="22"/>
        </w:rPr>
      </w:pPr>
    </w:p>
    <w:p w:rsidR="00FD1514" w:rsidRPr="003408A6" w:rsidRDefault="00FD1514" w:rsidP="00FD1514">
      <w:pPr>
        <w:spacing w:after="120"/>
        <w:ind w:left="720"/>
        <w:rPr>
          <w:rFonts w:cs="Arial"/>
          <w:bCs/>
          <w:szCs w:val="22"/>
        </w:rPr>
      </w:pP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 xml:space="preserve">What, if any are the issues/problems which you have encountered with implementing the extended National HPV Vaccination Program for males? </w:t>
      </w:r>
    </w:p>
    <w:p w:rsidR="00FD1514" w:rsidRPr="003408A6" w:rsidRDefault="00FD1514" w:rsidP="00FD1514">
      <w:pPr>
        <w:numPr>
          <w:ilvl w:val="3"/>
          <w:numId w:val="21"/>
        </w:numPr>
        <w:tabs>
          <w:tab w:val="left" w:pos="284"/>
        </w:tabs>
        <w:spacing w:after="120"/>
        <w:rPr>
          <w:rFonts w:cs="Arial"/>
          <w:bCs/>
          <w:szCs w:val="22"/>
        </w:rPr>
      </w:pPr>
      <w:r w:rsidRPr="003408A6">
        <w:rPr>
          <w:rFonts w:cs="Arial"/>
          <w:bCs/>
          <w:szCs w:val="22"/>
        </w:rPr>
        <w:t xml:space="preserve">Have they been resolved? If so, how? (e.g. vaccine supply, systems/processes, consent) </w:t>
      </w:r>
    </w:p>
    <w:p w:rsidR="00FD1514" w:rsidRPr="003408A6" w:rsidRDefault="00FD1514" w:rsidP="00FD1514">
      <w:pPr>
        <w:spacing w:after="120"/>
        <w:ind w:left="2232"/>
        <w:rPr>
          <w:rFonts w:cs="Arial"/>
          <w:bCs/>
          <w:szCs w:val="22"/>
        </w:rPr>
      </w:pPr>
    </w:p>
    <w:p w:rsidR="00FD1514" w:rsidRPr="003408A6" w:rsidRDefault="00FD1514" w:rsidP="00FD1514">
      <w:pPr>
        <w:numPr>
          <w:ilvl w:val="1"/>
          <w:numId w:val="21"/>
        </w:numPr>
        <w:tabs>
          <w:tab w:val="left" w:pos="284"/>
          <w:tab w:val="num" w:pos="851"/>
        </w:tabs>
        <w:spacing w:after="120"/>
        <w:rPr>
          <w:rFonts w:cs="Arial"/>
          <w:bCs/>
          <w:szCs w:val="22"/>
        </w:rPr>
      </w:pPr>
      <w:r w:rsidRPr="003408A6">
        <w:rPr>
          <w:rFonts w:cs="Arial"/>
          <w:bCs/>
          <w:szCs w:val="22"/>
        </w:rPr>
        <w:t xml:space="preserve">From your experience with the original female National HPV Vaccination Program; </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Have there been any particular strengths that were specific to the original female HPV program?</w:t>
      </w:r>
    </w:p>
    <w:p w:rsidR="00FD1514" w:rsidRPr="003408A6" w:rsidRDefault="00FD1514" w:rsidP="00FD1514">
      <w:pPr>
        <w:spacing w:after="120"/>
        <w:ind w:left="1224"/>
        <w:rPr>
          <w:rFonts w:cs="Arial"/>
          <w:bCs/>
          <w:szCs w:val="22"/>
        </w:rPr>
      </w:pP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Have there been any particular challenges that were specific to the original female HPV program?</w:t>
      </w:r>
    </w:p>
    <w:p w:rsidR="00FD1514" w:rsidRPr="003408A6" w:rsidRDefault="00FD1514" w:rsidP="00FD1514">
      <w:pPr>
        <w:spacing w:after="120"/>
        <w:ind w:left="2232"/>
        <w:rPr>
          <w:rFonts w:cs="Arial"/>
          <w:bCs/>
          <w:szCs w:val="22"/>
        </w:rPr>
      </w:pPr>
    </w:p>
    <w:p w:rsidR="00FD1514" w:rsidRPr="003408A6" w:rsidRDefault="00FD1514" w:rsidP="00FD1514">
      <w:pPr>
        <w:spacing w:after="120"/>
        <w:ind w:left="2232"/>
        <w:rPr>
          <w:rFonts w:cs="Arial"/>
          <w:bCs/>
          <w:szCs w:val="22"/>
        </w:rPr>
      </w:pPr>
    </w:p>
    <w:p w:rsidR="00FD1514" w:rsidRPr="003408A6" w:rsidRDefault="00FD1514" w:rsidP="00FD1514">
      <w:pPr>
        <w:numPr>
          <w:ilvl w:val="1"/>
          <w:numId w:val="21"/>
        </w:numPr>
        <w:tabs>
          <w:tab w:val="left" w:pos="284"/>
          <w:tab w:val="num" w:pos="851"/>
        </w:tabs>
        <w:spacing w:after="120"/>
        <w:rPr>
          <w:rFonts w:cs="Arial"/>
          <w:bCs/>
          <w:szCs w:val="22"/>
        </w:rPr>
      </w:pPr>
      <w:r w:rsidRPr="003408A6">
        <w:rPr>
          <w:rFonts w:cs="Arial"/>
          <w:bCs/>
          <w:szCs w:val="22"/>
        </w:rPr>
        <w:t xml:space="preserve">Based on your experiences with the National HPV Vaccination Program, do you have any recommendations for planning/implementing future national immunisation programs? </w:t>
      </w:r>
    </w:p>
    <w:p w:rsidR="00FD1514" w:rsidRPr="003408A6" w:rsidRDefault="00FD1514" w:rsidP="00FD1514">
      <w:pPr>
        <w:numPr>
          <w:ilvl w:val="2"/>
          <w:numId w:val="21"/>
        </w:numPr>
        <w:tabs>
          <w:tab w:val="left" w:pos="284"/>
        </w:tabs>
        <w:spacing w:after="120"/>
        <w:rPr>
          <w:rFonts w:cs="Arial"/>
          <w:bCs/>
          <w:szCs w:val="22"/>
        </w:rPr>
      </w:pPr>
      <w:r w:rsidRPr="003408A6">
        <w:rPr>
          <w:rFonts w:cs="Arial"/>
          <w:bCs/>
          <w:szCs w:val="22"/>
        </w:rPr>
        <w:t>If yes, please describe.</w:t>
      </w:r>
    </w:p>
    <w:p w:rsidR="00FD1514" w:rsidRPr="003408A6" w:rsidRDefault="00FD1514" w:rsidP="00FD1514">
      <w:pPr>
        <w:spacing w:after="120"/>
        <w:ind w:left="851"/>
        <w:rPr>
          <w:rFonts w:cs="Arial"/>
          <w:bCs/>
          <w:szCs w:val="22"/>
        </w:rPr>
      </w:pPr>
    </w:p>
    <w:p w:rsidR="00FD1514" w:rsidRPr="003408A6" w:rsidRDefault="00FD1514" w:rsidP="00FD1514">
      <w:pPr>
        <w:spacing w:after="120"/>
        <w:ind w:left="851"/>
        <w:rPr>
          <w:rFonts w:cs="Arial"/>
          <w:bCs/>
          <w:szCs w:val="22"/>
        </w:rPr>
      </w:pPr>
    </w:p>
    <w:p w:rsidR="00FD1514" w:rsidRPr="003408A6" w:rsidRDefault="00FD1514" w:rsidP="00FD1514">
      <w:pPr>
        <w:numPr>
          <w:ilvl w:val="1"/>
          <w:numId w:val="21"/>
        </w:numPr>
        <w:tabs>
          <w:tab w:val="left" w:pos="284"/>
          <w:tab w:val="num" w:pos="851"/>
        </w:tabs>
        <w:spacing w:after="120"/>
        <w:rPr>
          <w:rFonts w:cs="Arial"/>
          <w:bCs/>
          <w:szCs w:val="22"/>
        </w:rPr>
      </w:pPr>
      <w:r w:rsidRPr="003408A6">
        <w:rPr>
          <w:rFonts w:cs="Arial"/>
          <w:bCs/>
          <w:szCs w:val="22"/>
        </w:rPr>
        <w:t>Any further comments?</w:t>
      </w:r>
    </w:p>
    <w:bookmarkEnd w:id="406"/>
    <w:bookmarkEnd w:id="407"/>
    <w:p w:rsidR="00FD1514" w:rsidRPr="003408A6" w:rsidRDefault="00FD1514" w:rsidP="00FD1514">
      <w:pPr>
        <w:spacing w:after="120"/>
        <w:ind w:left="1355"/>
        <w:rPr>
          <w:rFonts w:cs="Arial"/>
          <w:bCs/>
          <w:szCs w:val="22"/>
        </w:rPr>
      </w:pPr>
    </w:p>
    <w:p w:rsidR="00FD1514" w:rsidRPr="003408A6" w:rsidRDefault="00FD1514" w:rsidP="00FD1514">
      <w:pPr>
        <w:spacing w:after="120"/>
        <w:ind w:left="1355"/>
        <w:rPr>
          <w:rFonts w:cs="Arial"/>
          <w:bCs/>
          <w:szCs w:val="22"/>
        </w:rPr>
      </w:pPr>
    </w:p>
    <w:p w:rsidR="00FD1514" w:rsidRPr="003408A6" w:rsidRDefault="00FD1514" w:rsidP="00FD1514">
      <w:pPr>
        <w:spacing w:after="120"/>
        <w:ind w:left="1355"/>
        <w:rPr>
          <w:rFonts w:cs="Arial"/>
          <w:bCs/>
          <w:szCs w:val="22"/>
        </w:rPr>
      </w:pPr>
      <w:r w:rsidRPr="003408A6">
        <w:rPr>
          <w:rFonts w:cs="Arial"/>
          <w:bCs/>
          <w:szCs w:val="22"/>
        </w:rPr>
        <w:t>THANK YOU FOR YOUR PARTICIPATION</w:t>
      </w:r>
    </w:p>
    <w:p w:rsidR="00FD1514" w:rsidRPr="003408A6" w:rsidRDefault="00FD1514" w:rsidP="00FD1514"/>
    <w:p w:rsidR="00FD1514" w:rsidRPr="003408A6" w:rsidRDefault="00FD1514" w:rsidP="00FD1514">
      <w:pPr>
        <w:rPr>
          <w:rFonts w:cs="Arial"/>
          <w:b/>
          <w:bCs/>
          <w:iCs/>
          <w:color w:val="004280"/>
          <w:sz w:val="28"/>
          <w:szCs w:val="28"/>
          <w:u w:val="single"/>
        </w:rPr>
      </w:pPr>
      <w:r w:rsidRPr="003408A6">
        <w:rPr>
          <w:u w:val="single"/>
        </w:rPr>
        <w:br w:type="page"/>
      </w:r>
    </w:p>
    <w:p w:rsidR="006803A2" w:rsidRPr="003408A6" w:rsidRDefault="006803A2" w:rsidP="006803A2">
      <w:pPr>
        <w:pStyle w:val="Heading2"/>
      </w:pPr>
      <w:bookmarkStart w:id="408" w:name="_Toc396926152"/>
      <w:r w:rsidRPr="003408A6">
        <w:t>Appendix 2.</w:t>
      </w:r>
      <w:r>
        <w:t>3</w:t>
      </w:r>
      <w:bookmarkEnd w:id="408"/>
      <w:r w:rsidRPr="003408A6">
        <w:t xml:space="preserve"> </w:t>
      </w:r>
    </w:p>
    <w:p w:rsidR="006803A2" w:rsidRPr="003408A6" w:rsidRDefault="006803A2" w:rsidP="006803A2">
      <w:pPr>
        <w:pStyle w:val="Appendixunnumberedfiguretableheading"/>
      </w:pPr>
      <w:r w:rsidRPr="003408A6">
        <w:t>Themes in the Australian news media on the National HPV Vaccination Program</w:t>
      </w:r>
    </w:p>
    <w:tbl>
      <w:tblPr>
        <w:tblStyle w:val="TableGrid"/>
        <w:tblW w:w="0" w:type="auto"/>
        <w:tblLook w:val="04A0" w:firstRow="1" w:lastRow="0" w:firstColumn="1" w:lastColumn="0" w:noHBand="0" w:noVBand="1"/>
        <w:tblCaption w:val="Themes in the Australian news media on the National HPV Vaccination Program"/>
      </w:tblPr>
      <w:tblGrid>
        <w:gridCol w:w="1101"/>
        <w:gridCol w:w="3710"/>
        <w:gridCol w:w="4228"/>
      </w:tblGrid>
      <w:tr w:rsidR="006803A2" w:rsidRPr="003408A6" w:rsidTr="009D2B74">
        <w:trPr>
          <w:tblHeader/>
        </w:trPr>
        <w:tc>
          <w:tcPr>
            <w:tcW w:w="1101" w:type="dxa"/>
          </w:tcPr>
          <w:p w:rsidR="006803A2" w:rsidRPr="003408A6" w:rsidRDefault="006803A2" w:rsidP="00FD0E25">
            <w:pPr>
              <w:pStyle w:val="Tablecolumnheading"/>
              <w:rPr>
                <w:lang w:val="en-AU"/>
              </w:rPr>
            </w:pPr>
            <w:r w:rsidRPr="003408A6">
              <w:rPr>
                <w:lang w:val="en-AU"/>
              </w:rPr>
              <w:t>Year</w:t>
            </w:r>
          </w:p>
        </w:tc>
        <w:tc>
          <w:tcPr>
            <w:tcW w:w="3710" w:type="dxa"/>
          </w:tcPr>
          <w:p w:rsidR="006803A2" w:rsidRPr="003408A6" w:rsidRDefault="006803A2" w:rsidP="00FD0E25">
            <w:pPr>
              <w:pStyle w:val="Tablecolumnheading"/>
              <w:rPr>
                <w:lang w:val="en-AU"/>
              </w:rPr>
            </w:pPr>
            <w:r w:rsidRPr="003408A6">
              <w:rPr>
                <w:lang w:val="en-AU"/>
              </w:rPr>
              <w:t>Positive themes</w:t>
            </w:r>
          </w:p>
        </w:tc>
        <w:tc>
          <w:tcPr>
            <w:tcW w:w="4228" w:type="dxa"/>
          </w:tcPr>
          <w:p w:rsidR="006803A2" w:rsidRPr="003408A6" w:rsidRDefault="006803A2" w:rsidP="00FD0E25">
            <w:pPr>
              <w:pStyle w:val="Tablecolumnheading"/>
              <w:rPr>
                <w:lang w:val="en-AU"/>
              </w:rPr>
            </w:pPr>
            <w:r w:rsidRPr="003408A6">
              <w:rPr>
                <w:lang w:val="en-AU"/>
              </w:rPr>
              <w:t>Negative themes</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2006</w:t>
            </w:r>
          </w:p>
        </w:tc>
        <w:tc>
          <w:tcPr>
            <w:tcW w:w="3710" w:type="dxa"/>
          </w:tcPr>
          <w:p w:rsidR="006803A2" w:rsidRPr="003408A6" w:rsidRDefault="006803A2" w:rsidP="00FD0E25">
            <w:pPr>
              <w:pStyle w:val="Tabletext"/>
              <w:rPr>
                <w:lang w:val="en-AU"/>
              </w:rPr>
            </w:pPr>
            <w:r w:rsidRPr="003408A6">
              <w:rPr>
                <w:lang w:val="en-AU"/>
              </w:rPr>
              <w:t>Ian Frazer as Australian of the Year</w:t>
            </w:r>
          </w:p>
          <w:p w:rsidR="006803A2" w:rsidRPr="003408A6" w:rsidRDefault="006803A2" w:rsidP="00FD0E25">
            <w:pPr>
              <w:pStyle w:val="Tabletext"/>
              <w:rPr>
                <w:lang w:val="en-AU"/>
              </w:rPr>
            </w:pPr>
            <w:r w:rsidRPr="003408A6">
              <w:rPr>
                <w:lang w:val="en-AU"/>
              </w:rPr>
              <w:t>Federal Gov</w:t>
            </w:r>
            <w:r>
              <w:rPr>
                <w:lang w:val="en-AU"/>
              </w:rPr>
              <w:t>ernmen</w:t>
            </w:r>
            <w:r w:rsidRPr="003408A6">
              <w:rPr>
                <w:lang w:val="en-AU"/>
              </w:rPr>
              <w:t>t support for possible national immunisation program</w:t>
            </w:r>
          </w:p>
          <w:p w:rsidR="006803A2" w:rsidRPr="003408A6" w:rsidRDefault="006803A2" w:rsidP="00FD0E25">
            <w:pPr>
              <w:pStyle w:val="Tabletext"/>
              <w:rPr>
                <w:lang w:val="en-AU"/>
              </w:rPr>
            </w:pPr>
            <w:r w:rsidRPr="003408A6">
              <w:rPr>
                <w:lang w:val="en-AU"/>
              </w:rPr>
              <w:t>Cancer survivors advocate for vaccine</w:t>
            </w:r>
          </w:p>
          <w:p w:rsidR="006803A2" w:rsidRPr="003408A6" w:rsidRDefault="006803A2" w:rsidP="00FD0E25">
            <w:pPr>
              <w:pStyle w:val="Tabletext"/>
              <w:rPr>
                <w:lang w:val="en-AU"/>
              </w:rPr>
            </w:pPr>
            <w:r w:rsidRPr="003408A6">
              <w:rPr>
                <w:lang w:val="en-AU"/>
              </w:rPr>
              <w:t xml:space="preserve">Safe </w:t>
            </w:r>
            <w:r>
              <w:rPr>
                <w:lang w:val="en-AU"/>
              </w:rPr>
              <w:t>e</w:t>
            </w:r>
            <w:r w:rsidRPr="003408A6">
              <w:rPr>
                <w:lang w:val="en-AU"/>
              </w:rPr>
              <w:t>ffective vaccine</w:t>
            </w:r>
          </w:p>
          <w:p w:rsidR="006803A2" w:rsidRPr="003408A6" w:rsidRDefault="006803A2" w:rsidP="00FD0E25">
            <w:pPr>
              <w:pStyle w:val="Tabletext"/>
              <w:rPr>
                <w:lang w:val="en-AU"/>
              </w:rPr>
            </w:pPr>
            <w:r w:rsidRPr="003408A6">
              <w:rPr>
                <w:lang w:val="en-AU"/>
              </w:rPr>
              <w:t>TGA approval</w:t>
            </w:r>
          </w:p>
          <w:p w:rsidR="006803A2" w:rsidRPr="003408A6" w:rsidRDefault="006803A2" w:rsidP="00FD0E25">
            <w:pPr>
              <w:pStyle w:val="Tabletext"/>
              <w:rPr>
                <w:lang w:val="en-AU"/>
              </w:rPr>
            </w:pPr>
            <w:r w:rsidRPr="003408A6">
              <w:rPr>
                <w:lang w:val="en-AU"/>
              </w:rPr>
              <w:t>Vaccine will be available in September 2006</w:t>
            </w:r>
          </w:p>
          <w:p w:rsidR="006803A2" w:rsidRPr="003408A6" w:rsidRDefault="006803A2" w:rsidP="00FD0E25">
            <w:pPr>
              <w:pStyle w:val="Tabletext"/>
              <w:rPr>
                <w:lang w:val="en-AU"/>
              </w:rPr>
            </w:pPr>
            <w:r w:rsidRPr="003408A6">
              <w:rPr>
                <w:lang w:val="en-AU"/>
              </w:rPr>
              <w:t>First vaccines given</w:t>
            </w:r>
          </w:p>
          <w:p w:rsidR="006803A2" w:rsidRPr="003408A6" w:rsidRDefault="006803A2" w:rsidP="00FD0E25">
            <w:pPr>
              <w:pStyle w:val="Tabletext"/>
              <w:rPr>
                <w:lang w:val="en-AU"/>
              </w:rPr>
            </w:pPr>
            <w:r w:rsidRPr="003408A6">
              <w:rPr>
                <w:lang w:val="en-AU"/>
              </w:rPr>
              <w:t>Vaccine uptake on private market</w:t>
            </w:r>
          </w:p>
          <w:p w:rsidR="006803A2" w:rsidRPr="003408A6" w:rsidRDefault="006803A2" w:rsidP="00FD0E25">
            <w:pPr>
              <w:pStyle w:val="Tabletext"/>
              <w:rPr>
                <w:lang w:val="en-AU"/>
              </w:rPr>
            </w:pPr>
            <w:r w:rsidRPr="003408A6">
              <w:rPr>
                <w:lang w:val="en-AU"/>
              </w:rPr>
              <w:t>Advocating for vaccine for males</w:t>
            </w:r>
          </w:p>
          <w:p w:rsidR="006803A2" w:rsidRPr="003408A6" w:rsidRDefault="006803A2" w:rsidP="00FD0E25">
            <w:pPr>
              <w:pStyle w:val="Tabletext"/>
              <w:rPr>
                <w:lang w:val="en-AU"/>
              </w:rPr>
            </w:pPr>
            <w:r w:rsidRPr="003408A6">
              <w:rPr>
                <w:lang w:val="en-AU"/>
              </w:rPr>
              <w:t>Federal government will fund the vaccine on the NIP at the right price</w:t>
            </w:r>
          </w:p>
          <w:p w:rsidR="006803A2" w:rsidRPr="003408A6" w:rsidRDefault="006803A2" w:rsidP="00FD0E25">
            <w:pPr>
              <w:pStyle w:val="Tabletext"/>
              <w:rPr>
                <w:lang w:val="en-AU"/>
              </w:rPr>
            </w:pPr>
            <w:r w:rsidRPr="003408A6">
              <w:rPr>
                <w:lang w:val="en-AU"/>
              </w:rPr>
              <w:t>Female program announced</w:t>
            </w:r>
          </w:p>
        </w:tc>
        <w:tc>
          <w:tcPr>
            <w:tcW w:w="4228" w:type="dxa"/>
          </w:tcPr>
          <w:p w:rsidR="006803A2" w:rsidRPr="003408A6" w:rsidRDefault="006803A2" w:rsidP="00FD0E25">
            <w:pPr>
              <w:pStyle w:val="Tabletext"/>
              <w:rPr>
                <w:lang w:val="en-AU"/>
              </w:rPr>
            </w:pPr>
            <w:r w:rsidRPr="003408A6">
              <w:rPr>
                <w:lang w:val="en-AU"/>
              </w:rPr>
              <w:t>Vaccine may promote teenage promiscuity</w:t>
            </w:r>
          </w:p>
          <w:p w:rsidR="006803A2" w:rsidRPr="003408A6" w:rsidRDefault="006803A2" w:rsidP="00FD0E25">
            <w:pPr>
              <w:pStyle w:val="Tabletext"/>
              <w:rPr>
                <w:lang w:val="en-AU"/>
              </w:rPr>
            </w:pPr>
            <w:r w:rsidRPr="003408A6">
              <w:rPr>
                <w:lang w:val="en-AU"/>
              </w:rPr>
              <w:t>Expensive vaccine</w:t>
            </w:r>
          </w:p>
          <w:p w:rsidR="006803A2" w:rsidRPr="003408A6" w:rsidRDefault="006803A2" w:rsidP="00FD0E25">
            <w:pPr>
              <w:pStyle w:val="Tabletext"/>
              <w:rPr>
                <w:lang w:val="en-AU"/>
              </w:rPr>
            </w:pPr>
            <w:r w:rsidRPr="003408A6">
              <w:rPr>
                <w:lang w:val="en-AU"/>
              </w:rPr>
              <w:t>Commercial pressure for vaccine on NIP</w:t>
            </w:r>
          </w:p>
          <w:p w:rsidR="006803A2" w:rsidRPr="003408A6" w:rsidRDefault="006803A2" w:rsidP="00FD0E25">
            <w:pPr>
              <w:pStyle w:val="Tabletext"/>
              <w:rPr>
                <w:lang w:val="en-AU"/>
              </w:rPr>
            </w:pPr>
            <w:r w:rsidRPr="003408A6">
              <w:rPr>
                <w:lang w:val="en-AU"/>
              </w:rPr>
              <w:t xml:space="preserve">Risk of reduced </w:t>
            </w:r>
            <w:r>
              <w:rPr>
                <w:lang w:val="en-AU"/>
              </w:rPr>
              <w:t>P</w:t>
            </w:r>
            <w:r w:rsidRPr="003408A6">
              <w:rPr>
                <w:lang w:val="en-AU"/>
              </w:rPr>
              <w:t>ap testing</w:t>
            </w:r>
          </w:p>
          <w:p w:rsidR="006803A2" w:rsidRPr="003408A6" w:rsidRDefault="006803A2" w:rsidP="00FD0E25">
            <w:pPr>
              <w:pStyle w:val="Tabletext"/>
              <w:rPr>
                <w:lang w:val="en-AU"/>
              </w:rPr>
            </w:pPr>
            <w:r w:rsidRPr="003408A6">
              <w:rPr>
                <w:lang w:val="en-AU"/>
              </w:rPr>
              <w:t>Vaccine refused subsidy in first round</w:t>
            </w:r>
          </w:p>
          <w:p w:rsidR="006803A2" w:rsidRPr="003408A6" w:rsidRDefault="006803A2" w:rsidP="00FD0E25">
            <w:pPr>
              <w:pStyle w:val="Tabletext"/>
              <w:rPr>
                <w:lang w:val="en-AU"/>
              </w:rPr>
            </w:pPr>
            <w:r w:rsidRPr="003408A6">
              <w:rPr>
                <w:lang w:val="en-AU"/>
              </w:rPr>
              <w:t xml:space="preserve">Cost to females being vaccinated privately </w:t>
            </w:r>
          </w:p>
          <w:p w:rsidR="006803A2" w:rsidRPr="003408A6" w:rsidRDefault="006803A2" w:rsidP="00FD0E25">
            <w:pPr>
              <w:pStyle w:val="Tabletext"/>
              <w:rPr>
                <w:lang w:val="en-AU"/>
              </w:rPr>
            </w:pPr>
            <w:r w:rsidRPr="003408A6">
              <w:rPr>
                <w:lang w:val="en-AU"/>
              </w:rPr>
              <w:t>Government should reconsider and fund the vaccine</w:t>
            </w:r>
          </w:p>
          <w:p w:rsidR="006803A2" w:rsidRPr="003408A6" w:rsidRDefault="006803A2" w:rsidP="00FD0E25">
            <w:pPr>
              <w:pStyle w:val="Tabletext"/>
              <w:rPr>
                <w:lang w:val="en-AU"/>
              </w:rPr>
            </w:pPr>
            <w:r w:rsidRPr="003408A6">
              <w:rPr>
                <w:lang w:val="en-AU"/>
              </w:rPr>
              <w:t>Mr Abbott will not vaccinate his daughters</w:t>
            </w:r>
          </w:p>
          <w:p w:rsidR="006803A2" w:rsidRPr="003408A6" w:rsidRDefault="006803A2" w:rsidP="00FD0E25">
            <w:pPr>
              <w:pStyle w:val="Tabletext"/>
              <w:rPr>
                <w:lang w:val="en-AU"/>
              </w:rPr>
            </w:pPr>
            <w:r w:rsidRPr="003408A6">
              <w:rPr>
                <w:lang w:val="en-AU"/>
              </w:rPr>
              <w:t>Pharmaceutical company will make millions from the national vaccination program</w:t>
            </w:r>
          </w:p>
          <w:p w:rsidR="006803A2" w:rsidRPr="003408A6" w:rsidRDefault="006803A2" w:rsidP="00FD0E25">
            <w:pPr>
              <w:pStyle w:val="Tabletext"/>
              <w:rPr>
                <w:lang w:val="en-AU"/>
              </w:rPr>
            </w:pPr>
            <w:r w:rsidRPr="003408A6">
              <w:rPr>
                <w:lang w:val="en-AU"/>
              </w:rPr>
              <w:t>Lives more important than cost of the vaccine</w:t>
            </w:r>
          </w:p>
          <w:p w:rsidR="006803A2" w:rsidRPr="003408A6" w:rsidRDefault="006803A2" w:rsidP="00FD0E25">
            <w:pPr>
              <w:pStyle w:val="Tabletext"/>
              <w:rPr>
                <w:lang w:val="en-AU"/>
              </w:rPr>
            </w:pPr>
            <w:r w:rsidRPr="003408A6">
              <w:rPr>
                <w:lang w:val="en-AU"/>
              </w:rPr>
              <w:t>Causal factors between HPV and cervical cancer not established</w:t>
            </w:r>
          </w:p>
          <w:p w:rsidR="006803A2" w:rsidRPr="003408A6" w:rsidRDefault="006803A2" w:rsidP="00FD0E25">
            <w:pPr>
              <w:pStyle w:val="Tabletext"/>
              <w:rPr>
                <w:lang w:val="en-AU"/>
              </w:rPr>
            </w:pPr>
            <w:r w:rsidRPr="003408A6">
              <w:rPr>
                <w:lang w:val="en-AU"/>
              </w:rPr>
              <w:t>Councils will not be subsidised to deliver vaccine on NIP</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2007</w:t>
            </w:r>
          </w:p>
        </w:tc>
        <w:tc>
          <w:tcPr>
            <w:tcW w:w="3710" w:type="dxa"/>
          </w:tcPr>
          <w:p w:rsidR="006803A2" w:rsidRPr="003408A6" w:rsidRDefault="006803A2" w:rsidP="00FD0E25">
            <w:pPr>
              <w:pStyle w:val="Tabletext"/>
              <w:rPr>
                <w:lang w:val="en-AU"/>
              </w:rPr>
            </w:pPr>
            <w:r w:rsidRPr="003408A6">
              <w:rPr>
                <w:lang w:val="en-AU"/>
              </w:rPr>
              <w:t>The start of the school-based program announced in states and local regions</w:t>
            </w:r>
          </w:p>
          <w:p w:rsidR="006803A2" w:rsidRPr="003408A6" w:rsidRDefault="006803A2" w:rsidP="00FD0E25">
            <w:pPr>
              <w:pStyle w:val="Tabletext"/>
              <w:rPr>
                <w:lang w:val="en-AU"/>
              </w:rPr>
            </w:pPr>
            <w:r w:rsidRPr="003408A6">
              <w:rPr>
                <w:lang w:val="en-AU"/>
              </w:rPr>
              <w:t>Vaccine is an important medical breakthrough</w:t>
            </w:r>
          </w:p>
          <w:p w:rsidR="006803A2" w:rsidRPr="003408A6" w:rsidRDefault="006803A2" w:rsidP="00FD0E25">
            <w:pPr>
              <w:pStyle w:val="Tabletext"/>
              <w:rPr>
                <w:lang w:val="en-AU"/>
              </w:rPr>
            </w:pPr>
            <w:r w:rsidRPr="003408A6">
              <w:rPr>
                <w:lang w:val="en-AU"/>
              </w:rPr>
              <w:t>Federal funding support for delivery</w:t>
            </w:r>
          </w:p>
          <w:p w:rsidR="006803A2" w:rsidRPr="003408A6" w:rsidRDefault="006803A2" w:rsidP="00FD0E25">
            <w:pPr>
              <w:pStyle w:val="Tabletext"/>
              <w:rPr>
                <w:lang w:val="en-AU"/>
              </w:rPr>
            </w:pPr>
            <w:r w:rsidRPr="003408A6">
              <w:rPr>
                <w:lang w:val="en-AU"/>
              </w:rPr>
              <w:t>Successful program and good uptake</w:t>
            </w:r>
          </w:p>
          <w:p w:rsidR="006803A2" w:rsidRPr="003408A6" w:rsidRDefault="006803A2" w:rsidP="00FD0E25">
            <w:pPr>
              <w:pStyle w:val="Tabletext"/>
              <w:rPr>
                <w:lang w:val="en-AU"/>
              </w:rPr>
            </w:pPr>
            <w:r w:rsidRPr="003408A6">
              <w:rPr>
                <w:lang w:val="en-AU"/>
              </w:rPr>
              <w:t>Promiscuity claims adversely affecting important health intervention</w:t>
            </w:r>
          </w:p>
          <w:p w:rsidR="006803A2" w:rsidRPr="003408A6" w:rsidRDefault="006803A2" w:rsidP="00FD0E25">
            <w:pPr>
              <w:pStyle w:val="Tabletext"/>
              <w:rPr>
                <w:lang w:val="en-AU"/>
              </w:rPr>
            </w:pPr>
            <w:r w:rsidRPr="003408A6">
              <w:rPr>
                <w:lang w:val="en-AU"/>
              </w:rPr>
              <w:t>Few Australian parents have concerns around the vaccine and promiscuity</w:t>
            </w:r>
          </w:p>
          <w:p w:rsidR="006803A2" w:rsidRPr="003408A6" w:rsidRDefault="006803A2" w:rsidP="00FD0E25">
            <w:pPr>
              <w:pStyle w:val="Tabletext"/>
              <w:rPr>
                <w:lang w:val="en-AU"/>
              </w:rPr>
            </w:pPr>
            <w:r w:rsidRPr="003408A6">
              <w:rPr>
                <w:lang w:val="en-AU"/>
              </w:rPr>
              <w:t>Catholic parents will make an informed choice.</w:t>
            </w:r>
          </w:p>
          <w:p w:rsidR="006803A2" w:rsidRPr="003408A6" w:rsidRDefault="006803A2" w:rsidP="00FD0E25">
            <w:pPr>
              <w:pStyle w:val="Tabletext"/>
              <w:rPr>
                <w:lang w:val="en-AU"/>
              </w:rPr>
            </w:pPr>
            <w:r w:rsidRPr="003408A6">
              <w:rPr>
                <w:lang w:val="en-AU"/>
              </w:rPr>
              <w:t>Cervarix</w:t>
            </w:r>
            <w:r w:rsidRPr="003408A6">
              <w:rPr>
                <w:vertAlign w:val="superscript"/>
                <w:lang w:val="en-AU"/>
              </w:rPr>
              <w:t>®</w:t>
            </w:r>
            <w:r w:rsidRPr="003408A6">
              <w:rPr>
                <w:lang w:val="en-AU"/>
              </w:rPr>
              <w:t xml:space="preserve"> licen</w:t>
            </w:r>
            <w:r>
              <w:rPr>
                <w:lang w:val="en-AU"/>
              </w:rPr>
              <w:t>s</w:t>
            </w:r>
            <w:r w:rsidRPr="003408A6">
              <w:rPr>
                <w:lang w:val="en-AU"/>
              </w:rPr>
              <w:t>ed for older women</w:t>
            </w:r>
          </w:p>
          <w:p w:rsidR="006803A2" w:rsidRPr="003408A6" w:rsidRDefault="006803A2" w:rsidP="00FD0E25">
            <w:pPr>
              <w:pStyle w:val="Tabletext"/>
              <w:rPr>
                <w:lang w:val="en-AU"/>
              </w:rPr>
            </w:pPr>
            <w:r w:rsidRPr="003408A6">
              <w:rPr>
                <w:lang w:val="en-AU"/>
              </w:rPr>
              <w:t>Protection against genital warts</w:t>
            </w:r>
          </w:p>
          <w:p w:rsidR="006803A2" w:rsidRPr="003408A6" w:rsidRDefault="006803A2" w:rsidP="00FD0E25">
            <w:pPr>
              <w:pStyle w:val="Tabletext"/>
              <w:rPr>
                <w:lang w:val="en-AU"/>
              </w:rPr>
            </w:pPr>
            <w:r w:rsidRPr="003408A6">
              <w:rPr>
                <w:lang w:val="en-AU"/>
              </w:rPr>
              <w:t>Ian Frazer advocates for vaccines for males</w:t>
            </w:r>
          </w:p>
          <w:p w:rsidR="006803A2" w:rsidRPr="003408A6" w:rsidRDefault="006803A2" w:rsidP="00FD0E25">
            <w:pPr>
              <w:pStyle w:val="Tabletext"/>
              <w:rPr>
                <w:lang w:val="en-AU"/>
              </w:rPr>
            </w:pPr>
            <w:r w:rsidRPr="003408A6">
              <w:rPr>
                <w:lang w:val="en-AU"/>
              </w:rPr>
              <w:t>Advocating for free vaccines of males</w:t>
            </w:r>
          </w:p>
        </w:tc>
        <w:tc>
          <w:tcPr>
            <w:tcW w:w="4228" w:type="dxa"/>
          </w:tcPr>
          <w:p w:rsidR="006803A2" w:rsidRPr="003408A6" w:rsidRDefault="006803A2" w:rsidP="00FD0E25">
            <w:pPr>
              <w:pStyle w:val="Tabletext"/>
              <w:rPr>
                <w:lang w:val="en-AU"/>
              </w:rPr>
            </w:pPr>
            <w:r w:rsidRPr="003408A6">
              <w:rPr>
                <w:lang w:val="en-AU"/>
              </w:rPr>
              <w:t>Limited value of vaccine if already sexually active</w:t>
            </w:r>
          </w:p>
          <w:p w:rsidR="006803A2" w:rsidRPr="003408A6" w:rsidRDefault="006803A2" w:rsidP="00FD0E25">
            <w:pPr>
              <w:pStyle w:val="Tabletext"/>
              <w:rPr>
                <w:lang w:val="en-AU"/>
              </w:rPr>
            </w:pPr>
            <w:r w:rsidRPr="003408A6">
              <w:rPr>
                <w:lang w:val="en-AU"/>
              </w:rPr>
              <w:t>Commercial pressure to list vaccine on PBS</w:t>
            </w:r>
          </w:p>
          <w:p w:rsidR="006803A2" w:rsidRPr="003408A6" w:rsidRDefault="006803A2" w:rsidP="00FD0E25">
            <w:pPr>
              <w:pStyle w:val="Tabletext"/>
              <w:rPr>
                <w:lang w:val="en-AU"/>
              </w:rPr>
            </w:pPr>
            <w:r w:rsidRPr="003408A6">
              <w:rPr>
                <w:lang w:val="en-AU"/>
              </w:rPr>
              <w:t>Politicisation of vaccine program</w:t>
            </w:r>
          </w:p>
          <w:p w:rsidR="006803A2" w:rsidRPr="003408A6" w:rsidRDefault="006803A2" w:rsidP="00FD0E25">
            <w:pPr>
              <w:pStyle w:val="Tabletext"/>
              <w:rPr>
                <w:lang w:val="en-AU"/>
              </w:rPr>
            </w:pPr>
            <w:r w:rsidRPr="003408A6">
              <w:rPr>
                <w:lang w:val="en-AU"/>
              </w:rPr>
              <w:t>Opposition to vaccine due to fear of sexual promiscuity</w:t>
            </w:r>
          </w:p>
          <w:p w:rsidR="006803A2" w:rsidRPr="003408A6" w:rsidRDefault="006803A2" w:rsidP="00FD0E25">
            <w:pPr>
              <w:pStyle w:val="Tabletext"/>
              <w:rPr>
                <w:lang w:val="en-AU"/>
              </w:rPr>
            </w:pPr>
            <w:r w:rsidRPr="003408A6">
              <w:rPr>
                <w:lang w:val="en-AU"/>
              </w:rPr>
              <w:t>Schools refuse vaccine</w:t>
            </w:r>
          </w:p>
          <w:p w:rsidR="006803A2" w:rsidRPr="003408A6" w:rsidRDefault="006803A2" w:rsidP="00FD0E25">
            <w:pPr>
              <w:pStyle w:val="Tabletext"/>
              <w:rPr>
                <w:lang w:val="en-AU"/>
              </w:rPr>
            </w:pPr>
            <w:r w:rsidRPr="003408A6">
              <w:rPr>
                <w:lang w:val="en-AU"/>
              </w:rPr>
              <w:t>Vaccine may not be most appropriate treatment for HPV</w:t>
            </w:r>
          </w:p>
          <w:p w:rsidR="006803A2" w:rsidRPr="003408A6" w:rsidRDefault="006803A2" w:rsidP="00FD0E25">
            <w:pPr>
              <w:pStyle w:val="Tabletext"/>
              <w:rPr>
                <w:lang w:val="en-AU"/>
              </w:rPr>
            </w:pPr>
            <w:r w:rsidRPr="003408A6">
              <w:rPr>
                <w:lang w:val="en-AU"/>
              </w:rPr>
              <w:t>Lack of funding for delivery delays start of program</w:t>
            </w:r>
          </w:p>
          <w:p w:rsidR="006803A2" w:rsidRPr="003408A6" w:rsidRDefault="006803A2" w:rsidP="00FD0E25">
            <w:pPr>
              <w:pStyle w:val="Tabletext"/>
              <w:rPr>
                <w:lang w:val="en-AU"/>
              </w:rPr>
            </w:pPr>
            <w:r w:rsidRPr="003408A6">
              <w:rPr>
                <w:lang w:val="en-AU"/>
              </w:rPr>
              <w:t>Adverse events “Experimenting on Australian girls”</w:t>
            </w:r>
          </w:p>
          <w:p w:rsidR="006803A2" w:rsidRPr="003408A6" w:rsidRDefault="006803A2" w:rsidP="00FD0E25">
            <w:pPr>
              <w:pStyle w:val="Tabletext"/>
              <w:rPr>
                <w:lang w:val="en-AU"/>
              </w:rPr>
            </w:pPr>
            <w:r w:rsidRPr="003408A6">
              <w:rPr>
                <w:lang w:val="en-AU"/>
              </w:rPr>
              <w:t>Cost to males being vaccinated privately</w:t>
            </w:r>
          </w:p>
          <w:p w:rsidR="006803A2" w:rsidRPr="003408A6" w:rsidRDefault="006803A2" w:rsidP="00FD0E25">
            <w:pPr>
              <w:pStyle w:val="Tabletext"/>
              <w:rPr>
                <w:lang w:val="en-AU"/>
              </w:rPr>
            </w:pPr>
            <w:r w:rsidRPr="003408A6">
              <w:rPr>
                <w:lang w:val="en-AU"/>
              </w:rPr>
              <w:t>Gaps/inconsistencies in age eligibility</w:t>
            </w:r>
          </w:p>
        </w:tc>
      </w:tr>
      <w:tr w:rsidR="006803A2" w:rsidRPr="003408A6" w:rsidTr="00FD0E25">
        <w:trPr>
          <w:cantSplit/>
        </w:trPr>
        <w:tc>
          <w:tcPr>
            <w:tcW w:w="1101" w:type="dxa"/>
          </w:tcPr>
          <w:p w:rsidR="006803A2" w:rsidRPr="003408A6" w:rsidRDefault="006803A2" w:rsidP="00FD0E25">
            <w:pPr>
              <w:pStyle w:val="Tabletextbold"/>
              <w:rPr>
                <w:lang w:val="en-AU"/>
              </w:rPr>
            </w:pPr>
            <w:r w:rsidRPr="003408A6">
              <w:rPr>
                <w:lang w:val="en-AU"/>
              </w:rPr>
              <w:t>2008</w:t>
            </w:r>
          </w:p>
        </w:tc>
        <w:tc>
          <w:tcPr>
            <w:tcW w:w="3710" w:type="dxa"/>
          </w:tcPr>
          <w:p w:rsidR="006803A2" w:rsidRPr="003408A6" w:rsidRDefault="006803A2" w:rsidP="00FD0E25">
            <w:pPr>
              <w:pStyle w:val="Tabletext"/>
              <w:rPr>
                <w:lang w:val="en-AU"/>
              </w:rPr>
            </w:pPr>
            <w:r w:rsidRPr="003408A6">
              <w:rPr>
                <w:lang w:val="en-AU"/>
              </w:rPr>
              <w:t>Safe vaccine</w:t>
            </w:r>
          </w:p>
          <w:p w:rsidR="006803A2" w:rsidRPr="003408A6" w:rsidRDefault="006803A2" w:rsidP="00FD0E25">
            <w:pPr>
              <w:pStyle w:val="Tabletext"/>
              <w:rPr>
                <w:lang w:val="en-AU"/>
              </w:rPr>
            </w:pPr>
            <w:r w:rsidRPr="003408A6">
              <w:rPr>
                <w:lang w:val="en-AU"/>
              </w:rPr>
              <w:t>Advocating for male program</w:t>
            </w:r>
          </w:p>
          <w:p w:rsidR="006803A2" w:rsidRPr="003408A6" w:rsidRDefault="006803A2" w:rsidP="00FD0E25">
            <w:pPr>
              <w:pStyle w:val="Tabletext"/>
              <w:rPr>
                <w:lang w:val="en-AU"/>
              </w:rPr>
            </w:pPr>
            <w:r w:rsidRPr="003408A6">
              <w:rPr>
                <w:lang w:val="en-AU"/>
              </w:rPr>
              <w:t>Awards to Ian Frazer</w:t>
            </w:r>
          </w:p>
          <w:p w:rsidR="006803A2" w:rsidRPr="003408A6" w:rsidRDefault="006803A2" w:rsidP="00FD0E25">
            <w:pPr>
              <w:pStyle w:val="Tabletext"/>
              <w:rPr>
                <w:lang w:val="en-AU"/>
              </w:rPr>
            </w:pPr>
            <w:r w:rsidRPr="003408A6">
              <w:rPr>
                <w:lang w:val="en-AU"/>
              </w:rPr>
              <w:t>HPV a normal part of the vaccination schedule and preventative health measures</w:t>
            </w:r>
          </w:p>
          <w:p w:rsidR="006803A2" w:rsidRPr="003408A6" w:rsidRDefault="006803A2" w:rsidP="00FD0E25">
            <w:pPr>
              <w:pStyle w:val="Tabletext"/>
              <w:rPr>
                <w:lang w:val="en-AU"/>
              </w:rPr>
            </w:pPr>
            <w:r w:rsidRPr="003408A6">
              <w:rPr>
                <w:lang w:val="en-AU"/>
              </w:rPr>
              <w:t>Reminder of deadline for end of female community catch-up program</w:t>
            </w:r>
          </w:p>
          <w:p w:rsidR="006803A2" w:rsidRPr="003408A6" w:rsidRDefault="006803A2" w:rsidP="00FD0E25">
            <w:pPr>
              <w:pStyle w:val="Tabletext"/>
              <w:rPr>
                <w:lang w:val="en-AU"/>
              </w:rPr>
            </w:pPr>
            <w:r w:rsidRPr="003408A6">
              <w:rPr>
                <w:lang w:val="en-AU"/>
              </w:rPr>
              <w:t>Encourage women to have cervical screening</w:t>
            </w:r>
          </w:p>
          <w:p w:rsidR="006803A2" w:rsidRPr="003408A6" w:rsidRDefault="006803A2" w:rsidP="00FD0E25">
            <w:pPr>
              <w:pStyle w:val="Tabletext"/>
              <w:rPr>
                <w:lang w:val="en-AU"/>
              </w:rPr>
            </w:pPr>
            <w:r w:rsidRPr="003408A6">
              <w:rPr>
                <w:lang w:val="en-AU"/>
              </w:rPr>
              <w:t>Review of interval for cervical screening</w:t>
            </w:r>
          </w:p>
          <w:p w:rsidR="006803A2" w:rsidRPr="003408A6" w:rsidRDefault="006803A2" w:rsidP="00FD0E25">
            <w:pPr>
              <w:pStyle w:val="Tabletext"/>
              <w:rPr>
                <w:lang w:val="en-AU"/>
              </w:rPr>
            </w:pPr>
            <w:r w:rsidRPr="003408A6">
              <w:rPr>
                <w:lang w:val="en-AU"/>
              </w:rPr>
              <w:t>Effective vaccine</w:t>
            </w:r>
          </w:p>
          <w:p w:rsidR="006803A2" w:rsidRPr="003408A6" w:rsidRDefault="006803A2" w:rsidP="00FD0E25">
            <w:pPr>
              <w:pStyle w:val="Tabletext"/>
              <w:rPr>
                <w:lang w:val="en-AU"/>
              </w:rPr>
            </w:pPr>
            <w:r w:rsidRPr="003408A6">
              <w:rPr>
                <w:lang w:val="en-AU"/>
              </w:rPr>
              <w:t>Eradication of cervical cancer</w:t>
            </w:r>
          </w:p>
          <w:p w:rsidR="006803A2" w:rsidRPr="003408A6" w:rsidRDefault="006803A2" w:rsidP="00FD0E25">
            <w:pPr>
              <w:pStyle w:val="Tabletext"/>
              <w:rPr>
                <w:lang w:val="en-AU"/>
              </w:rPr>
            </w:pPr>
            <w:r w:rsidRPr="003408A6">
              <w:rPr>
                <w:lang w:val="en-AU"/>
              </w:rPr>
              <w:t>Millions of doses have been administered</w:t>
            </w:r>
          </w:p>
        </w:tc>
        <w:tc>
          <w:tcPr>
            <w:tcW w:w="4228" w:type="dxa"/>
          </w:tcPr>
          <w:p w:rsidR="006803A2" w:rsidRPr="003408A6" w:rsidRDefault="006803A2" w:rsidP="00FD0E25">
            <w:pPr>
              <w:pStyle w:val="Tabletext"/>
              <w:rPr>
                <w:lang w:val="en-AU"/>
              </w:rPr>
            </w:pPr>
            <w:r w:rsidRPr="003408A6">
              <w:rPr>
                <w:lang w:val="en-AU"/>
              </w:rPr>
              <w:t>Adverse events</w:t>
            </w:r>
          </w:p>
          <w:p w:rsidR="006803A2" w:rsidRPr="003408A6" w:rsidRDefault="006803A2" w:rsidP="00FD0E25">
            <w:pPr>
              <w:pStyle w:val="Tabletext"/>
              <w:rPr>
                <w:lang w:val="en-AU"/>
              </w:rPr>
            </w:pPr>
            <w:r w:rsidRPr="003408A6">
              <w:rPr>
                <w:lang w:val="en-AU"/>
              </w:rPr>
              <w:t>Promiscuity concerns</w:t>
            </w:r>
          </w:p>
          <w:p w:rsidR="006803A2" w:rsidRPr="003408A6" w:rsidRDefault="006803A2" w:rsidP="00FD0E25">
            <w:pPr>
              <w:pStyle w:val="Tabletext"/>
              <w:rPr>
                <w:lang w:val="en-AU"/>
              </w:rPr>
            </w:pPr>
            <w:r w:rsidRPr="003408A6">
              <w:rPr>
                <w:lang w:val="en-AU"/>
              </w:rPr>
              <w:t>HPV register is a burden on GPs</w:t>
            </w:r>
          </w:p>
          <w:p w:rsidR="006803A2" w:rsidRPr="003408A6" w:rsidRDefault="006803A2" w:rsidP="00FD0E25">
            <w:pPr>
              <w:pStyle w:val="Tabletext"/>
              <w:rPr>
                <w:lang w:val="en-AU"/>
              </w:rPr>
            </w:pPr>
            <w:r w:rsidRPr="003408A6">
              <w:rPr>
                <w:lang w:val="en-AU"/>
              </w:rPr>
              <w:t>Limited effectiveness of vaccine for older women</w:t>
            </w:r>
          </w:p>
          <w:p w:rsidR="006803A2" w:rsidRPr="003408A6" w:rsidRDefault="006803A2" w:rsidP="00FD0E25">
            <w:pPr>
              <w:pStyle w:val="Tabletext"/>
              <w:rPr>
                <w:lang w:val="en-AU"/>
              </w:rPr>
            </w:pPr>
            <w:r w:rsidRPr="003408A6">
              <w:rPr>
                <w:lang w:val="en-AU"/>
              </w:rPr>
              <w:t>Vaccine should not have been licen</w:t>
            </w:r>
            <w:r>
              <w:rPr>
                <w:lang w:val="en-AU"/>
              </w:rPr>
              <w:t>s</w:t>
            </w:r>
            <w:r w:rsidRPr="003408A6">
              <w:rPr>
                <w:lang w:val="en-AU"/>
              </w:rPr>
              <w:t>ed</w:t>
            </w:r>
          </w:p>
          <w:p w:rsidR="006803A2" w:rsidRPr="003408A6" w:rsidRDefault="006803A2" w:rsidP="00FD0E25">
            <w:pPr>
              <w:pStyle w:val="Tabletext"/>
              <w:rPr>
                <w:lang w:val="en-AU"/>
              </w:rPr>
            </w:pPr>
            <w:r w:rsidRPr="003408A6">
              <w:rPr>
                <w:lang w:val="en-AU"/>
              </w:rPr>
              <w:t xml:space="preserve">Cost to older women </w:t>
            </w:r>
            <w:r>
              <w:rPr>
                <w:lang w:val="en-AU"/>
              </w:rPr>
              <w:t xml:space="preserve">to </w:t>
            </w:r>
            <w:r w:rsidRPr="003408A6">
              <w:rPr>
                <w:lang w:val="en-AU"/>
              </w:rPr>
              <w:t>vaccinate privately</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2009</w:t>
            </w:r>
          </w:p>
        </w:tc>
        <w:tc>
          <w:tcPr>
            <w:tcW w:w="3710" w:type="dxa"/>
          </w:tcPr>
          <w:p w:rsidR="006803A2" w:rsidRPr="003408A6" w:rsidRDefault="006803A2" w:rsidP="00FD0E25">
            <w:pPr>
              <w:pStyle w:val="Tabletext"/>
              <w:rPr>
                <w:lang w:val="en-AU"/>
              </w:rPr>
            </w:pPr>
            <w:r w:rsidRPr="003408A6">
              <w:rPr>
                <w:lang w:val="en-AU"/>
              </w:rPr>
              <w:t>Advocating for male program</w:t>
            </w:r>
          </w:p>
          <w:p w:rsidR="006803A2" w:rsidRPr="003408A6" w:rsidRDefault="006803A2" w:rsidP="00FD0E25">
            <w:pPr>
              <w:pStyle w:val="Tabletext"/>
              <w:rPr>
                <w:lang w:val="en-AU"/>
              </w:rPr>
            </w:pPr>
            <w:r w:rsidRPr="003408A6">
              <w:rPr>
                <w:lang w:val="en-AU"/>
              </w:rPr>
              <w:t>Reduction in incidence of genital warts</w:t>
            </w:r>
          </w:p>
          <w:p w:rsidR="006803A2" w:rsidRPr="003408A6" w:rsidRDefault="006803A2" w:rsidP="00FD0E25">
            <w:pPr>
              <w:pStyle w:val="Tabletext"/>
              <w:rPr>
                <w:lang w:val="en-AU"/>
              </w:rPr>
            </w:pPr>
            <w:r w:rsidRPr="003408A6">
              <w:rPr>
                <w:lang w:val="en-AU"/>
              </w:rPr>
              <w:t>Female catch-up extended</w:t>
            </w:r>
          </w:p>
          <w:p w:rsidR="006803A2" w:rsidRPr="003408A6" w:rsidRDefault="006803A2" w:rsidP="00FD0E25">
            <w:pPr>
              <w:pStyle w:val="Tabletext"/>
              <w:rPr>
                <w:lang w:val="en-AU"/>
              </w:rPr>
            </w:pPr>
            <w:r w:rsidRPr="003408A6">
              <w:rPr>
                <w:lang w:val="en-AU"/>
              </w:rPr>
              <w:t>Need to be cautious about linking British school-girl death to vaccine</w:t>
            </w:r>
          </w:p>
          <w:p w:rsidR="006803A2" w:rsidRPr="003408A6" w:rsidRDefault="006803A2" w:rsidP="00FD0E25">
            <w:pPr>
              <w:pStyle w:val="Tabletext"/>
              <w:rPr>
                <w:lang w:val="en-AU"/>
              </w:rPr>
            </w:pPr>
            <w:r w:rsidRPr="003408A6">
              <w:rPr>
                <w:lang w:val="en-AU"/>
              </w:rPr>
              <w:t xml:space="preserve">HPV vaccine will change </w:t>
            </w:r>
            <w:r>
              <w:rPr>
                <w:lang w:val="en-AU"/>
              </w:rPr>
              <w:t>P</w:t>
            </w:r>
            <w:r w:rsidRPr="003408A6">
              <w:rPr>
                <w:lang w:val="en-AU"/>
              </w:rPr>
              <w:t>ap test schedule</w:t>
            </w:r>
          </w:p>
          <w:p w:rsidR="006803A2" w:rsidRPr="003408A6" w:rsidRDefault="006803A2" w:rsidP="00FD0E25">
            <w:pPr>
              <w:pStyle w:val="Tabletext"/>
              <w:rPr>
                <w:lang w:val="en-AU"/>
              </w:rPr>
            </w:pPr>
            <w:r w:rsidRPr="003408A6">
              <w:rPr>
                <w:lang w:val="en-AU"/>
              </w:rPr>
              <w:t>Reminder of end of community catch-up</w:t>
            </w:r>
          </w:p>
        </w:tc>
        <w:tc>
          <w:tcPr>
            <w:tcW w:w="4228" w:type="dxa"/>
          </w:tcPr>
          <w:p w:rsidR="006803A2" w:rsidRPr="003408A6" w:rsidRDefault="006803A2" w:rsidP="00FD0E25">
            <w:pPr>
              <w:pStyle w:val="Tabletext"/>
              <w:rPr>
                <w:lang w:val="en-AU"/>
              </w:rPr>
            </w:pPr>
            <w:r w:rsidRPr="003408A6">
              <w:rPr>
                <w:lang w:val="en-AU"/>
              </w:rPr>
              <w:t>Adverse events following immunisation</w:t>
            </w:r>
          </w:p>
          <w:p w:rsidR="006803A2" w:rsidRPr="003408A6" w:rsidRDefault="006803A2" w:rsidP="00FD0E25">
            <w:pPr>
              <w:pStyle w:val="Tabletext"/>
              <w:rPr>
                <w:lang w:val="en-AU"/>
              </w:rPr>
            </w:pPr>
            <w:r w:rsidRPr="003408A6">
              <w:rPr>
                <w:lang w:val="en-AU"/>
              </w:rPr>
              <w:t>Vaccine released too soon</w:t>
            </w:r>
          </w:p>
          <w:p w:rsidR="006803A2" w:rsidRPr="003408A6" w:rsidRDefault="006803A2" w:rsidP="00FD0E25">
            <w:pPr>
              <w:pStyle w:val="Tabletext"/>
              <w:rPr>
                <w:lang w:val="en-AU"/>
              </w:rPr>
            </w:pPr>
            <w:r w:rsidRPr="003408A6">
              <w:rPr>
                <w:lang w:val="en-AU"/>
              </w:rPr>
              <w:t>Poor uptake in young women</w:t>
            </w:r>
          </w:p>
          <w:p w:rsidR="006803A2" w:rsidRPr="003408A6" w:rsidRDefault="006803A2" w:rsidP="00FD0E25">
            <w:pPr>
              <w:pStyle w:val="Tabletext"/>
              <w:rPr>
                <w:lang w:val="en-AU"/>
              </w:rPr>
            </w:pPr>
            <w:r w:rsidRPr="003408A6">
              <w:rPr>
                <w:lang w:val="en-AU"/>
              </w:rPr>
              <w:t>Immunisation causes spike in health spending</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2010</w:t>
            </w:r>
          </w:p>
        </w:tc>
        <w:tc>
          <w:tcPr>
            <w:tcW w:w="3710" w:type="dxa"/>
          </w:tcPr>
          <w:p w:rsidR="006803A2" w:rsidRPr="003408A6" w:rsidRDefault="006803A2" w:rsidP="00FD0E25">
            <w:pPr>
              <w:pStyle w:val="Tabletext"/>
              <w:rPr>
                <w:lang w:val="en-AU"/>
              </w:rPr>
            </w:pPr>
            <w:r w:rsidRPr="003408A6">
              <w:rPr>
                <w:lang w:val="en-AU"/>
              </w:rPr>
              <w:t>Reduction in incidence of genital warts</w:t>
            </w:r>
          </w:p>
          <w:p w:rsidR="006803A2" w:rsidRPr="003408A6" w:rsidRDefault="006803A2" w:rsidP="00FD0E25">
            <w:pPr>
              <w:pStyle w:val="Tabletext"/>
              <w:rPr>
                <w:lang w:val="en-AU"/>
              </w:rPr>
            </w:pPr>
            <w:r w:rsidRPr="003408A6">
              <w:rPr>
                <w:lang w:val="en-AU"/>
              </w:rPr>
              <w:t>World first program for boys</w:t>
            </w:r>
          </w:p>
        </w:tc>
        <w:tc>
          <w:tcPr>
            <w:tcW w:w="4228" w:type="dxa"/>
          </w:tcPr>
          <w:p w:rsidR="006803A2" w:rsidRPr="003408A6" w:rsidRDefault="006803A2" w:rsidP="00FD0E25">
            <w:pPr>
              <w:pStyle w:val="Tabletext"/>
              <w:rPr>
                <w:lang w:val="en-AU"/>
              </w:rPr>
            </w:pP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2011</w:t>
            </w:r>
          </w:p>
        </w:tc>
        <w:tc>
          <w:tcPr>
            <w:tcW w:w="3710" w:type="dxa"/>
          </w:tcPr>
          <w:p w:rsidR="006803A2" w:rsidRPr="003408A6" w:rsidRDefault="006803A2" w:rsidP="00FD0E25">
            <w:pPr>
              <w:pStyle w:val="Tabletext"/>
              <w:rPr>
                <w:lang w:val="en-AU"/>
              </w:rPr>
            </w:pPr>
            <w:r w:rsidRPr="003408A6">
              <w:rPr>
                <w:lang w:val="en-AU"/>
              </w:rPr>
              <w:t>Effective vaccine reducing high</w:t>
            </w:r>
            <w:r>
              <w:rPr>
                <w:lang w:val="en-AU"/>
              </w:rPr>
              <w:t>-</w:t>
            </w:r>
            <w:r w:rsidRPr="003408A6">
              <w:rPr>
                <w:lang w:val="en-AU"/>
              </w:rPr>
              <w:t>grade cervical lesions</w:t>
            </w:r>
          </w:p>
          <w:p w:rsidR="006803A2" w:rsidRPr="003408A6" w:rsidRDefault="006803A2" w:rsidP="00FD0E25">
            <w:pPr>
              <w:pStyle w:val="Tabletext"/>
              <w:rPr>
                <w:lang w:val="en-AU"/>
              </w:rPr>
            </w:pPr>
            <w:r w:rsidRPr="003408A6">
              <w:rPr>
                <w:lang w:val="en-AU"/>
              </w:rPr>
              <w:t>Advocating for male program</w:t>
            </w:r>
          </w:p>
        </w:tc>
        <w:tc>
          <w:tcPr>
            <w:tcW w:w="4228" w:type="dxa"/>
          </w:tcPr>
          <w:p w:rsidR="006803A2" w:rsidRPr="003408A6" w:rsidRDefault="006803A2" w:rsidP="00FD0E25">
            <w:pPr>
              <w:pStyle w:val="Tabletext"/>
              <w:rPr>
                <w:lang w:val="en-AU"/>
              </w:rPr>
            </w:pPr>
            <w:r w:rsidRPr="003408A6">
              <w:rPr>
                <w:lang w:val="en-AU"/>
              </w:rPr>
              <w:t>Class action against manufacturer</w:t>
            </w:r>
          </w:p>
          <w:p w:rsidR="006803A2" w:rsidRPr="003408A6" w:rsidRDefault="006803A2" w:rsidP="00FD0E25">
            <w:pPr>
              <w:pStyle w:val="Tabletext"/>
              <w:rPr>
                <w:lang w:val="en-AU"/>
              </w:rPr>
            </w:pPr>
            <w:r w:rsidRPr="003408A6">
              <w:rPr>
                <w:lang w:val="en-AU"/>
              </w:rPr>
              <w:t>Inconclusive evidence of effectiveness</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2012</w:t>
            </w:r>
          </w:p>
        </w:tc>
        <w:tc>
          <w:tcPr>
            <w:tcW w:w="3710" w:type="dxa"/>
          </w:tcPr>
          <w:p w:rsidR="006803A2" w:rsidRPr="003408A6" w:rsidRDefault="006803A2" w:rsidP="00FD0E25">
            <w:pPr>
              <w:pStyle w:val="Tabletext"/>
              <w:rPr>
                <w:lang w:val="en-AU"/>
              </w:rPr>
            </w:pPr>
            <w:r w:rsidRPr="003408A6">
              <w:rPr>
                <w:lang w:val="en-AU"/>
              </w:rPr>
              <w:t>World first program for boys</w:t>
            </w:r>
          </w:p>
        </w:tc>
        <w:tc>
          <w:tcPr>
            <w:tcW w:w="4228" w:type="dxa"/>
          </w:tcPr>
          <w:p w:rsidR="006803A2" w:rsidRPr="003408A6" w:rsidRDefault="006803A2" w:rsidP="00FD0E25">
            <w:pPr>
              <w:pStyle w:val="Tabletext"/>
              <w:rPr>
                <w:lang w:val="en-AU"/>
              </w:rPr>
            </w:pPr>
            <w:r w:rsidRPr="003408A6">
              <w:rPr>
                <w:lang w:val="en-AU"/>
              </w:rPr>
              <w:t>Cervical cancer message may discourage males</w:t>
            </w:r>
          </w:p>
        </w:tc>
      </w:tr>
      <w:tr w:rsidR="006803A2" w:rsidRPr="003408A6" w:rsidTr="00FD0E25">
        <w:tc>
          <w:tcPr>
            <w:tcW w:w="1101" w:type="dxa"/>
          </w:tcPr>
          <w:p w:rsidR="006803A2" w:rsidRPr="003408A6" w:rsidRDefault="006803A2" w:rsidP="00FD0E25">
            <w:pPr>
              <w:pStyle w:val="Tabletextbold"/>
              <w:rPr>
                <w:lang w:val="en-AU"/>
              </w:rPr>
            </w:pPr>
            <w:r w:rsidRPr="003408A6">
              <w:rPr>
                <w:lang w:val="en-AU"/>
              </w:rPr>
              <w:t>2013</w:t>
            </w:r>
          </w:p>
        </w:tc>
        <w:tc>
          <w:tcPr>
            <w:tcW w:w="3710" w:type="dxa"/>
          </w:tcPr>
          <w:p w:rsidR="006803A2" w:rsidRPr="003408A6" w:rsidRDefault="006803A2" w:rsidP="00FD0E25">
            <w:pPr>
              <w:pStyle w:val="Tabletext"/>
              <w:rPr>
                <w:lang w:val="en-AU"/>
              </w:rPr>
            </w:pPr>
            <w:r w:rsidRPr="003408A6">
              <w:rPr>
                <w:lang w:val="en-AU"/>
              </w:rPr>
              <w:t>Start of the male program</w:t>
            </w:r>
          </w:p>
        </w:tc>
        <w:tc>
          <w:tcPr>
            <w:tcW w:w="4228" w:type="dxa"/>
          </w:tcPr>
          <w:p w:rsidR="006803A2" w:rsidRPr="003408A6" w:rsidRDefault="006803A2" w:rsidP="00FD0E25">
            <w:pPr>
              <w:pStyle w:val="Tabletext"/>
              <w:rPr>
                <w:lang w:val="en-AU"/>
              </w:rPr>
            </w:pPr>
          </w:p>
        </w:tc>
      </w:tr>
    </w:tbl>
    <w:p w:rsidR="00FD1514" w:rsidRDefault="006803A2" w:rsidP="00FE050A">
      <w:pPr>
        <w:pStyle w:val="Heading2"/>
      </w:pPr>
      <w:r w:rsidRPr="003408A6">
        <w:rPr>
          <w:u w:val="single"/>
        </w:rPr>
        <w:br w:type="page"/>
      </w:r>
    </w:p>
    <w:p w:rsidR="00FE050A" w:rsidRPr="003408A6" w:rsidRDefault="00FE050A" w:rsidP="00FE050A">
      <w:pPr>
        <w:pStyle w:val="Heading2"/>
      </w:pPr>
      <w:bookmarkStart w:id="409" w:name="_Toc396926153"/>
      <w:r w:rsidRPr="003408A6">
        <w:t>Appendix 2</w:t>
      </w:r>
      <w:bookmarkEnd w:id="400"/>
      <w:r w:rsidRPr="003408A6">
        <w:t>.</w:t>
      </w:r>
      <w:r w:rsidR="00653668">
        <w:t>4</w:t>
      </w:r>
      <w:bookmarkEnd w:id="409"/>
    </w:p>
    <w:p w:rsidR="00FE050A" w:rsidRPr="003408A6" w:rsidRDefault="00FE050A" w:rsidP="00FE050A">
      <w:pPr>
        <w:pStyle w:val="Appendixunnumberedfiguretableheading"/>
      </w:pPr>
      <w:r w:rsidRPr="003408A6">
        <w:t>Summary table of strengths and challenges of the National HPV Vaccination Program raised by stakeholders at interview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5061"/>
      </w:tblGrid>
      <w:tr w:rsidR="00FE050A" w:rsidRPr="003408A6" w:rsidTr="00956E40">
        <w:tc>
          <w:tcPr>
            <w:tcW w:w="4261" w:type="dxa"/>
            <w:shd w:val="clear" w:color="auto" w:fill="auto"/>
          </w:tcPr>
          <w:p w:rsidR="00FE050A" w:rsidRPr="003408A6" w:rsidRDefault="00FE050A" w:rsidP="00FE050A">
            <w:pPr>
              <w:pStyle w:val="Tablecolumnheading"/>
              <w:rPr>
                <w:lang w:val="en-AU"/>
              </w:rPr>
            </w:pPr>
            <w:r w:rsidRPr="003408A6">
              <w:rPr>
                <w:lang w:val="en-AU"/>
              </w:rPr>
              <w:t>STRENGTHS</w:t>
            </w:r>
          </w:p>
        </w:tc>
        <w:tc>
          <w:tcPr>
            <w:tcW w:w="5061" w:type="dxa"/>
            <w:shd w:val="clear" w:color="auto" w:fill="auto"/>
          </w:tcPr>
          <w:p w:rsidR="00FE050A" w:rsidRPr="003408A6" w:rsidRDefault="00FE050A" w:rsidP="00FE050A">
            <w:pPr>
              <w:pStyle w:val="Tablecolumnheading"/>
              <w:rPr>
                <w:lang w:val="en-AU"/>
              </w:rPr>
            </w:pPr>
            <w:r w:rsidRPr="003408A6">
              <w:rPr>
                <w:lang w:val="en-AU"/>
              </w:rPr>
              <w:t>CHALLENGES</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Successful program</w:t>
            </w:r>
          </w:p>
          <w:p w:rsidR="00FE050A" w:rsidRPr="003408A6" w:rsidRDefault="00FE050A" w:rsidP="00FE050A">
            <w:pPr>
              <w:pStyle w:val="Tabletextbullets"/>
            </w:pPr>
            <w:r w:rsidRPr="003408A6">
              <w:t>It is an effective and safe vaccine.</w:t>
            </w:r>
          </w:p>
          <w:p w:rsidR="00FE050A" w:rsidRPr="003408A6" w:rsidRDefault="00FE050A" w:rsidP="00FE050A">
            <w:pPr>
              <w:pStyle w:val="Tabletextbullets"/>
            </w:pPr>
            <w:r w:rsidRPr="003408A6">
              <w:t>The female program has been going long enough to provide evidence that HPV vaccination is a success.</w:t>
            </w:r>
          </w:p>
          <w:p w:rsidR="00FE050A" w:rsidRPr="003408A6" w:rsidRDefault="00FE050A" w:rsidP="00FE050A">
            <w:pPr>
              <w:pStyle w:val="Tabletextbullets"/>
            </w:pPr>
            <w:r w:rsidRPr="003408A6">
              <w:t>Australia is world first in introducing a national HPV program for adolescent males.</w:t>
            </w:r>
          </w:p>
          <w:p w:rsidR="00FE050A" w:rsidRPr="003408A6" w:rsidRDefault="00FE050A" w:rsidP="00FE050A">
            <w:pPr>
              <w:pStyle w:val="Tabletextbullets"/>
            </w:pPr>
            <w:r w:rsidRPr="003408A6">
              <w:t>Program managers reported that the program to extend HPV vaccination to males rolled out smoothly in most jurisdictions.</w:t>
            </w:r>
          </w:p>
          <w:p w:rsidR="00FE050A" w:rsidRPr="003408A6" w:rsidRDefault="00FE050A" w:rsidP="00FE050A">
            <w:pPr>
              <w:pStyle w:val="Tabletextbullets"/>
            </w:pPr>
            <w:r w:rsidRPr="003408A6">
              <w:t>The program has progressed well.</w:t>
            </w:r>
          </w:p>
          <w:p w:rsidR="00FE050A" w:rsidRPr="003408A6" w:rsidRDefault="00FE050A" w:rsidP="00FE050A">
            <w:pPr>
              <w:pStyle w:val="Tabletextbullets"/>
            </w:pPr>
            <w:r w:rsidRPr="003408A6">
              <w:t>Vaccine supply worked well.</w:t>
            </w:r>
          </w:p>
        </w:tc>
        <w:tc>
          <w:tcPr>
            <w:tcW w:w="5061" w:type="dxa"/>
            <w:shd w:val="clear" w:color="auto" w:fill="auto"/>
          </w:tcPr>
          <w:p w:rsidR="00FE050A" w:rsidRPr="003408A6" w:rsidRDefault="00FE050A" w:rsidP="00FE050A">
            <w:pPr>
              <w:pStyle w:val="Tabletextbold"/>
              <w:rPr>
                <w:lang w:val="en-AU"/>
              </w:rPr>
            </w:pPr>
            <w:r w:rsidRPr="003408A6">
              <w:rPr>
                <w:lang w:val="en-AU"/>
              </w:rPr>
              <w:t>Lead-time from the announcement</w:t>
            </w:r>
          </w:p>
          <w:p w:rsidR="00FE050A" w:rsidRPr="003408A6" w:rsidRDefault="00FE050A" w:rsidP="00FE050A">
            <w:pPr>
              <w:pStyle w:val="Tabletextbullets"/>
            </w:pPr>
            <w:r w:rsidRPr="003408A6">
              <w:t xml:space="preserve">Six months lead-time is adequate for childhood but not school-based vaccination programs as school-based programs need to accommodate school holidays. </w:t>
            </w:r>
          </w:p>
          <w:p w:rsidR="00FE050A" w:rsidRPr="003408A6" w:rsidRDefault="00FE050A" w:rsidP="00FE050A">
            <w:pPr>
              <w:pStyle w:val="Tabletextbullets"/>
            </w:pPr>
            <w:r w:rsidRPr="003408A6">
              <w:t xml:space="preserve">Some jurisdictions had already allocated their budgets for 2013 by the time of the announcement in July 2012 of the extension of the program to males. </w:t>
            </w:r>
          </w:p>
          <w:p w:rsidR="00FE050A" w:rsidRPr="003408A6" w:rsidRDefault="00FE050A" w:rsidP="00FE050A">
            <w:pPr>
              <w:pStyle w:val="Tabletextbullets"/>
            </w:pPr>
            <w:r w:rsidRPr="003408A6">
              <w:t>Some jurisdictions had to scramble to negotiate with schools over fitting three visits into the next school calendar year.</w:t>
            </w:r>
          </w:p>
          <w:p w:rsidR="00FE050A" w:rsidRPr="003408A6" w:rsidRDefault="00FE050A" w:rsidP="00FE050A">
            <w:pPr>
              <w:pStyle w:val="Tabletextbullets"/>
            </w:pPr>
            <w:r w:rsidRPr="003408A6">
              <w:t xml:space="preserve">The lead-time for the female program was even shorter than for the male program. </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Funding</w:t>
            </w:r>
          </w:p>
          <w:p w:rsidR="00FE050A" w:rsidRPr="003408A6" w:rsidRDefault="00FE050A" w:rsidP="00FE050A">
            <w:pPr>
              <w:pStyle w:val="Tabletextbullets"/>
              <w:rPr>
                <w:u w:val="single"/>
              </w:rPr>
            </w:pPr>
            <w:r w:rsidRPr="003408A6">
              <w:t>Australian government funding of the vaccine for adolescent males was welcomed by stakeholders.</w:t>
            </w:r>
          </w:p>
          <w:p w:rsidR="00FE050A" w:rsidRPr="003408A6" w:rsidRDefault="00FE050A" w:rsidP="00FE050A">
            <w:pPr>
              <w:pStyle w:val="Tabletextbullets"/>
              <w:rPr>
                <w:u w:val="single"/>
              </w:rPr>
            </w:pPr>
            <w:r w:rsidRPr="003408A6">
              <w:t>Australia is a world leader in funding the HPV vaccine on a population level.</w:t>
            </w:r>
          </w:p>
        </w:tc>
        <w:tc>
          <w:tcPr>
            <w:tcW w:w="5061" w:type="dxa"/>
            <w:shd w:val="clear" w:color="auto" w:fill="auto"/>
          </w:tcPr>
          <w:p w:rsidR="00FE050A" w:rsidRPr="003408A6" w:rsidRDefault="00FE050A" w:rsidP="00FE050A">
            <w:pPr>
              <w:pStyle w:val="Tabletextbold"/>
              <w:rPr>
                <w:lang w:val="en-AU"/>
              </w:rPr>
            </w:pPr>
            <w:r w:rsidRPr="003408A6">
              <w:rPr>
                <w:lang w:val="en-AU"/>
              </w:rPr>
              <w:t>Funding</w:t>
            </w:r>
          </w:p>
          <w:p w:rsidR="00FE050A" w:rsidRPr="003408A6" w:rsidRDefault="00FE050A" w:rsidP="00FE050A">
            <w:pPr>
              <w:pStyle w:val="Tabletextbullets"/>
            </w:pPr>
            <w:r w:rsidRPr="003408A6">
              <w:t xml:space="preserve">Funding and resources were among the biggest challenges. </w:t>
            </w:r>
          </w:p>
          <w:p w:rsidR="00FE050A" w:rsidRPr="003408A6" w:rsidRDefault="00FE050A" w:rsidP="00FE050A">
            <w:pPr>
              <w:pStyle w:val="Tabletextbullets"/>
            </w:pPr>
            <w:r w:rsidRPr="003408A6">
              <w:t>There was a lack of Australian government funding for service delivery for the male program.</w:t>
            </w:r>
          </w:p>
          <w:p w:rsidR="00FE050A" w:rsidRPr="003408A6" w:rsidRDefault="00FE050A" w:rsidP="00FE050A">
            <w:pPr>
              <w:pStyle w:val="Tabletextbullets"/>
            </w:pPr>
            <w:r w:rsidRPr="003408A6">
              <w:t>There was an opportunity cost for jurisdictions in delivering the HPV program for males.</w:t>
            </w:r>
          </w:p>
          <w:p w:rsidR="00FE050A" w:rsidRPr="003408A6" w:rsidRDefault="00FE050A" w:rsidP="00FE050A">
            <w:pPr>
              <w:pStyle w:val="Tabletextbullets"/>
            </w:pPr>
            <w:r w:rsidRPr="003408A6">
              <w:t>Funding for the delivery of school-based programs has not increased while wages and costs have increased.</w:t>
            </w:r>
          </w:p>
          <w:p w:rsidR="00FE050A" w:rsidRPr="003408A6" w:rsidRDefault="00FE050A" w:rsidP="00FE050A">
            <w:pPr>
              <w:pStyle w:val="Tabletextbullets"/>
            </w:pPr>
            <w:r w:rsidRPr="003408A6">
              <w:t>Funding of service delivery is important for the long-term sustainability of the program.</w:t>
            </w:r>
          </w:p>
          <w:p w:rsidR="00FE050A" w:rsidRPr="003408A6" w:rsidRDefault="00FE050A" w:rsidP="00FE050A">
            <w:pPr>
              <w:pStyle w:val="Tabletextbullets"/>
            </w:pPr>
            <w:r w:rsidRPr="003408A6">
              <w:rPr>
                <w:rFonts w:cs="Arial"/>
                <w:color w:val="000000"/>
              </w:rPr>
              <w:t>Councils or other providers cannot be expected to keep supporting programs without funding.</w:t>
            </w:r>
            <w:r w:rsidRPr="003408A6">
              <w:t xml:space="preserve"> </w:t>
            </w:r>
          </w:p>
          <w:p w:rsidR="00FE050A" w:rsidRPr="003408A6" w:rsidRDefault="00FE050A" w:rsidP="00FE050A">
            <w:pPr>
              <w:pStyle w:val="Tabletextbullets"/>
            </w:pPr>
            <w:r w:rsidRPr="003408A6">
              <w:t xml:space="preserve">Due to funding uncertainties some jurisdictions made a late decision to implement the program and this further shortened the lead-time for the rollout. </w:t>
            </w:r>
          </w:p>
          <w:p w:rsidR="00FE050A" w:rsidRPr="003408A6" w:rsidRDefault="00FE050A" w:rsidP="00FE050A">
            <w:pPr>
              <w:pStyle w:val="Tabletextbullets"/>
            </w:pPr>
            <w:r w:rsidRPr="003408A6">
              <w:t>A better model for funding of service delivery is needed.</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Jurisdiction know-how and capacity</w:t>
            </w:r>
          </w:p>
          <w:p w:rsidR="00FE050A" w:rsidRPr="003408A6" w:rsidRDefault="00FE050A" w:rsidP="00FE050A">
            <w:pPr>
              <w:pStyle w:val="Tabletextbullets"/>
            </w:pPr>
            <w:r w:rsidRPr="003408A6">
              <w:t>The program happened because of the dedication of the jurisdiction.</w:t>
            </w:r>
          </w:p>
          <w:p w:rsidR="00FE050A" w:rsidRPr="003408A6" w:rsidRDefault="00FE050A" w:rsidP="00FE050A">
            <w:pPr>
              <w:pStyle w:val="Tabletextbullets"/>
            </w:pPr>
            <w:r w:rsidRPr="003408A6">
              <w:rPr>
                <w:rFonts w:cs="Arial"/>
                <w:color w:val="000000"/>
              </w:rPr>
              <w:t>Jurisdictions have a wealth of knowledge and experience on how to deliver a quality program.</w:t>
            </w:r>
          </w:p>
          <w:p w:rsidR="00FE050A" w:rsidRPr="003408A6" w:rsidRDefault="00FE050A" w:rsidP="00FE050A">
            <w:pPr>
              <w:pStyle w:val="Tabletextbullets"/>
            </w:pPr>
            <w:r w:rsidRPr="003408A6">
              <w:rPr>
                <w:rFonts w:cs="Arial"/>
                <w:color w:val="000000"/>
              </w:rPr>
              <w:t>Jurisdictions were very responsive in delivering the female and male programs in such a short timeframe due to jurisdictional expertise.</w:t>
            </w:r>
          </w:p>
          <w:p w:rsidR="00FE050A" w:rsidRPr="003408A6" w:rsidRDefault="00FE050A" w:rsidP="00FE050A">
            <w:pPr>
              <w:pStyle w:val="Tabletextbullets"/>
            </w:pPr>
            <w:r w:rsidRPr="003408A6">
              <w:t>A lot of work went into resources, contracts, procurement of vaccines.</w:t>
            </w:r>
          </w:p>
          <w:p w:rsidR="00FE050A" w:rsidRPr="003408A6" w:rsidRDefault="00FE050A" w:rsidP="00FE050A">
            <w:pPr>
              <w:pStyle w:val="Tabletextbullets"/>
            </w:pPr>
            <w:r w:rsidRPr="003408A6">
              <w:t>Knowledgeable spokespersons were able to address community concerns about adverse events at the start of the female program.</w:t>
            </w:r>
          </w:p>
          <w:p w:rsidR="00FE050A" w:rsidRPr="003408A6" w:rsidRDefault="00FE050A" w:rsidP="00FE050A">
            <w:pPr>
              <w:pStyle w:val="Tabletextbullets"/>
            </w:pPr>
            <w:r w:rsidRPr="003408A6">
              <w:t xml:space="preserve">Jurisdictions invest time, money and effort in building staff capacity. </w:t>
            </w:r>
          </w:p>
          <w:p w:rsidR="00FE050A" w:rsidRPr="003408A6" w:rsidRDefault="00FE050A" w:rsidP="00FE050A">
            <w:pPr>
              <w:pStyle w:val="Tabletextbullets"/>
            </w:pPr>
            <w:r w:rsidRPr="003408A6">
              <w:t>Training immunisers maintains capacity for future pandemics.</w:t>
            </w:r>
          </w:p>
          <w:p w:rsidR="00FE050A" w:rsidRPr="003408A6" w:rsidRDefault="00FE050A" w:rsidP="00FE050A">
            <w:pPr>
              <w:pStyle w:val="Tabletextbullets"/>
            </w:pPr>
            <w:r w:rsidRPr="003408A6">
              <w:t>Jurisdictions place faith in collaboration with local government.</w:t>
            </w:r>
          </w:p>
          <w:p w:rsidR="00FE050A" w:rsidRPr="003408A6" w:rsidRDefault="00FE050A" w:rsidP="00FE050A">
            <w:pPr>
              <w:pStyle w:val="Tabletextbullets"/>
              <w:rPr>
                <w:u w:val="single"/>
              </w:rPr>
            </w:pPr>
            <w:r w:rsidRPr="003408A6">
              <w:t>Councils managed the challenge of the extended program well.</w:t>
            </w:r>
          </w:p>
        </w:tc>
        <w:tc>
          <w:tcPr>
            <w:tcW w:w="5061" w:type="dxa"/>
            <w:shd w:val="clear" w:color="auto" w:fill="auto"/>
          </w:tcPr>
          <w:p w:rsidR="00FE050A" w:rsidRPr="003408A6" w:rsidRDefault="00FE050A" w:rsidP="00FE050A">
            <w:pPr>
              <w:pStyle w:val="Tabletextbold"/>
              <w:rPr>
                <w:lang w:val="en-AU"/>
              </w:rPr>
            </w:pPr>
            <w:r w:rsidRPr="003408A6">
              <w:rPr>
                <w:lang w:val="en-AU"/>
              </w:rPr>
              <w:t>Capacity</w:t>
            </w:r>
          </w:p>
          <w:p w:rsidR="00FE050A" w:rsidRPr="003408A6" w:rsidRDefault="00FE050A" w:rsidP="00FE050A">
            <w:pPr>
              <w:pStyle w:val="Tabletextbullets"/>
            </w:pPr>
            <w:r w:rsidRPr="003408A6">
              <w:t>Jurisdiction resources are finite and stretched everywhere.</w:t>
            </w:r>
          </w:p>
          <w:p w:rsidR="00FE050A" w:rsidRPr="003408A6" w:rsidRDefault="00FE050A" w:rsidP="00FE050A">
            <w:pPr>
              <w:pStyle w:val="Tabletextbullets"/>
            </w:pPr>
            <w:r w:rsidRPr="003408A6">
              <w:t>The girls program in the first 2 years was all of high school with a big catch-up program. There were difficulties in finding enough staff to run the program.</w:t>
            </w:r>
          </w:p>
          <w:p w:rsidR="00FE050A" w:rsidRPr="003408A6" w:rsidRDefault="00FE050A" w:rsidP="00FE050A">
            <w:pPr>
              <w:pStyle w:val="Tabletextbullets"/>
            </w:pPr>
            <w:r w:rsidRPr="003408A6">
              <w:t>One respondent thought that the rollout of the female program had needed a national coordinator.</w:t>
            </w:r>
          </w:p>
          <w:p w:rsidR="00FE050A" w:rsidRPr="003408A6" w:rsidRDefault="00FE050A" w:rsidP="00FE050A">
            <w:pPr>
              <w:pStyle w:val="Tabletextbullets"/>
            </w:pPr>
            <w:r w:rsidRPr="003408A6">
              <w:t xml:space="preserve">The male program is </w:t>
            </w:r>
            <w:r w:rsidR="00753CCC">
              <w:t xml:space="preserve">a </w:t>
            </w:r>
            <w:r w:rsidRPr="003408A6">
              <w:t xml:space="preserve">big program of </w:t>
            </w:r>
            <w:r w:rsidR="00753CCC">
              <w:br/>
            </w:r>
            <w:r w:rsidRPr="003408A6">
              <w:t>3 doses and a catch-up program for Year 9</w:t>
            </w:r>
            <w:r w:rsidR="00753CCC">
              <w:t>,</w:t>
            </w:r>
            <w:r w:rsidRPr="003408A6">
              <w:t xml:space="preserve"> all of which demands considerable resources.</w:t>
            </w:r>
          </w:p>
          <w:p w:rsidR="00FE050A" w:rsidRPr="003408A6" w:rsidRDefault="00FE050A" w:rsidP="00FE050A">
            <w:pPr>
              <w:pStyle w:val="Tabletextbullets"/>
            </w:pPr>
            <w:r w:rsidRPr="003408A6">
              <w:t>Increased cohort required finding extra vaccination days in school calendars.</w:t>
            </w:r>
          </w:p>
          <w:p w:rsidR="00FE050A" w:rsidRPr="003408A6" w:rsidRDefault="00FE050A" w:rsidP="00FE050A">
            <w:pPr>
              <w:pStyle w:val="Tabletextbullets"/>
            </w:pPr>
            <w:r w:rsidRPr="003408A6">
              <w:t>There are too few funded staff to run the program in some regions.</w:t>
            </w:r>
          </w:p>
          <w:p w:rsidR="00FE050A" w:rsidRPr="003408A6" w:rsidRDefault="00FE050A" w:rsidP="00FE050A">
            <w:pPr>
              <w:pStyle w:val="Tabletextbullets"/>
            </w:pPr>
            <w:r w:rsidRPr="003408A6">
              <w:t>Some jurisdictions had difficulty in finding staff for delivering the extended HPV school-based program.</w:t>
            </w:r>
          </w:p>
          <w:p w:rsidR="00FE050A" w:rsidRPr="003408A6" w:rsidRDefault="00FE050A" w:rsidP="00FE050A">
            <w:pPr>
              <w:pStyle w:val="Tabletextbullets"/>
            </w:pPr>
            <w:r w:rsidRPr="003408A6">
              <w:t>Data collection and recording places a further burden on staff.</w:t>
            </w:r>
          </w:p>
          <w:p w:rsidR="00FE050A" w:rsidRPr="003408A6" w:rsidRDefault="00FE050A" w:rsidP="00FE050A">
            <w:pPr>
              <w:pStyle w:val="Tabletextbullets"/>
            </w:pPr>
            <w:r w:rsidRPr="003408A6">
              <w:t>There is a high rate of staff turnover in remote communities which affects continuity.</w:t>
            </w:r>
          </w:p>
          <w:p w:rsidR="00FE050A" w:rsidRPr="003408A6" w:rsidRDefault="00FE050A" w:rsidP="00FE050A">
            <w:pPr>
              <w:pStyle w:val="Tabletextbullets"/>
            </w:pPr>
            <w:r w:rsidRPr="003408A6">
              <w:t>The program in remote communities uses community volunteers who perhaps should be paid.</w:t>
            </w:r>
          </w:p>
          <w:p w:rsidR="00FE050A" w:rsidRPr="003408A6" w:rsidRDefault="00FE050A" w:rsidP="00FE050A">
            <w:pPr>
              <w:pStyle w:val="Tabletextbullets"/>
            </w:pPr>
            <w:r w:rsidRPr="003408A6">
              <w:t>There is a question of sustainability of the program in remote communities.</w:t>
            </w:r>
          </w:p>
          <w:p w:rsidR="00FE050A" w:rsidRPr="003408A6" w:rsidRDefault="00FE050A" w:rsidP="00FE050A">
            <w:pPr>
              <w:pStyle w:val="Tabletextbullets"/>
            </w:pPr>
            <w:r w:rsidRPr="003408A6">
              <w:t>There was a risk that the program may not have been successfully implemented due to jurisdiction capacity constraints.</w:t>
            </w:r>
          </w:p>
          <w:p w:rsidR="00FE050A" w:rsidRPr="003408A6" w:rsidRDefault="00FE050A" w:rsidP="00FE050A">
            <w:pPr>
              <w:pStyle w:val="Tabletextbullets"/>
            </w:pPr>
            <w:r w:rsidRPr="003408A6">
              <w:rPr>
                <w:rFonts w:cs="Arial"/>
                <w:color w:val="000000"/>
              </w:rPr>
              <w:t>There needs to be more flexibility allowed to jurisdictions in their delivery of the program.</w:t>
            </w:r>
          </w:p>
          <w:p w:rsidR="00FE050A" w:rsidRPr="003408A6" w:rsidRDefault="00FE050A" w:rsidP="00FE050A">
            <w:pPr>
              <w:pStyle w:val="Tabletextbullets"/>
            </w:pPr>
            <w:r w:rsidRPr="003408A6">
              <w:t>There was a limit to the collaborations that could be expected between the jurisdictions and schools and jurisdictions and local government.</w:t>
            </w:r>
          </w:p>
          <w:p w:rsidR="00FE050A" w:rsidRPr="003408A6" w:rsidRDefault="00FE050A" w:rsidP="00FE050A">
            <w:pPr>
              <w:pStyle w:val="Tabletextbullets"/>
            </w:pPr>
            <w:r w:rsidRPr="003408A6">
              <w:t>There was a limit to how many more vaccines could be added to the school-based program.</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School-based program</w:t>
            </w:r>
          </w:p>
          <w:p w:rsidR="00FE050A" w:rsidRPr="003408A6" w:rsidRDefault="00FE050A" w:rsidP="00FE050A">
            <w:pPr>
              <w:pStyle w:val="Tabletextbullets"/>
            </w:pPr>
            <w:r w:rsidRPr="003408A6">
              <w:t>School-based programs are a good way to reach adolescent age groups and more effective than through general practice.</w:t>
            </w:r>
          </w:p>
          <w:p w:rsidR="00FE050A" w:rsidRPr="003408A6" w:rsidRDefault="00FE050A" w:rsidP="00FE050A">
            <w:pPr>
              <w:pStyle w:val="Tabletextbullets"/>
            </w:pPr>
            <w:r w:rsidRPr="003408A6">
              <w:t>Australia has a good international reputation for delivering school-based immunisation programs.</w:t>
            </w:r>
          </w:p>
          <w:p w:rsidR="00FE050A" w:rsidRPr="003408A6" w:rsidRDefault="00FE050A" w:rsidP="00FE050A">
            <w:pPr>
              <w:pStyle w:val="Tabletextbullets"/>
            </w:pPr>
            <w:r w:rsidRPr="003408A6">
              <w:t xml:space="preserve">The female program helped to establish the schools immunisation team in the ACT. </w:t>
            </w:r>
          </w:p>
          <w:p w:rsidR="00FE050A" w:rsidRPr="003408A6" w:rsidRDefault="00FE050A" w:rsidP="00FE050A">
            <w:pPr>
              <w:pStyle w:val="Tabletextbullets"/>
            </w:pPr>
            <w:r w:rsidRPr="003408A6">
              <w:t>The female program brought the Queensland government into the school-based program which was formerly run by local councils.</w:t>
            </w:r>
          </w:p>
          <w:p w:rsidR="00FE050A" w:rsidRPr="003408A6" w:rsidRDefault="00FE050A" w:rsidP="00FE050A">
            <w:pPr>
              <w:pStyle w:val="Tabletextbullets"/>
              <w:rPr>
                <w:rFonts w:cs="Arial"/>
                <w:color w:val="000000"/>
              </w:rPr>
            </w:pPr>
            <w:r w:rsidRPr="003408A6">
              <w:rPr>
                <w:rFonts w:cs="Arial"/>
                <w:color w:val="000000"/>
              </w:rPr>
              <w:t>Parents accept school-based vaccination programs.</w:t>
            </w:r>
          </w:p>
          <w:p w:rsidR="00FE050A" w:rsidRPr="003408A6" w:rsidRDefault="00FE050A" w:rsidP="00FE050A">
            <w:pPr>
              <w:pStyle w:val="Tabletextbullets"/>
              <w:rPr>
                <w:u w:val="single"/>
              </w:rPr>
            </w:pPr>
            <w:r w:rsidRPr="003408A6">
              <w:rPr>
                <w:rFonts w:cs="Arial"/>
                <w:color w:val="000000"/>
              </w:rPr>
              <w:t xml:space="preserve">Teachers accept and support the school-based program. </w:t>
            </w:r>
          </w:p>
        </w:tc>
        <w:tc>
          <w:tcPr>
            <w:tcW w:w="5061" w:type="dxa"/>
            <w:shd w:val="clear" w:color="auto" w:fill="auto"/>
          </w:tcPr>
          <w:p w:rsidR="00FE050A" w:rsidRPr="003408A6" w:rsidRDefault="00FE050A" w:rsidP="00FE050A">
            <w:pPr>
              <w:pStyle w:val="Tabletextbold"/>
              <w:rPr>
                <w:lang w:val="en-AU"/>
              </w:rPr>
            </w:pPr>
            <w:r w:rsidRPr="003408A6">
              <w:rPr>
                <w:lang w:val="en-AU"/>
              </w:rPr>
              <w:t>School-based program</w:t>
            </w:r>
          </w:p>
          <w:p w:rsidR="00FE050A" w:rsidRPr="003408A6" w:rsidRDefault="00FE050A" w:rsidP="00FE050A">
            <w:pPr>
              <w:pStyle w:val="Tabletextbullets"/>
              <w:rPr>
                <w:rFonts w:cs="Arial"/>
                <w:color w:val="000000"/>
              </w:rPr>
            </w:pPr>
            <w:r w:rsidRPr="003408A6">
              <w:t>Collaborations with the school sector depended on goodwill. Therefore it was important not to stretch the friendship.</w:t>
            </w:r>
            <w:r w:rsidRPr="003408A6">
              <w:rPr>
                <w:rFonts w:cs="Arial"/>
                <w:color w:val="000000"/>
              </w:rPr>
              <w:t xml:space="preserve"> </w:t>
            </w:r>
          </w:p>
          <w:p w:rsidR="00FE050A" w:rsidRPr="003408A6" w:rsidRDefault="00FE050A" w:rsidP="00FE050A">
            <w:pPr>
              <w:pStyle w:val="Tabletextbullets"/>
              <w:rPr>
                <w:rFonts w:cs="Arial"/>
                <w:color w:val="000000"/>
              </w:rPr>
            </w:pPr>
            <w:r w:rsidRPr="003408A6">
              <w:t>Scheduling 3 doses at the right intervals into a busy school calendar year is a challenge.</w:t>
            </w:r>
          </w:p>
          <w:p w:rsidR="00FE050A" w:rsidRPr="003408A6" w:rsidRDefault="00FE050A" w:rsidP="00FE050A">
            <w:pPr>
              <w:pStyle w:val="Tabletextbullets"/>
              <w:rPr>
                <w:rFonts w:cs="Arial"/>
                <w:color w:val="000000"/>
              </w:rPr>
            </w:pPr>
            <w:r w:rsidRPr="003408A6">
              <w:rPr>
                <w:rFonts w:cs="Arial"/>
                <w:color w:val="000000"/>
              </w:rPr>
              <w:t>There were issues around managing vaccination day logistics and risks to staff.</w:t>
            </w:r>
          </w:p>
          <w:p w:rsidR="00FE050A" w:rsidRPr="003408A6" w:rsidRDefault="00FE050A" w:rsidP="00FE050A">
            <w:pPr>
              <w:pStyle w:val="Tabletextbullets"/>
            </w:pPr>
            <w:r w:rsidRPr="003408A6">
              <w:t>School absenteeism, return of consent forms and completing 3 doses were all mentioned as challenges to the program.</w:t>
            </w:r>
          </w:p>
          <w:p w:rsidR="00FE050A" w:rsidRPr="003408A6" w:rsidRDefault="00FE050A" w:rsidP="00FE050A">
            <w:pPr>
              <w:pStyle w:val="Tabletextbullets"/>
            </w:pPr>
            <w:r w:rsidRPr="003408A6">
              <w:t>General practice was not actively involved in the catch-up of missed doses for the male program.</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Communication and resources</w:t>
            </w:r>
          </w:p>
          <w:p w:rsidR="00FE050A" w:rsidRPr="003408A6" w:rsidRDefault="00FE050A" w:rsidP="00FE050A">
            <w:pPr>
              <w:pStyle w:val="Tabletextbullets"/>
            </w:pPr>
            <w:r w:rsidRPr="003408A6">
              <w:t xml:space="preserve">The </w:t>
            </w:r>
            <w:r w:rsidR="008E6E49">
              <w:t>Australian Government Department of Health</w:t>
            </w:r>
            <w:r>
              <w:t xml:space="preserve"> </w:t>
            </w:r>
            <w:r w:rsidRPr="003408A6">
              <w:t>had a thorough information strategy for the extended program.</w:t>
            </w:r>
          </w:p>
          <w:p w:rsidR="00FE050A" w:rsidRPr="003408A6" w:rsidRDefault="00FE050A" w:rsidP="00FE050A">
            <w:pPr>
              <w:pStyle w:val="Tabletextbullets"/>
            </w:pPr>
            <w:r w:rsidRPr="003408A6">
              <w:t>There had been good consultation with other stakeholders in the development of information resources for the male program.</w:t>
            </w:r>
          </w:p>
          <w:p w:rsidR="00FE050A" w:rsidRPr="003408A6" w:rsidRDefault="00FE050A" w:rsidP="00FE050A">
            <w:pPr>
              <w:pStyle w:val="Tabletextbullets"/>
            </w:pPr>
            <w:r w:rsidRPr="003408A6">
              <w:t>The information resources for the extended program were exceptionally good.</w:t>
            </w:r>
          </w:p>
          <w:p w:rsidR="00FE050A" w:rsidRPr="003408A6" w:rsidRDefault="00FE050A" w:rsidP="00FE050A">
            <w:pPr>
              <w:pStyle w:val="Tabletextbullets"/>
            </w:pPr>
            <w:r w:rsidRPr="003408A6">
              <w:t xml:space="preserve">The </w:t>
            </w:r>
            <w:r w:rsidR="008E6E49">
              <w:t>Australian Government Department of Health</w:t>
            </w:r>
            <w:r w:rsidRPr="003408A6">
              <w:t xml:space="preserve"> HPV website was a good resource.</w:t>
            </w:r>
          </w:p>
          <w:p w:rsidR="00FE050A" w:rsidRPr="003408A6" w:rsidRDefault="00FE050A" w:rsidP="00FE050A">
            <w:pPr>
              <w:pStyle w:val="Tabletextbullets"/>
            </w:pPr>
            <w:r w:rsidRPr="003408A6">
              <w:t>Information resources produced for the male program are eye-catching.</w:t>
            </w:r>
          </w:p>
          <w:p w:rsidR="00FE050A" w:rsidRPr="003408A6" w:rsidRDefault="00FE050A" w:rsidP="00FE050A">
            <w:pPr>
              <w:pStyle w:val="Tabletextbullets"/>
            </w:pPr>
            <w:r>
              <w:t xml:space="preserve">The </w:t>
            </w:r>
            <w:r w:rsidR="008E6E49">
              <w:t>Australian Government Department of Health</w:t>
            </w:r>
            <w:r w:rsidRPr="003408A6">
              <w:t xml:space="preserve"> had developed better communication with schools with the male program.</w:t>
            </w:r>
          </w:p>
          <w:p w:rsidR="00FE050A" w:rsidRPr="003408A6" w:rsidRDefault="00FE050A" w:rsidP="00FE050A">
            <w:pPr>
              <w:pStyle w:val="Tabletextbullets"/>
            </w:pPr>
            <w:r w:rsidRPr="003408A6">
              <w:t xml:space="preserve">The </w:t>
            </w:r>
            <w:r w:rsidR="008E6E49">
              <w:t>Australian Government Department of Health</w:t>
            </w:r>
            <w:r w:rsidR="00753CCC" w:rsidRPr="003408A6">
              <w:t xml:space="preserve"> </w:t>
            </w:r>
            <w:r w:rsidRPr="003408A6">
              <w:t>was more proactive in anticipating and countering negative messages with the extended program for males.</w:t>
            </w:r>
          </w:p>
          <w:p w:rsidR="00FE050A" w:rsidRPr="003408A6" w:rsidRDefault="00FE050A" w:rsidP="00FE050A">
            <w:pPr>
              <w:pStyle w:val="Tabletextbullets"/>
            </w:pPr>
            <w:r w:rsidRPr="003408A6">
              <w:t>It was a positive initiative developing Indigenous resources for the extended program.</w:t>
            </w:r>
          </w:p>
          <w:p w:rsidR="00FE050A" w:rsidRPr="003408A6" w:rsidRDefault="00FE050A" w:rsidP="00FE050A">
            <w:pPr>
              <w:pStyle w:val="Tabletextbullets"/>
            </w:pPr>
            <w:r w:rsidRPr="003408A6">
              <w:t xml:space="preserve">Information resources produced by the pharmaceutical company, cervical screening and the Cancer </w:t>
            </w:r>
            <w:r w:rsidR="00753CCC">
              <w:t>C</w:t>
            </w:r>
            <w:r w:rsidRPr="003408A6">
              <w:t xml:space="preserve">ouncil were important resources during the initial rollout of the female program. </w:t>
            </w:r>
          </w:p>
          <w:p w:rsidR="00FE050A" w:rsidRPr="003408A6" w:rsidRDefault="00FE050A" w:rsidP="00FE050A">
            <w:pPr>
              <w:pStyle w:val="Tabletextbullets"/>
              <w:rPr>
                <w:u w:val="single"/>
              </w:rPr>
            </w:pPr>
            <w:r w:rsidRPr="003408A6">
              <w:t xml:space="preserve">With the initial female program there was more active engagement of general practice. </w:t>
            </w:r>
          </w:p>
        </w:tc>
        <w:tc>
          <w:tcPr>
            <w:tcW w:w="5061" w:type="dxa"/>
            <w:shd w:val="clear" w:color="auto" w:fill="auto"/>
          </w:tcPr>
          <w:p w:rsidR="00FE050A" w:rsidRPr="003408A6" w:rsidRDefault="00FE050A" w:rsidP="00FE050A">
            <w:pPr>
              <w:pStyle w:val="Tabletextbold"/>
              <w:rPr>
                <w:lang w:val="en-AU"/>
              </w:rPr>
            </w:pPr>
            <w:r w:rsidRPr="003408A6">
              <w:rPr>
                <w:lang w:val="en-AU"/>
              </w:rPr>
              <w:t>Communication and resources</w:t>
            </w:r>
          </w:p>
          <w:p w:rsidR="00FE050A" w:rsidRPr="003408A6" w:rsidRDefault="008E6E49" w:rsidP="00FE050A">
            <w:pPr>
              <w:pStyle w:val="Tabletextbullets"/>
            </w:pPr>
            <w:r>
              <w:t>Australian Government Department of Health</w:t>
            </w:r>
            <w:r w:rsidR="00FE050A" w:rsidRPr="003408A6">
              <w:t xml:space="preserve"> information resources came out late for female program.</w:t>
            </w:r>
          </w:p>
          <w:p w:rsidR="00FE050A" w:rsidRPr="003408A6" w:rsidRDefault="004F3832" w:rsidP="00FE050A">
            <w:pPr>
              <w:pStyle w:val="Tabletextbullets"/>
            </w:pPr>
            <w:r>
              <w:t>Australian Government Department of Health</w:t>
            </w:r>
            <w:r w:rsidR="00FE050A" w:rsidRPr="003408A6">
              <w:t xml:space="preserve"> information resources had been prepared too late for distribution for the extended program in most jurisdictions.</w:t>
            </w:r>
          </w:p>
          <w:p w:rsidR="00FE050A" w:rsidRPr="003408A6" w:rsidRDefault="00FE050A" w:rsidP="00FE050A">
            <w:pPr>
              <w:pStyle w:val="Tabletextbullets"/>
            </w:pPr>
            <w:r w:rsidRPr="003408A6">
              <w:t xml:space="preserve">Some respondents thought that the </w:t>
            </w:r>
            <w:r w:rsidR="004F3832">
              <w:t>Australian Government Department of Health</w:t>
            </w:r>
            <w:r w:rsidRPr="003408A6">
              <w:t xml:space="preserve"> resources were not very useful.</w:t>
            </w:r>
          </w:p>
          <w:p w:rsidR="00FE050A" w:rsidRPr="003408A6" w:rsidRDefault="00FE050A" w:rsidP="00FE050A">
            <w:pPr>
              <w:pStyle w:val="Tabletextbullets"/>
            </w:pPr>
            <w:r w:rsidRPr="003408A6">
              <w:t>Promotional material did not meet states’ needs.</w:t>
            </w:r>
          </w:p>
          <w:p w:rsidR="00FE050A" w:rsidRPr="003408A6" w:rsidRDefault="00FE050A" w:rsidP="00FE050A">
            <w:pPr>
              <w:pStyle w:val="Tabletextbullets"/>
            </w:pPr>
            <w:r w:rsidRPr="003408A6">
              <w:t>The market research approach to developing materials was not useful.</w:t>
            </w:r>
          </w:p>
          <w:p w:rsidR="00FE050A" w:rsidRPr="003408A6" w:rsidRDefault="00FE050A" w:rsidP="00FE050A">
            <w:pPr>
              <w:pStyle w:val="Tabletextbullets"/>
            </w:pPr>
            <w:r w:rsidRPr="003408A6">
              <w:t>It was impractical for providers to carry all the information resources as well as the vaccine materials to schools, so the information materials were not distributed to schools. Incentives to distribute materials are needed.</w:t>
            </w:r>
          </w:p>
          <w:p w:rsidR="00FE050A" w:rsidRPr="003408A6" w:rsidRDefault="00FE050A" w:rsidP="00FE050A">
            <w:pPr>
              <w:pStyle w:val="Tabletextbullets"/>
            </w:pPr>
            <w:r w:rsidRPr="003408A6">
              <w:t>Promoting the vaccine for STIs in males was not as straightforward a message as the cervical cancer message for females.</w:t>
            </w:r>
          </w:p>
          <w:p w:rsidR="00FE050A" w:rsidRPr="003408A6" w:rsidRDefault="00FE050A" w:rsidP="00FE050A">
            <w:pPr>
              <w:pStyle w:val="Tabletextbullets"/>
            </w:pPr>
            <w:r w:rsidRPr="003408A6">
              <w:t>There was a lack of communication with general practice around the male program.</w:t>
            </w:r>
          </w:p>
          <w:p w:rsidR="00FE050A" w:rsidRPr="003408A6" w:rsidRDefault="00FE050A" w:rsidP="00FE050A">
            <w:pPr>
              <w:pStyle w:val="Tabletextbold"/>
              <w:rPr>
                <w:lang w:val="en-AU"/>
              </w:rPr>
            </w:pPr>
            <w:r w:rsidRPr="003408A6">
              <w:rPr>
                <w:lang w:val="en-AU"/>
              </w:rPr>
              <w:t xml:space="preserve">Indigenous resources </w:t>
            </w:r>
          </w:p>
          <w:p w:rsidR="00FE050A" w:rsidRPr="003408A6" w:rsidRDefault="00FE050A" w:rsidP="00FE050A">
            <w:pPr>
              <w:pStyle w:val="Tabletextbullets"/>
            </w:pPr>
            <w:r w:rsidRPr="003408A6">
              <w:t>Indigenous resources were too wordy for people from remote communities.</w:t>
            </w:r>
          </w:p>
          <w:p w:rsidR="00FE050A" w:rsidRPr="003408A6" w:rsidRDefault="00FE050A" w:rsidP="00FE050A">
            <w:pPr>
              <w:pStyle w:val="Tabletextbullets"/>
            </w:pPr>
            <w:r w:rsidRPr="003408A6">
              <w:t>Some Indigenous resources were not clear that HPV was a STI.</w:t>
            </w:r>
          </w:p>
          <w:p w:rsidR="00FE050A" w:rsidRPr="003408A6" w:rsidRDefault="00FE050A" w:rsidP="00FE050A">
            <w:pPr>
              <w:pStyle w:val="Tabletextbullets"/>
            </w:pPr>
            <w:r w:rsidRPr="003408A6">
              <w:t>Materials need a message that is succinct and clear.</w:t>
            </w:r>
          </w:p>
          <w:p w:rsidR="00FE050A" w:rsidRPr="003408A6" w:rsidRDefault="00FE050A" w:rsidP="00FE050A">
            <w:pPr>
              <w:pStyle w:val="Tabletextbullets"/>
            </w:pPr>
            <w:r w:rsidRPr="003408A6">
              <w:t>There is an ongoing challenge of bringing message to Indigenous people in a culturally sensitive way.</w:t>
            </w:r>
          </w:p>
          <w:p w:rsidR="00FE050A" w:rsidRPr="003408A6" w:rsidRDefault="00FE050A" w:rsidP="00FE050A">
            <w:pPr>
              <w:pStyle w:val="Tabletextbullets"/>
            </w:pPr>
            <w:r w:rsidRPr="003408A6">
              <w:t>There is an ongoing need for consultation around Indigenous information and materials.</w:t>
            </w:r>
          </w:p>
          <w:p w:rsidR="00FE050A" w:rsidRPr="003408A6" w:rsidRDefault="00FE050A" w:rsidP="00FE050A">
            <w:pPr>
              <w:pStyle w:val="Tabletextbullets"/>
              <w:rPr>
                <w:u w:val="single"/>
              </w:rPr>
            </w:pPr>
            <w:r w:rsidRPr="003408A6">
              <w:t>Protecting children before they are sexually active can be controversial and sensitive.</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 xml:space="preserve">STI </w:t>
            </w:r>
            <w:r w:rsidR="00753CCC">
              <w:rPr>
                <w:lang w:val="en-AU"/>
              </w:rPr>
              <w:t>m</w:t>
            </w:r>
            <w:r w:rsidRPr="003408A6">
              <w:rPr>
                <w:lang w:val="en-AU"/>
              </w:rPr>
              <w:t>essage</w:t>
            </w:r>
          </w:p>
          <w:p w:rsidR="00FE050A" w:rsidRPr="003408A6" w:rsidRDefault="00FE050A" w:rsidP="00FE050A">
            <w:pPr>
              <w:pStyle w:val="Tabletextbullets"/>
            </w:pPr>
            <w:r w:rsidRPr="003408A6">
              <w:t>The initial message of a vaccine against cervical cancer was an easier message to promote as it was targeting a specific disease.</w:t>
            </w:r>
          </w:p>
          <w:p w:rsidR="00FE050A" w:rsidRPr="003408A6" w:rsidRDefault="00FE050A" w:rsidP="00FE050A">
            <w:pPr>
              <w:pStyle w:val="Tabletextbullets"/>
            </w:pPr>
            <w:r w:rsidRPr="003408A6">
              <w:t>The extended program for males allowed more emphasis on HPV as a sexually transmitted infection.</w:t>
            </w:r>
          </w:p>
        </w:tc>
        <w:tc>
          <w:tcPr>
            <w:tcW w:w="5061" w:type="dxa"/>
            <w:shd w:val="clear" w:color="auto" w:fill="auto"/>
          </w:tcPr>
          <w:p w:rsidR="00FE050A" w:rsidRPr="003408A6" w:rsidRDefault="00FE050A" w:rsidP="00FE050A">
            <w:pPr>
              <w:pStyle w:val="Tabletextbold"/>
              <w:rPr>
                <w:lang w:val="en-AU"/>
              </w:rPr>
            </w:pPr>
            <w:r w:rsidRPr="003408A6">
              <w:rPr>
                <w:lang w:val="en-AU"/>
              </w:rPr>
              <w:t xml:space="preserve">STI </w:t>
            </w:r>
            <w:r w:rsidR="00753CCC">
              <w:rPr>
                <w:lang w:val="en-AU"/>
              </w:rPr>
              <w:t>m</w:t>
            </w:r>
            <w:r w:rsidRPr="003408A6">
              <w:rPr>
                <w:lang w:val="en-AU"/>
              </w:rPr>
              <w:t>essage</w:t>
            </w:r>
          </w:p>
          <w:p w:rsidR="00FE050A" w:rsidRPr="003408A6" w:rsidRDefault="00FE050A" w:rsidP="00FE050A">
            <w:pPr>
              <w:pStyle w:val="Tabletextbullets"/>
              <w:rPr>
                <w:u w:val="single"/>
              </w:rPr>
            </w:pPr>
            <w:r w:rsidRPr="003408A6">
              <w:t>Rather than a cervical cancer vaccine message it should have been an HPV vaccine message from the start of the female program.</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Community acceptance</w:t>
            </w:r>
          </w:p>
          <w:p w:rsidR="00FE050A" w:rsidRPr="003408A6" w:rsidRDefault="00FE050A" w:rsidP="00FE050A">
            <w:pPr>
              <w:pStyle w:val="Tabletextbullets"/>
            </w:pPr>
            <w:r w:rsidRPr="003408A6">
              <w:t>Parents have now accepted HPV vaccination for females.</w:t>
            </w:r>
          </w:p>
          <w:p w:rsidR="00FE050A" w:rsidRPr="003408A6" w:rsidRDefault="00FE050A" w:rsidP="00FE050A">
            <w:pPr>
              <w:pStyle w:val="Tabletextbullets"/>
            </w:pPr>
            <w:r w:rsidRPr="003408A6">
              <w:t xml:space="preserve">The HPV program has become established as a normal part of the immunisation schedule.  </w:t>
            </w:r>
          </w:p>
          <w:p w:rsidR="00FE050A" w:rsidRPr="003408A6" w:rsidRDefault="00FE050A" w:rsidP="00FE050A">
            <w:pPr>
              <w:pStyle w:val="Tabletextbullets"/>
            </w:pPr>
            <w:r w:rsidRPr="003408A6">
              <w:t xml:space="preserve">Through the female program parents and the community are now better informed about HPV, cancer, genital warts, sexual transmission and the benefits of the vaccine. </w:t>
            </w:r>
          </w:p>
          <w:p w:rsidR="00FE050A" w:rsidRPr="003408A6" w:rsidRDefault="00FE050A" w:rsidP="00FE050A">
            <w:pPr>
              <w:pStyle w:val="Tabletextbullets"/>
            </w:pPr>
            <w:r w:rsidRPr="003408A6">
              <w:t xml:space="preserve">Increased knowledge will encourage parents to continue with the program. </w:t>
            </w:r>
          </w:p>
          <w:p w:rsidR="00FE050A" w:rsidRPr="003408A6" w:rsidRDefault="00FE050A" w:rsidP="00FE050A">
            <w:pPr>
              <w:pStyle w:val="Tabletextbullets"/>
            </w:pPr>
            <w:r w:rsidRPr="003408A6">
              <w:t>There is now less controversy over the vaccine and sex in the female program.</w:t>
            </w:r>
          </w:p>
          <w:p w:rsidR="00FE050A" w:rsidRPr="003408A6" w:rsidRDefault="00FE050A" w:rsidP="00FE050A">
            <w:pPr>
              <w:pStyle w:val="Tabletextbullets"/>
            </w:pPr>
            <w:r w:rsidRPr="003408A6">
              <w:t xml:space="preserve">The success of the girls’ program created a positive message for implementing the boys’ program. </w:t>
            </w:r>
          </w:p>
          <w:p w:rsidR="00FE050A" w:rsidRPr="003408A6" w:rsidRDefault="00FE050A" w:rsidP="00FE050A">
            <w:pPr>
              <w:pStyle w:val="Tabletextbullets"/>
            </w:pPr>
            <w:r w:rsidRPr="003408A6">
              <w:t xml:space="preserve">The evidence for the clinical effectiveness of the HPV vaccine from the female program was one of the best reasons for extending the vaccine to males. </w:t>
            </w:r>
          </w:p>
          <w:p w:rsidR="00FE050A" w:rsidRPr="003408A6" w:rsidRDefault="00FE050A" w:rsidP="00FE050A">
            <w:pPr>
              <w:pStyle w:val="Tabletextbullets"/>
            </w:pPr>
            <w:r w:rsidRPr="003408A6">
              <w:t>A program for both sexes is a consistent approach and increases the acceptability of the program.</w:t>
            </w:r>
          </w:p>
          <w:p w:rsidR="00FE050A" w:rsidRPr="003408A6" w:rsidRDefault="00FE050A" w:rsidP="00FE050A">
            <w:pPr>
              <w:pStyle w:val="Tabletextbullets"/>
            </w:pPr>
            <w:r w:rsidRPr="003408A6">
              <w:t>It is easier to communicate with the community and schools that the vaccination is for all adolescents.</w:t>
            </w:r>
          </w:p>
          <w:p w:rsidR="00FE050A" w:rsidRPr="003408A6" w:rsidRDefault="00FE050A" w:rsidP="00FE050A">
            <w:pPr>
              <w:pStyle w:val="Tabletextbullets"/>
            </w:pPr>
            <w:r w:rsidRPr="003408A6">
              <w:t>Parents were expecting and wanting the program for their boys.</w:t>
            </w:r>
          </w:p>
          <w:p w:rsidR="00FE050A" w:rsidRPr="003408A6" w:rsidRDefault="00FE050A" w:rsidP="00FE050A">
            <w:pPr>
              <w:pStyle w:val="Tabletextbullets"/>
            </w:pPr>
            <w:r w:rsidRPr="003408A6">
              <w:t>There was no community backlash for the male program.</w:t>
            </w:r>
          </w:p>
          <w:p w:rsidR="00FE050A" w:rsidRPr="003408A6" w:rsidRDefault="00FE050A" w:rsidP="00FE050A">
            <w:pPr>
              <w:pStyle w:val="Tabletextbullets"/>
            </w:pPr>
            <w:r w:rsidRPr="003408A6">
              <w:t>There was less controversy and fewer misconceptions around the HPV vaccine for the male program.</w:t>
            </w:r>
          </w:p>
          <w:p w:rsidR="00FE050A" w:rsidRPr="003408A6" w:rsidRDefault="00FE050A" w:rsidP="00FE050A">
            <w:pPr>
              <w:pStyle w:val="Tabletextbullets"/>
            </w:pPr>
            <w:r w:rsidRPr="003408A6">
              <w:t>Early apprehension in the female program around a new vaccine and adverse events were not seen with the extension of the program to adolescent males.</w:t>
            </w:r>
          </w:p>
          <w:p w:rsidR="00FE050A" w:rsidRPr="003408A6" w:rsidRDefault="00FE050A" w:rsidP="00FE050A">
            <w:pPr>
              <w:pStyle w:val="Tabletextbullets"/>
            </w:pPr>
            <w:r w:rsidRPr="003408A6">
              <w:t>The male program didn't attract so much attention from the anti-immunisation lobby as the female program had.</w:t>
            </w:r>
          </w:p>
          <w:p w:rsidR="00FE050A" w:rsidRPr="003408A6" w:rsidRDefault="00FE050A" w:rsidP="00FE050A">
            <w:pPr>
              <w:pStyle w:val="Tabletextbullets"/>
            </w:pPr>
            <w:r w:rsidRPr="003408A6">
              <w:rPr>
                <w:rFonts w:cs="Arial"/>
                <w:color w:val="000000"/>
              </w:rPr>
              <w:t xml:space="preserve">There has not been a big issue with the vaccine and sexual activity for the male program. </w:t>
            </w:r>
          </w:p>
          <w:p w:rsidR="00FE050A" w:rsidRPr="003408A6" w:rsidRDefault="00FE050A" w:rsidP="00FE050A">
            <w:pPr>
              <w:pStyle w:val="Tabletextbullets"/>
            </w:pPr>
            <w:r w:rsidRPr="003408A6">
              <w:t>As a sexually transmitted disease it makes sense to vaccinate both males and females against HPV.</w:t>
            </w:r>
          </w:p>
          <w:p w:rsidR="00FE050A" w:rsidRPr="003408A6" w:rsidRDefault="00FE050A" w:rsidP="00FE050A">
            <w:pPr>
              <w:pStyle w:val="Tabletextbullets"/>
            </w:pPr>
            <w:r w:rsidRPr="003408A6">
              <w:t>The program provides equity for males and females.</w:t>
            </w:r>
          </w:p>
          <w:p w:rsidR="00FE050A" w:rsidRPr="003408A6" w:rsidRDefault="00FE050A" w:rsidP="00FE050A">
            <w:pPr>
              <w:pStyle w:val="Tabletextbullets"/>
            </w:pPr>
            <w:r w:rsidRPr="003408A6">
              <w:t>A universal program protects vulnerable individuals without targeting and stigmatising them.</w:t>
            </w:r>
          </w:p>
          <w:p w:rsidR="00FE050A" w:rsidRPr="003408A6" w:rsidRDefault="00FE050A" w:rsidP="00FE050A">
            <w:pPr>
              <w:pStyle w:val="Tabletextbullets"/>
            </w:pPr>
            <w:r w:rsidRPr="003408A6">
              <w:t>Including adolescent males in the HPV vaccination program is likely to improve male uptake of other school-based vaccines and help improve males’ general health education.</w:t>
            </w:r>
          </w:p>
          <w:p w:rsidR="00FE050A" w:rsidRPr="003408A6" w:rsidRDefault="00FE050A" w:rsidP="00FE050A">
            <w:pPr>
              <w:pStyle w:val="Tabletextbullets"/>
            </w:pPr>
            <w:r w:rsidRPr="003408A6">
              <w:t>The good uptake of the vaccine by adolescent males was an indication of community acceptance of the program.</w:t>
            </w:r>
          </w:p>
          <w:p w:rsidR="00FE050A" w:rsidRPr="003408A6" w:rsidRDefault="00FE050A" w:rsidP="00FE050A">
            <w:pPr>
              <w:pStyle w:val="Tabletextbold"/>
              <w:rPr>
                <w:lang w:val="en-AU"/>
              </w:rPr>
            </w:pPr>
            <w:r w:rsidRPr="003408A6">
              <w:rPr>
                <w:lang w:val="en-AU"/>
              </w:rPr>
              <w:t>Female program paved the way for the male program</w:t>
            </w:r>
          </w:p>
          <w:p w:rsidR="00FE050A" w:rsidRPr="003408A6" w:rsidRDefault="00FE050A" w:rsidP="00FE050A">
            <w:pPr>
              <w:pStyle w:val="Tabletextbullets"/>
            </w:pPr>
            <w:r w:rsidRPr="003408A6">
              <w:t>Extending the program to include adolescent males was a logical progression from the female program.</w:t>
            </w:r>
          </w:p>
          <w:p w:rsidR="00FE050A" w:rsidRPr="003408A6" w:rsidRDefault="00FE050A" w:rsidP="00FE050A">
            <w:pPr>
              <w:pStyle w:val="Tabletextbullets"/>
            </w:pPr>
            <w:r w:rsidRPr="003408A6">
              <w:t>It was good that the value in giving adolescent males the vaccine had been acknowledged by the Australian government.</w:t>
            </w:r>
          </w:p>
          <w:p w:rsidR="00FE050A" w:rsidRPr="003408A6" w:rsidRDefault="00FE050A" w:rsidP="00FE050A">
            <w:pPr>
              <w:pStyle w:val="Tabletextbullets"/>
            </w:pPr>
            <w:r w:rsidRPr="003408A6">
              <w:t>The Australian government and jurisdictions could apply the lessons learnt from the female program when implementing the male program.</w:t>
            </w:r>
          </w:p>
          <w:p w:rsidR="00FE050A" w:rsidRPr="003408A6" w:rsidRDefault="00FE050A" w:rsidP="00FE050A">
            <w:pPr>
              <w:pStyle w:val="Tabletextbullets"/>
            </w:pPr>
            <w:r w:rsidRPr="003408A6">
              <w:t>Rolling out the program in two stages allowed learning for the delivery of the program to remote communities.</w:t>
            </w:r>
          </w:p>
          <w:p w:rsidR="00FE050A" w:rsidRPr="003408A6" w:rsidRDefault="00FE050A" w:rsidP="00FE050A">
            <w:pPr>
              <w:pStyle w:val="Tabletextbullets"/>
            </w:pPr>
            <w:r w:rsidRPr="003408A6">
              <w:t>Adding males to the ongoing school-based program for females was not much of a problem for implementation.</w:t>
            </w:r>
          </w:p>
        </w:tc>
        <w:tc>
          <w:tcPr>
            <w:tcW w:w="5061" w:type="dxa"/>
            <w:shd w:val="clear" w:color="auto" w:fill="auto"/>
          </w:tcPr>
          <w:p w:rsidR="00FE050A" w:rsidRPr="003408A6" w:rsidRDefault="00FE050A" w:rsidP="00FE050A">
            <w:pPr>
              <w:pStyle w:val="Tabletextbold"/>
              <w:rPr>
                <w:lang w:val="en-AU"/>
              </w:rPr>
            </w:pPr>
            <w:r w:rsidRPr="003408A6">
              <w:rPr>
                <w:lang w:val="en-AU"/>
              </w:rPr>
              <w:t>Community acceptance</w:t>
            </w:r>
          </w:p>
          <w:p w:rsidR="00FE050A" w:rsidRPr="003408A6" w:rsidRDefault="00FE050A" w:rsidP="00FE050A">
            <w:pPr>
              <w:pStyle w:val="Tabletextbullets"/>
            </w:pPr>
            <w:r w:rsidRPr="003408A6">
              <w:t>Initially the school-based program for young adolescent females faced major challenges to acceptance by parents and the community.</w:t>
            </w:r>
          </w:p>
          <w:p w:rsidR="00FE050A" w:rsidRPr="003408A6" w:rsidRDefault="00FE050A" w:rsidP="00FE050A">
            <w:pPr>
              <w:pStyle w:val="Tabletextbullets"/>
            </w:pPr>
            <w:r w:rsidRPr="003408A6">
              <w:t>Parents and community were apprehensive about a new vaccine.</w:t>
            </w:r>
          </w:p>
          <w:p w:rsidR="00FE050A" w:rsidRPr="003408A6" w:rsidRDefault="00FE050A" w:rsidP="00FE050A">
            <w:pPr>
              <w:pStyle w:val="Tabletextbullets"/>
            </w:pPr>
            <w:r w:rsidRPr="003408A6">
              <w:t>There was an initial lack of knowledge by women about HPV and the link to cancer.</w:t>
            </w:r>
          </w:p>
          <w:p w:rsidR="00FE050A" w:rsidRPr="003408A6" w:rsidRDefault="00FE050A" w:rsidP="00FE050A">
            <w:pPr>
              <w:pStyle w:val="Tabletextbullets"/>
            </w:pPr>
            <w:r w:rsidRPr="003408A6">
              <w:t>There were initial concerns about adverse events in the female program.</w:t>
            </w:r>
          </w:p>
          <w:p w:rsidR="00FE050A" w:rsidRPr="003408A6" w:rsidRDefault="00FE050A" w:rsidP="00FE050A">
            <w:pPr>
              <w:pStyle w:val="Tabletextbullets"/>
            </w:pPr>
            <w:r w:rsidRPr="003408A6">
              <w:t>There was a negative message from anti-vaccine groups which were quite active at the start of the girls’ program.</w:t>
            </w:r>
          </w:p>
          <w:p w:rsidR="00FE050A" w:rsidRPr="003408A6" w:rsidRDefault="00FE050A" w:rsidP="00FE050A">
            <w:pPr>
              <w:pStyle w:val="Tabletextbullets"/>
            </w:pPr>
            <w:r w:rsidRPr="003408A6">
              <w:t>The initial female program attracted negative media attention around vaccine safety and adverse events, in particular the media focus on the episode of mass psychogenic effects in Victoria.</w:t>
            </w:r>
          </w:p>
          <w:p w:rsidR="00FE050A" w:rsidRPr="003408A6" w:rsidRDefault="00FE050A" w:rsidP="00FE050A">
            <w:pPr>
              <w:pStyle w:val="Tabletextbullets"/>
            </w:pPr>
            <w:r w:rsidRPr="003408A6">
              <w:t>It was the first vaccine that was overtly to do with sexual health.</w:t>
            </w:r>
          </w:p>
          <w:p w:rsidR="00FE050A" w:rsidRPr="003408A6" w:rsidRDefault="00FE050A" w:rsidP="00FE050A">
            <w:pPr>
              <w:pStyle w:val="Tabletextbullets"/>
            </w:pPr>
            <w:r w:rsidRPr="003408A6">
              <w:t>Targeting young females during the period of sexual development in adolescence complicated the messages around the vaccine.</w:t>
            </w:r>
          </w:p>
          <w:p w:rsidR="00FE050A" w:rsidRPr="003408A6" w:rsidRDefault="00FE050A" w:rsidP="00FE050A">
            <w:pPr>
              <w:pStyle w:val="Tabletextbullets"/>
            </w:pPr>
            <w:r w:rsidRPr="003408A6">
              <w:t>Parents were concerned the vaccine may encourage early sexual activity in their daughters.</w:t>
            </w:r>
          </w:p>
          <w:p w:rsidR="00FE050A" w:rsidRPr="003408A6" w:rsidRDefault="00FE050A" w:rsidP="00FE050A">
            <w:pPr>
              <w:pStyle w:val="Tabletextbullets"/>
            </w:pPr>
            <w:r w:rsidRPr="003408A6">
              <w:t>The initial female specific program placed the burden of disease prevention on women and girls.</w:t>
            </w:r>
          </w:p>
          <w:p w:rsidR="00FE050A" w:rsidRPr="003408A6" w:rsidRDefault="00FE050A" w:rsidP="00FE050A">
            <w:pPr>
              <w:pStyle w:val="Tabletextbullets"/>
            </w:pPr>
            <w:r w:rsidRPr="003408A6">
              <w:t>The program should have included both sexes from the start.</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 xml:space="preserve">Coverage </w:t>
            </w:r>
          </w:p>
          <w:p w:rsidR="00FE050A" w:rsidRPr="003408A6" w:rsidRDefault="00FE050A" w:rsidP="00FE050A">
            <w:pPr>
              <w:pStyle w:val="Tabletextbullets"/>
            </w:pPr>
            <w:r w:rsidRPr="003408A6">
              <w:t>Millions of doses of vaccine have been delivered in the girls’ program.</w:t>
            </w:r>
          </w:p>
          <w:p w:rsidR="00FE050A" w:rsidRPr="003408A6" w:rsidRDefault="00FE050A" w:rsidP="00FE050A">
            <w:pPr>
              <w:pStyle w:val="Tabletextbullets"/>
            </w:pPr>
            <w:r w:rsidRPr="003408A6">
              <w:t>The whole</w:t>
            </w:r>
            <w:r w:rsidR="008339A9">
              <w:t>-</w:t>
            </w:r>
            <w:r w:rsidRPr="003408A6">
              <w:t>of</w:t>
            </w:r>
            <w:r w:rsidR="008339A9">
              <w:t>-</w:t>
            </w:r>
            <w:r w:rsidRPr="003408A6">
              <w:t>high</w:t>
            </w:r>
            <w:r w:rsidR="008339A9">
              <w:t>-</w:t>
            </w:r>
            <w:r w:rsidRPr="003408A6">
              <w:t>school catch-up program for females provided good coverage for the target group.</w:t>
            </w:r>
          </w:p>
          <w:p w:rsidR="00FE050A" w:rsidRPr="003408A6" w:rsidRDefault="00FE050A" w:rsidP="00FE050A">
            <w:pPr>
              <w:pStyle w:val="Tabletextbullets"/>
            </w:pPr>
            <w:r w:rsidRPr="003408A6">
              <w:t>Including both males and females increases herd immunity.</w:t>
            </w:r>
          </w:p>
          <w:p w:rsidR="00FE050A" w:rsidRPr="003408A6" w:rsidRDefault="00FE050A" w:rsidP="00FE050A">
            <w:pPr>
              <w:pStyle w:val="Tabletextbullets"/>
            </w:pPr>
            <w:r w:rsidRPr="003408A6">
              <w:t>Including both males and females is a more cost-effective way to reduce disease burden for all related cancers.</w:t>
            </w:r>
          </w:p>
          <w:p w:rsidR="00FE050A" w:rsidRPr="003408A6" w:rsidRDefault="00FE050A" w:rsidP="00FE050A">
            <w:pPr>
              <w:pStyle w:val="Tabletextbullets"/>
            </w:pPr>
            <w:r w:rsidRPr="003408A6">
              <w:t>Access to remote communities and mobile populations potentially affects coverage. However</w:t>
            </w:r>
            <w:r w:rsidR="008339A9">
              <w:t>,</w:t>
            </w:r>
            <w:r w:rsidRPr="003408A6">
              <w:t xml:space="preserve"> stakeholders working in remote communities reported that they were successfully reaching eligible young males and achieving good uptake of the vaccine.</w:t>
            </w:r>
          </w:p>
          <w:p w:rsidR="00FE050A" w:rsidRPr="003408A6" w:rsidRDefault="00FE050A" w:rsidP="00FE050A">
            <w:pPr>
              <w:pStyle w:val="Tabletextbullets"/>
            </w:pPr>
            <w:r w:rsidRPr="003408A6">
              <w:t>Staff have strategies to obtain optimal levels of consent.</w:t>
            </w:r>
          </w:p>
          <w:p w:rsidR="00FE050A" w:rsidRPr="003408A6" w:rsidRDefault="00FE050A" w:rsidP="008339A9">
            <w:pPr>
              <w:pStyle w:val="Tabletextbullets"/>
              <w:rPr>
                <w:u w:val="single"/>
              </w:rPr>
            </w:pPr>
            <w:r w:rsidRPr="003408A6">
              <w:t>Staff put in the effort to reach people from CALD backgrounds.</w:t>
            </w:r>
          </w:p>
        </w:tc>
        <w:tc>
          <w:tcPr>
            <w:tcW w:w="5061" w:type="dxa"/>
            <w:shd w:val="clear" w:color="auto" w:fill="auto"/>
          </w:tcPr>
          <w:p w:rsidR="00FE050A" w:rsidRPr="003408A6" w:rsidRDefault="00FE050A" w:rsidP="00FE050A">
            <w:pPr>
              <w:pStyle w:val="Tabletextbold"/>
              <w:rPr>
                <w:lang w:val="en-AU"/>
              </w:rPr>
            </w:pPr>
            <w:r w:rsidRPr="003408A6">
              <w:rPr>
                <w:lang w:val="en-AU"/>
              </w:rPr>
              <w:t>Coverage and eligibility</w:t>
            </w:r>
          </w:p>
          <w:p w:rsidR="00FE050A" w:rsidRPr="003408A6" w:rsidRDefault="00FE050A" w:rsidP="00FE050A">
            <w:pPr>
              <w:pStyle w:val="Tabletextbullets"/>
            </w:pPr>
            <w:r w:rsidRPr="003408A6">
              <w:t>It was important to provide the best coverage possible.</w:t>
            </w:r>
          </w:p>
          <w:p w:rsidR="00FE050A" w:rsidRPr="003408A6" w:rsidRDefault="00FE050A" w:rsidP="00FE050A">
            <w:pPr>
              <w:pStyle w:val="Tabletextbullets"/>
            </w:pPr>
            <w:r w:rsidRPr="003408A6">
              <w:t>Improving coverage for both males and females remains a challenge.</w:t>
            </w:r>
          </w:p>
          <w:p w:rsidR="00FE050A" w:rsidRPr="003408A6" w:rsidRDefault="00FE050A" w:rsidP="00FE050A">
            <w:pPr>
              <w:pStyle w:val="Tabletextbullets"/>
            </w:pPr>
            <w:r w:rsidRPr="003408A6">
              <w:t xml:space="preserve">Older age groups in the female catch-up program and the male catch-up programs were harder to reach. </w:t>
            </w:r>
          </w:p>
          <w:p w:rsidR="00FE050A" w:rsidRPr="003408A6" w:rsidRDefault="00FE050A" w:rsidP="00FE050A">
            <w:pPr>
              <w:pStyle w:val="Tabletextbullets"/>
            </w:pPr>
            <w:r w:rsidRPr="003408A6">
              <w:t>Male uptake is reasonable but could be better.</w:t>
            </w:r>
          </w:p>
          <w:p w:rsidR="00FE050A" w:rsidRPr="003408A6" w:rsidRDefault="00FE050A" w:rsidP="00FE050A">
            <w:pPr>
              <w:pStyle w:val="Tabletextbullets"/>
            </w:pPr>
            <w:r w:rsidRPr="003408A6">
              <w:t xml:space="preserve">In spite of high uptake an appreciable percentage of males don’t get dose 1 at school. There is a need to understand more about the reasons for that coverage gap. </w:t>
            </w:r>
          </w:p>
          <w:p w:rsidR="00FE050A" w:rsidRPr="003408A6" w:rsidRDefault="00FE050A" w:rsidP="00FE050A">
            <w:pPr>
              <w:pStyle w:val="Tabletextbullets"/>
            </w:pPr>
            <w:r w:rsidRPr="003408A6">
              <w:t>Are the adolescent males who miss out at school being vaccinated in general practice?</w:t>
            </w:r>
          </w:p>
          <w:p w:rsidR="00FE050A" w:rsidRPr="003408A6" w:rsidRDefault="00FE050A" w:rsidP="00FE050A">
            <w:pPr>
              <w:pStyle w:val="Tabletextbullets"/>
            </w:pPr>
            <w:r w:rsidRPr="003408A6">
              <w:t>We need to know more about how parents attitudes affect uptake.</w:t>
            </w:r>
          </w:p>
          <w:p w:rsidR="00FE050A" w:rsidRPr="003408A6" w:rsidRDefault="00FE050A" w:rsidP="00FE050A">
            <w:pPr>
              <w:pStyle w:val="Tabletextbullets"/>
            </w:pPr>
            <w:r w:rsidRPr="003408A6">
              <w:t>Changes to the eligibility criteria for the free vaccine over the course of the program created confusion for providers and the potential for eligible adolescents to miss out on the vaccine.</w:t>
            </w:r>
          </w:p>
          <w:p w:rsidR="00FE050A" w:rsidRPr="003408A6" w:rsidRDefault="00FE050A" w:rsidP="00FE050A">
            <w:pPr>
              <w:pStyle w:val="Tabletextbullets"/>
            </w:pPr>
            <w:r w:rsidRPr="003408A6">
              <w:t xml:space="preserve">The male catch-up was too restrictive in terms of age eligibility and the 2-year timeframe. This restricted availability of the free vaccine and disadvantaged individuals who did not vaccinate due to difficult circumstances. </w:t>
            </w:r>
          </w:p>
          <w:p w:rsidR="00FE050A" w:rsidRPr="003408A6" w:rsidRDefault="00FE050A" w:rsidP="00FE050A">
            <w:pPr>
              <w:pStyle w:val="Tabletextbullets"/>
            </w:pPr>
            <w:r w:rsidRPr="003408A6">
              <w:t>There is a need to improve outreach and strategies for vaccinating disadvantaged groups.</w:t>
            </w:r>
          </w:p>
          <w:p w:rsidR="00FE050A" w:rsidRPr="003408A6" w:rsidRDefault="00FE050A" w:rsidP="00FE050A">
            <w:pPr>
              <w:pStyle w:val="Tabletextbullets"/>
            </w:pPr>
            <w:r w:rsidRPr="003408A6">
              <w:t xml:space="preserve">GPs find it hard to obtain reliable information on HPV doses received by patients through the school program. </w:t>
            </w:r>
          </w:p>
          <w:p w:rsidR="00FE050A" w:rsidRPr="003408A6" w:rsidRDefault="00FE050A" w:rsidP="00FE050A">
            <w:pPr>
              <w:pStyle w:val="Tabletextbullets"/>
            </w:pPr>
            <w:r w:rsidRPr="003408A6">
              <w:t>Lack of reliable information on patient vaccination status and limited access to the vaccine creates barriers to providing opportunistic HPV vaccination in general practice.</w:t>
            </w:r>
          </w:p>
          <w:p w:rsidR="00FE050A" w:rsidRPr="003408A6" w:rsidRDefault="00FE050A" w:rsidP="00FE050A">
            <w:pPr>
              <w:pStyle w:val="Tabletextbullets"/>
              <w:rPr>
                <w:rFonts w:cs="Arial"/>
                <w:color w:val="000000"/>
                <w:u w:val="single"/>
              </w:rPr>
            </w:pPr>
            <w:r w:rsidRPr="003408A6">
              <w:t xml:space="preserve">There is a lack of incentives for general practice to be proactive in providing HPV vaccinations.  </w:t>
            </w:r>
          </w:p>
        </w:tc>
      </w:tr>
      <w:tr w:rsidR="00FE050A" w:rsidRPr="003408A6" w:rsidTr="00956E40">
        <w:tc>
          <w:tcPr>
            <w:tcW w:w="4261" w:type="dxa"/>
            <w:shd w:val="clear" w:color="auto" w:fill="auto"/>
          </w:tcPr>
          <w:p w:rsidR="00FE050A" w:rsidRPr="003408A6" w:rsidRDefault="00FE050A" w:rsidP="00FE050A">
            <w:pPr>
              <w:rPr>
                <w:sz w:val="20"/>
                <w:u w:val="single"/>
              </w:rPr>
            </w:pPr>
          </w:p>
        </w:tc>
        <w:tc>
          <w:tcPr>
            <w:tcW w:w="5061" w:type="dxa"/>
            <w:shd w:val="clear" w:color="auto" w:fill="auto"/>
          </w:tcPr>
          <w:p w:rsidR="00FE050A" w:rsidRPr="003408A6" w:rsidRDefault="00FE050A" w:rsidP="00FE050A">
            <w:pPr>
              <w:pStyle w:val="Tabletextbold"/>
              <w:rPr>
                <w:lang w:val="en-AU"/>
              </w:rPr>
            </w:pPr>
            <w:r w:rsidRPr="003408A6">
              <w:rPr>
                <w:lang w:val="en-AU"/>
              </w:rPr>
              <w:t>Sustainability</w:t>
            </w:r>
          </w:p>
          <w:p w:rsidR="00FE050A" w:rsidRPr="003408A6" w:rsidRDefault="00FE050A" w:rsidP="00FE050A">
            <w:pPr>
              <w:pStyle w:val="Tabletextbullets"/>
            </w:pPr>
            <w:r w:rsidRPr="003408A6">
              <w:t>Sustaining coverage rates over the long term is a challenge.</w:t>
            </w:r>
          </w:p>
          <w:p w:rsidR="00FE050A" w:rsidRPr="003408A6" w:rsidRDefault="00FE050A" w:rsidP="00FE050A">
            <w:pPr>
              <w:pStyle w:val="Tabletextbullets"/>
            </w:pPr>
            <w:r w:rsidRPr="003408A6">
              <w:t>There is a need to avoid complacency about the program.</w:t>
            </w:r>
          </w:p>
          <w:p w:rsidR="00FE050A" w:rsidRPr="003408A6" w:rsidRDefault="00FE050A" w:rsidP="00FE050A">
            <w:pPr>
              <w:pStyle w:val="Tabletextbullets"/>
            </w:pPr>
            <w:r w:rsidRPr="003408A6">
              <w:t>There is an ongoing need to educate the public about the value of the vaccine.</w:t>
            </w:r>
          </w:p>
        </w:tc>
      </w:tr>
      <w:tr w:rsidR="00FE050A" w:rsidRPr="003408A6" w:rsidTr="00956E40">
        <w:tc>
          <w:tcPr>
            <w:tcW w:w="4261" w:type="dxa"/>
            <w:shd w:val="clear" w:color="auto" w:fill="auto"/>
          </w:tcPr>
          <w:p w:rsidR="00FE050A" w:rsidRPr="003408A6" w:rsidRDefault="00FE050A" w:rsidP="00FE050A">
            <w:pPr>
              <w:pStyle w:val="Tabletextbold"/>
              <w:rPr>
                <w:lang w:val="en-AU"/>
              </w:rPr>
            </w:pPr>
            <w:r w:rsidRPr="003408A6">
              <w:rPr>
                <w:lang w:val="en-AU"/>
              </w:rPr>
              <w:t>Data</w:t>
            </w:r>
          </w:p>
          <w:p w:rsidR="00FE050A" w:rsidRPr="003408A6" w:rsidRDefault="00FE050A" w:rsidP="00FE050A">
            <w:pPr>
              <w:pStyle w:val="Tabletextbullets"/>
            </w:pPr>
            <w:r w:rsidRPr="003408A6">
              <w:t>The NHVPR is a good resource.</w:t>
            </w:r>
          </w:p>
          <w:p w:rsidR="00FE050A" w:rsidRPr="003408A6" w:rsidRDefault="00FE050A" w:rsidP="00FE050A">
            <w:pPr>
              <w:pStyle w:val="Tabletextbullets"/>
            </w:pPr>
            <w:r w:rsidRPr="003408A6">
              <w:t xml:space="preserve">Systems were put in place for any anticipated AEFI with the male program. </w:t>
            </w:r>
          </w:p>
          <w:p w:rsidR="00FE050A" w:rsidRPr="003408A6" w:rsidRDefault="00FE050A" w:rsidP="00FE050A">
            <w:pPr>
              <w:rPr>
                <w:sz w:val="20"/>
                <w:u w:val="single"/>
              </w:rPr>
            </w:pPr>
          </w:p>
        </w:tc>
        <w:tc>
          <w:tcPr>
            <w:tcW w:w="5061" w:type="dxa"/>
            <w:shd w:val="clear" w:color="auto" w:fill="auto"/>
          </w:tcPr>
          <w:p w:rsidR="00FE050A" w:rsidRPr="003408A6" w:rsidRDefault="00FE050A" w:rsidP="00FE050A">
            <w:pPr>
              <w:pStyle w:val="Tabletextbold"/>
              <w:rPr>
                <w:lang w:val="en-AU"/>
              </w:rPr>
            </w:pPr>
            <w:r w:rsidRPr="003408A6">
              <w:rPr>
                <w:lang w:val="en-AU"/>
              </w:rPr>
              <w:t>Data</w:t>
            </w:r>
          </w:p>
          <w:p w:rsidR="00FE050A" w:rsidRPr="003408A6" w:rsidRDefault="00FE050A" w:rsidP="00FE050A">
            <w:pPr>
              <w:pStyle w:val="Tabletextbullets"/>
              <w:rPr>
                <w:u w:val="single"/>
              </w:rPr>
            </w:pPr>
            <w:r w:rsidRPr="003408A6">
              <w:t>The NHVPR was not up and running smoothly for most of the period of the community catch-up program for young women.</w:t>
            </w:r>
          </w:p>
          <w:p w:rsidR="00FE050A" w:rsidRPr="003408A6" w:rsidRDefault="00FE050A" w:rsidP="00FE050A">
            <w:pPr>
              <w:pStyle w:val="Tabletextbullets"/>
              <w:rPr>
                <w:u w:val="single"/>
              </w:rPr>
            </w:pPr>
            <w:r w:rsidRPr="003408A6">
              <w:t>It is an ongoing challenge to encourage general practice to report consistently to the NHVPR.</w:t>
            </w:r>
          </w:p>
          <w:p w:rsidR="00FE050A" w:rsidRPr="003408A6" w:rsidRDefault="00FE050A" w:rsidP="00FE050A">
            <w:pPr>
              <w:pStyle w:val="Tabletextbullets"/>
              <w:rPr>
                <w:rFonts w:cs="Arial"/>
                <w:color w:val="000000"/>
                <w:u w:val="single"/>
              </w:rPr>
            </w:pPr>
            <w:r w:rsidRPr="003408A6">
              <w:t>GPs report difficulty finding patient dosage records on the NHVPR.</w:t>
            </w:r>
          </w:p>
        </w:tc>
      </w:tr>
      <w:tr w:rsidR="00FE050A" w:rsidRPr="003408A6" w:rsidTr="00956E40">
        <w:tc>
          <w:tcPr>
            <w:tcW w:w="4261" w:type="dxa"/>
            <w:shd w:val="clear" w:color="auto" w:fill="auto"/>
          </w:tcPr>
          <w:p w:rsidR="00FE050A" w:rsidRPr="003408A6" w:rsidRDefault="00FE050A" w:rsidP="00FE050A">
            <w:pPr>
              <w:rPr>
                <w:sz w:val="20"/>
                <w:u w:val="single"/>
              </w:rPr>
            </w:pPr>
          </w:p>
        </w:tc>
        <w:tc>
          <w:tcPr>
            <w:tcW w:w="5061" w:type="dxa"/>
            <w:shd w:val="clear" w:color="auto" w:fill="auto"/>
          </w:tcPr>
          <w:p w:rsidR="00FE050A" w:rsidRPr="003408A6" w:rsidRDefault="00FE050A" w:rsidP="00FE050A">
            <w:pPr>
              <w:pStyle w:val="Tabletextbold"/>
              <w:rPr>
                <w:lang w:val="en-AU"/>
              </w:rPr>
            </w:pPr>
            <w:r w:rsidRPr="003408A6">
              <w:rPr>
                <w:lang w:val="en-AU"/>
              </w:rPr>
              <w:t>Commonwealth/state partnership</w:t>
            </w:r>
          </w:p>
          <w:p w:rsidR="00FE050A" w:rsidRPr="003408A6" w:rsidRDefault="00FE050A" w:rsidP="00FE050A">
            <w:pPr>
              <w:pStyle w:val="Tabletextbullets"/>
            </w:pPr>
            <w:r w:rsidRPr="003408A6">
              <w:t>In reflecting on both the female and male phases of the program many respondents commented that the collaboration between the jurisdictions and the Australian government could be improved.</w:t>
            </w:r>
          </w:p>
          <w:p w:rsidR="00FE050A" w:rsidRPr="003408A6" w:rsidRDefault="00FE050A" w:rsidP="00FE050A">
            <w:pPr>
              <w:pStyle w:val="Tabletextbullets"/>
            </w:pPr>
            <w:r w:rsidRPr="003408A6">
              <w:t>Delivery of the program is a jurisdiction</w:t>
            </w:r>
            <w:r w:rsidR="008339A9">
              <w:t>/</w:t>
            </w:r>
            <w:r w:rsidRPr="003408A6">
              <w:t>Australian government partnership.</w:t>
            </w:r>
          </w:p>
          <w:p w:rsidR="00FE050A" w:rsidRPr="003408A6" w:rsidRDefault="00FE050A" w:rsidP="00FE050A">
            <w:pPr>
              <w:pStyle w:val="Tabletextbullets"/>
            </w:pPr>
            <w:r w:rsidRPr="003408A6">
              <w:t>Jurisdictions need a directive from the Australian government about allocating sufficient jurisdictional funding for programs.</w:t>
            </w:r>
          </w:p>
          <w:p w:rsidR="00FE050A" w:rsidRPr="003408A6" w:rsidRDefault="00FE050A" w:rsidP="00FE050A">
            <w:pPr>
              <w:pStyle w:val="Tabletextbullets"/>
            </w:pPr>
            <w:r w:rsidRPr="003408A6">
              <w:t>Jurisdictions and the Australian government need agreement on goals and targets for each vaccine.</w:t>
            </w:r>
          </w:p>
          <w:p w:rsidR="00FE050A" w:rsidRPr="003408A6" w:rsidRDefault="00FE050A" w:rsidP="00FE050A">
            <w:pPr>
              <w:pStyle w:val="Tabletextbullets"/>
            </w:pPr>
            <w:r w:rsidRPr="003408A6">
              <w:t>The current partnership model of school-based programs provide very cost-effective coverage for the Australian government.</w:t>
            </w:r>
          </w:p>
          <w:p w:rsidR="00FE050A" w:rsidRPr="003408A6" w:rsidRDefault="00FE050A" w:rsidP="00FE050A">
            <w:pPr>
              <w:pStyle w:val="Tabletextbullets"/>
            </w:pPr>
            <w:r w:rsidRPr="003408A6">
              <w:t>The Australian government supports service delivery of childhood immunisation in general practice through Medicare. However, there are very few service delivery costs to the Australian government for the HPV school-based vaccination program for adolescent males.</w:t>
            </w:r>
          </w:p>
          <w:p w:rsidR="00FE050A" w:rsidRPr="003408A6" w:rsidRDefault="00FE050A" w:rsidP="00FE050A">
            <w:pPr>
              <w:pStyle w:val="Tabletextbullets"/>
            </w:pPr>
            <w:r w:rsidRPr="003408A6">
              <w:t>Partnership with Australian government around funding is not really 50/50.</w:t>
            </w:r>
          </w:p>
          <w:p w:rsidR="00FE050A" w:rsidRPr="003408A6" w:rsidRDefault="00FE050A" w:rsidP="00FE050A">
            <w:pPr>
              <w:pStyle w:val="Tabletextbullets"/>
              <w:rPr>
                <w:rFonts w:cs="Arial"/>
                <w:color w:val="000000"/>
                <w:u w:val="single"/>
              </w:rPr>
            </w:pPr>
            <w:r w:rsidRPr="003408A6">
              <w:t>Jurisdictions will be demanding funding in the future.</w:t>
            </w:r>
          </w:p>
        </w:tc>
      </w:tr>
    </w:tbl>
    <w:p w:rsidR="00FE050A" w:rsidRPr="003408A6" w:rsidRDefault="00FE050A" w:rsidP="00FE050A">
      <w:pPr>
        <w:rPr>
          <w:rFonts w:cs="Arial"/>
          <w:color w:val="004280"/>
          <w:szCs w:val="22"/>
          <w:lang w:eastAsia="en-US"/>
        </w:rPr>
      </w:pPr>
      <w:r w:rsidRPr="003408A6">
        <w:rPr>
          <w:rFonts w:cs="Arial"/>
          <w:color w:val="004280"/>
          <w:szCs w:val="22"/>
          <w:lang w:eastAsia="en-US"/>
        </w:rPr>
        <w:br w:type="page"/>
      </w:r>
    </w:p>
    <w:p w:rsidR="00301816" w:rsidRPr="003408A6" w:rsidRDefault="00301816" w:rsidP="00301816">
      <w:pPr>
        <w:pStyle w:val="Heading2"/>
      </w:pPr>
      <w:bookmarkStart w:id="410" w:name="_Toc396926154"/>
      <w:bookmarkEnd w:id="401"/>
      <w:r w:rsidRPr="003408A6">
        <w:t xml:space="preserve">Appendix </w:t>
      </w:r>
      <w:r w:rsidR="008A5955" w:rsidRPr="003408A6">
        <w:t>4</w:t>
      </w:r>
      <w:r w:rsidRPr="003408A6">
        <w:t>.1</w:t>
      </w:r>
      <w:bookmarkEnd w:id="410"/>
    </w:p>
    <w:p w:rsidR="00301816" w:rsidRPr="003408A6" w:rsidRDefault="00301816" w:rsidP="0057457E">
      <w:pPr>
        <w:pStyle w:val="Appendixunnumberedfiguretableheading"/>
      </w:pPr>
      <w:r w:rsidRPr="003408A6">
        <w:t>Reported adverse events following HPV vaccination, TGA Adverse Drug Reaction System database, 1 February 2013</w:t>
      </w:r>
      <w:r w:rsidR="00A87023" w:rsidRPr="003408A6">
        <w:t xml:space="preserve"> to</w:t>
      </w:r>
      <w:r w:rsidRPr="003408A6">
        <w:t xml:space="preserve"> 30 June 2013</w:t>
      </w:r>
    </w:p>
    <w:tbl>
      <w:tblPr>
        <w:tblW w:w="10915" w:type="dxa"/>
        <w:tblInd w:w="-601" w:type="dxa"/>
        <w:tblLayout w:type="fixed"/>
        <w:tblLook w:val="04A0" w:firstRow="1" w:lastRow="0" w:firstColumn="1" w:lastColumn="0" w:noHBand="0" w:noVBand="1"/>
      </w:tblPr>
      <w:tblGrid>
        <w:gridCol w:w="1843"/>
        <w:gridCol w:w="638"/>
        <w:gridCol w:w="638"/>
        <w:gridCol w:w="850"/>
        <w:gridCol w:w="851"/>
        <w:gridCol w:w="709"/>
        <w:gridCol w:w="709"/>
        <w:gridCol w:w="850"/>
        <w:gridCol w:w="851"/>
        <w:gridCol w:w="637"/>
        <w:gridCol w:w="638"/>
        <w:gridCol w:w="851"/>
        <w:gridCol w:w="850"/>
      </w:tblGrid>
      <w:tr w:rsidR="00301816" w:rsidRPr="003408A6" w:rsidTr="00655651">
        <w:trPr>
          <w:trHeight w:val="240"/>
        </w:trPr>
        <w:tc>
          <w:tcPr>
            <w:tcW w:w="1843" w:type="dxa"/>
            <w:vMerge w:val="restart"/>
            <w:tcBorders>
              <w:top w:val="single" w:sz="4" w:space="0" w:color="auto"/>
              <w:left w:val="single" w:sz="4" w:space="0" w:color="auto"/>
              <w:right w:val="single" w:sz="4" w:space="0" w:color="auto"/>
            </w:tcBorders>
            <w:shd w:val="clear" w:color="auto" w:fill="auto"/>
            <w:vAlign w:val="center"/>
            <w:hideMark/>
          </w:tcPr>
          <w:p w:rsidR="00301816" w:rsidRPr="003408A6" w:rsidRDefault="00301816" w:rsidP="00655651">
            <w:pPr>
              <w:rPr>
                <w:rFonts w:cs="Arial"/>
                <w:b/>
                <w:bCs/>
                <w:color w:val="000000"/>
                <w:sz w:val="14"/>
                <w:szCs w:val="14"/>
              </w:rPr>
            </w:pPr>
            <w:r w:rsidRPr="003408A6">
              <w:rPr>
                <w:rFonts w:cs="Arial"/>
                <w:b/>
                <w:bCs/>
                <w:color w:val="000000"/>
                <w:kern w:val="24"/>
                <w:sz w:val="16"/>
                <w:szCs w:val="14"/>
              </w:rPr>
              <w:t>MedDRA Preferred Terms*</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cs="Arial"/>
                <w:b/>
                <w:bCs/>
                <w:color w:val="000000"/>
                <w:sz w:val="16"/>
                <w:szCs w:val="14"/>
              </w:rPr>
            </w:pPr>
            <w:r w:rsidRPr="003408A6">
              <w:rPr>
                <w:rFonts w:cs="Arial"/>
                <w:b/>
                <w:bCs/>
                <w:color w:val="000000"/>
                <w:sz w:val="16"/>
                <w:szCs w:val="14"/>
              </w:rPr>
              <w:t>Male</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cs="Arial"/>
                <w:b/>
                <w:bCs/>
                <w:color w:val="000000"/>
                <w:sz w:val="16"/>
                <w:szCs w:val="14"/>
              </w:rPr>
            </w:pPr>
            <w:r w:rsidRPr="003408A6">
              <w:rPr>
                <w:rFonts w:cs="Arial"/>
                <w:b/>
                <w:bCs/>
                <w:color w:val="000000"/>
                <w:sz w:val="16"/>
                <w:szCs w:val="14"/>
              </w:rPr>
              <w:t>Female</w:t>
            </w:r>
          </w:p>
        </w:tc>
        <w:tc>
          <w:tcPr>
            <w:tcW w:w="2976" w:type="dxa"/>
            <w:gridSpan w:val="4"/>
            <w:tcBorders>
              <w:top w:val="single" w:sz="4" w:space="0" w:color="auto"/>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cs="Arial"/>
                <w:b/>
                <w:bCs/>
                <w:color w:val="000000"/>
                <w:sz w:val="16"/>
                <w:szCs w:val="14"/>
              </w:rPr>
            </w:pPr>
            <w:r w:rsidRPr="003408A6">
              <w:rPr>
                <w:rFonts w:cs="Arial"/>
                <w:b/>
                <w:bCs/>
                <w:color w:val="000000"/>
                <w:sz w:val="16"/>
                <w:szCs w:val="14"/>
              </w:rPr>
              <w:t>Total</w:t>
            </w:r>
          </w:p>
        </w:tc>
      </w:tr>
      <w:tr w:rsidR="00301816" w:rsidRPr="003408A6" w:rsidTr="00655651">
        <w:trPr>
          <w:trHeight w:val="571"/>
        </w:trPr>
        <w:tc>
          <w:tcPr>
            <w:tcW w:w="1843" w:type="dxa"/>
            <w:vMerge/>
            <w:tcBorders>
              <w:left w:val="single" w:sz="4" w:space="0" w:color="auto"/>
              <w:right w:val="single" w:sz="4" w:space="0" w:color="auto"/>
            </w:tcBorders>
            <w:hideMark/>
          </w:tcPr>
          <w:p w:rsidR="00301816" w:rsidRPr="003408A6" w:rsidRDefault="00301816" w:rsidP="00FF18C7">
            <w:pPr>
              <w:rPr>
                <w:rFonts w:cs="Arial"/>
                <w:b/>
                <w:bCs/>
                <w:color w:val="000000"/>
                <w:sz w:val="14"/>
                <w:szCs w:val="14"/>
              </w:rPr>
            </w:pPr>
          </w:p>
        </w:tc>
        <w:tc>
          <w:tcPr>
            <w:tcW w:w="1276" w:type="dxa"/>
            <w:gridSpan w:val="2"/>
            <w:tcBorders>
              <w:top w:val="nil"/>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r w:rsidRPr="003408A6">
              <w:rPr>
                <w:rFonts w:cs="Arial"/>
                <w:b/>
                <w:bCs/>
                <w:color w:val="000000"/>
                <w:kern w:val="24"/>
                <w:sz w:val="16"/>
                <w:szCs w:val="16"/>
              </w:rPr>
              <w:t>AEFI records</w:t>
            </w:r>
          </w:p>
        </w:tc>
        <w:tc>
          <w:tcPr>
            <w:tcW w:w="850" w:type="dxa"/>
            <w:vMerge w:val="restart"/>
            <w:tcBorders>
              <w:top w:val="nil"/>
              <w:left w:val="nil"/>
              <w:right w:val="single" w:sz="4" w:space="0" w:color="auto"/>
            </w:tcBorders>
            <w:vAlign w:val="center"/>
            <w:hideMark/>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Serious</w:t>
            </w:r>
          </w:p>
        </w:tc>
        <w:tc>
          <w:tcPr>
            <w:tcW w:w="851" w:type="dxa"/>
            <w:vMerge w:val="restart"/>
            <w:tcBorders>
              <w:top w:val="nil"/>
              <w:left w:val="nil"/>
              <w:right w:val="single" w:sz="4" w:space="0" w:color="auto"/>
            </w:tcBorders>
            <w:vAlign w:val="center"/>
            <w:hideMark/>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Only HPV vaccine</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sz w:val="16"/>
                <w:szCs w:val="16"/>
              </w:rPr>
            </w:pPr>
            <w:r w:rsidRPr="003408A6">
              <w:rPr>
                <w:rFonts w:cs="Arial"/>
                <w:b/>
                <w:bCs/>
                <w:kern w:val="24"/>
                <w:sz w:val="16"/>
                <w:szCs w:val="16"/>
              </w:rPr>
              <w:t>AEFI records</w:t>
            </w:r>
          </w:p>
        </w:tc>
        <w:tc>
          <w:tcPr>
            <w:tcW w:w="850" w:type="dxa"/>
            <w:vMerge w:val="restart"/>
            <w:tcBorders>
              <w:top w:val="nil"/>
              <w:left w:val="nil"/>
              <w:right w:val="single" w:sz="4" w:space="0" w:color="auto"/>
            </w:tcBorders>
            <w:vAlign w:val="center"/>
            <w:hideMark/>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Serious</w:t>
            </w:r>
          </w:p>
        </w:tc>
        <w:tc>
          <w:tcPr>
            <w:tcW w:w="851" w:type="dxa"/>
            <w:vMerge w:val="restart"/>
            <w:tcBorders>
              <w:top w:val="nil"/>
              <w:left w:val="nil"/>
              <w:right w:val="single" w:sz="4" w:space="0" w:color="auto"/>
            </w:tcBorders>
            <w:vAlign w:val="center"/>
            <w:hideMark/>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Only HPV vaccine</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color w:val="000000"/>
                <w:sz w:val="16"/>
                <w:szCs w:val="16"/>
              </w:rPr>
            </w:pPr>
            <w:r w:rsidRPr="003408A6">
              <w:rPr>
                <w:rFonts w:cs="Arial"/>
                <w:b/>
                <w:bCs/>
                <w:color w:val="000000"/>
                <w:kern w:val="24"/>
                <w:sz w:val="16"/>
                <w:szCs w:val="16"/>
              </w:rPr>
              <w:t>AEFI records</w:t>
            </w:r>
          </w:p>
        </w:tc>
        <w:tc>
          <w:tcPr>
            <w:tcW w:w="851" w:type="dxa"/>
            <w:vMerge w:val="restart"/>
            <w:tcBorders>
              <w:top w:val="nil"/>
              <w:left w:val="nil"/>
              <w:right w:val="single" w:sz="4" w:space="0" w:color="auto"/>
            </w:tcBorders>
            <w:shd w:val="clear" w:color="auto" w:fill="auto"/>
            <w:vAlign w:val="center"/>
            <w:hideMark/>
          </w:tcPr>
          <w:p w:rsidR="00301816" w:rsidRPr="003408A6" w:rsidRDefault="00A87023" w:rsidP="00655651">
            <w:pPr>
              <w:jc w:val="center"/>
              <w:rPr>
                <w:rFonts w:cs="Arial"/>
                <w:b/>
                <w:sz w:val="16"/>
                <w:szCs w:val="16"/>
              </w:rPr>
            </w:pPr>
            <w:r w:rsidRPr="003408A6">
              <w:rPr>
                <w:rFonts w:cs="Arial"/>
                <w:b/>
                <w:sz w:val="16"/>
                <w:szCs w:val="16"/>
              </w:rPr>
              <w:t>S</w:t>
            </w:r>
            <w:r w:rsidR="00301816" w:rsidRPr="003408A6">
              <w:rPr>
                <w:rFonts w:cs="Arial"/>
                <w:b/>
                <w:sz w:val="16"/>
                <w:szCs w:val="16"/>
              </w:rPr>
              <w:t>erious</w:t>
            </w:r>
          </w:p>
        </w:tc>
        <w:tc>
          <w:tcPr>
            <w:tcW w:w="850" w:type="dxa"/>
            <w:vMerge w:val="restart"/>
            <w:tcBorders>
              <w:top w:val="nil"/>
              <w:left w:val="nil"/>
              <w:right w:val="single" w:sz="4" w:space="0" w:color="auto"/>
            </w:tcBorders>
            <w:shd w:val="clear" w:color="auto" w:fill="auto"/>
            <w:vAlign w:val="center"/>
            <w:hideMark/>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Only HPV vaccine</w:t>
            </w:r>
          </w:p>
        </w:tc>
      </w:tr>
      <w:tr w:rsidR="00301816" w:rsidRPr="003408A6" w:rsidTr="00655651">
        <w:trPr>
          <w:trHeight w:val="301"/>
        </w:trPr>
        <w:tc>
          <w:tcPr>
            <w:tcW w:w="1843" w:type="dxa"/>
            <w:vMerge/>
            <w:tcBorders>
              <w:left w:val="single" w:sz="4" w:space="0" w:color="auto"/>
              <w:bottom w:val="single" w:sz="4" w:space="0" w:color="auto"/>
              <w:right w:val="single" w:sz="4" w:space="0" w:color="auto"/>
            </w:tcBorders>
          </w:tcPr>
          <w:p w:rsidR="00301816" w:rsidRPr="003408A6" w:rsidRDefault="00301816" w:rsidP="00FF18C7">
            <w:pPr>
              <w:rPr>
                <w:rFonts w:cs="Arial"/>
                <w:b/>
                <w:bCs/>
                <w:color w:val="000000"/>
                <w:sz w:val="14"/>
                <w:szCs w:val="14"/>
              </w:rPr>
            </w:pPr>
          </w:p>
        </w:tc>
        <w:tc>
          <w:tcPr>
            <w:tcW w:w="638" w:type="dxa"/>
            <w:tcBorders>
              <w:top w:val="nil"/>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Total</w:t>
            </w:r>
          </w:p>
        </w:tc>
        <w:tc>
          <w:tcPr>
            <w:tcW w:w="638" w:type="dxa"/>
            <w:tcBorders>
              <w:top w:val="nil"/>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w:t>
            </w:r>
          </w:p>
        </w:tc>
        <w:tc>
          <w:tcPr>
            <w:tcW w:w="850" w:type="dxa"/>
            <w:vMerge/>
            <w:tcBorders>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p>
        </w:tc>
        <w:tc>
          <w:tcPr>
            <w:tcW w:w="851" w:type="dxa"/>
            <w:vMerge/>
            <w:tcBorders>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sz w:val="16"/>
                <w:szCs w:val="16"/>
              </w:rPr>
            </w:pPr>
            <w:r w:rsidRPr="003408A6">
              <w:rPr>
                <w:rFonts w:cs="Arial"/>
                <w:b/>
                <w:bCs/>
                <w:sz w:val="16"/>
                <w:szCs w:val="16"/>
              </w:rPr>
              <w:t>Total</w:t>
            </w:r>
          </w:p>
        </w:tc>
        <w:tc>
          <w:tcPr>
            <w:tcW w:w="709" w:type="dxa"/>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sz w:val="16"/>
                <w:szCs w:val="16"/>
              </w:rPr>
            </w:pPr>
            <w:r w:rsidRPr="003408A6">
              <w:rPr>
                <w:rFonts w:cs="Arial"/>
                <w:b/>
                <w:bCs/>
                <w:sz w:val="16"/>
                <w:szCs w:val="16"/>
              </w:rPr>
              <w:t>%</w:t>
            </w:r>
          </w:p>
        </w:tc>
        <w:tc>
          <w:tcPr>
            <w:tcW w:w="850" w:type="dxa"/>
            <w:vMerge/>
            <w:tcBorders>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p>
        </w:tc>
        <w:tc>
          <w:tcPr>
            <w:tcW w:w="851" w:type="dxa"/>
            <w:vMerge/>
            <w:tcBorders>
              <w:left w:val="nil"/>
              <w:bottom w:val="single" w:sz="4" w:space="0" w:color="auto"/>
              <w:right w:val="single" w:sz="4" w:space="0" w:color="auto"/>
            </w:tcBorders>
            <w:vAlign w:val="center"/>
          </w:tcPr>
          <w:p w:rsidR="00301816" w:rsidRPr="003408A6" w:rsidRDefault="00301816" w:rsidP="00655651">
            <w:pPr>
              <w:jc w:val="center"/>
              <w:rPr>
                <w:rFonts w:cs="Arial"/>
                <w:b/>
                <w:bCs/>
                <w:color w:val="000000"/>
                <w:sz w:val="16"/>
                <w:szCs w:val="16"/>
              </w:rPr>
            </w:pPr>
          </w:p>
        </w:tc>
        <w:tc>
          <w:tcPr>
            <w:tcW w:w="637" w:type="dxa"/>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Total</w:t>
            </w:r>
          </w:p>
        </w:tc>
        <w:tc>
          <w:tcPr>
            <w:tcW w:w="638" w:type="dxa"/>
            <w:tcBorders>
              <w:top w:val="single" w:sz="4" w:space="0" w:color="auto"/>
              <w:left w:val="nil"/>
              <w:bottom w:val="single" w:sz="4" w:space="0" w:color="auto"/>
              <w:right w:val="single" w:sz="4" w:space="0" w:color="auto"/>
            </w:tcBorders>
            <w:shd w:val="clear" w:color="auto" w:fill="auto"/>
            <w:vAlign w:val="center"/>
          </w:tcPr>
          <w:p w:rsidR="00301816" w:rsidRPr="003408A6" w:rsidRDefault="00301816" w:rsidP="00655651">
            <w:pPr>
              <w:jc w:val="center"/>
              <w:rPr>
                <w:rFonts w:cs="Arial"/>
                <w:b/>
                <w:bCs/>
                <w:color w:val="000000"/>
                <w:sz w:val="16"/>
                <w:szCs w:val="16"/>
              </w:rPr>
            </w:pPr>
            <w:r w:rsidRPr="003408A6">
              <w:rPr>
                <w:rFonts w:cs="Arial"/>
                <w:b/>
                <w:bCs/>
                <w:color w:val="000000"/>
                <w:sz w:val="16"/>
                <w:szCs w:val="16"/>
              </w:rPr>
              <w:t>%</w:t>
            </w:r>
          </w:p>
        </w:tc>
        <w:tc>
          <w:tcPr>
            <w:tcW w:w="851" w:type="dxa"/>
            <w:vMerge/>
            <w:tcBorders>
              <w:left w:val="nil"/>
              <w:bottom w:val="single" w:sz="4" w:space="0" w:color="auto"/>
              <w:right w:val="single" w:sz="4" w:space="0" w:color="auto"/>
            </w:tcBorders>
            <w:shd w:val="clear" w:color="auto" w:fill="auto"/>
          </w:tcPr>
          <w:p w:rsidR="00301816" w:rsidRPr="003408A6" w:rsidRDefault="00301816" w:rsidP="00FF18C7">
            <w:pPr>
              <w:jc w:val="center"/>
              <w:rPr>
                <w:rFonts w:cs="Arial"/>
                <w:b/>
                <w:bCs/>
                <w:color w:val="000000"/>
                <w:sz w:val="16"/>
                <w:szCs w:val="16"/>
              </w:rPr>
            </w:pPr>
          </w:p>
        </w:tc>
        <w:tc>
          <w:tcPr>
            <w:tcW w:w="850" w:type="dxa"/>
            <w:vMerge/>
            <w:tcBorders>
              <w:left w:val="nil"/>
              <w:bottom w:val="single" w:sz="4" w:space="0" w:color="auto"/>
              <w:right w:val="single" w:sz="4" w:space="0" w:color="auto"/>
            </w:tcBorders>
            <w:shd w:val="clear" w:color="auto" w:fill="auto"/>
          </w:tcPr>
          <w:p w:rsidR="00301816" w:rsidRPr="003408A6" w:rsidRDefault="00301816" w:rsidP="00FF18C7">
            <w:pPr>
              <w:jc w:val="center"/>
              <w:rPr>
                <w:rFonts w:cs="Arial"/>
                <w:b/>
                <w:bCs/>
                <w:color w:val="000000"/>
                <w:sz w:val="16"/>
                <w:szCs w:val="16"/>
              </w:rPr>
            </w:pP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Syncope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173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28.1</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33</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296</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48.1</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Presyncope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28</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4.6</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17</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39</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17</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67</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10.9</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Nausea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28</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4.6</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19</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Dizziness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26</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3.9</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50</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8.1</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Headache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Vomiting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16</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2.6</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17</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5.4</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18</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Pyrexia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29</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16</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Urticaria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3.9</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17</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Malaise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2.4</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3.6</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Injection site reaction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19</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3.1</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R</w:t>
            </w:r>
            <w:r w:rsidR="00301816" w:rsidRPr="003408A6">
              <w:rPr>
                <w:rFonts w:cs="Arial"/>
                <w:bCs/>
                <w:color w:val="000000"/>
                <w:sz w:val="16"/>
                <w:szCs w:val="14"/>
              </w:rPr>
              <w:t>ash</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2.9</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Pallor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Pruritus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1.6</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Rash generalised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1.6</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Diarrhoea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Lethargy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Paraesthesia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9</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Anxiety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Hypersensitivity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pain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 xml:space="preserve">Rash </w:t>
            </w:r>
            <w:r w:rsidR="00A87023" w:rsidRPr="003408A6">
              <w:rPr>
                <w:rFonts w:cs="Arial"/>
                <w:bCs/>
                <w:color w:val="000000"/>
                <w:sz w:val="16"/>
                <w:szCs w:val="16"/>
              </w:rPr>
              <w:t>p</w:t>
            </w:r>
            <w:r w:rsidRPr="003408A6">
              <w:rPr>
                <w:rFonts w:cs="Arial"/>
                <w:bCs/>
                <w:color w:val="000000"/>
                <w:sz w:val="16"/>
                <w:szCs w:val="16"/>
              </w:rPr>
              <w:t>ruritic</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8</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Cold sweat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Vision blurred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7</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Abdominal pain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Abdominal pain upper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Dyspnoea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Rash erythematous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6</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Arthralgia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Chest discomfort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Fatigue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swelling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Swelling face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Tremor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5</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Chills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Decreased appetite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Feeling hot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Injection site rash</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Lymphadenopathy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V</w:t>
            </w:r>
            <w:r w:rsidR="00301816" w:rsidRPr="003408A6">
              <w:rPr>
                <w:rFonts w:cs="Arial"/>
                <w:bCs/>
                <w:color w:val="000000"/>
                <w:sz w:val="16"/>
                <w:szCs w:val="14"/>
              </w:rPr>
              <w:t>isual impairment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4</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F</w:t>
            </w:r>
            <w:r w:rsidR="00301816" w:rsidRPr="003408A6">
              <w:rPr>
                <w:rFonts w:cs="Arial"/>
                <w:bCs/>
                <w:color w:val="000000"/>
                <w:sz w:val="16"/>
                <w:szCs w:val="14"/>
              </w:rPr>
              <w:t>eeling abnormal</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Flushing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Gait disturbance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Hyperhidrosis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Injection site mass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Lip swelling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M</w:t>
            </w:r>
            <w:r w:rsidR="00301816" w:rsidRPr="003408A6">
              <w:rPr>
                <w:rFonts w:cs="Arial"/>
                <w:bCs/>
                <w:color w:val="000000"/>
                <w:sz w:val="16"/>
                <w:szCs w:val="14"/>
              </w:rPr>
              <w:t>yalgia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P</w:t>
            </w:r>
            <w:r w:rsidR="00301816" w:rsidRPr="003408A6">
              <w:rPr>
                <w:rFonts w:cs="Arial"/>
                <w:bCs/>
                <w:color w:val="000000"/>
                <w:sz w:val="16"/>
                <w:szCs w:val="14"/>
              </w:rPr>
              <w:t>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0.5</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Asthenia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Blister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Concomitant disease aggravated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Convulsion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Cough</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Dysphagia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Epistaxis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Extensive swelling of vaccinated limb</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Eye pain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Eye swelling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Hyperventilation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Hypoaesthesia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Loss of consciousness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Migraine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Pain in extremity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Paraesthesia oral</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Pharyngeal oedema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Rash vesicular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Rhinitis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Skin discolouration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Swollen tongue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4"/>
              </w:rPr>
            </w:pPr>
            <w:r w:rsidRPr="003408A6">
              <w:rPr>
                <w:rFonts w:cs="Arial"/>
                <w:bCs/>
                <w:color w:val="000000"/>
                <w:sz w:val="16"/>
                <w:szCs w:val="14"/>
              </w:rPr>
              <w:t>T</w:t>
            </w:r>
            <w:r w:rsidR="00301816" w:rsidRPr="003408A6">
              <w:rPr>
                <w:rFonts w:cs="Arial"/>
                <w:bCs/>
                <w:color w:val="000000"/>
                <w:sz w:val="16"/>
                <w:szCs w:val="14"/>
              </w:rPr>
              <w:t>achycardia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Tearfulness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4"/>
              </w:rPr>
            </w:pPr>
            <w:r w:rsidRPr="003408A6">
              <w:rPr>
                <w:rFonts w:cs="Arial"/>
                <w:bCs/>
                <w:color w:val="000000"/>
                <w:sz w:val="16"/>
                <w:szCs w:val="14"/>
              </w:rPr>
              <w:t>Throat irritation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Urinary incontinence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2</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Abnormal behaviour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Amnesia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Ataxia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Balance disorder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C</w:t>
            </w:r>
            <w:r w:rsidR="00301816" w:rsidRPr="003408A6">
              <w:rPr>
                <w:rFonts w:cs="Arial"/>
                <w:bCs/>
                <w:color w:val="000000"/>
                <w:sz w:val="16"/>
                <w:szCs w:val="16"/>
              </w:rPr>
              <w:t>luster headache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C</w:t>
            </w:r>
            <w:r w:rsidR="00905C8B" w:rsidRPr="003408A6">
              <w:rPr>
                <w:rFonts w:cs="Arial"/>
                <w:bCs/>
                <w:color w:val="000000"/>
                <w:sz w:val="16"/>
                <w:szCs w:val="16"/>
              </w:rPr>
              <w:t>orneal refle</w:t>
            </w:r>
            <w:r w:rsidR="00301816" w:rsidRPr="003408A6">
              <w:rPr>
                <w:rFonts w:cs="Arial"/>
                <w:bCs/>
                <w:color w:val="000000"/>
                <w:sz w:val="16"/>
                <w:szCs w:val="16"/>
              </w:rPr>
              <w:t>x decreased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Dermatitis allergic</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Disorientation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Drug administration error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Dysarthria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Dysgeusia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Dystonia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Emotional distress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Erythema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Exfoliative rash</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Eyelid oedema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Hearing impaired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Hypopnoea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Influenza like illness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Incontinence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Injected limb mobility decreased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coldness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erythema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I</w:t>
            </w:r>
            <w:r w:rsidR="00301816" w:rsidRPr="003408A6">
              <w:rPr>
                <w:rFonts w:cs="Arial"/>
                <w:bCs/>
                <w:color w:val="000000"/>
                <w:sz w:val="16"/>
                <w:szCs w:val="16"/>
              </w:rPr>
              <w:t>njection site induration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pruritus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Injection site urticaria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Irritability</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Labia enlarged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Lacrimation increased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Limb discomfort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Lymphadenitis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Memory impairment</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Muscle spasms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Muscular weakness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Musculoskeletal chest pain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Musculoskeletal stiffness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Nasopharyngitis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O</w:t>
            </w:r>
            <w:r w:rsidR="00301816" w:rsidRPr="003408A6">
              <w:rPr>
                <w:rFonts w:cs="Arial"/>
                <w:bCs/>
                <w:color w:val="000000"/>
                <w:sz w:val="16"/>
                <w:szCs w:val="16"/>
              </w:rPr>
              <w:t>ligomenorrhoea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Oropharyngeal pain</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Papulae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Photophobia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Rash maculopapular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R</w:t>
            </w:r>
            <w:r w:rsidR="00301816" w:rsidRPr="003408A6">
              <w:rPr>
                <w:rFonts w:cs="Arial"/>
                <w:bCs/>
                <w:color w:val="000000"/>
                <w:sz w:val="16"/>
                <w:szCs w:val="16"/>
              </w:rPr>
              <w:t>eflux gastritis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Restlessness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Skin mass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S</w:t>
            </w:r>
            <w:r w:rsidR="00301816" w:rsidRPr="003408A6">
              <w:rPr>
                <w:rFonts w:cs="Arial"/>
                <w:bCs/>
                <w:color w:val="000000"/>
                <w:sz w:val="16"/>
                <w:szCs w:val="16"/>
              </w:rPr>
              <w:t>neezing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Somnolence</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Swelling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Tachypnoea</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Throat tightness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Vaccination error</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 xml:space="preserve">VIIth </w:t>
            </w:r>
            <w:r w:rsidR="00301816" w:rsidRPr="003408A6">
              <w:rPr>
                <w:rFonts w:cs="Arial"/>
                <w:bCs/>
                <w:color w:val="000000"/>
                <w:sz w:val="16"/>
                <w:szCs w:val="16"/>
              </w:rPr>
              <w:t>nerve paralysis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Vulvovaginal pruritus</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A87023" w:rsidP="00655651">
            <w:pPr>
              <w:rPr>
                <w:rFonts w:cs="Arial"/>
                <w:bCs/>
                <w:color w:val="000000"/>
                <w:sz w:val="16"/>
                <w:szCs w:val="16"/>
              </w:rPr>
            </w:pPr>
            <w:r w:rsidRPr="003408A6">
              <w:rPr>
                <w:rFonts w:cs="Arial"/>
                <w:bCs/>
                <w:color w:val="000000"/>
                <w:sz w:val="16"/>
                <w:szCs w:val="16"/>
              </w:rPr>
              <w:t>W</w:t>
            </w:r>
            <w:r w:rsidR="00301816" w:rsidRPr="003408A6">
              <w:rPr>
                <w:rFonts w:cs="Arial"/>
                <w:bCs/>
                <w:color w:val="000000"/>
                <w:sz w:val="16"/>
                <w:szCs w:val="16"/>
              </w:rPr>
              <w:t>eight decreased</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r w:rsidR="00301816" w:rsidRPr="003408A6" w:rsidTr="00655651">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301816" w:rsidRPr="003408A6" w:rsidRDefault="00301816" w:rsidP="00655651">
            <w:pPr>
              <w:rPr>
                <w:rFonts w:cs="Arial"/>
                <w:bCs/>
                <w:color w:val="000000"/>
                <w:sz w:val="16"/>
                <w:szCs w:val="16"/>
              </w:rPr>
            </w:pPr>
            <w:r w:rsidRPr="003408A6">
              <w:rPr>
                <w:rFonts w:cs="Arial"/>
                <w:bCs/>
                <w:color w:val="000000"/>
                <w:sz w:val="16"/>
                <w:szCs w:val="16"/>
              </w:rPr>
              <w:t>Wheezing</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638"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0.2</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0"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301816" w:rsidRPr="003408A6" w:rsidRDefault="00301816" w:rsidP="00655651">
            <w:pPr>
              <w:jc w:val="center"/>
              <w:rPr>
                <w:rFonts w:ascii="Calibri" w:hAnsi="Calibri" w:cs="Calibri"/>
                <w:bCs/>
                <w:color w:val="000000"/>
                <w:sz w:val="16"/>
                <w:szCs w:val="16"/>
              </w:rPr>
            </w:pPr>
          </w:p>
        </w:tc>
        <w:tc>
          <w:tcPr>
            <w:tcW w:w="637"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p>
        </w:tc>
        <w:tc>
          <w:tcPr>
            <w:tcW w:w="638"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301816" w:rsidRPr="003408A6" w:rsidRDefault="00301816" w:rsidP="00655651">
            <w:pPr>
              <w:jc w:val="center"/>
              <w:rPr>
                <w:rFonts w:ascii="Calibri" w:hAnsi="Calibri" w:cs="Calibri"/>
                <w:bCs/>
                <w:color w:val="000000"/>
                <w:sz w:val="16"/>
                <w:szCs w:val="16"/>
              </w:rPr>
            </w:pPr>
            <w:r w:rsidRPr="003408A6">
              <w:rPr>
                <w:rFonts w:ascii="Calibri" w:hAnsi="Calibri" w:cs="Calibri"/>
                <w:bCs/>
                <w:color w:val="000000"/>
                <w:sz w:val="16"/>
                <w:szCs w:val="16"/>
              </w:rPr>
              <w:t>1</w:t>
            </w:r>
          </w:p>
        </w:tc>
      </w:tr>
    </w:tbl>
    <w:p w:rsidR="00301816" w:rsidRPr="003408A6" w:rsidRDefault="0057457E" w:rsidP="0057457E">
      <w:pPr>
        <w:pStyle w:val="Tablefootnote"/>
        <w:rPr>
          <w:noProof/>
        </w:rPr>
      </w:pPr>
      <w:r w:rsidRPr="003408A6">
        <w:rPr>
          <w:b/>
          <w:bCs/>
        </w:rPr>
        <w:t>*</w:t>
      </w:r>
      <w:r w:rsidRPr="003408A6">
        <w:rPr>
          <w:b/>
          <w:bCs/>
        </w:rPr>
        <w:tab/>
      </w:r>
      <w:r w:rsidR="00301816" w:rsidRPr="003408A6">
        <w:t>One AEFI record may have multiple MedDRA Preferred Terms included.</w:t>
      </w:r>
    </w:p>
    <w:p w:rsidR="00D756F8" w:rsidRPr="003408A6" w:rsidRDefault="00D756F8">
      <w:pPr>
        <w:rPr>
          <w:u w:val="single"/>
        </w:rPr>
      </w:pPr>
      <w:r w:rsidRPr="003408A6">
        <w:rPr>
          <w:u w:val="single"/>
        </w:rPr>
        <w:br w:type="page"/>
      </w:r>
    </w:p>
    <w:p w:rsidR="00E57E44" w:rsidRPr="003408A6" w:rsidRDefault="00E57E44" w:rsidP="00E57E44">
      <w:pPr>
        <w:pStyle w:val="Heading2"/>
      </w:pPr>
      <w:bookmarkStart w:id="411" w:name="_Toc396926155"/>
      <w:r w:rsidRPr="003408A6">
        <w:t xml:space="preserve">Appendix </w:t>
      </w:r>
      <w:r w:rsidR="008A5955" w:rsidRPr="003408A6">
        <w:t>5</w:t>
      </w:r>
      <w:r w:rsidRPr="003408A6">
        <w:t>.1</w:t>
      </w:r>
      <w:bookmarkEnd w:id="411"/>
      <w:r w:rsidRPr="003408A6">
        <w:t xml:space="preserve"> </w:t>
      </w:r>
    </w:p>
    <w:p w:rsidR="00E57E44" w:rsidRPr="003408A6" w:rsidRDefault="00E57E44" w:rsidP="0057457E">
      <w:pPr>
        <w:pStyle w:val="Appendixunnumberedfiguretableheading"/>
      </w:pPr>
      <w:r w:rsidRPr="003408A6">
        <w:t>Rates of HGA per 1</w:t>
      </w:r>
      <w:r w:rsidR="00DC2B90" w:rsidRPr="003408A6">
        <w:t>,</w:t>
      </w:r>
      <w:r w:rsidRPr="003408A6">
        <w:t>000 women screened</w:t>
      </w:r>
      <w:r w:rsidR="00726CAD" w:rsidRPr="003408A6">
        <w:t>,</w:t>
      </w:r>
      <w:r w:rsidRPr="003408A6">
        <w:t xml:space="preserve"> by jurisdiction and age group, 2004</w:t>
      </w:r>
      <w:r w:rsidR="00655651">
        <w:t xml:space="preserve"> to </w:t>
      </w:r>
      <w:r w:rsidRPr="003408A6">
        <w:t>2011*</w:t>
      </w:r>
    </w:p>
    <w:p w:rsidR="00547D44" w:rsidRDefault="00E57E44" w:rsidP="00EE0C36">
      <w:pPr>
        <w:spacing w:line="360" w:lineRule="auto"/>
      </w:pPr>
      <w:r w:rsidRPr="003408A6">
        <w:rPr>
          <w:rFonts w:cs="Arial"/>
          <w:b/>
          <w:noProof/>
          <w:szCs w:val="22"/>
        </w:rPr>
        <w:drawing>
          <wp:inline distT="0" distB="0" distL="0" distR="0" wp14:anchorId="4B191BD1" wp14:editId="1D4CF6F2">
            <wp:extent cx="2737922" cy="1598212"/>
            <wp:effectExtent l="19050" t="19050" r="24765" b="21590"/>
            <wp:docPr id="27" name="Picture 27" descr="NSW&#10;"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0834" cy="1599912"/>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2CAA6979" wp14:editId="209D0C58">
            <wp:extent cx="2865500" cy="1594410"/>
            <wp:effectExtent l="19050" t="19050" r="11430" b="25400"/>
            <wp:docPr id="30" name="Picture 30" descr="Victoria&#10;"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63971" cy="1593559"/>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43EF4716" wp14:editId="4D86FCE5">
            <wp:extent cx="2735884" cy="1836115"/>
            <wp:effectExtent l="19050" t="19050" r="26670" b="12065"/>
            <wp:docPr id="301" name="Picture 301" descr="Queensland"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53066" cy="1847646"/>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4EA0B83B" wp14:editId="06C87D83">
            <wp:extent cx="2860243" cy="1821485"/>
            <wp:effectExtent l="19050" t="19050" r="16510" b="26670"/>
            <wp:docPr id="290" name="Picture 290" descr="Western Australia"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67818" cy="1889992"/>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5483C868" wp14:editId="5EAC1200">
            <wp:extent cx="2735884" cy="1883238"/>
            <wp:effectExtent l="19050" t="19050" r="26670" b="22225"/>
            <wp:docPr id="304" name="Picture 304" descr="South Australia"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4051" cy="1937044"/>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0A3B6A23" wp14:editId="246375EA">
            <wp:extent cx="2849027" cy="1880006"/>
            <wp:effectExtent l="19050" t="19050" r="27940" b="25400"/>
            <wp:docPr id="306" name="Picture 306" descr="Northern Territory"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08660" cy="1919356"/>
                    </a:xfrm>
                    <a:prstGeom prst="rect">
                      <a:avLst/>
                    </a:prstGeom>
                    <a:noFill/>
                    <a:ln>
                      <a:solidFill>
                        <a:schemeClr val="tx1"/>
                      </a:solidFill>
                    </a:ln>
                  </pic:spPr>
                </pic:pic>
              </a:graphicData>
            </a:graphic>
          </wp:inline>
        </w:drawing>
      </w:r>
      <w:r w:rsidRPr="003408A6">
        <w:rPr>
          <w:rFonts w:cs="Arial"/>
          <w:b/>
          <w:noProof/>
          <w:szCs w:val="22"/>
        </w:rPr>
        <w:drawing>
          <wp:inline distT="0" distB="0" distL="0" distR="0" wp14:anchorId="16AF6A80" wp14:editId="629577D4">
            <wp:extent cx="2727886" cy="1806855"/>
            <wp:effectExtent l="19050" t="19050" r="15875" b="22225"/>
            <wp:docPr id="312" name="Picture 312" descr="Australian Capital Territory"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9405" cy="1821108"/>
                    </a:xfrm>
                    <a:prstGeom prst="rect">
                      <a:avLst/>
                    </a:prstGeom>
                    <a:noFill/>
                    <a:ln>
                      <a:solidFill>
                        <a:schemeClr val="tx1"/>
                      </a:solidFill>
                    </a:ln>
                  </pic:spPr>
                </pic:pic>
              </a:graphicData>
            </a:graphic>
          </wp:inline>
        </w:drawing>
      </w:r>
      <w:r w:rsidR="00547D44" w:rsidRPr="003408A6">
        <w:rPr>
          <w:rFonts w:cs="Arial"/>
          <w:b/>
          <w:noProof/>
          <w:szCs w:val="22"/>
        </w:rPr>
        <w:drawing>
          <wp:inline distT="0" distB="0" distL="0" distR="0" wp14:anchorId="1B22FD39" wp14:editId="28593B31">
            <wp:extent cx="2857500" cy="1800225"/>
            <wp:effectExtent l="19050" t="19050" r="19050" b="28575"/>
            <wp:docPr id="314" name="Picture 314" descr="Tasmania" title="Rates of HGA per 1,000 women screened, by jurisdiction and age group, 2004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9525" cy="1814101"/>
                    </a:xfrm>
                    <a:prstGeom prst="rect">
                      <a:avLst/>
                    </a:prstGeom>
                    <a:noFill/>
                    <a:ln>
                      <a:solidFill>
                        <a:schemeClr val="tx1"/>
                      </a:solidFill>
                    </a:ln>
                  </pic:spPr>
                </pic:pic>
              </a:graphicData>
            </a:graphic>
          </wp:inline>
        </w:drawing>
      </w:r>
    </w:p>
    <w:p w:rsidR="00547D44" w:rsidRPr="00A17468" w:rsidRDefault="00547D44" w:rsidP="00547D44">
      <w:pPr>
        <w:pStyle w:val="Tablefootnote"/>
      </w:pPr>
      <w:r w:rsidRPr="00A17468">
        <w:t>Source</w:t>
      </w:r>
      <w:r w:rsidRPr="00B053D4">
        <w:rPr>
          <w:i/>
        </w:rPr>
        <w:t>: Cervical screening in Australia 2010–2011</w:t>
      </w:r>
      <w:r w:rsidRPr="00A17468">
        <w:t xml:space="preserve">, AIHW </w:t>
      </w:r>
    </w:p>
    <w:p w:rsidR="00547D44" w:rsidRDefault="00547D44" w:rsidP="00547D44">
      <w:pPr>
        <w:pStyle w:val="Tablefootnote"/>
      </w:pPr>
      <w:r>
        <w:t>*</w:t>
      </w:r>
      <w:r>
        <w:tab/>
      </w:r>
      <w:r w:rsidRPr="00A17468">
        <w:t>Crude rates ar</w:t>
      </w:r>
      <w:r>
        <w:t>e</w:t>
      </w:r>
      <w:r w:rsidRPr="00A17468">
        <w:t xml:space="preserve"> the number of women with abnormalities detected by histology as a proportion of all</w:t>
      </w:r>
      <w:r w:rsidRPr="00204E72">
        <w:t xml:space="preserve"> </w:t>
      </w:r>
      <w:r>
        <w:t>women screened.</w:t>
      </w:r>
    </w:p>
    <w:p w:rsidR="00547D44" w:rsidRDefault="00547D44" w:rsidP="00EE0C36">
      <w:pPr>
        <w:spacing w:line="360" w:lineRule="auto"/>
      </w:pPr>
    </w:p>
    <w:p w:rsidR="00EE0C36" w:rsidRPr="003408A6" w:rsidRDefault="00EE0C36" w:rsidP="00EE0C36">
      <w:pPr>
        <w:spacing w:line="360" w:lineRule="auto"/>
        <w:sectPr w:rsidR="00EE0C36" w:rsidRPr="003408A6" w:rsidSect="00D07C02">
          <w:headerReference w:type="even" r:id="rId87"/>
          <w:headerReference w:type="default" r:id="rId88"/>
          <w:footerReference w:type="default" r:id="rId89"/>
          <w:headerReference w:type="first" r:id="rId90"/>
          <w:footerReference w:type="first" r:id="rId91"/>
          <w:pgSz w:w="11906" w:h="16838"/>
          <w:pgMar w:top="1440" w:right="1440" w:bottom="1440" w:left="1440" w:header="0" w:footer="510" w:gutter="0"/>
          <w:cols w:space="720"/>
          <w:docGrid w:linePitch="299"/>
        </w:sectPr>
      </w:pPr>
    </w:p>
    <w:p w:rsidR="00E57E44" w:rsidRPr="003408A6" w:rsidRDefault="00E57E44" w:rsidP="00E57E44">
      <w:pPr>
        <w:pStyle w:val="Heading2"/>
      </w:pPr>
      <w:bookmarkStart w:id="412" w:name="_Toc396926156"/>
      <w:r w:rsidRPr="003408A6">
        <w:t xml:space="preserve">Appendix </w:t>
      </w:r>
      <w:r w:rsidR="008A5955" w:rsidRPr="003408A6">
        <w:t>5</w:t>
      </w:r>
      <w:r w:rsidRPr="003408A6">
        <w:t>.2</w:t>
      </w:r>
      <w:bookmarkEnd w:id="412"/>
      <w:r w:rsidRPr="003408A6">
        <w:t xml:space="preserve"> </w:t>
      </w:r>
    </w:p>
    <w:p w:rsidR="00E57E44" w:rsidRPr="003408A6" w:rsidRDefault="00E57E44" w:rsidP="0057457E">
      <w:pPr>
        <w:pStyle w:val="Appendixunnumberedfiguretableheading"/>
      </w:pPr>
      <w:r w:rsidRPr="003408A6">
        <w:t>Rate of HGA detected per 1</w:t>
      </w:r>
      <w:r w:rsidR="00DC2B90" w:rsidRPr="003408A6">
        <w:t>,</w:t>
      </w:r>
      <w:r w:rsidRPr="003408A6">
        <w:t>000 females aged 20</w:t>
      </w:r>
      <w:r w:rsidR="00726CAD" w:rsidRPr="003408A6">
        <w:t>–</w:t>
      </w:r>
      <w:r w:rsidRPr="003408A6">
        <w:t>24 years screened and 95% confidence intervals</w:t>
      </w:r>
      <w:r w:rsidR="00D07C02">
        <w:t>,</w:t>
      </w:r>
      <w:r w:rsidRPr="003408A6">
        <w:t xml:space="preserve"> by jurisdiction, 2004</w:t>
      </w:r>
      <w:r w:rsidR="00D07C02">
        <w:t xml:space="preserve"> to </w:t>
      </w:r>
      <w:r w:rsidRPr="003408A6">
        <w:t>2011</w:t>
      </w:r>
    </w:p>
    <w:tbl>
      <w:tblPr>
        <w:tblW w:w="0" w:type="auto"/>
        <w:tblInd w:w="93" w:type="dxa"/>
        <w:tblLook w:val="04A0" w:firstRow="1" w:lastRow="0" w:firstColumn="1" w:lastColumn="0" w:noHBand="0" w:noVBand="1"/>
      </w:tblPr>
      <w:tblGrid>
        <w:gridCol w:w="1406"/>
        <w:gridCol w:w="2153"/>
        <w:gridCol w:w="1855"/>
        <w:gridCol w:w="1856"/>
        <w:gridCol w:w="1901"/>
        <w:gridCol w:w="1901"/>
        <w:gridCol w:w="1810"/>
        <w:gridCol w:w="1811"/>
      </w:tblGrid>
      <w:tr w:rsidR="0058508B" w:rsidRPr="003408A6" w:rsidTr="00480FAB">
        <w:trPr>
          <w:trHeight w:val="1013"/>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columnheadings"/>
            </w:pPr>
            <w:r w:rsidRPr="003408A6">
              <w:t>Jurisdiction </w:t>
            </w:r>
          </w:p>
        </w:tc>
        <w:tc>
          <w:tcPr>
            <w:tcW w:w="2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columnheadings"/>
            </w:pPr>
            <w:r w:rsidRPr="003408A6">
              <w:t>Pre-vaccine 2004–2007</w:t>
            </w:r>
          </w:p>
        </w:tc>
        <w:tc>
          <w:tcPr>
            <w:tcW w:w="37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columnheadings"/>
            </w:pPr>
            <w:r w:rsidRPr="003408A6">
              <w:t>Post-vaccine</w:t>
            </w:r>
          </w:p>
          <w:p w:rsidR="00547D44" w:rsidRPr="003408A6" w:rsidRDefault="00547D44" w:rsidP="00547D44">
            <w:pPr>
              <w:pStyle w:val="Tablecolumnheadings"/>
            </w:pPr>
            <w:r w:rsidRPr="003408A6">
              <w:t>2008–2009</w:t>
            </w:r>
          </w:p>
        </w:tc>
        <w:tc>
          <w:tcPr>
            <w:tcW w:w="3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columnheadings"/>
            </w:pPr>
            <w:r w:rsidRPr="003408A6">
              <w:t>Post-vaccine</w:t>
            </w:r>
          </w:p>
          <w:p w:rsidR="00547D44" w:rsidRPr="003408A6" w:rsidRDefault="00547D44" w:rsidP="00547D44">
            <w:pPr>
              <w:pStyle w:val="Tablecolumnheadings"/>
            </w:pPr>
            <w:r w:rsidRPr="003408A6">
              <w:t>2010–2011</w:t>
            </w:r>
          </w:p>
        </w:tc>
        <w:tc>
          <w:tcPr>
            <w:tcW w:w="36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columnheadings"/>
            </w:pPr>
            <w:r w:rsidRPr="003408A6">
              <w:t xml:space="preserve">Combined </w:t>
            </w:r>
          </w:p>
          <w:p w:rsidR="00547D44" w:rsidRPr="003408A6" w:rsidRDefault="00547D44" w:rsidP="00547D44">
            <w:pPr>
              <w:pStyle w:val="Tablecolumnheadings"/>
            </w:pPr>
            <w:r w:rsidRPr="003408A6">
              <w:t>post-vaccine period</w:t>
            </w:r>
          </w:p>
          <w:p w:rsidR="00547D44" w:rsidRPr="003408A6" w:rsidRDefault="00547D44" w:rsidP="00547D44">
            <w:pPr>
              <w:pStyle w:val="Tablecolumnheadings"/>
            </w:pPr>
            <w:r w:rsidRPr="003408A6">
              <w:t>2008–2011</w:t>
            </w:r>
          </w:p>
        </w:tc>
      </w:tr>
      <w:tr w:rsidR="0058508B" w:rsidRPr="003408A6" w:rsidTr="0058508B">
        <w:trPr>
          <w:trHeight w:val="601"/>
        </w:trPr>
        <w:tc>
          <w:tcPr>
            <w:tcW w:w="0" w:type="auto"/>
            <w:vMerge/>
            <w:tcBorders>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headcentre"/>
            </w:pPr>
          </w:p>
        </w:tc>
        <w:tc>
          <w:tcPr>
            <w:tcW w:w="2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headcentre"/>
            </w:pPr>
            <w:r w:rsidRPr="003408A6">
              <w:t>Rate (CI)*</w:t>
            </w:r>
          </w:p>
        </w:tc>
        <w:tc>
          <w:tcPr>
            <w:tcW w:w="1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headcentre"/>
            </w:pPr>
            <w:r w:rsidRPr="003408A6">
              <w:t>Rate (CI)*</w:t>
            </w:r>
          </w:p>
        </w:tc>
        <w:tc>
          <w:tcPr>
            <w:tcW w:w="18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231A3E">
            <w:pPr>
              <w:pStyle w:val="Tableheadcentre"/>
            </w:pPr>
            <w:r w:rsidRPr="003408A6">
              <w:t>Rate ratio (CI)</w:t>
            </w:r>
            <w:r w:rsidR="00231A3E" w:rsidRPr="00B053D4">
              <w:rPr>
                <w:rFonts w:cs="Arial"/>
                <w:vertAlign w:val="superscript"/>
              </w:rPr>
              <w:t>†</w:t>
            </w:r>
          </w:p>
        </w:tc>
        <w:tc>
          <w:tcPr>
            <w:tcW w:w="1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headcentre"/>
            </w:pPr>
            <w:r w:rsidRPr="003408A6">
              <w:t>Rate (CI)*</w:t>
            </w:r>
          </w:p>
        </w:tc>
        <w:tc>
          <w:tcPr>
            <w:tcW w:w="1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231A3E">
            <w:pPr>
              <w:pStyle w:val="Tableheadcentre"/>
            </w:pPr>
            <w:r w:rsidRPr="003408A6">
              <w:t>Rate ratio (CI)</w:t>
            </w:r>
            <w:r w:rsidR="00231A3E" w:rsidRPr="00A83300">
              <w:rPr>
                <w:rFonts w:cs="Arial"/>
                <w:vertAlign w:val="superscript"/>
              </w:rPr>
              <w:t>†</w:t>
            </w:r>
          </w:p>
        </w:tc>
        <w:tc>
          <w:tcPr>
            <w:tcW w:w="1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headcentre"/>
            </w:pPr>
            <w:r w:rsidRPr="003408A6">
              <w:t>Rate (CI)*</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231A3E">
            <w:pPr>
              <w:pStyle w:val="Tableheadcentre"/>
            </w:pPr>
            <w:r w:rsidRPr="003408A6">
              <w:t>Rate ratio (CI)</w:t>
            </w:r>
            <w:r w:rsidR="00231A3E" w:rsidRPr="00A83300">
              <w:rPr>
                <w:rFonts w:cs="Arial"/>
                <w:vertAlign w:val="superscript"/>
              </w:rPr>
              <w:t>†</w:t>
            </w: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NSW</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23.1</w:t>
            </w:r>
          </w:p>
          <w:p w:rsidR="00547D44" w:rsidRPr="003408A6" w:rsidRDefault="00547D44" w:rsidP="0058508B">
            <w:pPr>
              <w:jc w:val="center"/>
              <w:rPr>
                <w:rFonts w:cs="Arial"/>
                <w:color w:val="0F02BE"/>
                <w:sz w:val="20"/>
              </w:rPr>
            </w:pPr>
            <w:r w:rsidRPr="003408A6">
              <w:rPr>
                <w:rFonts w:cs="Arial"/>
                <w:color w:val="0F02BE"/>
                <w:sz w:val="20"/>
              </w:rPr>
              <w:t>(22.4</w:t>
            </w:r>
            <w:r w:rsidR="0058508B">
              <w:rPr>
                <w:rFonts w:cs="Arial"/>
                <w:color w:val="0F02BE"/>
                <w:sz w:val="20"/>
              </w:rPr>
              <w:t>–</w:t>
            </w:r>
            <w:r w:rsidRPr="003408A6">
              <w:rPr>
                <w:rFonts w:cs="Arial"/>
                <w:color w:val="0F02BE"/>
                <w:sz w:val="20"/>
              </w:rPr>
              <w:t>23.7)</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21.2</w:t>
            </w:r>
          </w:p>
          <w:p w:rsidR="00547D44" w:rsidRPr="003408A6" w:rsidRDefault="00547D44" w:rsidP="0058508B">
            <w:pPr>
              <w:jc w:val="center"/>
              <w:rPr>
                <w:rFonts w:cs="Arial"/>
                <w:color w:val="0F02BE"/>
                <w:sz w:val="20"/>
              </w:rPr>
            </w:pPr>
            <w:r w:rsidRPr="003408A6">
              <w:rPr>
                <w:rFonts w:cs="Arial"/>
                <w:color w:val="0F02BE"/>
                <w:sz w:val="20"/>
              </w:rPr>
              <w:t>(20.4</w:t>
            </w:r>
            <w:r w:rsidR="0058508B">
              <w:rPr>
                <w:rFonts w:cs="Arial"/>
                <w:color w:val="0F02BE"/>
                <w:sz w:val="20"/>
              </w:rPr>
              <w:t>–</w:t>
            </w:r>
            <w:r w:rsidRPr="003408A6">
              <w:rPr>
                <w:rFonts w:cs="Arial"/>
                <w:color w:val="0F02BE"/>
                <w:sz w:val="20"/>
              </w:rPr>
              <w:t>22.1)</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0.92</w:t>
            </w:r>
          </w:p>
          <w:p w:rsidR="00547D44" w:rsidRPr="003408A6" w:rsidRDefault="00547D44" w:rsidP="0058508B">
            <w:pPr>
              <w:jc w:val="center"/>
              <w:rPr>
                <w:rFonts w:cs="Arial"/>
                <w:color w:val="000000"/>
                <w:sz w:val="20"/>
              </w:rPr>
            </w:pPr>
            <w:r w:rsidRPr="003408A6">
              <w:rPr>
                <w:rFonts w:cs="Arial"/>
                <w:color w:val="000000"/>
                <w:sz w:val="20"/>
              </w:rPr>
              <w:t>(0.88</w:t>
            </w:r>
            <w:r w:rsidR="0058508B">
              <w:rPr>
                <w:rFonts w:cs="Arial"/>
                <w:color w:val="000000"/>
                <w:sz w:val="20"/>
              </w:rPr>
              <w:t>–</w:t>
            </w:r>
            <w:r w:rsidRPr="003408A6">
              <w:rPr>
                <w:rFonts w:cs="Arial"/>
                <w:color w:val="000000"/>
                <w:sz w:val="20"/>
              </w:rPr>
              <w:t>0.97)</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19.2</w:t>
            </w:r>
          </w:p>
          <w:p w:rsidR="00547D44" w:rsidRPr="003408A6" w:rsidRDefault="00547D44" w:rsidP="0058508B">
            <w:pPr>
              <w:jc w:val="center"/>
              <w:rPr>
                <w:rFonts w:cs="Arial"/>
                <w:color w:val="0F02BE"/>
                <w:sz w:val="20"/>
              </w:rPr>
            </w:pPr>
            <w:r w:rsidRPr="003408A6">
              <w:rPr>
                <w:rFonts w:cs="Arial"/>
                <w:color w:val="0F02BE"/>
                <w:sz w:val="20"/>
              </w:rPr>
              <w:t>(18.4</w:t>
            </w:r>
            <w:r w:rsidR="0058508B">
              <w:rPr>
                <w:rFonts w:cs="Arial"/>
                <w:color w:val="0F02BE"/>
                <w:sz w:val="20"/>
              </w:rPr>
              <w:t>–</w:t>
            </w:r>
            <w:r w:rsidRPr="003408A6">
              <w:rPr>
                <w:rFonts w:cs="Arial"/>
                <w:color w:val="0F02BE"/>
                <w:sz w:val="20"/>
              </w:rPr>
              <w:t>20.0)</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 xml:space="preserve">0.83 </w:t>
            </w:r>
          </w:p>
          <w:p w:rsidR="00547D44" w:rsidRPr="003408A6" w:rsidRDefault="00547D44" w:rsidP="0058508B">
            <w:pPr>
              <w:jc w:val="center"/>
              <w:rPr>
                <w:rFonts w:cs="Arial"/>
                <w:color w:val="000000"/>
                <w:sz w:val="20"/>
              </w:rPr>
            </w:pPr>
            <w:r w:rsidRPr="003408A6">
              <w:rPr>
                <w:rFonts w:cs="Arial"/>
                <w:color w:val="000000"/>
                <w:sz w:val="20"/>
              </w:rPr>
              <w:t>(0.79</w:t>
            </w:r>
            <w:r w:rsidR="0058508B">
              <w:rPr>
                <w:rFonts w:cs="Arial"/>
                <w:color w:val="000000"/>
                <w:sz w:val="20"/>
              </w:rPr>
              <w:t>–</w:t>
            </w:r>
            <w:r w:rsidRPr="003408A6">
              <w:rPr>
                <w:rFonts w:cs="Arial"/>
                <w:color w:val="000000"/>
                <w:sz w:val="20"/>
              </w:rPr>
              <w:t>0.88)</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20.2 </w:t>
            </w:r>
          </w:p>
          <w:p w:rsidR="00547D44" w:rsidRPr="003408A6" w:rsidRDefault="00547D44" w:rsidP="00480FAB">
            <w:pPr>
              <w:jc w:val="center"/>
              <w:rPr>
                <w:rFonts w:cs="Arial"/>
                <w:color w:val="0F02BE"/>
                <w:sz w:val="20"/>
              </w:rPr>
            </w:pPr>
            <w:r w:rsidRPr="003408A6">
              <w:rPr>
                <w:rFonts w:cs="Arial"/>
                <w:color w:val="0F02BE"/>
                <w:sz w:val="20"/>
              </w:rPr>
              <w:t>(19.6</w:t>
            </w:r>
            <w:r w:rsidR="00480FAB">
              <w:rPr>
                <w:rFonts w:cs="Arial"/>
                <w:color w:val="0F02BE"/>
                <w:sz w:val="20"/>
              </w:rPr>
              <w:t>–</w:t>
            </w:r>
            <w:r w:rsidRPr="003408A6">
              <w:rPr>
                <w:rFonts w:cs="Arial"/>
                <w:color w:val="0F02BE"/>
                <w:sz w:val="20"/>
              </w:rPr>
              <w:t>20.8)</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 xml:space="preserve">0.88 </w:t>
            </w:r>
          </w:p>
          <w:p w:rsidR="00547D44" w:rsidRPr="003408A6" w:rsidRDefault="00547D44" w:rsidP="00480FAB">
            <w:pPr>
              <w:jc w:val="center"/>
              <w:rPr>
                <w:rFonts w:cs="Arial"/>
                <w:color w:val="000000"/>
                <w:sz w:val="20"/>
              </w:rPr>
            </w:pPr>
            <w:r w:rsidRPr="003408A6">
              <w:rPr>
                <w:rFonts w:cs="Arial"/>
                <w:color w:val="000000"/>
                <w:sz w:val="20"/>
              </w:rPr>
              <w:t>(0.84</w:t>
            </w:r>
            <w:r w:rsidR="00480FAB">
              <w:rPr>
                <w:rFonts w:cs="Arial"/>
                <w:color w:val="000000"/>
                <w:sz w:val="20"/>
              </w:rPr>
              <w:t>–</w:t>
            </w:r>
            <w:r w:rsidRPr="003408A6">
              <w:rPr>
                <w:rFonts w:cs="Arial"/>
                <w:color w:val="000000"/>
                <w:sz w:val="20"/>
              </w:rPr>
              <w:t>0.91)</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VIC</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17.4</w:t>
            </w:r>
          </w:p>
          <w:p w:rsidR="00547D44" w:rsidRPr="003408A6" w:rsidRDefault="00547D44" w:rsidP="0058508B">
            <w:pPr>
              <w:jc w:val="center"/>
              <w:rPr>
                <w:rFonts w:cs="Arial"/>
                <w:color w:val="0F02BE"/>
                <w:sz w:val="20"/>
              </w:rPr>
            </w:pPr>
            <w:r w:rsidRPr="003408A6">
              <w:rPr>
                <w:rFonts w:cs="Arial"/>
                <w:color w:val="0F02BE"/>
                <w:sz w:val="20"/>
              </w:rPr>
              <w:t>(16.8</w:t>
            </w:r>
            <w:r w:rsidR="0058508B">
              <w:rPr>
                <w:rFonts w:cs="Arial"/>
                <w:color w:val="0F02BE"/>
                <w:sz w:val="20"/>
              </w:rPr>
              <w:t>–</w:t>
            </w:r>
            <w:r w:rsidRPr="003408A6">
              <w:rPr>
                <w:rFonts w:cs="Arial"/>
                <w:color w:val="0F02BE"/>
                <w:sz w:val="20"/>
              </w:rPr>
              <w:t>18.0)</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19.6 </w:t>
            </w:r>
          </w:p>
          <w:p w:rsidR="00547D44" w:rsidRPr="003408A6" w:rsidRDefault="00547D44" w:rsidP="0058508B">
            <w:pPr>
              <w:jc w:val="center"/>
              <w:rPr>
                <w:rFonts w:cs="Arial"/>
                <w:color w:val="0F02BE"/>
                <w:sz w:val="20"/>
              </w:rPr>
            </w:pPr>
            <w:r w:rsidRPr="003408A6">
              <w:rPr>
                <w:rFonts w:cs="Arial"/>
                <w:color w:val="0F02BE"/>
                <w:sz w:val="20"/>
              </w:rPr>
              <w:t>(18.8</w:t>
            </w:r>
            <w:r w:rsidR="0058508B">
              <w:rPr>
                <w:rFonts w:cs="Arial"/>
                <w:color w:val="0F02BE"/>
                <w:sz w:val="20"/>
              </w:rPr>
              <w:t>–</w:t>
            </w:r>
            <w:r w:rsidRPr="003408A6">
              <w:rPr>
                <w:rFonts w:cs="Arial"/>
                <w:color w:val="0F02BE"/>
                <w:sz w:val="20"/>
              </w:rPr>
              <w:t>20.6)</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1.13</w:t>
            </w:r>
          </w:p>
          <w:p w:rsidR="00547D44" w:rsidRPr="003408A6" w:rsidRDefault="00547D44" w:rsidP="0058508B">
            <w:pPr>
              <w:jc w:val="center"/>
              <w:rPr>
                <w:rFonts w:cs="Arial"/>
                <w:color w:val="000000"/>
                <w:sz w:val="20"/>
              </w:rPr>
            </w:pPr>
            <w:r w:rsidRPr="003408A6">
              <w:rPr>
                <w:rFonts w:cs="Arial"/>
                <w:color w:val="000000"/>
                <w:sz w:val="20"/>
              </w:rPr>
              <w:t>(1.07</w:t>
            </w:r>
            <w:r w:rsidR="0058508B">
              <w:rPr>
                <w:rFonts w:cs="Arial"/>
                <w:color w:val="000000"/>
                <w:sz w:val="20"/>
              </w:rPr>
              <w:t>–</w:t>
            </w:r>
            <w:r w:rsidRPr="003408A6">
              <w:rPr>
                <w:rFonts w:cs="Arial"/>
                <w:color w:val="000000"/>
                <w:sz w:val="20"/>
              </w:rPr>
              <w:t>1.20)</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16.7</w:t>
            </w:r>
          </w:p>
          <w:p w:rsidR="00547D44" w:rsidRPr="003408A6" w:rsidRDefault="00547D44" w:rsidP="0058508B">
            <w:pPr>
              <w:jc w:val="center"/>
              <w:rPr>
                <w:rFonts w:cs="Arial"/>
                <w:color w:val="0F02BE"/>
                <w:sz w:val="20"/>
              </w:rPr>
            </w:pPr>
            <w:r w:rsidRPr="003408A6">
              <w:rPr>
                <w:rFonts w:cs="Arial"/>
                <w:color w:val="0F02BE"/>
                <w:sz w:val="20"/>
              </w:rPr>
              <w:t>(15.9</w:t>
            </w:r>
            <w:r w:rsidR="0058508B">
              <w:rPr>
                <w:rFonts w:cs="Arial"/>
                <w:color w:val="0F02BE"/>
                <w:sz w:val="20"/>
              </w:rPr>
              <w:t>–</w:t>
            </w:r>
            <w:r w:rsidRPr="003408A6">
              <w:rPr>
                <w:rFonts w:cs="Arial"/>
                <w:color w:val="0F02BE"/>
                <w:sz w:val="20"/>
              </w:rPr>
              <w:t>17.6)</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 xml:space="preserve">0.96 </w:t>
            </w:r>
          </w:p>
          <w:p w:rsidR="00547D44" w:rsidRPr="003408A6" w:rsidRDefault="00547D44" w:rsidP="0058508B">
            <w:pPr>
              <w:jc w:val="center"/>
              <w:rPr>
                <w:rFonts w:cs="Arial"/>
                <w:color w:val="000000"/>
                <w:sz w:val="20"/>
              </w:rPr>
            </w:pPr>
            <w:r w:rsidRPr="003408A6">
              <w:rPr>
                <w:rFonts w:cs="Arial"/>
                <w:color w:val="000000"/>
                <w:sz w:val="20"/>
              </w:rPr>
              <w:t>(0.91</w:t>
            </w:r>
            <w:r w:rsidR="0058508B">
              <w:rPr>
                <w:rFonts w:cs="Arial"/>
                <w:color w:val="000000"/>
                <w:sz w:val="20"/>
              </w:rPr>
              <w:t>–</w:t>
            </w:r>
            <w:r w:rsidRPr="003408A6">
              <w:rPr>
                <w:rFonts w:cs="Arial"/>
                <w:color w:val="000000"/>
                <w:sz w:val="20"/>
              </w:rPr>
              <w:t>1.02)</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18.2 </w:t>
            </w:r>
          </w:p>
          <w:p w:rsidR="00547D44" w:rsidRPr="003408A6" w:rsidRDefault="00547D44" w:rsidP="00480FAB">
            <w:pPr>
              <w:jc w:val="center"/>
              <w:rPr>
                <w:rFonts w:cs="Arial"/>
                <w:color w:val="0F02BE"/>
                <w:sz w:val="20"/>
              </w:rPr>
            </w:pPr>
            <w:r w:rsidRPr="003408A6">
              <w:rPr>
                <w:rFonts w:cs="Arial"/>
                <w:color w:val="0F02BE"/>
                <w:sz w:val="20"/>
              </w:rPr>
              <w:t>(17.6</w:t>
            </w:r>
            <w:r w:rsidR="00480FAB">
              <w:rPr>
                <w:rFonts w:cs="Arial"/>
                <w:color w:val="0F02BE"/>
                <w:sz w:val="20"/>
              </w:rPr>
              <w:t>–</w:t>
            </w:r>
            <w:r w:rsidRPr="003408A6">
              <w:rPr>
                <w:rFonts w:cs="Arial"/>
                <w:color w:val="0F02BE"/>
                <w:sz w:val="20"/>
              </w:rPr>
              <w:t>18.8)</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1.05</w:t>
            </w:r>
          </w:p>
          <w:p w:rsidR="00547D44" w:rsidRPr="003408A6" w:rsidRDefault="00547D44" w:rsidP="00480FAB">
            <w:pPr>
              <w:jc w:val="center"/>
              <w:rPr>
                <w:rFonts w:cs="Arial"/>
                <w:color w:val="000000"/>
                <w:sz w:val="20"/>
              </w:rPr>
            </w:pPr>
            <w:r w:rsidRPr="003408A6">
              <w:rPr>
                <w:rFonts w:cs="Arial"/>
                <w:color w:val="000000"/>
                <w:sz w:val="20"/>
              </w:rPr>
              <w:t>(1.00</w:t>
            </w:r>
            <w:r w:rsidR="00480FAB">
              <w:rPr>
                <w:rFonts w:cs="Arial"/>
                <w:color w:val="000000"/>
                <w:sz w:val="20"/>
              </w:rPr>
              <w:t>–</w:t>
            </w:r>
            <w:r w:rsidRPr="003408A6">
              <w:rPr>
                <w:rFonts w:cs="Arial"/>
                <w:color w:val="000000"/>
                <w:sz w:val="20"/>
              </w:rPr>
              <w:t>1.10)</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QLD</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19.4</w:t>
            </w:r>
          </w:p>
          <w:p w:rsidR="00547D44" w:rsidRPr="003408A6" w:rsidRDefault="0058508B" w:rsidP="006B6D0F">
            <w:pPr>
              <w:jc w:val="center"/>
              <w:rPr>
                <w:rFonts w:cs="Arial"/>
                <w:color w:val="0F02BE"/>
                <w:sz w:val="20"/>
              </w:rPr>
            </w:pPr>
            <w:r>
              <w:rPr>
                <w:rFonts w:cs="Arial"/>
                <w:color w:val="0F02BE"/>
                <w:sz w:val="20"/>
              </w:rPr>
              <w:t>(18.7–</w:t>
            </w:r>
            <w:r w:rsidR="00547D44" w:rsidRPr="003408A6">
              <w:rPr>
                <w:rFonts w:cs="Arial"/>
                <w:color w:val="0F02BE"/>
                <w:sz w:val="20"/>
              </w:rPr>
              <w:t>20.1)</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18.8</w:t>
            </w:r>
          </w:p>
          <w:p w:rsidR="00547D44" w:rsidRPr="003408A6" w:rsidRDefault="00547D44" w:rsidP="0058508B">
            <w:pPr>
              <w:jc w:val="center"/>
              <w:rPr>
                <w:rFonts w:cs="Arial"/>
                <w:color w:val="0F02BE"/>
                <w:sz w:val="20"/>
              </w:rPr>
            </w:pPr>
            <w:r w:rsidRPr="003408A6">
              <w:rPr>
                <w:rFonts w:cs="Arial"/>
                <w:color w:val="0F02BE"/>
                <w:sz w:val="20"/>
              </w:rPr>
              <w:t>(17.9</w:t>
            </w:r>
            <w:r w:rsidR="0058508B">
              <w:rPr>
                <w:rFonts w:cs="Arial"/>
                <w:color w:val="0F02BE"/>
                <w:sz w:val="20"/>
              </w:rPr>
              <w:t>–</w:t>
            </w:r>
            <w:r w:rsidRPr="003408A6">
              <w:rPr>
                <w:rFonts w:cs="Arial"/>
                <w:color w:val="0F02BE"/>
                <w:sz w:val="20"/>
              </w:rPr>
              <w:t>19.8)</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0.97</w:t>
            </w:r>
          </w:p>
          <w:p w:rsidR="00547D44" w:rsidRPr="003408A6" w:rsidRDefault="00547D44" w:rsidP="0058508B">
            <w:pPr>
              <w:jc w:val="center"/>
              <w:rPr>
                <w:rFonts w:cs="Arial"/>
                <w:color w:val="000000"/>
                <w:sz w:val="20"/>
              </w:rPr>
            </w:pPr>
            <w:r w:rsidRPr="003408A6">
              <w:rPr>
                <w:rFonts w:cs="Arial"/>
                <w:color w:val="000000"/>
                <w:sz w:val="20"/>
              </w:rPr>
              <w:t>(0.91</w:t>
            </w:r>
            <w:r w:rsidR="0058508B">
              <w:rPr>
                <w:rFonts w:cs="Arial"/>
                <w:color w:val="000000"/>
                <w:sz w:val="20"/>
              </w:rPr>
              <w:t>–</w:t>
            </w:r>
            <w:r w:rsidRPr="003408A6">
              <w:rPr>
                <w:rFonts w:cs="Arial"/>
                <w:color w:val="000000"/>
                <w:sz w:val="20"/>
              </w:rPr>
              <w:t>1.03)</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19.6</w:t>
            </w:r>
          </w:p>
          <w:p w:rsidR="00547D44" w:rsidRPr="003408A6" w:rsidRDefault="00547D44" w:rsidP="0058508B">
            <w:pPr>
              <w:jc w:val="center"/>
              <w:rPr>
                <w:rFonts w:cs="Arial"/>
                <w:color w:val="0F02BE"/>
                <w:sz w:val="20"/>
              </w:rPr>
            </w:pPr>
            <w:r w:rsidRPr="003408A6">
              <w:rPr>
                <w:rFonts w:cs="Arial"/>
                <w:color w:val="0F02BE"/>
                <w:sz w:val="20"/>
              </w:rPr>
              <w:t>(18.7</w:t>
            </w:r>
            <w:r w:rsidR="0058508B">
              <w:rPr>
                <w:rFonts w:cs="Arial"/>
                <w:color w:val="0F02BE"/>
                <w:sz w:val="20"/>
              </w:rPr>
              <w:t>–</w:t>
            </w:r>
            <w:r w:rsidRPr="003408A6">
              <w:rPr>
                <w:rFonts w:cs="Arial"/>
                <w:color w:val="0F02BE"/>
                <w:sz w:val="20"/>
              </w:rPr>
              <w:t>20.6)</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1.01</w:t>
            </w:r>
          </w:p>
          <w:p w:rsidR="00547D44" w:rsidRPr="003408A6" w:rsidRDefault="00547D44" w:rsidP="0058508B">
            <w:pPr>
              <w:jc w:val="center"/>
              <w:rPr>
                <w:rFonts w:cs="Arial"/>
                <w:color w:val="000000"/>
                <w:sz w:val="20"/>
              </w:rPr>
            </w:pPr>
            <w:r w:rsidRPr="003408A6">
              <w:rPr>
                <w:rFonts w:cs="Arial"/>
                <w:color w:val="000000"/>
                <w:sz w:val="20"/>
              </w:rPr>
              <w:t>(0.95</w:t>
            </w:r>
            <w:r w:rsidR="0058508B">
              <w:rPr>
                <w:rFonts w:cs="Arial"/>
                <w:color w:val="000000"/>
                <w:sz w:val="20"/>
              </w:rPr>
              <w:t>–</w:t>
            </w:r>
            <w:r w:rsidRPr="003408A6">
              <w:rPr>
                <w:rFonts w:cs="Arial"/>
                <w:color w:val="000000"/>
                <w:sz w:val="20"/>
              </w:rPr>
              <w:t>1.08)</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19.2</w:t>
            </w:r>
          </w:p>
          <w:p w:rsidR="00547D44" w:rsidRPr="003408A6" w:rsidRDefault="00547D44" w:rsidP="00480FAB">
            <w:pPr>
              <w:jc w:val="center"/>
              <w:rPr>
                <w:rFonts w:cs="Arial"/>
                <w:color w:val="0F02BE"/>
                <w:sz w:val="20"/>
              </w:rPr>
            </w:pPr>
            <w:r w:rsidRPr="003408A6">
              <w:rPr>
                <w:rFonts w:cs="Arial"/>
                <w:color w:val="0F02BE"/>
                <w:sz w:val="20"/>
              </w:rPr>
              <w:t>(18.5</w:t>
            </w:r>
            <w:r w:rsidR="00480FAB">
              <w:rPr>
                <w:rFonts w:cs="Arial"/>
                <w:color w:val="0F02BE"/>
                <w:sz w:val="20"/>
              </w:rPr>
              <w:t>–</w:t>
            </w:r>
            <w:r w:rsidRPr="003408A6">
              <w:rPr>
                <w:rFonts w:cs="Arial"/>
                <w:color w:val="0F02BE"/>
                <w:sz w:val="20"/>
              </w:rPr>
              <w:t>19.9)</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0.99</w:t>
            </w:r>
          </w:p>
          <w:p w:rsidR="00547D44" w:rsidRPr="003408A6" w:rsidRDefault="00547D44" w:rsidP="00480FAB">
            <w:pPr>
              <w:jc w:val="center"/>
              <w:rPr>
                <w:rFonts w:cs="Arial"/>
                <w:color w:val="000000"/>
                <w:sz w:val="20"/>
              </w:rPr>
            </w:pPr>
            <w:r w:rsidRPr="003408A6">
              <w:rPr>
                <w:rFonts w:cs="Arial"/>
                <w:color w:val="000000"/>
                <w:sz w:val="20"/>
              </w:rPr>
              <w:t>(0.94</w:t>
            </w:r>
            <w:r w:rsidR="00480FAB">
              <w:rPr>
                <w:rFonts w:cs="Arial"/>
                <w:color w:val="000000"/>
                <w:sz w:val="20"/>
              </w:rPr>
              <w:t>–</w:t>
            </w:r>
            <w:r w:rsidRPr="003408A6">
              <w:rPr>
                <w:rFonts w:cs="Arial"/>
                <w:color w:val="000000"/>
                <w:sz w:val="20"/>
              </w:rPr>
              <w:t>1.04)</w:t>
            </w:r>
          </w:p>
        </w:tc>
      </w:tr>
      <w:tr w:rsidR="0058508B" w:rsidRPr="003408A6" w:rsidTr="00480FAB">
        <w:trPr>
          <w:trHeight w:hRule="exact" w:val="284"/>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WA</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18.2</w:t>
            </w:r>
          </w:p>
          <w:p w:rsidR="00547D44" w:rsidRPr="003408A6" w:rsidRDefault="00547D44" w:rsidP="006B6D0F">
            <w:pPr>
              <w:jc w:val="center"/>
              <w:rPr>
                <w:rFonts w:cs="Arial"/>
                <w:color w:val="0F02BE"/>
                <w:sz w:val="20"/>
              </w:rPr>
            </w:pPr>
            <w:r w:rsidRPr="003408A6">
              <w:rPr>
                <w:rFonts w:cs="Arial"/>
                <w:color w:val="0F02BE"/>
                <w:sz w:val="20"/>
              </w:rPr>
              <w:t>(17.3-19.2)</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22.5</w:t>
            </w:r>
          </w:p>
          <w:p w:rsidR="00547D44" w:rsidRPr="003408A6" w:rsidRDefault="00547D44" w:rsidP="0058508B">
            <w:pPr>
              <w:jc w:val="center"/>
              <w:rPr>
                <w:rFonts w:cs="Arial"/>
                <w:color w:val="0F02BE"/>
                <w:sz w:val="20"/>
              </w:rPr>
            </w:pPr>
            <w:r w:rsidRPr="003408A6">
              <w:rPr>
                <w:rFonts w:cs="Arial"/>
                <w:color w:val="0F02BE"/>
                <w:sz w:val="20"/>
              </w:rPr>
              <w:t>(21.1</w:t>
            </w:r>
            <w:r w:rsidR="0058508B">
              <w:rPr>
                <w:rFonts w:cs="Arial"/>
                <w:color w:val="0F02BE"/>
                <w:sz w:val="20"/>
              </w:rPr>
              <w:t>–</w:t>
            </w:r>
            <w:r w:rsidRPr="003408A6">
              <w:rPr>
                <w:rFonts w:cs="Arial"/>
                <w:color w:val="0F02BE"/>
                <w:sz w:val="20"/>
              </w:rPr>
              <w:t>23.9)</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1.23</w:t>
            </w:r>
          </w:p>
          <w:p w:rsidR="00547D44" w:rsidRPr="003408A6" w:rsidRDefault="00547D44" w:rsidP="0058508B">
            <w:pPr>
              <w:jc w:val="center"/>
              <w:rPr>
                <w:rFonts w:cs="Arial"/>
                <w:color w:val="000000"/>
                <w:sz w:val="20"/>
              </w:rPr>
            </w:pPr>
            <w:r w:rsidRPr="003408A6">
              <w:rPr>
                <w:rFonts w:cs="Arial"/>
                <w:color w:val="000000"/>
                <w:sz w:val="20"/>
              </w:rPr>
              <w:t>(1.14</w:t>
            </w:r>
            <w:r w:rsidR="0058508B">
              <w:rPr>
                <w:rFonts w:cs="Arial"/>
                <w:color w:val="000000"/>
                <w:sz w:val="20"/>
              </w:rPr>
              <w:t>–</w:t>
            </w:r>
            <w:r w:rsidRPr="003408A6">
              <w:rPr>
                <w:rFonts w:cs="Arial"/>
                <w:color w:val="000000"/>
                <w:sz w:val="20"/>
              </w:rPr>
              <w:t>1.34)</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20.5</w:t>
            </w:r>
          </w:p>
          <w:p w:rsidR="00547D44" w:rsidRPr="003408A6" w:rsidRDefault="00547D44" w:rsidP="0058508B">
            <w:pPr>
              <w:jc w:val="center"/>
              <w:rPr>
                <w:rFonts w:cs="Arial"/>
                <w:color w:val="0F02BE"/>
                <w:sz w:val="20"/>
              </w:rPr>
            </w:pPr>
            <w:r w:rsidRPr="003408A6">
              <w:rPr>
                <w:rFonts w:cs="Arial"/>
                <w:color w:val="0F02BE"/>
                <w:sz w:val="20"/>
              </w:rPr>
              <w:t>(19.2</w:t>
            </w:r>
            <w:r w:rsidR="0058508B">
              <w:rPr>
                <w:rFonts w:cs="Arial"/>
                <w:color w:val="0F02BE"/>
                <w:sz w:val="20"/>
              </w:rPr>
              <w:t>–</w:t>
            </w:r>
            <w:r w:rsidRPr="003408A6">
              <w:rPr>
                <w:rFonts w:cs="Arial"/>
                <w:color w:val="0F02BE"/>
                <w:sz w:val="20"/>
              </w:rPr>
              <w:t>21.9)</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1.12</w:t>
            </w:r>
          </w:p>
          <w:p w:rsidR="00547D44" w:rsidRPr="003408A6" w:rsidRDefault="0058508B" w:rsidP="006B6D0F">
            <w:pPr>
              <w:jc w:val="center"/>
              <w:rPr>
                <w:rFonts w:cs="Arial"/>
                <w:color w:val="000000"/>
                <w:sz w:val="20"/>
              </w:rPr>
            </w:pPr>
            <w:r>
              <w:rPr>
                <w:rFonts w:cs="Arial"/>
                <w:color w:val="000000"/>
                <w:sz w:val="20"/>
              </w:rPr>
              <w:t>(1.03–</w:t>
            </w:r>
            <w:r w:rsidR="00547D44" w:rsidRPr="003408A6">
              <w:rPr>
                <w:rFonts w:cs="Arial"/>
                <w:color w:val="000000"/>
                <w:sz w:val="20"/>
              </w:rPr>
              <w:t>1.22)</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21.5 </w:t>
            </w:r>
          </w:p>
          <w:p w:rsidR="00547D44" w:rsidRPr="003408A6" w:rsidRDefault="00547D44" w:rsidP="00480FAB">
            <w:pPr>
              <w:jc w:val="center"/>
              <w:rPr>
                <w:rFonts w:cs="Arial"/>
                <w:color w:val="0F02BE"/>
                <w:sz w:val="20"/>
              </w:rPr>
            </w:pPr>
            <w:r w:rsidRPr="003408A6">
              <w:rPr>
                <w:rFonts w:cs="Arial"/>
                <w:color w:val="0F02BE"/>
                <w:sz w:val="20"/>
              </w:rPr>
              <w:t>(20.5</w:t>
            </w:r>
            <w:r w:rsidR="00480FAB">
              <w:rPr>
                <w:rFonts w:cs="Arial"/>
                <w:color w:val="0F02BE"/>
                <w:sz w:val="20"/>
              </w:rPr>
              <w:t>–</w:t>
            </w:r>
            <w:r w:rsidRPr="003408A6">
              <w:rPr>
                <w:rFonts w:cs="Arial"/>
                <w:color w:val="0F02BE"/>
                <w:sz w:val="20"/>
              </w:rPr>
              <w:t>22.5)</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1.18</w:t>
            </w:r>
          </w:p>
          <w:p w:rsidR="00547D44" w:rsidRPr="003408A6" w:rsidRDefault="00547D44" w:rsidP="00480FAB">
            <w:pPr>
              <w:jc w:val="center"/>
              <w:rPr>
                <w:rFonts w:cs="Arial"/>
                <w:color w:val="000000"/>
                <w:sz w:val="20"/>
              </w:rPr>
            </w:pPr>
            <w:r w:rsidRPr="003408A6">
              <w:rPr>
                <w:rFonts w:cs="Arial"/>
                <w:color w:val="000000"/>
                <w:sz w:val="20"/>
              </w:rPr>
              <w:t>(1.10</w:t>
            </w:r>
            <w:r w:rsidR="00480FAB">
              <w:rPr>
                <w:rFonts w:cs="Arial"/>
                <w:color w:val="000000"/>
                <w:sz w:val="20"/>
              </w:rPr>
              <w:t>–</w:t>
            </w:r>
            <w:r w:rsidRPr="003408A6">
              <w:rPr>
                <w:rFonts w:cs="Arial"/>
                <w:color w:val="000000"/>
                <w:sz w:val="20"/>
              </w:rPr>
              <w:t>1.26)</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hRule="exact" w:val="284"/>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SA</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15.1</w:t>
            </w:r>
          </w:p>
          <w:p w:rsidR="00547D44" w:rsidRPr="003408A6" w:rsidRDefault="0058508B" w:rsidP="006B6D0F">
            <w:pPr>
              <w:jc w:val="center"/>
              <w:rPr>
                <w:rFonts w:cs="Arial"/>
                <w:color w:val="0F02BE"/>
                <w:sz w:val="20"/>
              </w:rPr>
            </w:pPr>
            <w:r>
              <w:rPr>
                <w:rFonts w:cs="Arial"/>
                <w:color w:val="0F02BE"/>
                <w:sz w:val="20"/>
              </w:rPr>
              <w:t>(14.1–</w:t>
            </w:r>
            <w:r w:rsidR="00547D44" w:rsidRPr="003408A6">
              <w:rPr>
                <w:rFonts w:cs="Arial"/>
                <w:color w:val="0F02BE"/>
                <w:sz w:val="20"/>
              </w:rPr>
              <w:t>16.1)</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18.1</w:t>
            </w:r>
          </w:p>
          <w:p w:rsidR="00547D44" w:rsidRPr="003408A6" w:rsidRDefault="00547D44" w:rsidP="0058508B">
            <w:pPr>
              <w:jc w:val="center"/>
              <w:rPr>
                <w:rFonts w:cs="Arial"/>
                <w:color w:val="0F02BE"/>
                <w:sz w:val="20"/>
              </w:rPr>
            </w:pPr>
            <w:r w:rsidRPr="003408A6">
              <w:rPr>
                <w:rFonts w:cs="Arial"/>
                <w:color w:val="0F02BE"/>
                <w:sz w:val="20"/>
              </w:rPr>
              <w:t>(16.5</w:t>
            </w:r>
            <w:r w:rsidR="0058508B">
              <w:rPr>
                <w:rFonts w:cs="Arial"/>
                <w:color w:val="0F02BE"/>
                <w:sz w:val="20"/>
              </w:rPr>
              <w:t>–</w:t>
            </w:r>
            <w:r w:rsidRPr="003408A6">
              <w:rPr>
                <w:rFonts w:cs="Arial"/>
                <w:color w:val="0F02BE"/>
                <w:sz w:val="20"/>
              </w:rPr>
              <w:t>19.7)</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1.20</w:t>
            </w:r>
          </w:p>
          <w:p w:rsidR="00547D44" w:rsidRPr="003408A6" w:rsidRDefault="0058508B" w:rsidP="006B6D0F">
            <w:pPr>
              <w:jc w:val="center"/>
              <w:rPr>
                <w:rFonts w:cs="Arial"/>
                <w:color w:val="000000"/>
                <w:sz w:val="20"/>
              </w:rPr>
            </w:pPr>
            <w:r>
              <w:rPr>
                <w:rFonts w:cs="Arial"/>
                <w:color w:val="000000"/>
                <w:sz w:val="20"/>
              </w:rPr>
              <w:t>(1.07–</w:t>
            </w:r>
            <w:r w:rsidR="00547D44" w:rsidRPr="003408A6">
              <w:rPr>
                <w:rFonts w:cs="Arial"/>
                <w:color w:val="000000"/>
                <w:sz w:val="20"/>
              </w:rPr>
              <w:t>1.34)</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15.4 </w:t>
            </w:r>
          </w:p>
          <w:p w:rsidR="00547D44" w:rsidRPr="003408A6" w:rsidRDefault="00547D44" w:rsidP="0058508B">
            <w:pPr>
              <w:jc w:val="center"/>
              <w:rPr>
                <w:rFonts w:cs="Arial"/>
                <w:color w:val="0F02BE"/>
                <w:sz w:val="20"/>
              </w:rPr>
            </w:pPr>
            <w:r w:rsidRPr="003408A6">
              <w:rPr>
                <w:rFonts w:cs="Arial"/>
                <w:color w:val="0F02BE"/>
                <w:sz w:val="20"/>
              </w:rPr>
              <w:t>(14.0</w:t>
            </w:r>
            <w:r w:rsidR="0058508B">
              <w:rPr>
                <w:rFonts w:cs="Arial"/>
                <w:color w:val="0F02BE"/>
                <w:sz w:val="20"/>
              </w:rPr>
              <w:t>–</w:t>
            </w:r>
            <w:r w:rsidRPr="003408A6">
              <w:rPr>
                <w:rFonts w:cs="Arial"/>
                <w:color w:val="0F02BE"/>
                <w:sz w:val="20"/>
              </w:rPr>
              <w:t>17.0)</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1.02</w:t>
            </w:r>
          </w:p>
          <w:p w:rsidR="00547D44" w:rsidRPr="003408A6" w:rsidRDefault="00480FAB" w:rsidP="006B6D0F">
            <w:pPr>
              <w:jc w:val="center"/>
              <w:rPr>
                <w:rFonts w:cs="Arial"/>
                <w:color w:val="000000"/>
                <w:sz w:val="20"/>
              </w:rPr>
            </w:pPr>
            <w:r>
              <w:rPr>
                <w:rFonts w:cs="Arial"/>
                <w:color w:val="000000"/>
                <w:sz w:val="20"/>
              </w:rPr>
              <w:t>(0.91–</w:t>
            </w:r>
            <w:r w:rsidR="00547D44" w:rsidRPr="003408A6">
              <w:rPr>
                <w:rFonts w:cs="Arial"/>
                <w:color w:val="000000"/>
                <w:sz w:val="20"/>
              </w:rPr>
              <w:t>1.15)</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16.8</w:t>
            </w:r>
          </w:p>
          <w:p w:rsidR="00547D44" w:rsidRPr="003408A6" w:rsidRDefault="00547D44" w:rsidP="00480FAB">
            <w:pPr>
              <w:jc w:val="center"/>
              <w:rPr>
                <w:rFonts w:cs="Arial"/>
                <w:color w:val="0F02BE"/>
                <w:sz w:val="20"/>
              </w:rPr>
            </w:pPr>
            <w:r w:rsidRPr="003408A6">
              <w:rPr>
                <w:rFonts w:cs="Arial"/>
                <w:color w:val="0F02BE"/>
                <w:sz w:val="20"/>
              </w:rPr>
              <w:t>(15.7</w:t>
            </w:r>
            <w:r w:rsidR="00480FAB">
              <w:rPr>
                <w:rFonts w:cs="Arial"/>
                <w:color w:val="0F02BE"/>
                <w:sz w:val="20"/>
              </w:rPr>
              <w:t>–</w:t>
            </w:r>
            <w:r w:rsidRPr="003408A6">
              <w:rPr>
                <w:rFonts w:cs="Arial"/>
                <w:color w:val="0F02BE"/>
                <w:sz w:val="20"/>
              </w:rPr>
              <w:t>17.9)</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1.11</w:t>
            </w:r>
          </w:p>
          <w:p w:rsidR="00547D44" w:rsidRPr="003408A6" w:rsidRDefault="00547D44" w:rsidP="00480FAB">
            <w:pPr>
              <w:jc w:val="center"/>
              <w:rPr>
                <w:rFonts w:cs="Arial"/>
                <w:color w:val="000000"/>
                <w:sz w:val="20"/>
              </w:rPr>
            </w:pPr>
            <w:r w:rsidRPr="003408A6">
              <w:rPr>
                <w:rFonts w:cs="Arial"/>
                <w:color w:val="000000"/>
                <w:sz w:val="20"/>
              </w:rPr>
              <w:t>(1.01</w:t>
            </w:r>
            <w:r w:rsidR="00480FAB">
              <w:rPr>
                <w:rFonts w:cs="Arial"/>
                <w:color w:val="000000"/>
                <w:sz w:val="20"/>
              </w:rPr>
              <w:t>–</w:t>
            </w:r>
            <w:r w:rsidRPr="003408A6">
              <w:rPr>
                <w:rFonts w:cs="Arial"/>
                <w:color w:val="000000"/>
                <w:sz w:val="20"/>
              </w:rPr>
              <w:t>1.22)</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NT</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25.6</w:t>
            </w:r>
          </w:p>
          <w:p w:rsidR="00547D44" w:rsidRPr="003408A6" w:rsidRDefault="0058508B" w:rsidP="006B6D0F">
            <w:pPr>
              <w:jc w:val="center"/>
              <w:rPr>
                <w:rFonts w:cs="Arial"/>
                <w:color w:val="0F02BE"/>
                <w:sz w:val="20"/>
              </w:rPr>
            </w:pPr>
            <w:r>
              <w:rPr>
                <w:rFonts w:cs="Arial"/>
                <w:color w:val="0F02BE"/>
                <w:sz w:val="20"/>
              </w:rPr>
              <w:t>(22.4–</w:t>
            </w:r>
            <w:r w:rsidR="00547D44" w:rsidRPr="003408A6">
              <w:rPr>
                <w:rFonts w:cs="Arial"/>
                <w:color w:val="0F02BE"/>
                <w:sz w:val="20"/>
              </w:rPr>
              <w:t>29.0)</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35.8</w:t>
            </w:r>
          </w:p>
          <w:p w:rsidR="00547D44" w:rsidRPr="003408A6" w:rsidRDefault="00547D44" w:rsidP="0058508B">
            <w:pPr>
              <w:jc w:val="center"/>
              <w:rPr>
                <w:rFonts w:cs="Arial"/>
                <w:color w:val="0F02BE"/>
                <w:sz w:val="20"/>
              </w:rPr>
            </w:pPr>
            <w:r w:rsidRPr="003408A6">
              <w:rPr>
                <w:rFonts w:cs="Arial"/>
                <w:color w:val="0F02BE"/>
                <w:sz w:val="20"/>
              </w:rPr>
              <w:t>(30.7</w:t>
            </w:r>
            <w:r w:rsidR="0058508B">
              <w:rPr>
                <w:rFonts w:cs="Arial"/>
                <w:color w:val="0F02BE"/>
                <w:sz w:val="20"/>
              </w:rPr>
              <w:t>–</w:t>
            </w:r>
            <w:r w:rsidRPr="003408A6">
              <w:rPr>
                <w:rFonts w:cs="Arial"/>
                <w:color w:val="0F02BE"/>
                <w:sz w:val="20"/>
              </w:rPr>
              <w:t>41.5)</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1.40</w:t>
            </w:r>
          </w:p>
          <w:p w:rsidR="00547D44" w:rsidRPr="003408A6" w:rsidRDefault="0058508B" w:rsidP="006B6D0F">
            <w:pPr>
              <w:jc w:val="center"/>
              <w:rPr>
                <w:rFonts w:cs="Arial"/>
                <w:color w:val="000000"/>
                <w:sz w:val="20"/>
              </w:rPr>
            </w:pPr>
            <w:r>
              <w:rPr>
                <w:rFonts w:cs="Arial"/>
                <w:color w:val="000000"/>
                <w:sz w:val="20"/>
              </w:rPr>
              <w:t>(1.15–</w:t>
            </w:r>
            <w:r w:rsidR="00547D44" w:rsidRPr="003408A6">
              <w:rPr>
                <w:rFonts w:cs="Arial"/>
                <w:color w:val="000000"/>
                <w:sz w:val="20"/>
              </w:rPr>
              <w:t>1.71)</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22.9</w:t>
            </w:r>
          </w:p>
          <w:p w:rsidR="00547D44" w:rsidRPr="003408A6" w:rsidRDefault="00547D44" w:rsidP="0058508B">
            <w:pPr>
              <w:jc w:val="center"/>
              <w:rPr>
                <w:rFonts w:cs="Arial"/>
                <w:color w:val="0F02BE"/>
                <w:sz w:val="20"/>
              </w:rPr>
            </w:pPr>
            <w:r w:rsidRPr="003408A6">
              <w:rPr>
                <w:rFonts w:cs="Arial"/>
                <w:color w:val="0F02BE"/>
                <w:sz w:val="20"/>
              </w:rPr>
              <w:t>(18.7</w:t>
            </w:r>
            <w:r w:rsidR="0058508B">
              <w:rPr>
                <w:rFonts w:cs="Arial"/>
                <w:color w:val="0F02BE"/>
                <w:sz w:val="20"/>
              </w:rPr>
              <w:t>–</w:t>
            </w:r>
            <w:r w:rsidRPr="003408A6">
              <w:rPr>
                <w:rFonts w:cs="Arial"/>
                <w:color w:val="0F02BE"/>
                <w:sz w:val="20"/>
              </w:rPr>
              <w:t>27.6)</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0.89</w:t>
            </w:r>
          </w:p>
          <w:p w:rsidR="00547D44" w:rsidRPr="003408A6" w:rsidRDefault="00480FAB" w:rsidP="006B6D0F">
            <w:pPr>
              <w:jc w:val="center"/>
              <w:rPr>
                <w:rFonts w:cs="Arial"/>
                <w:color w:val="000000"/>
                <w:sz w:val="20"/>
              </w:rPr>
            </w:pPr>
            <w:r>
              <w:rPr>
                <w:rFonts w:cs="Arial"/>
                <w:color w:val="000000"/>
                <w:sz w:val="20"/>
              </w:rPr>
              <w:t>(0.70–</w:t>
            </w:r>
            <w:r w:rsidR="00547D44" w:rsidRPr="003408A6">
              <w:rPr>
                <w:rFonts w:cs="Arial"/>
                <w:color w:val="000000"/>
                <w:sz w:val="20"/>
              </w:rPr>
              <w:t>1.13)</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29.5</w:t>
            </w:r>
          </w:p>
          <w:p w:rsidR="00547D44" w:rsidRPr="003408A6" w:rsidRDefault="00547D44" w:rsidP="00480FAB">
            <w:pPr>
              <w:jc w:val="center"/>
              <w:rPr>
                <w:rFonts w:cs="Arial"/>
                <w:color w:val="0F02BE"/>
                <w:sz w:val="20"/>
              </w:rPr>
            </w:pPr>
            <w:r w:rsidRPr="003408A6">
              <w:rPr>
                <w:rFonts w:cs="Arial"/>
                <w:color w:val="0F02BE"/>
                <w:sz w:val="20"/>
              </w:rPr>
              <w:t>(26.2</w:t>
            </w:r>
            <w:r w:rsidR="00480FAB">
              <w:rPr>
                <w:rFonts w:cs="Arial"/>
                <w:color w:val="0F02BE"/>
                <w:sz w:val="20"/>
              </w:rPr>
              <w:t>–</w:t>
            </w:r>
            <w:r w:rsidRPr="003408A6">
              <w:rPr>
                <w:rFonts w:cs="Arial"/>
                <w:color w:val="0F02BE"/>
                <w:sz w:val="20"/>
              </w:rPr>
              <w:t>33.2)</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1.15</w:t>
            </w:r>
          </w:p>
          <w:p w:rsidR="00547D44" w:rsidRPr="003408A6" w:rsidRDefault="00547D44" w:rsidP="00480FAB">
            <w:pPr>
              <w:jc w:val="center"/>
              <w:rPr>
                <w:rFonts w:cs="Arial"/>
                <w:color w:val="000000"/>
                <w:sz w:val="20"/>
              </w:rPr>
            </w:pPr>
            <w:r w:rsidRPr="003408A6">
              <w:rPr>
                <w:rFonts w:cs="Arial"/>
                <w:color w:val="000000"/>
                <w:sz w:val="20"/>
              </w:rPr>
              <w:t>(0.97</w:t>
            </w:r>
            <w:r w:rsidR="00480FAB">
              <w:rPr>
                <w:rFonts w:cs="Arial"/>
                <w:color w:val="000000"/>
                <w:sz w:val="20"/>
              </w:rPr>
              <w:t>–</w:t>
            </w:r>
            <w:r w:rsidRPr="003408A6">
              <w:rPr>
                <w:rFonts w:cs="Arial"/>
                <w:color w:val="000000"/>
                <w:sz w:val="20"/>
              </w:rPr>
              <w:t>1.38)</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val="290"/>
        </w:trPr>
        <w:tc>
          <w:tcPr>
            <w:tcW w:w="0" w:type="auto"/>
            <w:vMerge w:val="restart"/>
            <w:tcBorders>
              <w:top w:val="single" w:sz="4" w:space="0" w:color="auto"/>
              <w:left w:val="single" w:sz="4" w:space="0" w:color="auto"/>
              <w:bottom w:val="nil"/>
              <w:right w:val="single" w:sz="4" w:space="0" w:color="auto"/>
            </w:tcBorders>
            <w:shd w:val="clear" w:color="000000" w:fill="FFFFFF"/>
            <w:vAlign w:val="center"/>
            <w:hideMark/>
          </w:tcPr>
          <w:p w:rsidR="00547D44" w:rsidRPr="003408A6" w:rsidRDefault="00547D44" w:rsidP="00547D44">
            <w:pPr>
              <w:pStyle w:val="Tabletextbold"/>
            </w:pPr>
            <w:r w:rsidRPr="003408A6">
              <w:t>TAS</w:t>
            </w:r>
          </w:p>
        </w:tc>
        <w:tc>
          <w:tcPr>
            <w:tcW w:w="2153"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28.6</w:t>
            </w:r>
          </w:p>
          <w:p w:rsidR="00547D44" w:rsidRPr="003408A6" w:rsidRDefault="00547D44" w:rsidP="0058508B">
            <w:pPr>
              <w:jc w:val="center"/>
              <w:rPr>
                <w:rFonts w:cs="Arial"/>
                <w:color w:val="0F02BE"/>
                <w:sz w:val="20"/>
              </w:rPr>
            </w:pPr>
            <w:r w:rsidRPr="003408A6">
              <w:rPr>
                <w:rFonts w:cs="Arial"/>
                <w:color w:val="0F02BE"/>
                <w:sz w:val="20"/>
              </w:rPr>
              <w:t>(26.2</w:t>
            </w:r>
            <w:r w:rsidR="0058508B">
              <w:rPr>
                <w:rFonts w:cs="Arial"/>
                <w:color w:val="0F02BE"/>
                <w:sz w:val="20"/>
              </w:rPr>
              <w:t>–</w:t>
            </w:r>
            <w:r w:rsidRPr="003408A6">
              <w:rPr>
                <w:rFonts w:cs="Arial"/>
                <w:color w:val="0F02BE"/>
                <w:sz w:val="20"/>
              </w:rPr>
              <w:t>31.1)</w:t>
            </w:r>
          </w:p>
        </w:tc>
        <w:tc>
          <w:tcPr>
            <w:tcW w:w="1855"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29.3</w:t>
            </w:r>
          </w:p>
          <w:p w:rsidR="00547D44" w:rsidRPr="003408A6" w:rsidRDefault="00547D44" w:rsidP="0058508B">
            <w:pPr>
              <w:jc w:val="center"/>
              <w:rPr>
                <w:rFonts w:cs="Arial"/>
                <w:color w:val="0F02BE"/>
                <w:sz w:val="20"/>
              </w:rPr>
            </w:pPr>
            <w:r w:rsidRPr="003408A6">
              <w:rPr>
                <w:rFonts w:cs="Arial"/>
                <w:color w:val="0F02BE"/>
                <w:sz w:val="20"/>
              </w:rPr>
              <w:t>(25.8</w:t>
            </w:r>
            <w:r w:rsidR="0058508B">
              <w:rPr>
                <w:rFonts w:cs="Arial"/>
                <w:color w:val="0F02BE"/>
                <w:sz w:val="20"/>
              </w:rPr>
              <w:t>–</w:t>
            </w:r>
            <w:r w:rsidRPr="003408A6">
              <w:rPr>
                <w:rFonts w:cs="Arial"/>
                <w:color w:val="0F02BE"/>
                <w:sz w:val="20"/>
              </w:rPr>
              <w:t>33.0)</w:t>
            </w:r>
          </w:p>
        </w:tc>
        <w:tc>
          <w:tcPr>
            <w:tcW w:w="1856"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1.02</w:t>
            </w:r>
          </w:p>
          <w:p w:rsidR="00547D44" w:rsidRPr="003408A6" w:rsidRDefault="00547D44" w:rsidP="0058508B">
            <w:pPr>
              <w:jc w:val="center"/>
              <w:rPr>
                <w:rFonts w:cs="Arial"/>
                <w:color w:val="000000"/>
                <w:sz w:val="20"/>
              </w:rPr>
            </w:pPr>
            <w:r w:rsidRPr="003408A6">
              <w:rPr>
                <w:rFonts w:cs="Arial"/>
                <w:color w:val="000000"/>
                <w:sz w:val="20"/>
              </w:rPr>
              <w:t>(0.88</w:t>
            </w:r>
            <w:r w:rsidR="0058508B">
              <w:rPr>
                <w:rFonts w:cs="Arial"/>
                <w:color w:val="000000"/>
                <w:sz w:val="20"/>
              </w:rPr>
              <w:t>–</w:t>
            </w:r>
            <w:r w:rsidRPr="003408A6">
              <w:rPr>
                <w:rFonts w:cs="Arial"/>
                <w:color w:val="000000"/>
                <w:sz w:val="20"/>
              </w:rPr>
              <w:t>1.19)</w:t>
            </w:r>
          </w:p>
        </w:tc>
        <w:tc>
          <w:tcPr>
            <w:tcW w:w="1901"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21.0</w:t>
            </w:r>
          </w:p>
          <w:p w:rsidR="00547D44" w:rsidRPr="003408A6" w:rsidRDefault="00547D44" w:rsidP="0058508B">
            <w:pPr>
              <w:jc w:val="center"/>
              <w:rPr>
                <w:rFonts w:cs="Arial"/>
                <w:color w:val="0F02BE"/>
                <w:sz w:val="20"/>
              </w:rPr>
            </w:pPr>
            <w:r w:rsidRPr="003408A6">
              <w:rPr>
                <w:rFonts w:cs="Arial"/>
                <w:color w:val="0F02BE"/>
                <w:sz w:val="20"/>
              </w:rPr>
              <w:t>(18.1</w:t>
            </w:r>
            <w:r w:rsidR="0058508B">
              <w:rPr>
                <w:rFonts w:cs="Arial"/>
                <w:color w:val="0F02BE"/>
                <w:sz w:val="20"/>
              </w:rPr>
              <w:t>–</w:t>
            </w:r>
            <w:r w:rsidRPr="003408A6">
              <w:rPr>
                <w:rFonts w:cs="Arial"/>
                <w:color w:val="0F02BE"/>
                <w:sz w:val="20"/>
              </w:rPr>
              <w:t>24.3)</w:t>
            </w:r>
          </w:p>
        </w:tc>
        <w:tc>
          <w:tcPr>
            <w:tcW w:w="190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0.73</w:t>
            </w:r>
          </w:p>
          <w:p w:rsidR="00547D44" w:rsidRPr="003408A6" w:rsidRDefault="00480FAB" w:rsidP="006B6D0F">
            <w:pPr>
              <w:jc w:val="center"/>
              <w:rPr>
                <w:rFonts w:cs="Arial"/>
                <w:color w:val="000000"/>
                <w:sz w:val="20"/>
              </w:rPr>
            </w:pPr>
            <w:r>
              <w:rPr>
                <w:rFonts w:cs="Arial"/>
                <w:color w:val="000000"/>
                <w:sz w:val="20"/>
              </w:rPr>
              <w:t>(0.62–</w:t>
            </w:r>
            <w:r w:rsidR="00547D44" w:rsidRPr="003408A6">
              <w:rPr>
                <w:rFonts w:cs="Arial"/>
                <w:color w:val="000000"/>
                <w:sz w:val="20"/>
              </w:rPr>
              <w:t>0.87)</w:t>
            </w:r>
          </w:p>
        </w:tc>
        <w:tc>
          <w:tcPr>
            <w:tcW w:w="1810" w:type="dxa"/>
            <w:vMerge w:val="restart"/>
            <w:tcBorders>
              <w:top w:val="single" w:sz="4" w:space="0" w:color="auto"/>
              <w:left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25.2</w:t>
            </w:r>
          </w:p>
          <w:p w:rsidR="00547D44" w:rsidRPr="003408A6" w:rsidRDefault="00547D44" w:rsidP="00480FAB">
            <w:pPr>
              <w:jc w:val="center"/>
              <w:rPr>
                <w:rFonts w:cs="Arial"/>
                <w:color w:val="0F02BE"/>
                <w:sz w:val="20"/>
              </w:rPr>
            </w:pPr>
            <w:r w:rsidRPr="003408A6">
              <w:rPr>
                <w:rFonts w:cs="Arial"/>
                <w:color w:val="0F02BE"/>
                <w:sz w:val="20"/>
              </w:rPr>
              <w:t>(22.9</w:t>
            </w:r>
            <w:r w:rsidR="00480FAB">
              <w:rPr>
                <w:rFonts w:cs="Arial"/>
                <w:color w:val="0F02BE"/>
                <w:sz w:val="20"/>
              </w:rPr>
              <w:t>–</w:t>
            </w:r>
            <w:r w:rsidRPr="003408A6">
              <w:rPr>
                <w:rFonts w:cs="Arial"/>
                <w:color w:val="0F02BE"/>
                <w:sz w:val="20"/>
              </w:rPr>
              <w:t>27.7)</w:t>
            </w:r>
          </w:p>
        </w:tc>
        <w:tc>
          <w:tcPr>
            <w:tcW w:w="1811" w:type="dxa"/>
            <w:vMerge w:val="restart"/>
            <w:tcBorders>
              <w:top w:val="single" w:sz="4" w:space="0" w:color="auto"/>
              <w:left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0.88</w:t>
            </w:r>
          </w:p>
          <w:p w:rsidR="00547D44" w:rsidRPr="003408A6" w:rsidRDefault="00547D44" w:rsidP="00480FAB">
            <w:pPr>
              <w:jc w:val="center"/>
              <w:rPr>
                <w:rFonts w:cs="Arial"/>
                <w:color w:val="000000"/>
                <w:sz w:val="20"/>
              </w:rPr>
            </w:pPr>
            <w:r w:rsidRPr="003408A6">
              <w:rPr>
                <w:rFonts w:cs="Arial"/>
                <w:color w:val="000000"/>
                <w:sz w:val="20"/>
              </w:rPr>
              <w:t>(0.78</w:t>
            </w:r>
            <w:r w:rsidR="00480FAB">
              <w:rPr>
                <w:rFonts w:cs="Arial"/>
                <w:color w:val="000000"/>
                <w:sz w:val="20"/>
              </w:rPr>
              <w:t>–</w:t>
            </w:r>
            <w:r w:rsidRPr="003408A6">
              <w:rPr>
                <w:rFonts w:cs="Arial"/>
                <w:color w:val="000000"/>
                <w:sz w:val="20"/>
              </w:rPr>
              <w:t>1.00)</w:t>
            </w:r>
          </w:p>
        </w:tc>
      </w:tr>
      <w:tr w:rsidR="0058508B" w:rsidRPr="003408A6" w:rsidTr="00480FAB">
        <w:trPr>
          <w:trHeight w:val="350"/>
        </w:trPr>
        <w:tc>
          <w:tcPr>
            <w:tcW w:w="0" w:type="auto"/>
            <w:vMerge/>
            <w:tcBorders>
              <w:top w:val="nil"/>
              <w:left w:val="single" w:sz="4" w:space="0" w:color="auto"/>
              <w:bottom w:val="single" w:sz="4" w:space="0" w:color="auto"/>
              <w:right w:val="single" w:sz="4" w:space="0" w:color="auto"/>
            </w:tcBorders>
            <w:vAlign w:val="center"/>
            <w:hideMark/>
          </w:tcPr>
          <w:p w:rsidR="00547D44" w:rsidRPr="003408A6" w:rsidRDefault="00547D44" w:rsidP="00547D44">
            <w:pPr>
              <w:pStyle w:val="Tabletextbold"/>
            </w:pPr>
          </w:p>
        </w:tc>
        <w:tc>
          <w:tcPr>
            <w:tcW w:w="2153"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5"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56"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901"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90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c>
          <w:tcPr>
            <w:tcW w:w="1810" w:type="dxa"/>
            <w:vMerge/>
            <w:tcBorders>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p>
        </w:tc>
        <w:tc>
          <w:tcPr>
            <w:tcW w:w="1811" w:type="dxa"/>
            <w:vMerge/>
            <w:tcBorders>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p>
        </w:tc>
      </w:tr>
      <w:tr w:rsidR="0058508B" w:rsidRPr="003408A6" w:rsidTr="00480FAB">
        <w:trPr>
          <w:trHeight w:hRule="exact" w:val="60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47D44" w:rsidRPr="003408A6" w:rsidRDefault="00547D44" w:rsidP="00547D44">
            <w:pPr>
              <w:pStyle w:val="Tabletextbold"/>
            </w:pPr>
            <w:r w:rsidRPr="003408A6">
              <w:t>ACT</w:t>
            </w:r>
          </w:p>
        </w:tc>
        <w:tc>
          <w:tcPr>
            <w:tcW w:w="215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19.7</w:t>
            </w:r>
          </w:p>
          <w:p w:rsidR="00547D44" w:rsidRPr="003408A6" w:rsidRDefault="0058508B" w:rsidP="006B6D0F">
            <w:pPr>
              <w:jc w:val="center"/>
              <w:rPr>
                <w:rFonts w:cs="Arial"/>
                <w:color w:val="0F02BE"/>
                <w:sz w:val="20"/>
              </w:rPr>
            </w:pPr>
            <w:r>
              <w:rPr>
                <w:rFonts w:cs="Arial"/>
                <w:color w:val="0F02BE"/>
                <w:sz w:val="20"/>
              </w:rPr>
              <w:t>(17.6–</w:t>
            </w:r>
            <w:r w:rsidR="00547D44" w:rsidRPr="003408A6">
              <w:rPr>
                <w:rFonts w:cs="Arial"/>
                <w:color w:val="0F02BE"/>
                <w:sz w:val="20"/>
              </w:rPr>
              <w:t>22.1)</w:t>
            </w:r>
          </w:p>
        </w:tc>
        <w:tc>
          <w:tcPr>
            <w:tcW w:w="18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19.5</w:t>
            </w:r>
          </w:p>
          <w:p w:rsidR="00547D44" w:rsidRPr="003408A6" w:rsidRDefault="00547D44" w:rsidP="0058508B">
            <w:pPr>
              <w:jc w:val="center"/>
              <w:rPr>
                <w:rFonts w:cs="Arial"/>
                <w:color w:val="0F02BE"/>
                <w:sz w:val="20"/>
              </w:rPr>
            </w:pPr>
            <w:r w:rsidRPr="003408A6">
              <w:rPr>
                <w:rFonts w:cs="Arial"/>
                <w:color w:val="0F02BE"/>
                <w:sz w:val="20"/>
              </w:rPr>
              <w:t>(16.5</w:t>
            </w:r>
            <w:r w:rsidR="0058508B">
              <w:rPr>
                <w:rFonts w:cs="Arial"/>
                <w:color w:val="0F02BE"/>
                <w:sz w:val="20"/>
              </w:rPr>
              <w:t>–</w:t>
            </w:r>
            <w:r w:rsidRPr="003408A6">
              <w:rPr>
                <w:rFonts w:cs="Arial"/>
                <w:color w:val="0F02BE"/>
                <w:sz w:val="20"/>
              </w:rPr>
              <w:t>22.9)</w:t>
            </w:r>
          </w:p>
        </w:tc>
        <w:tc>
          <w:tcPr>
            <w:tcW w:w="1856"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0.99</w:t>
            </w:r>
          </w:p>
          <w:p w:rsidR="00547D44" w:rsidRPr="003408A6" w:rsidRDefault="00547D44" w:rsidP="0058508B">
            <w:pPr>
              <w:jc w:val="center"/>
              <w:rPr>
                <w:rFonts w:cs="Arial"/>
                <w:color w:val="000000"/>
                <w:sz w:val="20"/>
              </w:rPr>
            </w:pPr>
            <w:r w:rsidRPr="003408A6">
              <w:rPr>
                <w:rFonts w:cs="Arial"/>
                <w:color w:val="000000"/>
                <w:sz w:val="20"/>
              </w:rPr>
              <w:t>(0.81</w:t>
            </w:r>
            <w:r w:rsidR="0058508B">
              <w:rPr>
                <w:rFonts w:cs="Arial"/>
                <w:color w:val="000000"/>
                <w:sz w:val="20"/>
              </w:rPr>
              <w:t>–</w:t>
            </w:r>
            <w:r w:rsidRPr="003408A6">
              <w:rPr>
                <w:rFonts w:cs="Arial"/>
                <w:color w:val="000000"/>
                <w:sz w:val="20"/>
              </w:rPr>
              <w:t>1.20)</w:t>
            </w:r>
          </w:p>
        </w:tc>
        <w:tc>
          <w:tcPr>
            <w:tcW w:w="19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14.5 </w:t>
            </w:r>
          </w:p>
          <w:p w:rsidR="00547D44" w:rsidRPr="003408A6" w:rsidRDefault="00547D44" w:rsidP="0058508B">
            <w:pPr>
              <w:jc w:val="center"/>
              <w:rPr>
                <w:rFonts w:cs="Arial"/>
                <w:color w:val="0F02BE"/>
                <w:sz w:val="20"/>
              </w:rPr>
            </w:pPr>
            <w:r w:rsidRPr="003408A6">
              <w:rPr>
                <w:rFonts w:cs="Arial"/>
                <w:color w:val="0F02BE"/>
                <w:sz w:val="20"/>
              </w:rPr>
              <w:t>(11.9</w:t>
            </w:r>
            <w:r w:rsidR="0058508B">
              <w:rPr>
                <w:rFonts w:cs="Arial"/>
                <w:color w:val="0F02BE"/>
                <w:sz w:val="20"/>
              </w:rPr>
              <w:t>–</w:t>
            </w:r>
            <w:r w:rsidRPr="003408A6">
              <w:rPr>
                <w:rFonts w:cs="Arial"/>
                <w:color w:val="0F02BE"/>
                <w:sz w:val="20"/>
              </w:rPr>
              <w:t>17.6)</w:t>
            </w:r>
          </w:p>
        </w:tc>
        <w:tc>
          <w:tcPr>
            <w:tcW w:w="1901"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0.74</w:t>
            </w:r>
          </w:p>
          <w:p w:rsidR="00547D44" w:rsidRPr="003408A6" w:rsidRDefault="00480FAB" w:rsidP="006B6D0F">
            <w:pPr>
              <w:jc w:val="center"/>
              <w:rPr>
                <w:rFonts w:cs="Arial"/>
                <w:color w:val="000000"/>
                <w:sz w:val="20"/>
              </w:rPr>
            </w:pPr>
            <w:r>
              <w:rPr>
                <w:rFonts w:cs="Arial"/>
                <w:color w:val="000000"/>
                <w:sz w:val="20"/>
              </w:rPr>
              <w:t>(0.58–</w:t>
            </w:r>
            <w:r w:rsidR="00547D44" w:rsidRPr="003408A6">
              <w:rPr>
                <w:rFonts w:cs="Arial"/>
                <w:color w:val="000000"/>
                <w:sz w:val="20"/>
              </w:rPr>
              <w:t>0.92)</w:t>
            </w:r>
          </w:p>
        </w:tc>
        <w:tc>
          <w:tcPr>
            <w:tcW w:w="18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Pr="003408A6" w:rsidRDefault="00547D44" w:rsidP="006B6D0F">
            <w:pPr>
              <w:jc w:val="center"/>
              <w:rPr>
                <w:rFonts w:cs="Arial"/>
                <w:color w:val="0F02BE"/>
                <w:sz w:val="20"/>
              </w:rPr>
            </w:pPr>
            <w:r w:rsidRPr="003408A6">
              <w:rPr>
                <w:rFonts w:cs="Arial"/>
                <w:color w:val="0F02BE"/>
                <w:sz w:val="20"/>
              </w:rPr>
              <w:t xml:space="preserve">17.1 </w:t>
            </w:r>
          </w:p>
          <w:p w:rsidR="00547D44" w:rsidRPr="003408A6" w:rsidRDefault="00480FAB" w:rsidP="006B6D0F">
            <w:pPr>
              <w:jc w:val="center"/>
              <w:rPr>
                <w:rFonts w:cs="Arial"/>
                <w:color w:val="0F02BE"/>
                <w:sz w:val="20"/>
              </w:rPr>
            </w:pPr>
            <w:r>
              <w:rPr>
                <w:rFonts w:cs="Arial"/>
                <w:color w:val="0F02BE"/>
                <w:sz w:val="20"/>
              </w:rPr>
              <w:t>(15.1–</w:t>
            </w:r>
            <w:r w:rsidR="00547D44" w:rsidRPr="003408A6">
              <w:rPr>
                <w:rFonts w:cs="Arial"/>
                <w:color w:val="0F02BE"/>
                <w:sz w:val="20"/>
              </w:rPr>
              <w:t>19.3)</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Pr="003408A6" w:rsidRDefault="00547D44" w:rsidP="006B6D0F">
            <w:pPr>
              <w:jc w:val="center"/>
              <w:rPr>
                <w:rFonts w:cs="Arial"/>
                <w:color w:val="000000"/>
                <w:sz w:val="20"/>
              </w:rPr>
            </w:pPr>
            <w:r w:rsidRPr="003408A6">
              <w:rPr>
                <w:rFonts w:cs="Arial"/>
                <w:color w:val="000000"/>
                <w:sz w:val="20"/>
              </w:rPr>
              <w:t>0.87</w:t>
            </w:r>
          </w:p>
          <w:p w:rsidR="00547D44" w:rsidRPr="003408A6" w:rsidRDefault="00547D44" w:rsidP="00480FAB">
            <w:pPr>
              <w:jc w:val="center"/>
              <w:rPr>
                <w:rFonts w:cs="Arial"/>
                <w:color w:val="000000"/>
                <w:sz w:val="20"/>
              </w:rPr>
            </w:pPr>
            <w:r w:rsidRPr="003408A6">
              <w:rPr>
                <w:rFonts w:cs="Arial"/>
                <w:color w:val="000000"/>
                <w:sz w:val="20"/>
              </w:rPr>
              <w:t>(0.73</w:t>
            </w:r>
            <w:r w:rsidR="00480FAB">
              <w:rPr>
                <w:rFonts w:cs="Arial"/>
                <w:color w:val="000000"/>
                <w:sz w:val="20"/>
              </w:rPr>
              <w:t>–</w:t>
            </w:r>
            <w:r w:rsidRPr="003408A6">
              <w:rPr>
                <w:rFonts w:cs="Arial"/>
                <w:color w:val="000000"/>
                <w:sz w:val="20"/>
              </w:rPr>
              <w:t>1.03)</w:t>
            </w:r>
          </w:p>
        </w:tc>
      </w:tr>
      <w:tr w:rsidR="0058508B" w:rsidRPr="003408A6" w:rsidTr="00480FAB">
        <w:trPr>
          <w:trHeight w:hRule="exact" w:val="569"/>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47D44" w:rsidRPr="003408A6" w:rsidRDefault="00547D44" w:rsidP="00547D44">
            <w:pPr>
              <w:pStyle w:val="Tabletextbold"/>
            </w:pPr>
            <w:r w:rsidRPr="003408A6">
              <w:t>National</w:t>
            </w:r>
          </w:p>
        </w:tc>
        <w:tc>
          <w:tcPr>
            <w:tcW w:w="215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Default="00547D44" w:rsidP="006B6D0F">
            <w:pPr>
              <w:jc w:val="center"/>
              <w:rPr>
                <w:rFonts w:cs="Arial"/>
                <w:color w:val="0F02BE"/>
                <w:sz w:val="20"/>
              </w:rPr>
            </w:pPr>
            <w:r w:rsidRPr="003408A6">
              <w:rPr>
                <w:rFonts w:cs="Arial"/>
                <w:color w:val="0F02BE"/>
                <w:sz w:val="20"/>
              </w:rPr>
              <w:t>19.8</w:t>
            </w:r>
          </w:p>
          <w:p w:rsidR="00547D44" w:rsidRPr="003408A6" w:rsidRDefault="00547D44" w:rsidP="0058508B">
            <w:pPr>
              <w:jc w:val="center"/>
              <w:rPr>
                <w:rFonts w:cs="Arial"/>
                <w:color w:val="0F02BE"/>
                <w:sz w:val="20"/>
              </w:rPr>
            </w:pPr>
            <w:r w:rsidRPr="003408A6">
              <w:rPr>
                <w:rFonts w:cs="Arial"/>
                <w:color w:val="0F02BE"/>
                <w:sz w:val="20"/>
              </w:rPr>
              <w:t>(19.5</w:t>
            </w:r>
            <w:r w:rsidR="0058508B">
              <w:rPr>
                <w:rFonts w:cs="Arial"/>
                <w:color w:val="0F02BE"/>
                <w:sz w:val="20"/>
              </w:rPr>
              <w:t>–</w:t>
            </w:r>
            <w:r w:rsidRPr="003408A6">
              <w:rPr>
                <w:rFonts w:cs="Arial"/>
                <w:color w:val="0F02BE"/>
                <w:sz w:val="20"/>
              </w:rPr>
              <w:t>20.1)</w:t>
            </w:r>
          </w:p>
        </w:tc>
        <w:tc>
          <w:tcPr>
            <w:tcW w:w="18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Default="00547D44" w:rsidP="006B6D0F">
            <w:pPr>
              <w:jc w:val="center"/>
              <w:rPr>
                <w:rFonts w:cs="Arial"/>
                <w:color w:val="0F02BE"/>
                <w:sz w:val="20"/>
              </w:rPr>
            </w:pPr>
            <w:r w:rsidRPr="003408A6">
              <w:rPr>
                <w:rFonts w:cs="Arial"/>
                <w:color w:val="0F02BE"/>
                <w:sz w:val="20"/>
              </w:rPr>
              <w:t>20.6</w:t>
            </w:r>
          </w:p>
          <w:p w:rsidR="00547D44" w:rsidRPr="003408A6" w:rsidRDefault="00547D44" w:rsidP="006B6D0F">
            <w:pPr>
              <w:jc w:val="center"/>
              <w:rPr>
                <w:rFonts w:cs="Arial"/>
                <w:color w:val="0F02BE"/>
                <w:sz w:val="20"/>
              </w:rPr>
            </w:pPr>
            <w:r>
              <w:rPr>
                <w:rFonts w:cs="Arial"/>
                <w:color w:val="0F02BE"/>
                <w:sz w:val="20"/>
              </w:rPr>
              <w:t>(20.1–21.1)</w:t>
            </w:r>
          </w:p>
        </w:tc>
        <w:tc>
          <w:tcPr>
            <w:tcW w:w="1856"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Default="00547D44" w:rsidP="006B6D0F">
            <w:pPr>
              <w:jc w:val="center"/>
              <w:rPr>
                <w:rFonts w:cs="Arial"/>
                <w:color w:val="000000"/>
                <w:sz w:val="20"/>
              </w:rPr>
            </w:pPr>
            <w:r w:rsidRPr="003408A6">
              <w:rPr>
                <w:rFonts w:cs="Arial"/>
                <w:color w:val="000000"/>
                <w:sz w:val="20"/>
              </w:rPr>
              <w:t>1.04</w:t>
            </w:r>
          </w:p>
          <w:p w:rsidR="00547D44" w:rsidRPr="003408A6" w:rsidRDefault="0058508B" w:rsidP="006B6D0F">
            <w:pPr>
              <w:jc w:val="center"/>
              <w:rPr>
                <w:rFonts w:cs="Arial"/>
                <w:color w:val="000000"/>
                <w:sz w:val="20"/>
              </w:rPr>
            </w:pPr>
            <w:r>
              <w:rPr>
                <w:rFonts w:cs="Arial"/>
                <w:color w:val="000000"/>
                <w:sz w:val="20"/>
              </w:rPr>
              <w:t>(1.01–</w:t>
            </w:r>
            <w:r w:rsidR="00547D44" w:rsidRPr="003408A6">
              <w:rPr>
                <w:rFonts w:cs="Arial"/>
                <w:color w:val="000000"/>
                <w:sz w:val="20"/>
              </w:rPr>
              <w:t>1.07)</w:t>
            </w:r>
          </w:p>
        </w:tc>
        <w:tc>
          <w:tcPr>
            <w:tcW w:w="19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Default="00547D44" w:rsidP="006B6D0F">
            <w:pPr>
              <w:jc w:val="center"/>
              <w:rPr>
                <w:rFonts w:cs="Arial"/>
                <w:color w:val="0F02BE"/>
                <w:sz w:val="20"/>
              </w:rPr>
            </w:pPr>
            <w:r w:rsidRPr="003408A6">
              <w:rPr>
                <w:rFonts w:cs="Arial"/>
                <w:color w:val="0F02BE"/>
                <w:sz w:val="20"/>
              </w:rPr>
              <w:t>18.5</w:t>
            </w:r>
          </w:p>
          <w:p w:rsidR="00547D44" w:rsidRPr="003408A6" w:rsidRDefault="00547D44" w:rsidP="0058508B">
            <w:pPr>
              <w:jc w:val="center"/>
              <w:rPr>
                <w:rFonts w:cs="Arial"/>
                <w:color w:val="0F02BE"/>
                <w:sz w:val="20"/>
              </w:rPr>
            </w:pPr>
            <w:r w:rsidRPr="003408A6">
              <w:rPr>
                <w:rFonts w:cs="Arial"/>
                <w:color w:val="0F02BE"/>
                <w:sz w:val="20"/>
              </w:rPr>
              <w:t>(18.1</w:t>
            </w:r>
            <w:r w:rsidR="0058508B">
              <w:rPr>
                <w:rFonts w:cs="Arial"/>
                <w:color w:val="0F02BE"/>
                <w:sz w:val="20"/>
              </w:rPr>
              <w:t>–</w:t>
            </w:r>
            <w:r w:rsidRPr="003408A6">
              <w:rPr>
                <w:rFonts w:cs="Arial"/>
                <w:color w:val="0F02BE"/>
                <w:sz w:val="20"/>
              </w:rPr>
              <w:t>19.0)</w:t>
            </w:r>
          </w:p>
        </w:tc>
        <w:tc>
          <w:tcPr>
            <w:tcW w:w="1901"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Default="00547D44" w:rsidP="006B6D0F">
            <w:pPr>
              <w:jc w:val="center"/>
              <w:rPr>
                <w:rFonts w:cs="Arial"/>
                <w:color w:val="000000"/>
                <w:sz w:val="20"/>
              </w:rPr>
            </w:pPr>
            <w:r w:rsidRPr="003408A6">
              <w:rPr>
                <w:rFonts w:cs="Arial"/>
                <w:color w:val="000000"/>
                <w:sz w:val="20"/>
              </w:rPr>
              <w:t>0.94</w:t>
            </w:r>
          </w:p>
          <w:p w:rsidR="00547D44" w:rsidRPr="003408A6" w:rsidRDefault="00547D44" w:rsidP="00480FAB">
            <w:pPr>
              <w:jc w:val="center"/>
              <w:rPr>
                <w:rFonts w:cs="Arial"/>
                <w:color w:val="000000"/>
                <w:sz w:val="20"/>
              </w:rPr>
            </w:pPr>
            <w:r w:rsidRPr="003408A6">
              <w:rPr>
                <w:rFonts w:cs="Arial"/>
                <w:color w:val="000000"/>
                <w:sz w:val="20"/>
              </w:rPr>
              <w:t>(0.91</w:t>
            </w:r>
            <w:r w:rsidR="00480FAB">
              <w:rPr>
                <w:rFonts w:cs="Arial"/>
                <w:color w:val="000000"/>
                <w:sz w:val="20"/>
              </w:rPr>
              <w:t>–</w:t>
            </w:r>
            <w:r w:rsidRPr="003408A6">
              <w:rPr>
                <w:rFonts w:cs="Arial"/>
                <w:color w:val="000000"/>
                <w:sz w:val="20"/>
              </w:rPr>
              <w:t>0.96)</w:t>
            </w:r>
          </w:p>
        </w:tc>
        <w:tc>
          <w:tcPr>
            <w:tcW w:w="18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47D44" w:rsidRDefault="00547D44" w:rsidP="006B6D0F">
            <w:pPr>
              <w:jc w:val="center"/>
              <w:rPr>
                <w:rFonts w:cs="Arial"/>
                <w:color w:val="0F02BE"/>
                <w:sz w:val="20"/>
              </w:rPr>
            </w:pPr>
            <w:r w:rsidRPr="003408A6">
              <w:rPr>
                <w:rFonts w:cs="Arial"/>
                <w:color w:val="0F02BE"/>
                <w:sz w:val="20"/>
              </w:rPr>
              <w:t>19.6</w:t>
            </w:r>
          </w:p>
          <w:p w:rsidR="00547D44" w:rsidRPr="003408A6" w:rsidRDefault="00547D44" w:rsidP="00480FAB">
            <w:pPr>
              <w:jc w:val="center"/>
              <w:rPr>
                <w:rFonts w:cs="Arial"/>
                <w:color w:val="0F02BE"/>
                <w:sz w:val="20"/>
              </w:rPr>
            </w:pPr>
            <w:r w:rsidRPr="003408A6">
              <w:rPr>
                <w:rFonts w:cs="Arial"/>
                <w:color w:val="0F02BE"/>
                <w:sz w:val="20"/>
              </w:rPr>
              <w:t>(19.3</w:t>
            </w:r>
            <w:r w:rsidR="00480FAB">
              <w:rPr>
                <w:rFonts w:cs="Arial"/>
                <w:color w:val="0F02BE"/>
                <w:sz w:val="20"/>
              </w:rPr>
              <w:t>–</w:t>
            </w:r>
            <w:r w:rsidRPr="003408A6">
              <w:rPr>
                <w:rFonts w:cs="Arial"/>
                <w:color w:val="0F02BE"/>
                <w:sz w:val="20"/>
              </w:rPr>
              <w:t>19.9)</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tcPr>
          <w:p w:rsidR="00547D44" w:rsidRDefault="00547D44" w:rsidP="006B6D0F">
            <w:pPr>
              <w:jc w:val="center"/>
              <w:rPr>
                <w:rFonts w:cs="Arial"/>
                <w:color w:val="000000"/>
                <w:sz w:val="20"/>
              </w:rPr>
            </w:pPr>
            <w:r w:rsidRPr="003408A6">
              <w:rPr>
                <w:rFonts w:cs="Arial"/>
                <w:color w:val="000000"/>
                <w:sz w:val="20"/>
              </w:rPr>
              <w:t>0.99</w:t>
            </w:r>
          </w:p>
          <w:p w:rsidR="00547D44" w:rsidRPr="003408A6" w:rsidRDefault="00547D44" w:rsidP="00480FAB">
            <w:pPr>
              <w:jc w:val="center"/>
              <w:rPr>
                <w:rFonts w:cs="Arial"/>
                <w:color w:val="000000"/>
                <w:sz w:val="20"/>
              </w:rPr>
            </w:pPr>
            <w:r w:rsidRPr="003408A6">
              <w:rPr>
                <w:rFonts w:cs="Arial"/>
                <w:color w:val="000000"/>
                <w:sz w:val="20"/>
              </w:rPr>
              <w:t>(0.97</w:t>
            </w:r>
            <w:r w:rsidR="00480FAB">
              <w:rPr>
                <w:rFonts w:cs="Arial"/>
                <w:color w:val="000000"/>
                <w:sz w:val="20"/>
              </w:rPr>
              <w:t>–</w:t>
            </w:r>
            <w:r w:rsidRPr="003408A6">
              <w:rPr>
                <w:rFonts w:cs="Arial"/>
                <w:color w:val="000000"/>
                <w:sz w:val="20"/>
              </w:rPr>
              <w:t>1.01)</w:t>
            </w:r>
          </w:p>
        </w:tc>
      </w:tr>
    </w:tbl>
    <w:p w:rsidR="00E57E44" w:rsidRPr="003408A6" w:rsidRDefault="00E57E44" w:rsidP="0057457E">
      <w:pPr>
        <w:pStyle w:val="Tablefootnote"/>
      </w:pPr>
      <w:r w:rsidRPr="003408A6">
        <w:t xml:space="preserve">Source: </w:t>
      </w:r>
      <w:r w:rsidRPr="00B053D4">
        <w:rPr>
          <w:i/>
        </w:rPr>
        <w:t>Cervical screening in Australia 2010</w:t>
      </w:r>
      <w:r w:rsidR="00726CAD" w:rsidRPr="00B053D4">
        <w:rPr>
          <w:i/>
        </w:rPr>
        <w:t>–</w:t>
      </w:r>
      <w:r w:rsidRPr="00B053D4">
        <w:rPr>
          <w:i/>
        </w:rPr>
        <w:t>2011</w:t>
      </w:r>
      <w:r w:rsidRPr="003408A6">
        <w:t xml:space="preserve">, AIHW </w:t>
      </w:r>
    </w:p>
    <w:p w:rsidR="00E57E44" w:rsidRPr="003408A6" w:rsidRDefault="0057457E" w:rsidP="0057457E">
      <w:pPr>
        <w:pStyle w:val="Tablefootnote"/>
      </w:pPr>
      <w:r w:rsidRPr="003408A6">
        <w:t>*</w:t>
      </w:r>
      <w:r w:rsidRPr="003408A6">
        <w:tab/>
      </w:r>
      <w:r w:rsidR="00E57E44" w:rsidRPr="003408A6">
        <w:t>Crude rates are the number of females with abnormalities detected by histology as a proportion of all females screened</w:t>
      </w:r>
      <w:r w:rsidR="00726CAD" w:rsidRPr="003408A6">
        <w:t>.</w:t>
      </w:r>
    </w:p>
    <w:p w:rsidR="00E57E44" w:rsidRPr="003408A6" w:rsidRDefault="00231A3E" w:rsidP="0057457E">
      <w:pPr>
        <w:pStyle w:val="Tablefootnote"/>
      </w:pPr>
      <w:r>
        <w:t>†</w:t>
      </w:r>
      <w:r w:rsidR="0057457E" w:rsidRPr="003408A6">
        <w:tab/>
      </w:r>
      <w:r w:rsidR="00E57E44" w:rsidRPr="003408A6">
        <w:t>Reference group: 2004–2007 pre-vaccine period</w:t>
      </w:r>
      <w:r>
        <w:t>.</w:t>
      </w:r>
      <w:r w:rsidR="00E57E44" w:rsidRPr="003408A6">
        <w:t xml:space="preserve"> </w:t>
      </w:r>
    </w:p>
    <w:p w:rsidR="00F80EA2" w:rsidRDefault="00F80EA2">
      <w:pPr>
        <w:rPr>
          <w:rFonts w:cs="Arial"/>
          <w:b/>
          <w:szCs w:val="22"/>
        </w:rPr>
        <w:sectPr w:rsidR="00F80EA2" w:rsidSect="00D07C02">
          <w:pgSz w:w="16838" w:h="11906" w:orient="landscape"/>
          <w:pgMar w:top="1134" w:right="1134" w:bottom="1134" w:left="1134" w:header="709" w:footer="709" w:gutter="0"/>
          <w:cols w:space="708"/>
          <w:docGrid w:linePitch="360"/>
        </w:sectPr>
      </w:pPr>
    </w:p>
    <w:p w:rsidR="006803A2" w:rsidRPr="003408A6" w:rsidRDefault="006803A2" w:rsidP="006803A2">
      <w:pPr>
        <w:pStyle w:val="Heading2"/>
      </w:pPr>
      <w:bookmarkStart w:id="413" w:name="_Toc396926157"/>
      <w:r w:rsidRPr="003408A6">
        <w:t>Appendix 6.</w:t>
      </w:r>
      <w:r>
        <w:t>1</w:t>
      </w:r>
      <w:bookmarkEnd w:id="413"/>
    </w:p>
    <w:p w:rsidR="006803A2" w:rsidRPr="003408A6" w:rsidRDefault="006803A2" w:rsidP="006803A2">
      <w:pPr>
        <w:pStyle w:val="Heading3"/>
      </w:pPr>
      <w:r w:rsidRPr="003408A6">
        <w:t>Definitions</w:t>
      </w:r>
    </w:p>
    <w:p w:rsidR="006803A2" w:rsidRDefault="006803A2" w:rsidP="006803A2">
      <w:pPr>
        <w:pStyle w:val="Tableheading"/>
        <w:rPr>
          <w:lang w:val="en-AU"/>
        </w:rPr>
      </w:pPr>
      <w:bookmarkStart w:id="414" w:name="_Toc396475566"/>
      <w:bookmarkStart w:id="415" w:name="_Toc397000793"/>
      <w:r w:rsidRPr="003408A6">
        <w:rPr>
          <w:lang w:val="en-AU"/>
        </w:rPr>
        <w:t>Table A6.</w:t>
      </w:r>
      <w:r>
        <w:rPr>
          <w:lang w:val="en-AU"/>
        </w:rPr>
        <w:t>1</w:t>
      </w:r>
      <w:r w:rsidRPr="003408A6">
        <w:rPr>
          <w:lang w:val="en-AU"/>
        </w:rPr>
        <w:t>.1.</w:t>
      </w:r>
      <w:r w:rsidRPr="003408A6">
        <w:rPr>
          <w:lang w:val="en-AU"/>
        </w:rPr>
        <w:tab/>
        <w:t>Definition of diagnoses and procedures related to anogenital warts</w:t>
      </w:r>
      <w:bookmarkEnd w:id="414"/>
      <w:bookmarkEnd w:id="415"/>
    </w:p>
    <w:tbl>
      <w:tblPr>
        <w:tblStyle w:val="TableGrid"/>
        <w:tblW w:w="0" w:type="auto"/>
        <w:tblLook w:val="04A0" w:firstRow="1" w:lastRow="0" w:firstColumn="1" w:lastColumn="0" w:noHBand="0" w:noVBand="1"/>
        <w:tblCaption w:val="Definition of diagnoses and procedures related to anogenital warts"/>
      </w:tblPr>
      <w:tblGrid>
        <w:gridCol w:w="1242"/>
        <w:gridCol w:w="3684"/>
        <w:gridCol w:w="1136"/>
        <w:gridCol w:w="3792"/>
      </w:tblGrid>
      <w:tr w:rsidR="00E9659D" w:rsidTr="00E501D4">
        <w:trPr>
          <w:tblHeader/>
        </w:trPr>
        <w:tc>
          <w:tcPr>
            <w:tcW w:w="4926" w:type="dxa"/>
            <w:gridSpan w:val="2"/>
            <w:tcBorders>
              <w:bottom w:val="single" w:sz="4" w:space="0" w:color="auto"/>
            </w:tcBorders>
          </w:tcPr>
          <w:p w:rsidR="00E9659D" w:rsidRDefault="00E9659D" w:rsidP="00380920">
            <w:pPr>
              <w:pStyle w:val="Tableheading"/>
              <w:spacing w:before="0" w:after="0"/>
              <w:jc w:val="center"/>
              <w:rPr>
                <w:lang w:val="en-AU"/>
              </w:rPr>
            </w:pPr>
            <w:r w:rsidRPr="003408A6">
              <w:t>Warts-related diagnoses</w:t>
            </w:r>
          </w:p>
        </w:tc>
        <w:tc>
          <w:tcPr>
            <w:tcW w:w="4928" w:type="dxa"/>
            <w:gridSpan w:val="2"/>
            <w:tcBorders>
              <w:bottom w:val="single" w:sz="4" w:space="0" w:color="auto"/>
            </w:tcBorders>
          </w:tcPr>
          <w:p w:rsidR="00E9659D" w:rsidRDefault="00E9659D" w:rsidP="00380920">
            <w:pPr>
              <w:pStyle w:val="Tableheading"/>
              <w:spacing w:before="0" w:after="0"/>
              <w:jc w:val="center"/>
              <w:rPr>
                <w:lang w:val="en-AU"/>
              </w:rPr>
            </w:pPr>
            <w:r w:rsidRPr="003408A6">
              <w:t>Warts-related procedures</w:t>
            </w:r>
          </w:p>
        </w:tc>
      </w:tr>
      <w:tr w:rsidR="00380920" w:rsidTr="00E9659D">
        <w:tc>
          <w:tcPr>
            <w:tcW w:w="1242" w:type="dxa"/>
            <w:tcBorders>
              <w:top w:val="single" w:sz="4" w:space="0" w:color="auto"/>
              <w:left w:val="single" w:sz="4" w:space="0" w:color="auto"/>
              <w:bottom w:val="nil"/>
              <w:right w:val="nil"/>
            </w:tcBorders>
          </w:tcPr>
          <w:p w:rsidR="00380920" w:rsidRPr="003408A6" w:rsidRDefault="00380920" w:rsidP="00E501D4">
            <w:pPr>
              <w:pStyle w:val="Tabletext0beforeafter"/>
            </w:pPr>
            <w:r w:rsidRPr="003408A6">
              <w:t>A63.0</w:t>
            </w:r>
          </w:p>
        </w:tc>
        <w:tc>
          <w:tcPr>
            <w:tcW w:w="3684" w:type="dxa"/>
            <w:tcBorders>
              <w:top w:val="single" w:sz="4" w:space="0" w:color="auto"/>
              <w:left w:val="nil"/>
              <w:bottom w:val="nil"/>
              <w:right w:val="single" w:sz="4" w:space="0" w:color="auto"/>
            </w:tcBorders>
          </w:tcPr>
          <w:p w:rsidR="00380920" w:rsidRPr="003408A6" w:rsidRDefault="00380920" w:rsidP="00E501D4">
            <w:pPr>
              <w:pStyle w:val="Tabletext0beforeafter"/>
            </w:pPr>
            <w:r w:rsidRPr="003408A6">
              <w:t>Anogenital warts</w:t>
            </w:r>
          </w:p>
        </w:tc>
        <w:tc>
          <w:tcPr>
            <w:tcW w:w="1136" w:type="dxa"/>
            <w:tcBorders>
              <w:top w:val="single" w:sz="4" w:space="0" w:color="auto"/>
              <w:left w:val="single" w:sz="4" w:space="0" w:color="auto"/>
              <w:bottom w:val="nil"/>
              <w:right w:val="nil"/>
            </w:tcBorders>
          </w:tcPr>
          <w:p w:rsidR="00380920" w:rsidRPr="003408A6" w:rsidRDefault="00380920" w:rsidP="00E501D4">
            <w:pPr>
              <w:pStyle w:val="Tabletext0beforeafter"/>
            </w:pPr>
            <w:r w:rsidRPr="003408A6">
              <w:t>32177</w:t>
            </w:r>
          </w:p>
        </w:tc>
        <w:tc>
          <w:tcPr>
            <w:tcW w:w="3792" w:type="dxa"/>
            <w:tcBorders>
              <w:top w:val="single" w:sz="4" w:space="0" w:color="auto"/>
              <w:left w:val="nil"/>
              <w:bottom w:val="nil"/>
              <w:right w:val="single" w:sz="4" w:space="0" w:color="auto"/>
            </w:tcBorders>
          </w:tcPr>
          <w:p w:rsidR="00380920" w:rsidRPr="003408A6" w:rsidRDefault="00380920" w:rsidP="00E501D4">
            <w:pPr>
              <w:pStyle w:val="Tabletext0beforeafter"/>
            </w:pPr>
            <w:r w:rsidRPr="003408A6">
              <w:t>Removal of anal wart</w:t>
            </w: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A63.00</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Anogenital warts, unspecified site</w:t>
            </w:r>
          </w:p>
        </w:tc>
        <w:tc>
          <w:tcPr>
            <w:tcW w:w="1136" w:type="dxa"/>
            <w:tcBorders>
              <w:top w:val="nil"/>
              <w:left w:val="single" w:sz="4" w:space="0" w:color="auto"/>
              <w:bottom w:val="nil"/>
              <w:right w:val="nil"/>
            </w:tcBorders>
          </w:tcPr>
          <w:p w:rsidR="00380920" w:rsidRPr="003408A6" w:rsidRDefault="00380920" w:rsidP="00E501D4">
            <w:pPr>
              <w:pStyle w:val="Tabletext0beforeafter"/>
            </w:pPr>
            <w:r w:rsidRPr="003408A6">
              <w:t>32180</w:t>
            </w:r>
          </w:p>
        </w:tc>
        <w:tc>
          <w:tcPr>
            <w:tcW w:w="3792" w:type="dxa"/>
            <w:tcBorders>
              <w:top w:val="nil"/>
              <w:left w:val="nil"/>
              <w:bottom w:val="nil"/>
              <w:right w:val="single" w:sz="4" w:space="0" w:color="auto"/>
            </w:tcBorders>
          </w:tcPr>
          <w:p w:rsidR="00380920" w:rsidRPr="003408A6" w:rsidRDefault="00380920" w:rsidP="00E501D4">
            <w:pPr>
              <w:pStyle w:val="Tabletext0beforeafter"/>
            </w:pPr>
            <w:r w:rsidRPr="003408A6">
              <w:t>Removal of anal wart</w:t>
            </w: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A63.01</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Perianal warts</w:t>
            </w:r>
          </w:p>
        </w:tc>
        <w:tc>
          <w:tcPr>
            <w:tcW w:w="1136" w:type="dxa"/>
            <w:tcBorders>
              <w:top w:val="nil"/>
              <w:left w:val="single" w:sz="4" w:space="0" w:color="auto"/>
              <w:bottom w:val="nil"/>
              <w:right w:val="nil"/>
            </w:tcBorders>
          </w:tcPr>
          <w:p w:rsidR="00380920" w:rsidRPr="003408A6" w:rsidRDefault="00380920" w:rsidP="00E501D4">
            <w:pPr>
              <w:pStyle w:val="Tabletext0beforeafter"/>
            </w:pPr>
            <w:r w:rsidRPr="003408A6">
              <w:t>35507</w:t>
            </w:r>
          </w:p>
        </w:tc>
        <w:tc>
          <w:tcPr>
            <w:tcW w:w="3792" w:type="dxa"/>
            <w:tcBorders>
              <w:top w:val="nil"/>
              <w:left w:val="nil"/>
              <w:bottom w:val="nil"/>
              <w:right w:val="single" w:sz="4" w:space="0" w:color="auto"/>
            </w:tcBorders>
          </w:tcPr>
          <w:p w:rsidR="00380920" w:rsidRPr="003408A6" w:rsidRDefault="00380920" w:rsidP="00E501D4">
            <w:pPr>
              <w:pStyle w:val="Tabletext0beforeafter"/>
            </w:pPr>
            <w:r w:rsidRPr="003408A6">
              <w:t>Removal of vulval/vaginal wart</w:t>
            </w: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A63.02</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Cervical warts</w:t>
            </w:r>
          </w:p>
        </w:tc>
        <w:tc>
          <w:tcPr>
            <w:tcW w:w="1136" w:type="dxa"/>
            <w:tcBorders>
              <w:top w:val="nil"/>
              <w:left w:val="single" w:sz="4" w:space="0" w:color="auto"/>
              <w:bottom w:val="nil"/>
              <w:right w:val="nil"/>
            </w:tcBorders>
          </w:tcPr>
          <w:p w:rsidR="00380920" w:rsidRPr="003408A6" w:rsidRDefault="00380920" w:rsidP="00E501D4">
            <w:pPr>
              <w:pStyle w:val="Tabletext0beforeafter"/>
            </w:pPr>
            <w:r w:rsidRPr="003408A6">
              <w:t>35508</w:t>
            </w:r>
          </w:p>
        </w:tc>
        <w:tc>
          <w:tcPr>
            <w:tcW w:w="3792" w:type="dxa"/>
            <w:tcBorders>
              <w:top w:val="nil"/>
              <w:left w:val="nil"/>
              <w:bottom w:val="nil"/>
              <w:right w:val="single" w:sz="4" w:space="0" w:color="auto"/>
            </w:tcBorders>
          </w:tcPr>
          <w:p w:rsidR="00380920" w:rsidRPr="003408A6" w:rsidRDefault="00380920" w:rsidP="00E501D4">
            <w:pPr>
              <w:pStyle w:val="Tabletext0beforeafter"/>
            </w:pPr>
            <w:r w:rsidRPr="003408A6">
              <w:t>Removal of vulval/vaginal wart</w:t>
            </w:r>
          </w:p>
        </w:tc>
      </w:tr>
      <w:tr w:rsidR="00380920" w:rsidTr="00E9659D">
        <w:trPr>
          <w:trHeight w:val="213"/>
        </w:trPr>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A63.03</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Urethral warts</w:t>
            </w:r>
          </w:p>
        </w:tc>
        <w:tc>
          <w:tcPr>
            <w:tcW w:w="1136" w:type="dxa"/>
            <w:tcBorders>
              <w:top w:val="nil"/>
              <w:left w:val="single" w:sz="4" w:space="0" w:color="auto"/>
              <w:bottom w:val="nil"/>
              <w:right w:val="nil"/>
            </w:tcBorders>
          </w:tcPr>
          <w:p w:rsidR="00380920" w:rsidRPr="003408A6" w:rsidRDefault="00380920" w:rsidP="00E501D4">
            <w:pPr>
              <w:pStyle w:val="Tabletext0beforeafter"/>
            </w:pPr>
            <w:r w:rsidRPr="003408A6">
              <w:t>36815</w:t>
            </w:r>
          </w:p>
        </w:tc>
        <w:tc>
          <w:tcPr>
            <w:tcW w:w="3792" w:type="dxa"/>
            <w:tcBorders>
              <w:top w:val="nil"/>
              <w:left w:val="nil"/>
              <w:bottom w:val="nil"/>
              <w:right w:val="single" w:sz="4" w:space="0" w:color="auto"/>
            </w:tcBorders>
          </w:tcPr>
          <w:p w:rsidR="00380920" w:rsidRPr="003408A6" w:rsidRDefault="00380920" w:rsidP="00E9659D">
            <w:pPr>
              <w:pStyle w:val="Tabletext0beforeafter"/>
            </w:pPr>
            <w:r w:rsidRPr="003408A6">
              <w:t>Destruction of penile/urethral wart</w:t>
            </w: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A63.04</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Vaginal warts</w:t>
            </w:r>
          </w:p>
        </w:tc>
        <w:tc>
          <w:tcPr>
            <w:tcW w:w="1136" w:type="dxa"/>
            <w:tcBorders>
              <w:top w:val="nil"/>
              <w:left w:val="single" w:sz="4" w:space="0" w:color="auto"/>
              <w:bottom w:val="nil"/>
              <w:right w:val="nil"/>
            </w:tcBorders>
          </w:tcPr>
          <w:p w:rsidR="00380920" w:rsidRPr="003408A6" w:rsidRDefault="00380920" w:rsidP="00E501D4">
            <w:pPr>
              <w:pStyle w:val="Tabletext0beforeafter"/>
            </w:pPr>
            <w:r w:rsidRPr="003408A6">
              <w:t>30189</w:t>
            </w:r>
          </w:p>
        </w:tc>
        <w:tc>
          <w:tcPr>
            <w:tcW w:w="3792" w:type="dxa"/>
            <w:tcBorders>
              <w:top w:val="nil"/>
              <w:left w:val="nil"/>
              <w:bottom w:val="nil"/>
              <w:right w:val="single" w:sz="4" w:space="0" w:color="auto"/>
            </w:tcBorders>
          </w:tcPr>
          <w:p w:rsidR="00380920" w:rsidRPr="003408A6" w:rsidRDefault="00380920" w:rsidP="00E501D4">
            <w:pPr>
              <w:pStyle w:val="Tabletext0beforeafter"/>
            </w:pPr>
            <w:r w:rsidRPr="003408A6">
              <w:t>Removal of other wart</w:t>
            </w: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A63.05</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Vulval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A63.06</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Penile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A63.07</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Scrotal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A63.09</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Perineal warts NEC</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K62.8</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Anal/perianal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N36.8</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Urethral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N48.8</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Penile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N88.8</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Cervical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nil"/>
              <w:right w:val="nil"/>
            </w:tcBorders>
          </w:tcPr>
          <w:p w:rsidR="00380920" w:rsidRPr="003408A6" w:rsidRDefault="00380920" w:rsidP="00E501D4">
            <w:pPr>
              <w:pStyle w:val="Tabletext0beforeafter"/>
            </w:pPr>
            <w:r w:rsidRPr="003408A6">
              <w:t>N89.8</w:t>
            </w:r>
          </w:p>
        </w:tc>
        <w:tc>
          <w:tcPr>
            <w:tcW w:w="3684" w:type="dxa"/>
            <w:tcBorders>
              <w:top w:val="nil"/>
              <w:left w:val="nil"/>
              <w:bottom w:val="nil"/>
              <w:right w:val="single" w:sz="4" w:space="0" w:color="auto"/>
            </w:tcBorders>
          </w:tcPr>
          <w:p w:rsidR="00380920" w:rsidRPr="003408A6" w:rsidRDefault="00380920" w:rsidP="00E501D4">
            <w:pPr>
              <w:pStyle w:val="Tabletext0beforeafter"/>
            </w:pPr>
            <w:r w:rsidRPr="003408A6">
              <w:t>Vaginal warts</w:t>
            </w:r>
          </w:p>
        </w:tc>
        <w:tc>
          <w:tcPr>
            <w:tcW w:w="1136" w:type="dxa"/>
            <w:tcBorders>
              <w:top w:val="nil"/>
              <w:left w:val="single" w:sz="4" w:space="0" w:color="auto"/>
              <w:bottom w:val="nil"/>
              <w:right w:val="nil"/>
            </w:tcBorders>
          </w:tcPr>
          <w:p w:rsidR="00380920" w:rsidRPr="003408A6" w:rsidRDefault="00380920" w:rsidP="00380920">
            <w:pPr>
              <w:pStyle w:val="Tableheading"/>
              <w:spacing w:before="0" w:after="0"/>
            </w:pPr>
          </w:p>
        </w:tc>
        <w:tc>
          <w:tcPr>
            <w:tcW w:w="3792" w:type="dxa"/>
            <w:tcBorders>
              <w:top w:val="nil"/>
              <w:left w:val="nil"/>
              <w:bottom w:val="nil"/>
              <w:right w:val="single" w:sz="4" w:space="0" w:color="auto"/>
            </w:tcBorders>
          </w:tcPr>
          <w:p w:rsidR="00380920" w:rsidRDefault="00380920" w:rsidP="00380920">
            <w:pPr>
              <w:pStyle w:val="Tableheading"/>
              <w:spacing w:before="0" w:after="0"/>
              <w:rPr>
                <w:lang w:val="en-AU"/>
              </w:rPr>
            </w:pPr>
          </w:p>
        </w:tc>
      </w:tr>
      <w:tr w:rsidR="00380920" w:rsidTr="00E9659D">
        <w:tc>
          <w:tcPr>
            <w:tcW w:w="1242" w:type="dxa"/>
            <w:tcBorders>
              <w:top w:val="nil"/>
              <w:left w:val="single" w:sz="4" w:space="0" w:color="auto"/>
              <w:bottom w:val="single" w:sz="4" w:space="0" w:color="auto"/>
              <w:right w:val="nil"/>
            </w:tcBorders>
          </w:tcPr>
          <w:p w:rsidR="00380920" w:rsidRPr="003408A6" w:rsidRDefault="00380920" w:rsidP="00E501D4">
            <w:pPr>
              <w:pStyle w:val="Tabletext0beforeafter"/>
            </w:pPr>
            <w:r w:rsidRPr="003408A6">
              <w:t>N90.8</w:t>
            </w:r>
          </w:p>
        </w:tc>
        <w:tc>
          <w:tcPr>
            <w:tcW w:w="3684" w:type="dxa"/>
            <w:tcBorders>
              <w:top w:val="nil"/>
              <w:left w:val="nil"/>
              <w:bottom w:val="single" w:sz="4" w:space="0" w:color="auto"/>
              <w:right w:val="single" w:sz="4" w:space="0" w:color="auto"/>
            </w:tcBorders>
          </w:tcPr>
          <w:p w:rsidR="00380920" w:rsidRPr="003408A6" w:rsidRDefault="00380920" w:rsidP="00E501D4">
            <w:pPr>
              <w:pStyle w:val="Tabletext0beforeafter"/>
            </w:pPr>
            <w:r w:rsidRPr="003408A6">
              <w:t>Vulval warts</w:t>
            </w:r>
          </w:p>
        </w:tc>
        <w:tc>
          <w:tcPr>
            <w:tcW w:w="1136" w:type="dxa"/>
            <w:tcBorders>
              <w:top w:val="nil"/>
              <w:left w:val="single" w:sz="4" w:space="0" w:color="auto"/>
              <w:bottom w:val="single" w:sz="4" w:space="0" w:color="auto"/>
              <w:right w:val="nil"/>
            </w:tcBorders>
          </w:tcPr>
          <w:p w:rsidR="00380920" w:rsidRPr="003408A6" w:rsidRDefault="00380920" w:rsidP="00380920">
            <w:pPr>
              <w:pStyle w:val="Tableheading"/>
              <w:spacing w:before="0" w:after="0"/>
            </w:pPr>
          </w:p>
        </w:tc>
        <w:tc>
          <w:tcPr>
            <w:tcW w:w="3792" w:type="dxa"/>
            <w:tcBorders>
              <w:top w:val="nil"/>
              <w:left w:val="nil"/>
              <w:bottom w:val="single" w:sz="4" w:space="0" w:color="auto"/>
              <w:right w:val="single" w:sz="4" w:space="0" w:color="auto"/>
            </w:tcBorders>
          </w:tcPr>
          <w:p w:rsidR="00380920" w:rsidRDefault="00380920" w:rsidP="00380920">
            <w:pPr>
              <w:pStyle w:val="Tableheading"/>
              <w:spacing w:before="0" w:after="0"/>
              <w:rPr>
                <w:lang w:val="en-AU"/>
              </w:rPr>
            </w:pPr>
          </w:p>
        </w:tc>
      </w:tr>
    </w:tbl>
    <w:p w:rsidR="006803A2" w:rsidRPr="003408A6" w:rsidRDefault="006803A2" w:rsidP="006803A2">
      <w:pPr>
        <w:pStyle w:val="Tableheading"/>
        <w:rPr>
          <w:lang w:val="en-AU"/>
        </w:rPr>
      </w:pPr>
      <w:bookmarkStart w:id="416" w:name="_Toc396475567"/>
      <w:bookmarkStart w:id="417" w:name="_Toc397000794"/>
      <w:r w:rsidRPr="003408A6">
        <w:rPr>
          <w:lang w:val="en-AU"/>
        </w:rPr>
        <w:t>Table A6.</w:t>
      </w:r>
      <w:r>
        <w:rPr>
          <w:lang w:val="en-AU"/>
        </w:rPr>
        <w:t>1</w:t>
      </w:r>
      <w:r w:rsidRPr="003408A6">
        <w:rPr>
          <w:lang w:val="en-AU"/>
        </w:rPr>
        <w:t>.2.</w:t>
      </w:r>
      <w:r w:rsidRPr="003408A6">
        <w:rPr>
          <w:lang w:val="en-AU"/>
        </w:rPr>
        <w:tab/>
        <w:t>Definition of diagnoses and procedures influenced by cervical screening</w:t>
      </w:r>
      <w:bookmarkEnd w:id="416"/>
      <w:bookmarkEnd w:id="417"/>
    </w:p>
    <w:tbl>
      <w:tblPr>
        <w:tblStyle w:val="TableGrid"/>
        <w:tblpPr w:leftFromText="180" w:rightFromText="180" w:vertAnchor="text" w:horzAnchor="margin" w:tblpY="38"/>
        <w:tblW w:w="9889" w:type="dxa"/>
        <w:tblLayout w:type="fixed"/>
        <w:tblLook w:val="04A0" w:firstRow="1" w:lastRow="0" w:firstColumn="1" w:lastColumn="0" w:noHBand="0" w:noVBand="1"/>
        <w:tblCaption w:val="Definition of diagnoses and procedures influenced by cervical screening"/>
      </w:tblPr>
      <w:tblGrid>
        <w:gridCol w:w="817"/>
        <w:gridCol w:w="3119"/>
        <w:gridCol w:w="1134"/>
        <w:gridCol w:w="4819"/>
      </w:tblGrid>
      <w:tr w:rsidR="006803A2" w:rsidRPr="003408A6" w:rsidTr="009D2B74">
        <w:trPr>
          <w:tblHeader/>
        </w:trPr>
        <w:tc>
          <w:tcPr>
            <w:tcW w:w="3936" w:type="dxa"/>
            <w:gridSpan w:val="2"/>
            <w:tcBorders>
              <w:bottom w:val="single" w:sz="4" w:space="0" w:color="auto"/>
            </w:tcBorders>
            <w:shd w:val="clear" w:color="auto" w:fill="auto"/>
          </w:tcPr>
          <w:p w:rsidR="006803A2" w:rsidRPr="003408A6" w:rsidRDefault="006803A2" w:rsidP="00FD0E25">
            <w:pPr>
              <w:pStyle w:val="Tablecolumnheading"/>
            </w:pPr>
            <w:r w:rsidRPr="003408A6">
              <w:t>Diagnoses influenced by cervical screening</w:t>
            </w:r>
          </w:p>
        </w:tc>
        <w:tc>
          <w:tcPr>
            <w:tcW w:w="5953" w:type="dxa"/>
            <w:gridSpan w:val="2"/>
            <w:tcBorders>
              <w:bottom w:val="single" w:sz="4" w:space="0" w:color="auto"/>
            </w:tcBorders>
            <w:shd w:val="clear" w:color="auto" w:fill="auto"/>
          </w:tcPr>
          <w:p w:rsidR="006803A2" w:rsidRPr="003408A6" w:rsidRDefault="006803A2" w:rsidP="00FD0E25">
            <w:pPr>
              <w:pStyle w:val="Tablecolumnheading"/>
            </w:pPr>
            <w:r w:rsidRPr="003408A6">
              <w:t>Procedures influenced by cervical screening</w:t>
            </w:r>
          </w:p>
        </w:tc>
      </w:tr>
      <w:tr w:rsidR="006803A2" w:rsidRPr="003408A6" w:rsidTr="00FD0E25">
        <w:tc>
          <w:tcPr>
            <w:tcW w:w="817" w:type="dxa"/>
            <w:tcBorders>
              <w:bottom w:val="nil"/>
              <w:right w:val="nil"/>
            </w:tcBorders>
          </w:tcPr>
          <w:p w:rsidR="006803A2" w:rsidRPr="003408A6" w:rsidRDefault="006803A2" w:rsidP="00FD0E25">
            <w:pPr>
              <w:pStyle w:val="Tabletext0beforeafter"/>
            </w:pPr>
            <w:r w:rsidRPr="003408A6">
              <w:t>D06</w:t>
            </w:r>
          </w:p>
        </w:tc>
        <w:tc>
          <w:tcPr>
            <w:tcW w:w="3119" w:type="dxa"/>
            <w:tcBorders>
              <w:left w:val="nil"/>
              <w:bottom w:val="nil"/>
            </w:tcBorders>
          </w:tcPr>
          <w:p w:rsidR="006803A2" w:rsidRPr="003408A6" w:rsidRDefault="006803A2" w:rsidP="00FD0E25">
            <w:pPr>
              <w:pStyle w:val="Tabletext0beforeafter"/>
            </w:pPr>
            <w:r w:rsidRPr="003408A6">
              <w:t>Carcinoma in situ of cervix</w:t>
            </w:r>
          </w:p>
        </w:tc>
        <w:tc>
          <w:tcPr>
            <w:tcW w:w="1134" w:type="dxa"/>
            <w:tcBorders>
              <w:bottom w:val="nil"/>
              <w:right w:val="nil"/>
            </w:tcBorders>
          </w:tcPr>
          <w:p w:rsidR="006803A2" w:rsidRPr="003408A6" w:rsidRDefault="006803A2" w:rsidP="00FD0E25">
            <w:pPr>
              <w:pStyle w:val="Tabletext0beforeafter"/>
            </w:pPr>
            <w:r w:rsidRPr="003408A6">
              <w:t>35539-02</w:t>
            </w:r>
          </w:p>
        </w:tc>
        <w:tc>
          <w:tcPr>
            <w:tcW w:w="4819" w:type="dxa"/>
            <w:tcBorders>
              <w:left w:val="nil"/>
              <w:bottom w:val="nil"/>
            </w:tcBorders>
          </w:tcPr>
          <w:p w:rsidR="006803A2" w:rsidRPr="003408A6" w:rsidRDefault="006803A2" w:rsidP="00FD0E25">
            <w:pPr>
              <w:pStyle w:val="Tabletext0beforeafter"/>
            </w:pPr>
            <w:r w:rsidRPr="003408A6">
              <w:t>Laser destruction of lesion of cervix</w:t>
            </w:r>
          </w:p>
        </w:tc>
      </w:tr>
      <w:tr w:rsidR="006803A2" w:rsidRPr="003408A6" w:rsidTr="00FD0E25">
        <w:tc>
          <w:tcPr>
            <w:tcW w:w="817" w:type="dxa"/>
            <w:tcBorders>
              <w:top w:val="nil"/>
              <w:bottom w:val="nil"/>
              <w:right w:val="nil"/>
            </w:tcBorders>
          </w:tcPr>
          <w:p w:rsidR="006803A2" w:rsidRPr="003408A6" w:rsidRDefault="006803A2" w:rsidP="00FD0E25">
            <w:pPr>
              <w:pStyle w:val="Tabletext0beforeafter"/>
            </w:pPr>
            <w:r w:rsidRPr="003408A6">
              <w:t>N87</w:t>
            </w:r>
          </w:p>
        </w:tc>
        <w:tc>
          <w:tcPr>
            <w:tcW w:w="3119" w:type="dxa"/>
            <w:tcBorders>
              <w:top w:val="nil"/>
              <w:left w:val="nil"/>
              <w:bottom w:val="nil"/>
            </w:tcBorders>
          </w:tcPr>
          <w:p w:rsidR="006803A2" w:rsidRPr="003408A6" w:rsidRDefault="006803A2" w:rsidP="00FD0E25">
            <w:pPr>
              <w:pStyle w:val="Tabletext0beforeafter"/>
            </w:pPr>
            <w:r w:rsidRPr="003408A6">
              <w:t>Cervical dysplasia</w:t>
            </w:r>
          </w:p>
        </w:tc>
        <w:tc>
          <w:tcPr>
            <w:tcW w:w="1134" w:type="dxa"/>
            <w:tcBorders>
              <w:top w:val="nil"/>
              <w:bottom w:val="nil"/>
              <w:right w:val="nil"/>
            </w:tcBorders>
          </w:tcPr>
          <w:p w:rsidR="006803A2" w:rsidRPr="003408A6" w:rsidRDefault="006803A2" w:rsidP="00FD0E25">
            <w:pPr>
              <w:pStyle w:val="Tabletext0beforeafter"/>
            </w:pPr>
            <w:r w:rsidRPr="003408A6">
              <w:t>35608</w:t>
            </w:r>
          </w:p>
        </w:tc>
        <w:tc>
          <w:tcPr>
            <w:tcW w:w="4819" w:type="dxa"/>
            <w:tcBorders>
              <w:top w:val="nil"/>
              <w:left w:val="nil"/>
              <w:bottom w:val="nil"/>
            </w:tcBorders>
          </w:tcPr>
          <w:p w:rsidR="006803A2" w:rsidRPr="003408A6" w:rsidRDefault="006803A2" w:rsidP="00FD0E25">
            <w:pPr>
              <w:pStyle w:val="Tabletext0beforeafter"/>
            </w:pPr>
            <w:r w:rsidRPr="003408A6">
              <w:t>Biopsy/cautery/other destruction of cervical lesion</w:t>
            </w:r>
          </w:p>
        </w:tc>
      </w:tr>
      <w:tr w:rsidR="006803A2" w:rsidRPr="003408A6" w:rsidTr="00FD0E25">
        <w:tc>
          <w:tcPr>
            <w:tcW w:w="817" w:type="dxa"/>
            <w:tcBorders>
              <w:top w:val="nil"/>
              <w:bottom w:val="nil"/>
              <w:right w:val="nil"/>
            </w:tcBorders>
          </w:tcPr>
          <w:p w:rsidR="006803A2" w:rsidRPr="003408A6" w:rsidRDefault="006803A2" w:rsidP="00FD0E25">
            <w:pPr>
              <w:pStyle w:val="Tabletext0beforeafter"/>
            </w:pPr>
            <w:r w:rsidRPr="003408A6">
              <w:t>R87.6</w:t>
            </w:r>
          </w:p>
        </w:tc>
        <w:tc>
          <w:tcPr>
            <w:tcW w:w="3119" w:type="dxa"/>
            <w:vMerge w:val="restart"/>
            <w:tcBorders>
              <w:top w:val="nil"/>
              <w:left w:val="nil"/>
            </w:tcBorders>
          </w:tcPr>
          <w:p w:rsidR="006803A2" w:rsidRPr="003408A6" w:rsidRDefault="006803A2" w:rsidP="00FD0E25">
            <w:pPr>
              <w:pStyle w:val="Tabletext0beforeafter"/>
            </w:pPr>
            <w:r w:rsidRPr="003408A6">
              <w:t>Abnormal cytology from cervix, vagina, vulva*</w:t>
            </w:r>
          </w:p>
        </w:tc>
        <w:tc>
          <w:tcPr>
            <w:tcW w:w="1134" w:type="dxa"/>
            <w:tcBorders>
              <w:top w:val="nil"/>
              <w:bottom w:val="nil"/>
              <w:right w:val="nil"/>
            </w:tcBorders>
          </w:tcPr>
          <w:p w:rsidR="006803A2" w:rsidRPr="003408A6" w:rsidRDefault="006803A2" w:rsidP="00FD0E25">
            <w:pPr>
              <w:pStyle w:val="Tabletext0beforeafter"/>
            </w:pPr>
            <w:r w:rsidRPr="003408A6">
              <w:t>35614</w:t>
            </w:r>
          </w:p>
        </w:tc>
        <w:tc>
          <w:tcPr>
            <w:tcW w:w="4819" w:type="dxa"/>
            <w:tcBorders>
              <w:top w:val="nil"/>
              <w:left w:val="nil"/>
              <w:bottom w:val="nil"/>
            </w:tcBorders>
          </w:tcPr>
          <w:p w:rsidR="006803A2" w:rsidRPr="003408A6" w:rsidRDefault="006803A2" w:rsidP="00FD0E25">
            <w:pPr>
              <w:pStyle w:val="Tabletext0beforeafter"/>
            </w:pPr>
            <w:r w:rsidRPr="003408A6">
              <w:t>Colposcopy</w:t>
            </w:r>
          </w:p>
        </w:tc>
      </w:tr>
      <w:tr w:rsidR="006803A2" w:rsidRPr="003408A6" w:rsidTr="00FD0E25">
        <w:tc>
          <w:tcPr>
            <w:tcW w:w="817" w:type="dxa"/>
            <w:tcBorders>
              <w:top w:val="nil"/>
              <w:bottom w:val="nil"/>
              <w:right w:val="nil"/>
            </w:tcBorders>
          </w:tcPr>
          <w:p w:rsidR="006803A2" w:rsidRPr="003408A6" w:rsidRDefault="006803A2" w:rsidP="00FD0E25">
            <w:pPr>
              <w:pStyle w:val="Tabletext0beforeafter"/>
            </w:pPr>
          </w:p>
        </w:tc>
        <w:tc>
          <w:tcPr>
            <w:tcW w:w="3119" w:type="dxa"/>
            <w:vMerge/>
            <w:tcBorders>
              <w:left w:val="nil"/>
              <w:bottom w:val="nil"/>
            </w:tcBorders>
          </w:tcPr>
          <w:p w:rsidR="006803A2" w:rsidRPr="003408A6" w:rsidRDefault="006803A2" w:rsidP="00FD0E25">
            <w:pPr>
              <w:pStyle w:val="Tabletext0beforeafter"/>
            </w:pPr>
          </w:p>
        </w:tc>
        <w:tc>
          <w:tcPr>
            <w:tcW w:w="1134" w:type="dxa"/>
            <w:tcBorders>
              <w:top w:val="nil"/>
              <w:bottom w:val="nil"/>
              <w:right w:val="nil"/>
            </w:tcBorders>
          </w:tcPr>
          <w:p w:rsidR="006803A2" w:rsidRPr="003408A6" w:rsidRDefault="006803A2" w:rsidP="00FD0E25">
            <w:pPr>
              <w:pStyle w:val="Tabletext0beforeafter"/>
            </w:pPr>
            <w:r w:rsidRPr="003408A6">
              <w:t>35618</w:t>
            </w:r>
          </w:p>
        </w:tc>
        <w:tc>
          <w:tcPr>
            <w:tcW w:w="4819" w:type="dxa"/>
            <w:tcBorders>
              <w:top w:val="nil"/>
              <w:left w:val="nil"/>
              <w:bottom w:val="nil"/>
            </w:tcBorders>
          </w:tcPr>
          <w:p w:rsidR="006803A2" w:rsidRPr="003408A6" w:rsidRDefault="006803A2" w:rsidP="00FD0E25">
            <w:pPr>
              <w:pStyle w:val="Tabletext0beforeafter"/>
            </w:pPr>
            <w:r w:rsidRPr="003408A6">
              <w:t>Cervical cone biopsy/others procedures/amputation</w:t>
            </w:r>
          </w:p>
        </w:tc>
      </w:tr>
      <w:tr w:rsidR="006803A2" w:rsidRPr="003408A6" w:rsidTr="00FD0E25">
        <w:tc>
          <w:tcPr>
            <w:tcW w:w="817" w:type="dxa"/>
            <w:tcBorders>
              <w:top w:val="nil"/>
              <w:bottom w:val="nil"/>
              <w:right w:val="nil"/>
            </w:tcBorders>
          </w:tcPr>
          <w:p w:rsidR="006803A2" w:rsidRPr="003408A6" w:rsidRDefault="006803A2" w:rsidP="00FD0E25">
            <w:pPr>
              <w:pStyle w:val="Tabletext0beforeafter"/>
            </w:pPr>
            <w:r w:rsidRPr="003408A6">
              <w:t>R87.7</w:t>
            </w:r>
          </w:p>
        </w:tc>
        <w:tc>
          <w:tcPr>
            <w:tcW w:w="3119" w:type="dxa"/>
            <w:vMerge w:val="restart"/>
            <w:tcBorders>
              <w:top w:val="nil"/>
              <w:left w:val="nil"/>
            </w:tcBorders>
          </w:tcPr>
          <w:p w:rsidR="006803A2" w:rsidRPr="003408A6" w:rsidRDefault="006803A2" w:rsidP="00FD0E25">
            <w:pPr>
              <w:pStyle w:val="Tabletext0beforeafter"/>
            </w:pPr>
            <w:r w:rsidRPr="003408A6">
              <w:t>Abnormal histology from cervix, vagina, vulva*</w:t>
            </w:r>
          </w:p>
        </w:tc>
        <w:tc>
          <w:tcPr>
            <w:tcW w:w="1134" w:type="dxa"/>
            <w:tcBorders>
              <w:top w:val="nil"/>
              <w:bottom w:val="nil"/>
              <w:right w:val="nil"/>
            </w:tcBorders>
          </w:tcPr>
          <w:p w:rsidR="006803A2" w:rsidRPr="003408A6" w:rsidRDefault="006803A2" w:rsidP="00FD0E25">
            <w:pPr>
              <w:pStyle w:val="Tabletext0beforeafter"/>
            </w:pPr>
            <w:r w:rsidRPr="003408A6">
              <w:t>35646</w:t>
            </w:r>
          </w:p>
        </w:tc>
        <w:tc>
          <w:tcPr>
            <w:tcW w:w="4819" w:type="dxa"/>
            <w:tcBorders>
              <w:top w:val="nil"/>
              <w:left w:val="nil"/>
              <w:bottom w:val="nil"/>
            </w:tcBorders>
          </w:tcPr>
          <w:p w:rsidR="006803A2" w:rsidRPr="003408A6" w:rsidRDefault="006803A2" w:rsidP="00FD0E25">
            <w:pPr>
              <w:pStyle w:val="Tabletext0beforeafter"/>
            </w:pPr>
            <w:r w:rsidRPr="003408A6">
              <w:t>Radical diathermy of cervix</w:t>
            </w:r>
          </w:p>
        </w:tc>
      </w:tr>
      <w:tr w:rsidR="006803A2" w:rsidRPr="003408A6" w:rsidTr="00FD0E25">
        <w:tc>
          <w:tcPr>
            <w:tcW w:w="817" w:type="dxa"/>
            <w:tcBorders>
              <w:top w:val="nil"/>
              <w:bottom w:val="nil"/>
              <w:right w:val="nil"/>
            </w:tcBorders>
          </w:tcPr>
          <w:p w:rsidR="006803A2" w:rsidRPr="003408A6" w:rsidRDefault="006803A2" w:rsidP="00FD0E25">
            <w:pPr>
              <w:pStyle w:val="Tabletext0beforeafter"/>
            </w:pPr>
          </w:p>
        </w:tc>
        <w:tc>
          <w:tcPr>
            <w:tcW w:w="3119" w:type="dxa"/>
            <w:vMerge/>
            <w:tcBorders>
              <w:left w:val="nil"/>
              <w:bottom w:val="nil"/>
            </w:tcBorders>
          </w:tcPr>
          <w:p w:rsidR="006803A2" w:rsidRPr="003408A6" w:rsidRDefault="006803A2" w:rsidP="00FD0E25">
            <w:pPr>
              <w:pStyle w:val="Tabletext0beforeafter"/>
            </w:pPr>
          </w:p>
        </w:tc>
        <w:tc>
          <w:tcPr>
            <w:tcW w:w="1134" w:type="dxa"/>
            <w:tcBorders>
              <w:top w:val="nil"/>
              <w:bottom w:val="nil"/>
              <w:right w:val="nil"/>
            </w:tcBorders>
          </w:tcPr>
          <w:p w:rsidR="006803A2" w:rsidRPr="003408A6" w:rsidRDefault="006803A2" w:rsidP="00FD0E25">
            <w:pPr>
              <w:pStyle w:val="Tabletext0beforeafter"/>
            </w:pPr>
            <w:r w:rsidRPr="003408A6">
              <w:t>35647</w:t>
            </w:r>
          </w:p>
        </w:tc>
        <w:tc>
          <w:tcPr>
            <w:tcW w:w="4819" w:type="dxa"/>
            <w:tcBorders>
              <w:top w:val="nil"/>
              <w:left w:val="nil"/>
              <w:bottom w:val="nil"/>
            </w:tcBorders>
          </w:tcPr>
          <w:p w:rsidR="006803A2" w:rsidRPr="003408A6" w:rsidRDefault="006803A2" w:rsidP="00FD0E25">
            <w:pPr>
              <w:pStyle w:val="Tabletext0beforeafter"/>
            </w:pPr>
            <w:r w:rsidRPr="003408A6">
              <w:t>Large loop excision of transformation zone (LLETZ)</w:t>
            </w:r>
          </w:p>
        </w:tc>
      </w:tr>
      <w:tr w:rsidR="006803A2" w:rsidRPr="003408A6" w:rsidTr="00FD0E25">
        <w:tc>
          <w:tcPr>
            <w:tcW w:w="817" w:type="dxa"/>
            <w:tcBorders>
              <w:top w:val="nil"/>
              <w:right w:val="nil"/>
            </w:tcBorders>
          </w:tcPr>
          <w:p w:rsidR="006803A2" w:rsidRPr="003408A6" w:rsidRDefault="006803A2" w:rsidP="00FD0E25">
            <w:pPr>
              <w:pStyle w:val="Tabletext0beforeafter"/>
            </w:pPr>
            <w:r w:rsidRPr="003408A6">
              <w:t>R87.9</w:t>
            </w:r>
          </w:p>
        </w:tc>
        <w:tc>
          <w:tcPr>
            <w:tcW w:w="3119" w:type="dxa"/>
            <w:tcBorders>
              <w:top w:val="nil"/>
              <w:left w:val="nil"/>
            </w:tcBorders>
          </w:tcPr>
          <w:p w:rsidR="006803A2" w:rsidRPr="003408A6" w:rsidRDefault="006803A2" w:rsidP="00FD0E25">
            <w:pPr>
              <w:pStyle w:val="Tabletext0beforeafter"/>
            </w:pPr>
            <w:r w:rsidRPr="003408A6">
              <w:t>Unspecified abnormal finding from cervix, vagina, vulva*</w:t>
            </w:r>
          </w:p>
        </w:tc>
        <w:tc>
          <w:tcPr>
            <w:tcW w:w="1134" w:type="dxa"/>
            <w:tcBorders>
              <w:top w:val="nil"/>
              <w:right w:val="nil"/>
            </w:tcBorders>
          </w:tcPr>
          <w:p w:rsidR="006803A2" w:rsidRPr="003408A6" w:rsidRDefault="006803A2" w:rsidP="00FD0E25">
            <w:pPr>
              <w:pStyle w:val="Tabletext0beforeafter"/>
            </w:pPr>
            <w:r w:rsidRPr="003408A6">
              <w:t>35648</w:t>
            </w:r>
          </w:p>
        </w:tc>
        <w:tc>
          <w:tcPr>
            <w:tcW w:w="4819" w:type="dxa"/>
            <w:tcBorders>
              <w:top w:val="nil"/>
              <w:left w:val="nil"/>
            </w:tcBorders>
          </w:tcPr>
          <w:p w:rsidR="006803A2" w:rsidRPr="003408A6" w:rsidRDefault="006803A2" w:rsidP="00FD0E25">
            <w:pPr>
              <w:pStyle w:val="Tabletext0beforeafter"/>
            </w:pPr>
            <w:r w:rsidRPr="003408A6">
              <w:t>LLETZ in conjunction with ablative treatment of additional areas</w:t>
            </w:r>
          </w:p>
        </w:tc>
      </w:tr>
    </w:tbl>
    <w:p w:rsidR="006803A2" w:rsidRPr="003408A6" w:rsidRDefault="006803A2" w:rsidP="006803A2">
      <w:pPr>
        <w:pStyle w:val="Tablefootnote"/>
      </w:pPr>
      <w:r w:rsidRPr="003408A6">
        <w:t xml:space="preserve">* </w:t>
      </w:r>
      <w:r w:rsidRPr="003408A6">
        <w:tab/>
        <w:t xml:space="preserve">It is not possible to determine which of cervix, vagina or vulva these related to via diagnosis codes; procedure codes </w:t>
      </w:r>
      <w:r>
        <w:t>were</w:t>
      </w:r>
      <w:r w:rsidRPr="003408A6">
        <w:t xml:space="preserve"> used to better define admissions potentially influenced by changes to cervical screening management.</w:t>
      </w:r>
    </w:p>
    <w:p w:rsidR="006803A2" w:rsidRPr="003408A6" w:rsidRDefault="006803A2" w:rsidP="006803A2">
      <w:pPr>
        <w:pStyle w:val="Bodytextaftertable"/>
        <w:rPr>
          <w:rStyle w:val="BodyTextChar"/>
          <w:lang w:val="en-AU"/>
        </w:rPr>
      </w:pPr>
      <w:r w:rsidRPr="003408A6">
        <w:rPr>
          <w:lang w:val="en-AU"/>
        </w:rPr>
        <w:t>In order to best define admissions which may have been influenced by changes to the National Cervical Screening Program Guidelines (and thus decreased admissions associated with managing women with cervical abnormalities with a concomitant diagnosis of warts), this was investigated using procedures and/or diagnoses. A large proportion of admissions with potentially screening-related diagnoses and at least one procedure recorded did not have any screening-related procedures (40%).</w:t>
      </w:r>
      <w:r>
        <w:rPr>
          <w:lang w:val="en-AU"/>
        </w:rPr>
        <w:t xml:space="preserve"> </w:t>
      </w:r>
      <w:r w:rsidRPr="003408A6">
        <w:rPr>
          <w:lang w:val="en-AU"/>
        </w:rPr>
        <w:t>Among these admissions, the majority had warts procedures, other non-cervical procedures or both. Using diagnoses to define admissions potentially influenced by changes in screening management or participation is limited by the fact that three diagnosis codes do not distinguish between whether the abnormalities (cytology, histology or unspecified abnormal finding) relate specifically to the cervix, or whether they relate to the vulva or vagina</w:t>
      </w:r>
      <w:r w:rsidRPr="003408A6">
        <w:rPr>
          <w:rStyle w:val="BodyTextChar"/>
          <w:lang w:val="en-AU"/>
        </w:rPr>
        <w:t>.</w:t>
      </w:r>
    </w:p>
    <w:p w:rsidR="0026762C" w:rsidRPr="003408A6" w:rsidRDefault="0026762C" w:rsidP="0026762C">
      <w:pPr>
        <w:pStyle w:val="Heading2"/>
      </w:pPr>
      <w:bookmarkStart w:id="418" w:name="_Toc396926158"/>
      <w:r w:rsidRPr="003408A6">
        <w:t xml:space="preserve">Appendix </w:t>
      </w:r>
      <w:r w:rsidR="00F3427D" w:rsidRPr="003408A6">
        <w:t>6</w:t>
      </w:r>
      <w:r w:rsidRPr="003408A6">
        <w:t>.</w:t>
      </w:r>
      <w:r w:rsidR="00653668">
        <w:t>2</w:t>
      </w:r>
      <w:bookmarkEnd w:id="418"/>
    </w:p>
    <w:p w:rsidR="00DA10AE" w:rsidRPr="003408A6" w:rsidRDefault="00DA10AE" w:rsidP="0057457E">
      <w:pPr>
        <w:pStyle w:val="BodyText"/>
        <w:rPr>
          <w:lang w:val="en-AU"/>
        </w:rPr>
      </w:pPr>
      <w:r w:rsidRPr="003408A6">
        <w:rPr>
          <w:lang w:val="en-AU"/>
        </w:rPr>
        <w:t xml:space="preserve">The following chart shows the estimated percentage of females in each age group who have ever been vaccinated, in each year since the introduction of the </w:t>
      </w:r>
      <w:r w:rsidR="00726CAD" w:rsidRPr="003408A6">
        <w:rPr>
          <w:lang w:val="en-AU"/>
        </w:rPr>
        <w:t>National HPV Vaccination Program</w:t>
      </w:r>
      <w:r w:rsidRPr="003408A6">
        <w:rPr>
          <w:lang w:val="en-AU"/>
        </w:rPr>
        <w:t>. The estimates take into account the aging of cohorts offered vaccination into older age groups over time. Estimates are based on published coverage data and population estimates</w:t>
      </w:r>
      <w:r w:rsidR="00726CAD" w:rsidRPr="003408A6">
        <w:rPr>
          <w:lang w:val="en-AU"/>
        </w:rPr>
        <w:t>.</w:t>
      </w:r>
      <w:r w:rsidR="006D1565" w:rsidRPr="003408A6">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 </w:instrText>
      </w:r>
      <w:r w:rsidR="00F27F90">
        <w:rPr>
          <w:lang w:val="en-AU"/>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lang w:val="en-AU"/>
        </w:rPr>
        <w:instrText xml:space="preserve"> ADDIN EN.CITE.DATA </w:instrText>
      </w:r>
      <w:r w:rsidR="00F27F90">
        <w:rPr>
          <w:lang w:val="en-AU"/>
        </w:rPr>
      </w:r>
      <w:r w:rsidR="00F27F90">
        <w:rPr>
          <w:lang w:val="en-AU"/>
        </w:rPr>
        <w:fldChar w:fldCharType="end"/>
      </w:r>
      <w:r w:rsidR="006D1565" w:rsidRPr="003408A6">
        <w:rPr>
          <w:lang w:val="en-AU"/>
        </w:rPr>
      </w:r>
      <w:r w:rsidR="006D1565" w:rsidRPr="003408A6">
        <w:rPr>
          <w:lang w:val="en-AU"/>
        </w:rPr>
        <w:fldChar w:fldCharType="separate"/>
      </w:r>
      <w:hyperlink w:anchor="_ENREF_38" w:tooltip="Brotherton, 2011 #1269" w:history="1">
        <w:r w:rsidR="00F27F90" w:rsidRPr="00F27F90">
          <w:rPr>
            <w:noProof/>
            <w:vertAlign w:val="superscript"/>
            <w:lang w:val="en-AU"/>
          </w:rPr>
          <w:t>38</w:t>
        </w:r>
      </w:hyperlink>
      <w:r w:rsidR="00F27F90" w:rsidRPr="00F27F90">
        <w:rPr>
          <w:noProof/>
          <w:vertAlign w:val="superscript"/>
          <w:lang w:val="en-AU"/>
        </w:rPr>
        <w:t>,</w:t>
      </w:r>
      <w:hyperlink w:anchor="_ENREF_41" w:tooltip="Brotherton, 2013 #1297" w:history="1">
        <w:r w:rsidR="00F27F90" w:rsidRPr="00F27F90">
          <w:rPr>
            <w:noProof/>
            <w:vertAlign w:val="superscript"/>
            <w:lang w:val="en-AU"/>
          </w:rPr>
          <w:t>41</w:t>
        </w:r>
      </w:hyperlink>
      <w:r w:rsidR="00F27F90" w:rsidRPr="00F27F90">
        <w:rPr>
          <w:noProof/>
          <w:vertAlign w:val="superscript"/>
          <w:lang w:val="en-AU"/>
        </w:rPr>
        <w:t>,</w:t>
      </w:r>
      <w:hyperlink w:anchor="_ENREF_113" w:tooltip="Australian Bureau of Statistics, 2013 #1274" w:history="1">
        <w:r w:rsidR="00F27F90" w:rsidRPr="00F27F90">
          <w:rPr>
            <w:noProof/>
            <w:vertAlign w:val="superscript"/>
            <w:lang w:val="en-AU"/>
          </w:rPr>
          <w:t>113</w:t>
        </w:r>
      </w:hyperlink>
      <w:r w:rsidR="00F27F90" w:rsidRPr="00F27F90">
        <w:rPr>
          <w:noProof/>
          <w:vertAlign w:val="superscript"/>
          <w:lang w:val="en-AU"/>
        </w:rPr>
        <w:t>,</w:t>
      </w:r>
      <w:hyperlink w:anchor="_ENREF_114" w:tooltip="Australian Government Department of Health, 2013 #1286" w:history="1">
        <w:r w:rsidR="00F27F90" w:rsidRPr="00F27F90">
          <w:rPr>
            <w:noProof/>
            <w:vertAlign w:val="superscript"/>
            <w:lang w:val="en-AU"/>
          </w:rPr>
          <w:t>114</w:t>
        </w:r>
      </w:hyperlink>
      <w:r w:rsidR="006D1565" w:rsidRPr="003408A6">
        <w:rPr>
          <w:lang w:val="en-AU"/>
        </w:rPr>
        <w:fldChar w:fldCharType="end"/>
      </w:r>
      <w:r w:rsidRPr="003408A6">
        <w:rPr>
          <w:lang w:val="en-AU"/>
        </w:rPr>
        <w:t xml:space="preserve"> Coverage data for females aged 12</w:t>
      </w:r>
      <w:r w:rsidR="00726CAD" w:rsidRPr="003408A6">
        <w:rPr>
          <w:lang w:val="en-AU"/>
        </w:rPr>
        <w:t>–</w:t>
      </w:r>
      <w:r w:rsidRPr="003408A6">
        <w:rPr>
          <w:lang w:val="en-AU"/>
        </w:rPr>
        <w:t>13 years in 2011 is not yet available so estimates in the chart are based on similar coverage to those aged 14</w:t>
      </w:r>
      <w:r w:rsidR="00726CAD" w:rsidRPr="003408A6">
        <w:rPr>
          <w:lang w:val="en-AU"/>
        </w:rPr>
        <w:t>–</w:t>
      </w:r>
      <w:r w:rsidRPr="003408A6">
        <w:rPr>
          <w:lang w:val="en-AU"/>
        </w:rPr>
        <w:t>15 years in 2011. The percentage effectively immunised may be lower, however, due to some prior exposure to vaccine-included HPV types, especially in females in the catch-up program.</w:t>
      </w:r>
    </w:p>
    <w:p w:rsidR="00DA10AE" w:rsidRPr="003408A6" w:rsidRDefault="00DA10AE" w:rsidP="0057457E">
      <w:pPr>
        <w:pStyle w:val="BodyText"/>
        <w:rPr>
          <w:lang w:val="en-AU"/>
        </w:rPr>
      </w:pPr>
      <w:r w:rsidRPr="003408A6">
        <w:rPr>
          <w:lang w:val="en-AU"/>
        </w:rPr>
        <w:t xml:space="preserve">The estimates are uncertain for 2007 and 2008 in particular, because of uncertainties around the precise timing of uptake within the catch-up program, particularly the </w:t>
      </w:r>
      <w:r w:rsidR="00964BBF">
        <w:t>general practice</w:t>
      </w:r>
      <w:r w:rsidRPr="003408A6">
        <w:rPr>
          <w:lang w:val="en-AU"/>
        </w:rPr>
        <w:t>/community-based component for females aged 18</w:t>
      </w:r>
      <w:r w:rsidR="00657092" w:rsidRPr="003408A6">
        <w:rPr>
          <w:lang w:val="en-AU"/>
        </w:rPr>
        <w:t>–</w:t>
      </w:r>
      <w:r w:rsidRPr="003408A6">
        <w:rPr>
          <w:lang w:val="en-AU"/>
        </w:rPr>
        <w:t>26 years. Additionally, the specific ages and grades offered vaccination through schools in 2007 and 2008 varied by jurisdiction. The estimated uptake in females aged 12</w:t>
      </w:r>
      <w:r w:rsidR="00657092" w:rsidRPr="003408A6">
        <w:rPr>
          <w:lang w:val="en-AU"/>
        </w:rPr>
        <w:t>–</w:t>
      </w:r>
      <w:r w:rsidRPr="003408A6">
        <w:rPr>
          <w:lang w:val="en-AU"/>
        </w:rPr>
        <w:t xml:space="preserve">17 years in 2007 attempts to take into account the different age groups offered vaccination in each state and territory during 2007 and 2008, </w:t>
      </w:r>
      <w:r w:rsidR="00657092" w:rsidRPr="003408A6">
        <w:rPr>
          <w:lang w:val="en-AU"/>
        </w:rPr>
        <w:t xml:space="preserve">but </w:t>
      </w:r>
      <w:r w:rsidRPr="003408A6">
        <w:rPr>
          <w:lang w:val="en-AU"/>
        </w:rPr>
        <w:t xml:space="preserve">is uncertain.  </w:t>
      </w:r>
    </w:p>
    <w:p w:rsidR="00DA10AE" w:rsidRPr="003408A6" w:rsidRDefault="00DA10AE" w:rsidP="00C2177D">
      <w:pPr>
        <w:pStyle w:val="Figureheading"/>
      </w:pPr>
      <w:bookmarkStart w:id="419" w:name="_Toc374018975"/>
      <w:bookmarkStart w:id="420" w:name="_Toc396475593"/>
      <w:bookmarkStart w:id="421" w:name="_Toc397000821"/>
      <w:r w:rsidRPr="003408A6">
        <w:t xml:space="preserve">Figure </w:t>
      </w:r>
      <w:r w:rsidR="00AD2A1F" w:rsidRPr="003408A6">
        <w:t>A</w:t>
      </w:r>
      <w:r w:rsidR="005B7AAB" w:rsidRPr="003408A6">
        <w:t>6</w:t>
      </w:r>
      <w:r w:rsidR="008274EE" w:rsidRPr="003408A6">
        <w:t>.</w:t>
      </w:r>
      <w:r w:rsidR="006803A2">
        <w:t>2</w:t>
      </w:r>
      <w:r w:rsidR="00AD2A1F" w:rsidRPr="003408A6">
        <w:rPr>
          <w:noProof/>
        </w:rPr>
        <w:t>.1</w:t>
      </w:r>
      <w:r w:rsidR="00EF3AA0" w:rsidRPr="003408A6">
        <w:rPr>
          <w:noProof/>
        </w:rPr>
        <w:t>.</w:t>
      </w:r>
      <w:r w:rsidR="002B7A0C" w:rsidRPr="003408A6">
        <w:tab/>
      </w:r>
      <w:r w:rsidRPr="003408A6">
        <w:t>Estimated</w:t>
      </w:r>
      <w:r w:rsidR="00657092" w:rsidRPr="003408A6">
        <w:t>*</w:t>
      </w:r>
      <w:r w:rsidRPr="003408A6">
        <w:t xml:space="preserve"> percentage of females in each age group ever vaccinated, by year</w:t>
      </w:r>
      <w:bookmarkEnd w:id="419"/>
      <w:bookmarkEnd w:id="420"/>
      <w:bookmarkEnd w:id="421"/>
    </w:p>
    <w:p w:rsidR="00DA10AE" w:rsidRPr="003408A6" w:rsidRDefault="00DA10AE" w:rsidP="00DA10AE">
      <w:pPr>
        <w:rPr>
          <w:rStyle w:val="BodyTextChar"/>
          <w:lang w:val="en-AU"/>
        </w:rPr>
      </w:pPr>
      <w:r w:rsidRPr="003408A6">
        <w:rPr>
          <w:noProof/>
        </w:rPr>
        <w:drawing>
          <wp:inline distT="0" distB="0" distL="0" distR="0" wp14:anchorId="51CE6640" wp14:editId="76357831">
            <wp:extent cx="5148791" cy="4213227"/>
            <wp:effectExtent l="0" t="0" r="13970" b="15875"/>
            <wp:docPr id="22" name="Chart 22" title="Estimated* percentage of females in each age group ever vaccinated, by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A10AE" w:rsidRPr="003408A6" w:rsidRDefault="00657092" w:rsidP="0057457E">
      <w:pPr>
        <w:pStyle w:val="Tablefootnote"/>
      </w:pPr>
      <w:r w:rsidRPr="003408A6">
        <w:rPr>
          <w:rFonts w:cstheme="minorHAnsi"/>
        </w:rPr>
        <w:t>*</w:t>
      </w:r>
      <w:r w:rsidR="0057457E" w:rsidRPr="003408A6">
        <w:rPr>
          <w:rFonts w:cstheme="minorHAnsi"/>
        </w:rPr>
        <w:tab/>
      </w:r>
      <w:r w:rsidR="00DA10AE" w:rsidRPr="003408A6">
        <w:rPr>
          <w:rFonts w:cstheme="minorHAnsi"/>
        </w:rPr>
        <w:t>Estimated from published coverage data and population estimates</w:t>
      </w:r>
      <w:r w:rsidRPr="003408A6">
        <w:rPr>
          <w:rFonts w:cstheme="minorHAnsi"/>
        </w:rPr>
        <w:t>.</w:t>
      </w:r>
      <w:r w:rsidR="006D1565" w:rsidRPr="003408A6">
        <w:rPr>
          <w:rFonts w:cstheme="minorHAnsi"/>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rFonts w:cstheme="minorHAnsi"/>
        </w:rPr>
        <w:instrText xml:space="preserve"> ADDIN EN.CITE </w:instrText>
      </w:r>
      <w:r w:rsidR="00F27F90">
        <w:rPr>
          <w:rFonts w:cstheme="minorHAnsi"/>
        </w:rPr>
        <w:fldChar w:fldCharType="begin">
          <w:fldData xml:space="preserve">PEVuZE5vdGU+PENpdGU+PEF1dGhvcj5Ccm90aGVydG9uPC9BdXRob3I+PFllYXI+MjAxMzwvWWVh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==
</w:fldData>
        </w:fldChar>
      </w:r>
      <w:r w:rsidR="00F27F90">
        <w:rPr>
          <w:rFonts w:cstheme="minorHAnsi"/>
        </w:rPr>
        <w:instrText xml:space="preserve"> ADDIN EN.CITE.DATA </w:instrText>
      </w:r>
      <w:r w:rsidR="00F27F90">
        <w:rPr>
          <w:rFonts w:cstheme="minorHAnsi"/>
        </w:rPr>
      </w:r>
      <w:r w:rsidR="00F27F90">
        <w:rPr>
          <w:rFonts w:cstheme="minorHAnsi"/>
        </w:rPr>
        <w:fldChar w:fldCharType="end"/>
      </w:r>
      <w:r w:rsidR="006D1565" w:rsidRPr="003408A6">
        <w:rPr>
          <w:rFonts w:cstheme="minorHAnsi"/>
        </w:rPr>
      </w:r>
      <w:r w:rsidR="006D1565" w:rsidRPr="003408A6">
        <w:rPr>
          <w:rFonts w:cstheme="minorHAnsi"/>
        </w:rPr>
        <w:fldChar w:fldCharType="separate"/>
      </w:r>
      <w:hyperlink w:anchor="_ENREF_38" w:tooltip="Brotherton, 2011 #1269" w:history="1">
        <w:r w:rsidR="00F27F90" w:rsidRPr="00F27F90">
          <w:rPr>
            <w:rFonts w:cstheme="minorHAnsi"/>
            <w:noProof/>
            <w:vertAlign w:val="superscript"/>
          </w:rPr>
          <w:t>38</w:t>
        </w:r>
      </w:hyperlink>
      <w:r w:rsidR="00F27F90" w:rsidRPr="00F27F90">
        <w:rPr>
          <w:rFonts w:cstheme="minorHAnsi"/>
          <w:noProof/>
          <w:vertAlign w:val="superscript"/>
        </w:rPr>
        <w:t>,</w:t>
      </w:r>
      <w:hyperlink w:anchor="_ENREF_41" w:tooltip="Brotherton, 2013 #1297" w:history="1">
        <w:r w:rsidR="00F27F90" w:rsidRPr="00F27F90">
          <w:rPr>
            <w:rFonts w:cstheme="minorHAnsi"/>
            <w:noProof/>
            <w:vertAlign w:val="superscript"/>
          </w:rPr>
          <w:t>41</w:t>
        </w:r>
      </w:hyperlink>
      <w:r w:rsidR="00F27F90" w:rsidRPr="00F27F90">
        <w:rPr>
          <w:rFonts w:cstheme="minorHAnsi"/>
          <w:noProof/>
          <w:vertAlign w:val="superscript"/>
        </w:rPr>
        <w:t>,</w:t>
      </w:r>
      <w:hyperlink w:anchor="_ENREF_113" w:tooltip="Australian Bureau of Statistics, 2013 #1274" w:history="1">
        <w:r w:rsidR="00F27F90" w:rsidRPr="00F27F90">
          <w:rPr>
            <w:rFonts w:cstheme="minorHAnsi"/>
            <w:noProof/>
            <w:vertAlign w:val="superscript"/>
          </w:rPr>
          <w:t>113</w:t>
        </w:r>
      </w:hyperlink>
      <w:r w:rsidR="00F27F90" w:rsidRPr="00F27F90">
        <w:rPr>
          <w:rFonts w:cstheme="minorHAnsi"/>
          <w:noProof/>
          <w:vertAlign w:val="superscript"/>
        </w:rPr>
        <w:t>,</w:t>
      </w:r>
      <w:hyperlink w:anchor="_ENREF_114" w:tooltip="Australian Government Department of Health, 2013 #1286" w:history="1">
        <w:r w:rsidR="00F27F90" w:rsidRPr="00F27F90">
          <w:rPr>
            <w:rFonts w:cstheme="minorHAnsi"/>
            <w:noProof/>
            <w:vertAlign w:val="superscript"/>
          </w:rPr>
          <w:t>114</w:t>
        </w:r>
      </w:hyperlink>
      <w:r w:rsidR="006D1565" w:rsidRPr="003408A6">
        <w:rPr>
          <w:rFonts w:cstheme="minorHAnsi"/>
        </w:rPr>
        <w:fldChar w:fldCharType="end"/>
      </w:r>
      <w:r w:rsidR="00DA10AE" w:rsidRPr="003408A6">
        <w:rPr>
          <w:rFonts w:cstheme="minorHAnsi"/>
        </w:rPr>
        <w:t xml:space="preserve"> Coverage data for females aged 12</w:t>
      </w:r>
      <w:r w:rsidRPr="003408A6">
        <w:rPr>
          <w:rFonts w:cstheme="minorHAnsi"/>
        </w:rPr>
        <w:t>–</w:t>
      </w:r>
      <w:r w:rsidR="00DA10AE" w:rsidRPr="003408A6">
        <w:rPr>
          <w:rFonts w:cstheme="minorHAnsi"/>
        </w:rPr>
        <w:t>13 years in 2011 is not yet available so estimates are based on similar coverage to those aged 14</w:t>
      </w:r>
      <w:r w:rsidRPr="003408A6">
        <w:rPr>
          <w:rFonts w:cstheme="minorHAnsi"/>
        </w:rPr>
        <w:t>–</w:t>
      </w:r>
      <w:r w:rsidR="00DA10AE" w:rsidRPr="003408A6">
        <w:rPr>
          <w:rFonts w:cstheme="minorHAnsi"/>
        </w:rPr>
        <w:t>15 years in 2011.</w:t>
      </w:r>
      <w:r w:rsidR="00DA10AE" w:rsidRPr="003408A6">
        <w:t xml:space="preserve"> Percent</w:t>
      </w:r>
      <w:r w:rsidR="00006FDF" w:rsidRPr="003408A6">
        <w:t>age</w:t>
      </w:r>
      <w:r w:rsidR="00DA10AE" w:rsidRPr="003408A6">
        <w:t xml:space="preserve"> effectively immunised may be lower due to some prior exposure.</w:t>
      </w:r>
    </w:p>
    <w:p w:rsidR="00DA10AE" w:rsidRPr="003408A6" w:rsidRDefault="00DA10AE" w:rsidP="00DA10AE">
      <w:pPr>
        <w:sectPr w:rsidR="00DA10AE" w:rsidRPr="003408A6" w:rsidSect="00D07C02">
          <w:pgSz w:w="11906" w:h="16838"/>
          <w:pgMar w:top="1134" w:right="1134" w:bottom="1134" w:left="1134" w:header="709" w:footer="709" w:gutter="0"/>
          <w:cols w:space="708"/>
          <w:docGrid w:linePitch="360"/>
        </w:sectPr>
      </w:pPr>
    </w:p>
    <w:p w:rsidR="00DA10AE" w:rsidRPr="003408A6" w:rsidRDefault="00DA10AE" w:rsidP="00DA10AE">
      <w:pPr>
        <w:pStyle w:val="Heading2"/>
      </w:pPr>
      <w:bookmarkStart w:id="422" w:name="_Toc396926159"/>
      <w:bookmarkStart w:id="423" w:name="_Toc374018988"/>
      <w:r w:rsidRPr="003408A6">
        <w:t xml:space="preserve">Appendix </w:t>
      </w:r>
      <w:r w:rsidR="00F3427D" w:rsidRPr="003408A6">
        <w:t>6</w:t>
      </w:r>
      <w:r w:rsidRPr="003408A6">
        <w:t>.</w:t>
      </w:r>
      <w:r w:rsidR="00653668">
        <w:t>3</w:t>
      </w:r>
      <w:bookmarkEnd w:id="422"/>
    </w:p>
    <w:p w:rsidR="00DA10AE" w:rsidRPr="003408A6" w:rsidRDefault="005B7AAB" w:rsidP="00C2177D">
      <w:pPr>
        <w:pStyle w:val="Tableheading"/>
        <w:rPr>
          <w:lang w:val="en-AU"/>
        </w:rPr>
      </w:pPr>
      <w:bookmarkStart w:id="424" w:name="_Toc396475565"/>
      <w:bookmarkStart w:id="425" w:name="_Toc397000795"/>
      <w:bookmarkEnd w:id="423"/>
      <w:r w:rsidRPr="003408A6">
        <w:rPr>
          <w:lang w:val="en-AU"/>
        </w:rPr>
        <w:t xml:space="preserve">Table </w:t>
      </w:r>
      <w:r w:rsidR="00AD2A1F" w:rsidRPr="003408A6">
        <w:rPr>
          <w:lang w:val="en-AU"/>
        </w:rPr>
        <w:t>A</w:t>
      </w:r>
      <w:r w:rsidRPr="003408A6">
        <w:rPr>
          <w:lang w:val="en-AU"/>
        </w:rPr>
        <w:t>6.</w:t>
      </w:r>
      <w:r w:rsidR="00653668">
        <w:rPr>
          <w:lang w:val="en-AU"/>
        </w:rPr>
        <w:t>3</w:t>
      </w:r>
      <w:r w:rsidR="00AD2A1F" w:rsidRPr="003408A6">
        <w:rPr>
          <w:lang w:val="en-AU"/>
        </w:rPr>
        <w:t>.1</w:t>
      </w:r>
      <w:r w:rsidR="002C2A70" w:rsidRPr="003408A6">
        <w:rPr>
          <w:lang w:val="en-AU"/>
        </w:rPr>
        <w:t>.</w:t>
      </w:r>
      <w:r w:rsidR="00D861BD" w:rsidRPr="003408A6">
        <w:rPr>
          <w:lang w:val="en-AU"/>
        </w:rPr>
        <w:tab/>
      </w:r>
      <w:r w:rsidRPr="003408A6">
        <w:rPr>
          <w:lang w:val="en-AU"/>
        </w:rPr>
        <w:t>Admissions by sex, age and year</w:t>
      </w:r>
      <w:r w:rsidR="00657092" w:rsidRPr="003408A6">
        <w:rPr>
          <w:lang w:val="en-AU"/>
        </w:rPr>
        <w:t>,</w:t>
      </w:r>
      <w:r w:rsidRPr="003408A6">
        <w:rPr>
          <w:lang w:val="en-AU"/>
        </w:rPr>
        <w:t xml:space="preserve"> all admissions</w:t>
      </w:r>
      <w:bookmarkEnd w:id="424"/>
      <w:bookmarkEnd w:id="425"/>
    </w:p>
    <w:tbl>
      <w:tblPr>
        <w:tblW w:w="12564" w:type="dxa"/>
        <w:tblInd w:w="93" w:type="dxa"/>
        <w:tblLayout w:type="fixed"/>
        <w:tblLook w:val="0480" w:firstRow="0" w:lastRow="0" w:firstColumn="1" w:lastColumn="0" w:noHBand="0" w:noVBand="1"/>
      </w:tblPr>
      <w:tblGrid>
        <w:gridCol w:w="1378"/>
        <w:gridCol w:w="1117"/>
        <w:gridCol w:w="1118"/>
        <w:gridCol w:w="1117"/>
        <w:gridCol w:w="1118"/>
        <w:gridCol w:w="1123"/>
        <w:gridCol w:w="1117"/>
        <w:gridCol w:w="1118"/>
        <w:gridCol w:w="1117"/>
        <w:gridCol w:w="1118"/>
        <w:gridCol w:w="1123"/>
      </w:tblGrid>
      <w:tr w:rsidR="00197D73" w:rsidRPr="00D07C02" w:rsidTr="006803A2">
        <w:trPr>
          <w:trHeight w:val="324"/>
        </w:trPr>
        <w:tc>
          <w:tcPr>
            <w:tcW w:w="137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97D73" w:rsidRPr="00D07C02" w:rsidRDefault="00197D73" w:rsidP="009C2CC1">
            <w:pPr>
              <w:pStyle w:val="Tablecolumnheading"/>
            </w:pPr>
            <w:r w:rsidRPr="00D07C02">
              <w:t xml:space="preserve">Year (starting </w:t>
            </w:r>
            <w:r>
              <w:br/>
            </w:r>
            <w:r w:rsidRPr="00D07C02">
              <w:t>1 July)</w:t>
            </w:r>
          </w:p>
        </w:tc>
        <w:tc>
          <w:tcPr>
            <w:tcW w:w="5593" w:type="dxa"/>
            <w:gridSpan w:val="5"/>
            <w:tcBorders>
              <w:top w:val="single" w:sz="4" w:space="0" w:color="auto"/>
              <w:left w:val="single" w:sz="4" w:space="0" w:color="auto"/>
              <w:bottom w:val="single" w:sz="4" w:space="0" w:color="auto"/>
              <w:right w:val="nil"/>
            </w:tcBorders>
            <w:shd w:val="clear" w:color="auto" w:fill="auto"/>
            <w:noWrap/>
            <w:vAlign w:val="bottom"/>
            <w:hideMark/>
          </w:tcPr>
          <w:p w:rsidR="00197D73" w:rsidRPr="00D07C02" w:rsidRDefault="00197D73" w:rsidP="009C2CC1">
            <w:pPr>
              <w:pStyle w:val="Tablecolumnheadings"/>
            </w:pPr>
            <w:r w:rsidRPr="00D07C02">
              <w:t>Females</w:t>
            </w:r>
          </w:p>
        </w:tc>
        <w:tc>
          <w:tcPr>
            <w:tcW w:w="559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D73" w:rsidRPr="00D07C02" w:rsidRDefault="00197D73" w:rsidP="009C2CC1">
            <w:pPr>
              <w:pStyle w:val="Tablecolumnheadings"/>
            </w:pPr>
            <w:r w:rsidRPr="00D07C02">
              <w:t>Males</w:t>
            </w:r>
          </w:p>
        </w:tc>
      </w:tr>
      <w:tr w:rsidR="00DA10AE" w:rsidRPr="00D07C02" w:rsidTr="006803A2">
        <w:trPr>
          <w:trHeight w:val="324"/>
        </w:trPr>
        <w:tc>
          <w:tcPr>
            <w:tcW w:w="137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A10AE" w:rsidRPr="00D07C02" w:rsidRDefault="00DA10AE" w:rsidP="009C2CC1">
            <w:pPr>
              <w:pStyle w:val="Tablecolumnheadings"/>
            </w:pPr>
          </w:p>
        </w:tc>
        <w:tc>
          <w:tcPr>
            <w:tcW w:w="1117" w:type="dxa"/>
            <w:tcBorders>
              <w:top w:val="single" w:sz="4" w:space="0" w:color="auto"/>
              <w:left w:val="single" w:sz="4" w:space="0" w:color="auto"/>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12</w:t>
            </w:r>
            <w:r w:rsidR="00657092" w:rsidRPr="00D07C02">
              <w:t>–</w:t>
            </w:r>
            <w:r w:rsidRPr="00D07C02">
              <w:t>17 y</w:t>
            </w:r>
            <w:r w:rsidR="00657092" w:rsidRPr="00D07C02">
              <w:t>ea</w:t>
            </w:r>
            <w:r w:rsidRPr="00D07C02">
              <w:t>rs</w:t>
            </w:r>
          </w:p>
        </w:tc>
        <w:tc>
          <w:tcPr>
            <w:tcW w:w="1118" w:type="dxa"/>
            <w:tcBorders>
              <w:top w:val="single" w:sz="4" w:space="0" w:color="auto"/>
              <w:left w:val="nil"/>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18</w:t>
            </w:r>
            <w:r w:rsidR="00657092" w:rsidRPr="00D07C02">
              <w:t>–</w:t>
            </w:r>
            <w:r w:rsidRPr="00D07C02">
              <w:t>26 y</w:t>
            </w:r>
            <w:r w:rsidR="00657092" w:rsidRPr="00D07C02">
              <w:t>ea</w:t>
            </w:r>
            <w:r w:rsidRPr="00D07C02">
              <w:t>rs</w:t>
            </w:r>
          </w:p>
        </w:tc>
        <w:tc>
          <w:tcPr>
            <w:tcW w:w="1117" w:type="dxa"/>
            <w:tcBorders>
              <w:top w:val="single" w:sz="4" w:space="0" w:color="auto"/>
              <w:left w:val="nil"/>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27</w:t>
            </w:r>
            <w:r w:rsidR="00657092" w:rsidRPr="00D07C02">
              <w:t>–</w:t>
            </w:r>
            <w:r w:rsidRPr="00D07C02">
              <w:t>29 y</w:t>
            </w:r>
            <w:r w:rsidR="00657092" w:rsidRPr="00D07C02">
              <w:t>ea</w:t>
            </w:r>
            <w:r w:rsidRPr="00D07C02">
              <w:t>rs</w:t>
            </w:r>
          </w:p>
        </w:tc>
        <w:tc>
          <w:tcPr>
            <w:tcW w:w="1118" w:type="dxa"/>
            <w:tcBorders>
              <w:top w:val="single" w:sz="4" w:space="0" w:color="auto"/>
              <w:left w:val="nil"/>
              <w:bottom w:val="single" w:sz="4" w:space="0" w:color="auto"/>
              <w:right w:val="nil"/>
            </w:tcBorders>
            <w:shd w:val="clear" w:color="auto" w:fill="auto"/>
            <w:noWrap/>
            <w:vAlign w:val="bottom"/>
            <w:hideMark/>
          </w:tcPr>
          <w:p w:rsidR="00DA10AE" w:rsidRPr="00D07C02" w:rsidRDefault="00657092" w:rsidP="009C2CC1">
            <w:pPr>
              <w:pStyle w:val="Tablecolumnheadings"/>
            </w:pPr>
            <w:r w:rsidRPr="00D07C02">
              <w:t>≥</w:t>
            </w:r>
            <w:r w:rsidR="00DA10AE" w:rsidRPr="00D07C02">
              <w:t>30 y</w:t>
            </w:r>
            <w:r w:rsidRPr="00D07C02">
              <w:t>ea</w:t>
            </w:r>
            <w:r w:rsidR="00DA10AE" w:rsidRPr="00D07C02">
              <w:t>rs</w:t>
            </w:r>
          </w:p>
        </w:tc>
        <w:tc>
          <w:tcPr>
            <w:tcW w:w="1122" w:type="dxa"/>
            <w:tcBorders>
              <w:top w:val="single" w:sz="4" w:space="0" w:color="auto"/>
              <w:left w:val="nil"/>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Total</w:t>
            </w:r>
          </w:p>
        </w:tc>
        <w:tc>
          <w:tcPr>
            <w:tcW w:w="1117" w:type="dxa"/>
            <w:tcBorders>
              <w:top w:val="single" w:sz="4" w:space="0" w:color="auto"/>
              <w:left w:val="single" w:sz="4" w:space="0" w:color="auto"/>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12</w:t>
            </w:r>
            <w:r w:rsidR="00657092" w:rsidRPr="00D07C02">
              <w:t>–</w:t>
            </w:r>
            <w:r w:rsidRPr="00D07C02">
              <w:t>17 y</w:t>
            </w:r>
            <w:r w:rsidR="00657092" w:rsidRPr="00D07C02">
              <w:t>ea</w:t>
            </w:r>
            <w:r w:rsidRPr="00D07C02">
              <w:t>rs</w:t>
            </w:r>
          </w:p>
        </w:tc>
        <w:tc>
          <w:tcPr>
            <w:tcW w:w="1118" w:type="dxa"/>
            <w:tcBorders>
              <w:top w:val="single" w:sz="4" w:space="0" w:color="auto"/>
              <w:left w:val="nil"/>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18</w:t>
            </w:r>
            <w:r w:rsidR="00657092" w:rsidRPr="00D07C02">
              <w:t>–</w:t>
            </w:r>
            <w:r w:rsidRPr="00D07C02">
              <w:t>26 y</w:t>
            </w:r>
            <w:r w:rsidR="00657092" w:rsidRPr="00D07C02">
              <w:t>ea</w:t>
            </w:r>
            <w:r w:rsidRPr="00D07C02">
              <w:t>rs</w:t>
            </w:r>
          </w:p>
        </w:tc>
        <w:tc>
          <w:tcPr>
            <w:tcW w:w="1117" w:type="dxa"/>
            <w:tcBorders>
              <w:top w:val="single" w:sz="4" w:space="0" w:color="auto"/>
              <w:left w:val="nil"/>
              <w:bottom w:val="single" w:sz="4" w:space="0" w:color="auto"/>
              <w:right w:val="nil"/>
            </w:tcBorders>
            <w:shd w:val="clear" w:color="auto" w:fill="auto"/>
            <w:noWrap/>
            <w:vAlign w:val="bottom"/>
            <w:hideMark/>
          </w:tcPr>
          <w:p w:rsidR="00DA10AE" w:rsidRPr="00D07C02" w:rsidRDefault="00DA10AE" w:rsidP="009C2CC1">
            <w:pPr>
              <w:pStyle w:val="Tablecolumnheadings"/>
            </w:pPr>
            <w:r w:rsidRPr="00D07C02">
              <w:t>27</w:t>
            </w:r>
            <w:r w:rsidR="00657092" w:rsidRPr="00D07C02">
              <w:t>–</w:t>
            </w:r>
            <w:r w:rsidRPr="00D07C02">
              <w:t>29 y</w:t>
            </w:r>
            <w:r w:rsidR="00657092" w:rsidRPr="00D07C02">
              <w:t>ea</w:t>
            </w:r>
            <w:r w:rsidRPr="00D07C02">
              <w:t>rs</w:t>
            </w:r>
          </w:p>
        </w:tc>
        <w:tc>
          <w:tcPr>
            <w:tcW w:w="1118" w:type="dxa"/>
            <w:tcBorders>
              <w:top w:val="single" w:sz="4" w:space="0" w:color="auto"/>
              <w:left w:val="nil"/>
              <w:bottom w:val="single" w:sz="4" w:space="0" w:color="auto"/>
              <w:right w:val="nil"/>
            </w:tcBorders>
            <w:shd w:val="clear" w:color="auto" w:fill="auto"/>
            <w:noWrap/>
            <w:vAlign w:val="bottom"/>
            <w:hideMark/>
          </w:tcPr>
          <w:p w:rsidR="00DA10AE" w:rsidRPr="00D07C02" w:rsidRDefault="00657092" w:rsidP="009C2CC1">
            <w:pPr>
              <w:pStyle w:val="Tablecolumnheadings"/>
            </w:pPr>
            <w:r w:rsidRPr="00D07C02">
              <w:t>≥</w:t>
            </w:r>
            <w:r w:rsidR="00DA10AE" w:rsidRPr="00D07C02">
              <w:t>30 y</w:t>
            </w:r>
            <w:r w:rsidRPr="00D07C02">
              <w:t>ea</w:t>
            </w:r>
            <w:r w:rsidR="00DA10AE" w:rsidRPr="00D07C02">
              <w:t>rs</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DA10AE" w:rsidRPr="00D07C02" w:rsidRDefault="00DA10AE" w:rsidP="009C2CC1">
            <w:pPr>
              <w:pStyle w:val="Tablecolumnheadings"/>
            </w:pPr>
            <w:r w:rsidRPr="00D07C02">
              <w:t>Total</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1999</w:t>
            </w:r>
          </w:p>
        </w:tc>
        <w:tc>
          <w:tcPr>
            <w:tcW w:w="1117" w:type="dxa"/>
            <w:tcBorders>
              <w:top w:val="nil"/>
              <w:left w:val="single" w:sz="4" w:space="0" w:color="auto"/>
              <w:bottom w:val="nil"/>
              <w:right w:val="nil"/>
            </w:tcBorders>
            <w:shd w:val="clear" w:color="auto" w:fill="auto"/>
            <w:noWrap/>
            <w:vAlign w:val="bottom"/>
          </w:tcPr>
          <w:p w:rsidR="00DA10AE" w:rsidRPr="003408A6" w:rsidRDefault="00D07C02" w:rsidP="009C2CC1">
            <w:pPr>
              <w:pStyle w:val="Tabletextcentred"/>
            </w:pPr>
            <w:r>
              <w:t>166</w:t>
            </w:r>
          </w:p>
        </w:tc>
        <w:tc>
          <w:tcPr>
            <w:tcW w:w="1118" w:type="dxa"/>
            <w:tcBorders>
              <w:top w:val="nil"/>
              <w:left w:val="nil"/>
              <w:bottom w:val="nil"/>
              <w:right w:val="nil"/>
            </w:tcBorders>
            <w:shd w:val="clear" w:color="auto" w:fill="auto"/>
            <w:noWrap/>
            <w:vAlign w:val="bottom"/>
          </w:tcPr>
          <w:p w:rsidR="00DA10AE" w:rsidRPr="003408A6" w:rsidRDefault="00D07C02" w:rsidP="009C2CC1">
            <w:pPr>
              <w:pStyle w:val="Tabletextcentred"/>
            </w:pPr>
            <w:r>
              <w:t>1,221</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248</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853</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2,506</w:t>
            </w:r>
          </w:p>
        </w:tc>
        <w:tc>
          <w:tcPr>
            <w:tcW w:w="1117" w:type="dxa"/>
            <w:tcBorders>
              <w:top w:val="nil"/>
              <w:left w:val="single" w:sz="4" w:space="0" w:color="auto"/>
              <w:bottom w:val="nil"/>
              <w:right w:val="nil"/>
            </w:tcBorders>
            <w:shd w:val="clear" w:color="auto" w:fill="auto"/>
            <w:noWrap/>
            <w:vAlign w:val="bottom"/>
          </w:tcPr>
          <w:p w:rsidR="00DA10AE" w:rsidRPr="003408A6" w:rsidRDefault="00D07C02" w:rsidP="009C2CC1">
            <w:pPr>
              <w:pStyle w:val="Tabletextcentred"/>
            </w:pPr>
            <w:r>
              <w:t>5</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312</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662</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1,121</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2000</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139</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1,171</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247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853</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2,430</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13</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308</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135</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644</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1,109</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2001</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147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1,182</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166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883</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2,394</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293</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106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787</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1,197</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2002</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139</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1,205</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208</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846</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2,412</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332</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132</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804</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1,277</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2003</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135</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1,176</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206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839</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2,363</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338</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804</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1,273</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2004</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141</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1,160</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166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865</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2,349</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9</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323</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114</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829</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1,283</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2005</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151</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1,061</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174</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838</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2,238</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350</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113</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753</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1,228</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2006</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143</w:t>
            </w:r>
          </w:p>
        </w:tc>
        <w:tc>
          <w:tcPr>
            <w:tcW w:w="1118" w:type="dxa"/>
            <w:tcBorders>
              <w:top w:val="nil"/>
              <w:left w:val="nil"/>
              <w:bottom w:val="nil"/>
              <w:right w:val="nil"/>
            </w:tcBorders>
            <w:shd w:val="clear" w:color="auto" w:fill="auto"/>
            <w:noWrap/>
            <w:vAlign w:val="bottom"/>
          </w:tcPr>
          <w:p w:rsidR="00DA10AE" w:rsidRPr="003408A6" w:rsidRDefault="00D07C02" w:rsidP="009C2CC1">
            <w:pPr>
              <w:pStyle w:val="Tabletextcentred"/>
            </w:pPr>
            <w:r>
              <w:t>955</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162</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786</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2,059</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3</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361</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101</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776</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1,245</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2007</w:t>
            </w:r>
          </w:p>
        </w:tc>
        <w:tc>
          <w:tcPr>
            <w:tcW w:w="1117" w:type="dxa"/>
            <w:tcBorders>
              <w:top w:val="nil"/>
              <w:left w:val="single" w:sz="4" w:space="0" w:color="auto"/>
              <w:bottom w:val="nil"/>
              <w:right w:val="nil"/>
            </w:tcBorders>
            <w:shd w:val="clear" w:color="auto" w:fill="auto"/>
            <w:noWrap/>
            <w:vAlign w:val="bottom"/>
          </w:tcPr>
          <w:p w:rsidR="00DA10AE" w:rsidRPr="003408A6" w:rsidRDefault="00D07C02" w:rsidP="009C2CC1">
            <w:pPr>
              <w:pStyle w:val="Tabletextcentred"/>
            </w:pPr>
            <w:r>
              <w:t>67</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891</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164</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730</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1,861</w:t>
            </w:r>
          </w:p>
        </w:tc>
        <w:tc>
          <w:tcPr>
            <w:tcW w:w="1117" w:type="dxa"/>
            <w:tcBorders>
              <w:top w:val="nil"/>
              <w:left w:val="single" w:sz="4" w:space="0" w:color="auto"/>
              <w:bottom w:val="nil"/>
              <w:right w:val="nil"/>
            </w:tcBorders>
            <w:shd w:val="clear" w:color="auto" w:fill="auto"/>
            <w:noWrap/>
            <w:vAlign w:val="bottom"/>
          </w:tcPr>
          <w:p w:rsidR="00DA10AE" w:rsidRPr="003408A6" w:rsidRDefault="00D07C02" w:rsidP="009C2CC1">
            <w:pPr>
              <w:pStyle w:val="Tabletextcentred"/>
            </w:pPr>
            <w:r>
              <w:t>4</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349</w:t>
            </w:r>
          </w:p>
        </w:tc>
        <w:tc>
          <w:tcPr>
            <w:tcW w:w="1117" w:type="dxa"/>
            <w:tcBorders>
              <w:top w:val="nil"/>
              <w:left w:val="nil"/>
              <w:bottom w:val="nil"/>
              <w:right w:val="nil"/>
            </w:tcBorders>
            <w:shd w:val="clear" w:color="auto" w:fill="auto"/>
            <w:noWrap/>
            <w:vAlign w:val="bottom"/>
          </w:tcPr>
          <w:p w:rsidR="00DA10AE" w:rsidRPr="003408A6" w:rsidRDefault="00197D73" w:rsidP="009C2CC1">
            <w:pPr>
              <w:pStyle w:val="Tabletextcentred"/>
            </w:pPr>
            <w:r>
              <w:t>90</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721</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1,167</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2008</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42</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602</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751</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1,539</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 xml:space="preserve">14 </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326</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106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775</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1,223</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2009</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26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424</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136</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788</w:t>
            </w:r>
          </w:p>
        </w:tc>
        <w:tc>
          <w:tcPr>
            <w:tcW w:w="1122"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1,381</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11</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318</w:t>
            </w:r>
          </w:p>
        </w:tc>
        <w:tc>
          <w:tcPr>
            <w:tcW w:w="1117"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102</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763</w:t>
            </w:r>
          </w:p>
        </w:tc>
        <w:tc>
          <w:tcPr>
            <w:tcW w:w="1122" w:type="dxa"/>
            <w:tcBorders>
              <w:top w:val="nil"/>
              <w:left w:val="nil"/>
              <w:bottom w:val="nil"/>
              <w:right w:val="single" w:sz="4" w:space="0" w:color="auto"/>
            </w:tcBorders>
            <w:shd w:val="clear" w:color="auto" w:fill="auto"/>
            <w:noWrap/>
            <w:vAlign w:val="bottom"/>
          </w:tcPr>
          <w:p w:rsidR="00DA10AE" w:rsidRPr="003408A6" w:rsidRDefault="00DA10AE" w:rsidP="009C2CC1">
            <w:pPr>
              <w:pStyle w:val="Tabletextcentred"/>
            </w:pPr>
            <w:r w:rsidRPr="003408A6">
              <w:t>1,198</w:t>
            </w:r>
          </w:p>
        </w:tc>
      </w:tr>
      <w:tr w:rsidR="00DA10AE" w:rsidRPr="003408A6" w:rsidTr="006803A2">
        <w:trPr>
          <w:trHeight w:val="324"/>
        </w:trPr>
        <w:tc>
          <w:tcPr>
            <w:tcW w:w="1378" w:type="dxa"/>
            <w:tcBorders>
              <w:top w:val="nil"/>
              <w:left w:val="single" w:sz="4" w:space="0" w:color="auto"/>
              <w:bottom w:val="nil"/>
              <w:right w:val="single" w:sz="4" w:space="0" w:color="auto"/>
            </w:tcBorders>
            <w:shd w:val="clear" w:color="auto" w:fill="auto"/>
            <w:noWrap/>
            <w:vAlign w:val="bottom"/>
            <w:hideMark/>
          </w:tcPr>
          <w:p w:rsidR="00DA10AE" w:rsidRPr="003408A6" w:rsidRDefault="00DA10AE" w:rsidP="009C2CC1">
            <w:pPr>
              <w:pStyle w:val="Tabletext"/>
            </w:pPr>
            <w:r w:rsidRPr="003408A6">
              <w:t>2010</w:t>
            </w:r>
          </w:p>
        </w:tc>
        <w:tc>
          <w:tcPr>
            <w:tcW w:w="1117" w:type="dxa"/>
            <w:tcBorders>
              <w:top w:val="nil"/>
              <w:left w:val="single" w:sz="4" w:space="0" w:color="auto"/>
              <w:bottom w:val="nil"/>
              <w:right w:val="nil"/>
            </w:tcBorders>
            <w:shd w:val="clear" w:color="auto" w:fill="auto"/>
            <w:noWrap/>
            <w:vAlign w:val="bottom"/>
          </w:tcPr>
          <w:p w:rsidR="00DA10AE" w:rsidRPr="003408A6" w:rsidRDefault="00DA10AE" w:rsidP="009C2CC1">
            <w:pPr>
              <w:pStyle w:val="Tabletextcentred"/>
            </w:pPr>
            <w:r w:rsidRPr="003408A6">
              <w:t>15</w:t>
            </w:r>
          </w:p>
        </w:tc>
        <w:tc>
          <w:tcPr>
            <w:tcW w:w="1118" w:type="dxa"/>
            <w:tcBorders>
              <w:top w:val="nil"/>
              <w:left w:val="nil"/>
              <w:bottom w:val="nil"/>
              <w:right w:val="nil"/>
            </w:tcBorders>
            <w:shd w:val="clear" w:color="auto" w:fill="auto"/>
            <w:noWrap/>
            <w:vAlign w:val="bottom"/>
          </w:tcPr>
          <w:p w:rsidR="00DA10AE" w:rsidRPr="003408A6" w:rsidRDefault="00DA10AE" w:rsidP="009C2CC1">
            <w:pPr>
              <w:pStyle w:val="Tabletextcentred"/>
            </w:pPr>
            <w:r w:rsidRPr="003408A6">
              <w:t>305</w:t>
            </w:r>
          </w:p>
        </w:tc>
        <w:tc>
          <w:tcPr>
            <w:tcW w:w="1117" w:type="dxa"/>
            <w:tcBorders>
              <w:top w:val="nil"/>
              <w:left w:val="nil"/>
              <w:bottom w:val="nil"/>
              <w:right w:val="nil"/>
            </w:tcBorders>
            <w:shd w:val="clear" w:color="auto" w:fill="auto"/>
            <w:noWrap/>
            <w:vAlign w:val="bottom"/>
          </w:tcPr>
          <w:p w:rsidR="00DA10AE" w:rsidRPr="003408A6" w:rsidRDefault="00D07C02" w:rsidP="009C2CC1">
            <w:pPr>
              <w:pStyle w:val="Tabletextcentred"/>
            </w:pPr>
            <w:r>
              <w:t>103</w:t>
            </w:r>
          </w:p>
        </w:tc>
        <w:tc>
          <w:tcPr>
            <w:tcW w:w="1118" w:type="dxa"/>
            <w:tcBorders>
              <w:top w:val="nil"/>
              <w:left w:val="nil"/>
              <w:bottom w:val="nil"/>
              <w:right w:val="nil"/>
            </w:tcBorders>
            <w:shd w:val="clear" w:color="auto" w:fill="auto"/>
            <w:noWrap/>
            <w:vAlign w:val="bottom"/>
          </w:tcPr>
          <w:p w:rsidR="00DA10AE" w:rsidRPr="003408A6" w:rsidRDefault="00D07C02" w:rsidP="009C2CC1">
            <w:pPr>
              <w:pStyle w:val="Tabletextcentred"/>
            </w:pPr>
            <w:r>
              <w:t>851</w:t>
            </w:r>
          </w:p>
        </w:tc>
        <w:tc>
          <w:tcPr>
            <w:tcW w:w="1122" w:type="dxa"/>
            <w:tcBorders>
              <w:top w:val="nil"/>
              <w:left w:val="nil"/>
              <w:bottom w:val="nil"/>
              <w:right w:val="nil"/>
            </w:tcBorders>
            <w:shd w:val="clear" w:color="auto" w:fill="auto"/>
            <w:noWrap/>
            <w:vAlign w:val="bottom"/>
          </w:tcPr>
          <w:p w:rsidR="00DA10AE" w:rsidRPr="003408A6" w:rsidRDefault="00D07C02" w:rsidP="009C2CC1">
            <w:pPr>
              <w:pStyle w:val="Tabletextcentred"/>
            </w:pPr>
            <w:r>
              <w:t>1,279</w:t>
            </w:r>
          </w:p>
        </w:tc>
        <w:tc>
          <w:tcPr>
            <w:tcW w:w="1117" w:type="dxa"/>
            <w:tcBorders>
              <w:top w:val="nil"/>
              <w:left w:val="single" w:sz="4" w:space="0" w:color="auto"/>
              <w:bottom w:val="nil"/>
              <w:right w:val="nil"/>
            </w:tcBorders>
            <w:shd w:val="clear" w:color="auto" w:fill="auto"/>
            <w:noWrap/>
            <w:vAlign w:val="bottom"/>
          </w:tcPr>
          <w:p w:rsidR="00DA10AE" w:rsidRPr="003408A6" w:rsidRDefault="00D07C02" w:rsidP="009C2CC1">
            <w:pPr>
              <w:pStyle w:val="Tabletextcentred"/>
            </w:pPr>
            <w:r>
              <w:t>3</w:t>
            </w:r>
          </w:p>
        </w:tc>
        <w:tc>
          <w:tcPr>
            <w:tcW w:w="1118" w:type="dxa"/>
            <w:tcBorders>
              <w:top w:val="nil"/>
              <w:left w:val="nil"/>
              <w:bottom w:val="nil"/>
              <w:right w:val="nil"/>
            </w:tcBorders>
            <w:shd w:val="clear" w:color="auto" w:fill="auto"/>
            <w:noWrap/>
            <w:vAlign w:val="bottom"/>
          </w:tcPr>
          <w:p w:rsidR="00DA10AE" w:rsidRPr="003408A6" w:rsidRDefault="00197D73" w:rsidP="009C2CC1">
            <w:pPr>
              <w:pStyle w:val="Tabletextcentred"/>
            </w:pPr>
            <w:r>
              <w:t>230</w:t>
            </w:r>
          </w:p>
        </w:tc>
        <w:tc>
          <w:tcPr>
            <w:tcW w:w="1117" w:type="dxa"/>
            <w:tcBorders>
              <w:top w:val="nil"/>
              <w:left w:val="nil"/>
              <w:bottom w:val="nil"/>
              <w:right w:val="nil"/>
            </w:tcBorders>
            <w:shd w:val="clear" w:color="auto" w:fill="auto"/>
            <w:noWrap/>
            <w:vAlign w:val="bottom"/>
          </w:tcPr>
          <w:p w:rsidR="00DA10AE" w:rsidRPr="003408A6" w:rsidRDefault="00197D73" w:rsidP="009C2CC1">
            <w:pPr>
              <w:pStyle w:val="Tabletextcentred"/>
            </w:pPr>
            <w:r>
              <w:t>102</w:t>
            </w:r>
          </w:p>
        </w:tc>
        <w:tc>
          <w:tcPr>
            <w:tcW w:w="1118" w:type="dxa"/>
            <w:tcBorders>
              <w:top w:val="nil"/>
              <w:left w:val="nil"/>
              <w:bottom w:val="nil"/>
              <w:right w:val="nil"/>
            </w:tcBorders>
            <w:shd w:val="clear" w:color="auto" w:fill="auto"/>
            <w:noWrap/>
            <w:vAlign w:val="bottom"/>
          </w:tcPr>
          <w:p w:rsidR="00DA10AE" w:rsidRPr="003408A6" w:rsidRDefault="00197D73" w:rsidP="009C2CC1">
            <w:pPr>
              <w:pStyle w:val="Tabletextcentred"/>
            </w:pPr>
            <w:r>
              <w:t>876</w:t>
            </w:r>
          </w:p>
        </w:tc>
        <w:tc>
          <w:tcPr>
            <w:tcW w:w="1122" w:type="dxa"/>
            <w:tcBorders>
              <w:top w:val="nil"/>
              <w:left w:val="nil"/>
              <w:bottom w:val="nil"/>
              <w:right w:val="single" w:sz="4" w:space="0" w:color="auto"/>
            </w:tcBorders>
            <w:shd w:val="clear" w:color="auto" w:fill="auto"/>
            <w:noWrap/>
            <w:vAlign w:val="bottom"/>
          </w:tcPr>
          <w:p w:rsidR="00DA10AE" w:rsidRPr="003408A6" w:rsidRDefault="00197D73" w:rsidP="009C2CC1">
            <w:pPr>
              <w:pStyle w:val="Tabletextcentred"/>
            </w:pPr>
            <w:r>
              <w:t>1,218</w:t>
            </w:r>
          </w:p>
        </w:tc>
      </w:tr>
      <w:tr w:rsidR="00DA10AE" w:rsidRPr="003408A6" w:rsidTr="006803A2">
        <w:trPr>
          <w:trHeight w:val="324"/>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rsidR="00DA10AE" w:rsidRPr="003408A6" w:rsidRDefault="00DA10AE" w:rsidP="009C2CC1">
            <w:pPr>
              <w:pStyle w:val="Tabletextbold"/>
            </w:pPr>
            <w:r w:rsidRPr="003408A6">
              <w:t>Total</w:t>
            </w:r>
          </w:p>
        </w:tc>
        <w:tc>
          <w:tcPr>
            <w:tcW w:w="1117" w:type="dxa"/>
            <w:tcBorders>
              <w:top w:val="nil"/>
              <w:left w:val="single" w:sz="4" w:space="0" w:color="auto"/>
              <w:bottom w:val="single" w:sz="4" w:space="0" w:color="auto"/>
              <w:right w:val="nil"/>
            </w:tcBorders>
            <w:shd w:val="clear" w:color="auto" w:fill="auto"/>
            <w:noWrap/>
            <w:vAlign w:val="bottom"/>
          </w:tcPr>
          <w:p w:rsidR="00DA10AE" w:rsidRPr="003408A6" w:rsidRDefault="00DA10AE" w:rsidP="009C2CC1">
            <w:pPr>
              <w:pStyle w:val="Tabletextbold"/>
              <w:jc w:val="center"/>
            </w:pPr>
            <w:r w:rsidRPr="003408A6">
              <w:t>1,434</w:t>
            </w:r>
          </w:p>
        </w:tc>
        <w:tc>
          <w:tcPr>
            <w:tcW w:w="1118" w:type="dxa"/>
            <w:tcBorders>
              <w:top w:val="nil"/>
              <w:left w:val="nil"/>
              <w:bottom w:val="single" w:sz="4" w:space="0" w:color="auto"/>
              <w:right w:val="nil"/>
            </w:tcBorders>
            <w:shd w:val="clear" w:color="auto" w:fill="auto"/>
            <w:noWrap/>
            <w:vAlign w:val="bottom"/>
          </w:tcPr>
          <w:p w:rsidR="00DA10AE" w:rsidRPr="003408A6" w:rsidRDefault="00DA10AE" w:rsidP="009C2CC1">
            <w:pPr>
              <w:pStyle w:val="Tabletextbold"/>
              <w:jc w:val="center"/>
            </w:pPr>
            <w:r w:rsidRPr="003408A6">
              <w:t>12,212</w:t>
            </w:r>
          </w:p>
        </w:tc>
        <w:tc>
          <w:tcPr>
            <w:tcW w:w="1117" w:type="dxa"/>
            <w:tcBorders>
              <w:top w:val="nil"/>
              <w:left w:val="nil"/>
              <w:bottom w:val="single" w:sz="4" w:space="0" w:color="auto"/>
              <w:right w:val="nil"/>
            </w:tcBorders>
            <w:shd w:val="clear" w:color="auto" w:fill="auto"/>
            <w:noWrap/>
            <w:vAlign w:val="bottom"/>
          </w:tcPr>
          <w:p w:rsidR="00DA10AE" w:rsidRPr="003408A6" w:rsidRDefault="00DA10AE" w:rsidP="009C2CC1">
            <w:pPr>
              <w:pStyle w:val="Tabletextbold"/>
              <w:jc w:val="center"/>
            </w:pPr>
            <w:r w:rsidRPr="003408A6">
              <w:t>2,272</w:t>
            </w:r>
          </w:p>
        </w:tc>
        <w:tc>
          <w:tcPr>
            <w:tcW w:w="1118" w:type="dxa"/>
            <w:tcBorders>
              <w:top w:val="nil"/>
              <w:left w:val="nil"/>
              <w:bottom w:val="single" w:sz="4" w:space="0" w:color="auto"/>
              <w:right w:val="nil"/>
            </w:tcBorders>
            <w:shd w:val="clear" w:color="auto" w:fill="auto"/>
            <w:noWrap/>
            <w:vAlign w:val="bottom"/>
          </w:tcPr>
          <w:p w:rsidR="00DA10AE" w:rsidRPr="003408A6" w:rsidRDefault="00D07C02" w:rsidP="009C2CC1">
            <w:pPr>
              <w:pStyle w:val="Tabletextbold"/>
              <w:jc w:val="center"/>
            </w:pPr>
            <w:r>
              <w:t>10,498</w:t>
            </w:r>
          </w:p>
        </w:tc>
        <w:tc>
          <w:tcPr>
            <w:tcW w:w="1122" w:type="dxa"/>
            <w:tcBorders>
              <w:top w:val="nil"/>
              <w:left w:val="nil"/>
              <w:bottom w:val="single" w:sz="4" w:space="0" w:color="auto"/>
              <w:right w:val="nil"/>
            </w:tcBorders>
            <w:shd w:val="clear" w:color="auto" w:fill="auto"/>
            <w:noWrap/>
            <w:vAlign w:val="bottom"/>
          </w:tcPr>
          <w:p w:rsidR="00DA10AE" w:rsidRPr="003408A6" w:rsidRDefault="00D07C02" w:rsidP="009C2CC1">
            <w:pPr>
              <w:pStyle w:val="Tabletextbold"/>
              <w:jc w:val="center"/>
            </w:pPr>
            <w:r>
              <w:t>26,579</w:t>
            </w:r>
          </w:p>
        </w:tc>
        <w:tc>
          <w:tcPr>
            <w:tcW w:w="1117" w:type="dxa"/>
            <w:tcBorders>
              <w:top w:val="nil"/>
              <w:left w:val="single" w:sz="4" w:space="0" w:color="auto"/>
              <w:bottom w:val="single" w:sz="4" w:space="0" w:color="auto"/>
              <w:right w:val="nil"/>
            </w:tcBorders>
            <w:shd w:val="clear" w:color="auto" w:fill="auto"/>
            <w:noWrap/>
            <w:vAlign w:val="bottom"/>
          </w:tcPr>
          <w:p w:rsidR="00DA10AE" w:rsidRPr="003408A6" w:rsidRDefault="00DA10AE" w:rsidP="009C2CC1">
            <w:pPr>
              <w:pStyle w:val="Tabletextbold"/>
              <w:jc w:val="center"/>
            </w:pPr>
            <w:r w:rsidRPr="003408A6">
              <w:t>92</w:t>
            </w:r>
          </w:p>
        </w:tc>
        <w:tc>
          <w:tcPr>
            <w:tcW w:w="1118" w:type="dxa"/>
            <w:tcBorders>
              <w:top w:val="nil"/>
              <w:left w:val="nil"/>
              <w:bottom w:val="single" w:sz="4" w:space="0" w:color="auto"/>
              <w:right w:val="nil"/>
            </w:tcBorders>
            <w:shd w:val="clear" w:color="auto" w:fill="auto"/>
            <w:noWrap/>
            <w:vAlign w:val="bottom"/>
          </w:tcPr>
          <w:p w:rsidR="00DA10AE" w:rsidRPr="003408A6" w:rsidRDefault="00197D73" w:rsidP="009C2CC1">
            <w:pPr>
              <w:pStyle w:val="Tabletextbold"/>
              <w:jc w:val="center"/>
            </w:pPr>
            <w:r>
              <w:t>4,085</w:t>
            </w:r>
          </w:p>
        </w:tc>
        <w:tc>
          <w:tcPr>
            <w:tcW w:w="1117" w:type="dxa"/>
            <w:tcBorders>
              <w:top w:val="nil"/>
              <w:left w:val="nil"/>
              <w:bottom w:val="single" w:sz="4" w:space="0" w:color="auto"/>
              <w:right w:val="nil"/>
            </w:tcBorders>
            <w:shd w:val="clear" w:color="auto" w:fill="auto"/>
            <w:noWrap/>
            <w:vAlign w:val="bottom"/>
          </w:tcPr>
          <w:p w:rsidR="00DA10AE" w:rsidRPr="003408A6" w:rsidRDefault="00197D73" w:rsidP="009C2CC1">
            <w:pPr>
              <w:pStyle w:val="Tabletextbold"/>
              <w:jc w:val="center"/>
            </w:pPr>
            <w:r>
              <w:t>1,458</w:t>
            </w:r>
          </w:p>
        </w:tc>
        <w:tc>
          <w:tcPr>
            <w:tcW w:w="1118" w:type="dxa"/>
            <w:tcBorders>
              <w:top w:val="nil"/>
              <w:left w:val="nil"/>
              <w:bottom w:val="single" w:sz="4" w:space="0" w:color="auto"/>
              <w:right w:val="nil"/>
            </w:tcBorders>
            <w:shd w:val="clear" w:color="auto" w:fill="auto"/>
            <w:noWrap/>
            <w:vAlign w:val="bottom"/>
          </w:tcPr>
          <w:p w:rsidR="00DA10AE" w:rsidRPr="003408A6" w:rsidRDefault="00197D73" w:rsidP="009C2CC1">
            <w:pPr>
              <w:pStyle w:val="Tabletextbold"/>
              <w:jc w:val="center"/>
            </w:pPr>
            <w:r>
              <w:t>9,651</w:t>
            </w:r>
          </w:p>
        </w:tc>
        <w:tc>
          <w:tcPr>
            <w:tcW w:w="1122" w:type="dxa"/>
            <w:tcBorders>
              <w:top w:val="nil"/>
              <w:left w:val="nil"/>
              <w:bottom w:val="single" w:sz="4" w:space="0" w:color="auto"/>
              <w:right w:val="single" w:sz="4" w:space="0" w:color="auto"/>
            </w:tcBorders>
            <w:shd w:val="clear" w:color="auto" w:fill="auto"/>
            <w:noWrap/>
            <w:vAlign w:val="bottom"/>
          </w:tcPr>
          <w:p w:rsidR="00DA10AE" w:rsidRPr="003408A6" w:rsidRDefault="00197D73" w:rsidP="009C2CC1">
            <w:pPr>
              <w:pStyle w:val="Tabletextbold"/>
              <w:jc w:val="center"/>
            </w:pPr>
            <w:r>
              <w:t>15,356</w:t>
            </w:r>
          </w:p>
        </w:tc>
      </w:tr>
    </w:tbl>
    <w:p w:rsidR="00DA10AE" w:rsidRPr="003408A6" w:rsidRDefault="00DA10AE" w:rsidP="00DA10AE">
      <w:pPr>
        <w:sectPr w:rsidR="00DA10AE" w:rsidRPr="003408A6" w:rsidSect="009C2CC1">
          <w:pgSz w:w="16838" w:h="11906" w:orient="landscape"/>
          <w:pgMar w:top="1134" w:right="1134" w:bottom="1134" w:left="1134" w:header="709" w:footer="709" w:gutter="0"/>
          <w:cols w:space="708"/>
          <w:docGrid w:linePitch="360"/>
        </w:sectPr>
      </w:pPr>
    </w:p>
    <w:p w:rsidR="006D1565" w:rsidRPr="006803A2" w:rsidRDefault="006D1565" w:rsidP="006803A2">
      <w:pPr>
        <w:pStyle w:val="Heading2"/>
        <w:rPr>
          <w:rStyle w:val="BodyTextChar"/>
          <w:sz w:val="18"/>
          <w:szCs w:val="18"/>
          <w:lang w:val="en-AU"/>
        </w:rPr>
      </w:pPr>
    </w:p>
    <w:sectPr w:rsidR="006D1565" w:rsidRPr="006803A2" w:rsidSect="009C2CC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AF7" w:rsidRDefault="00260AF7" w:rsidP="00782244">
      <w:r>
        <w:separator/>
      </w:r>
    </w:p>
    <w:p w:rsidR="00260AF7" w:rsidRDefault="00260AF7"/>
  </w:endnote>
  <w:endnote w:type="continuationSeparator" w:id="0">
    <w:p w:rsidR="00260AF7" w:rsidRDefault="00260AF7" w:rsidP="00782244">
      <w:r>
        <w:continuationSeparator/>
      </w:r>
    </w:p>
    <w:p w:rsidR="00260AF7" w:rsidRDefault="00260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883566"/>
      <w:docPartObj>
        <w:docPartGallery w:val="Page Numbers (Bottom of Page)"/>
        <w:docPartUnique/>
      </w:docPartObj>
    </w:sdtPr>
    <w:sdtEndPr>
      <w:rPr>
        <w:noProof/>
      </w:rPr>
    </w:sdtEndPr>
    <w:sdtContent>
      <w:p w:rsidR="006F06C9" w:rsidRDefault="006F06C9">
        <w:pPr>
          <w:pStyle w:val="Footer"/>
          <w:jc w:val="center"/>
        </w:pPr>
        <w:r>
          <w:fldChar w:fldCharType="begin"/>
        </w:r>
        <w:r>
          <w:instrText xml:space="preserve"> PAGE   \* MERGEFORMAT </w:instrText>
        </w:r>
        <w:r>
          <w:fldChar w:fldCharType="separate"/>
        </w:r>
        <w:r w:rsidR="003D0CAF">
          <w:rPr>
            <w:noProof/>
          </w:rPr>
          <w:t>11</w:t>
        </w:r>
        <w:r>
          <w:rPr>
            <w:noProof/>
          </w:rPr>
          <w:fldChar w:fldCharType="end"/>
        </w:r>
      </w:p>
    </w:sdtContent>
  </w:sdt>
  <w:p w:rsidR="006F06C9" w:rsidRDefault="006F06C9" w:rsidP="00D167DF">
    <w:pPr>
      <w:pStyle w:val="Footer"/>
      <w:tabs>
        <w:tab w:val="right" w:pos="102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Pr="00347C38" w:rsidRDefault="006F06C9" w:rsidP="00347C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Footer"/>
      <w:jc w:val="center"/>
    </w:pPr>
    <w:r>
      <w:fldChar w:fldCharType="begin"/>
    </w:r>
    <w:r>
      <w:instrText xml:space="preserve"> PAGE   \* MERGEFORMAT </w:instrText>
    </w:r>
    <w:r>
      <w:fldChar w:fldCharType="separate"/>
    </w:r>
    <w:r w:rsidR="003D0CAF">
      <w:rPr>
        <w:noProof/>
      </w:rPr>
      <w:t>102</w:t>
    </w:r>
    <w:r>
      <w:rPr>
        <w:noProof/>
      </w:rPr>
      <w:fldChar w:fldCharType="end"/>
    </w:r>
  </w:p>
  <w:p w:rsidR="006F06C9" w:rsidRDefault="006F06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90037"/>
      <w:docPartObj>
        <w:docPartGallery w:val="Page Numbers (Bottom of Page)"/>
        <w:docPartUnique/>
      </w:docPartObj>
    </w:sdtPr>
    <w:sdtEndPr>
      <w:rPr>
        <w:noProof/>
      </w:rPr>
    </w:sdtEndPr>
    <w:sdtContent>
      <w:p w:rsidR="006F06C9" w:rsidRPr="00DD7504" w:rsidRDefault="006F06C9" w:rsidP="00DD7504">
        <w:pPr>
          <w:pStyle w:val="Footer"/>
          <w:jc w:val="center"/>
        </w:pPr>
        <w:r>
          <w:fldChar w:fldCharType="begin"/>
        </w:r>
        <w:r>
          <w:instrText xml:space="preserve"> PAGE   \* MERGEFORMAT </w:instrText>
        </w:r>
        <w:r>
          <w:fldChar w:fldCharType="separate"/>
        </w:r>
        <w:r w:rsidR="003D0CAF">
          <w:rPr>
            <w:noProof/>
          </w:rPr>
          <w:t>109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588832"/>
      <w:docPartObj>
        <w:docPartGallery w:val="Page Numbers (Bottom of Page)"/>
        <w:docPartUnique/>
      </w:docPartObj>
    </w:sdtPr>
    <w:sdtEndPr>
      <w:rPr>
        <w:noProof/>
      </w:rPr>
    </w:sdtEndPr>
    <w:sdtContent>
      <w:p w:rsidR="006F06C9" w:rsidRDefault="006F06C9">
        <w:pPr>
          <w:pStyle w:val="Footer"/>
          <w:jc w:val="center"/>
        </w:pPr>
        <w:r>
          <w:fldChar w:fldCharType="begin"/>
        </w:r>
        <w:r>
          <w:instrText xml:space="preserve"> PAGE   \* MERGEFORMAT </w:instrText>
        </w:r>
        <w:r>
          <w:fldChar w:fldCharType="separate"/>
        </w:r>
        <w:r w:rsidR="003D0CAF">
          <w:rPr>
            <w:noProof/>
          </w:rPr>
          <w:t>137</w:t>
        </w:r>
        <w:r>
          <w:rPr>
            <w:noProof/>
          </w:rPr>
          <w:fldChar w:fldCharType="end"/>
        </w:r>
      </w:p>
    </w:sdtContent>
  </w:sdt>
  <w:p w:rsidR="006F06C9" w:rsidRDefault="006F06C9" w:rsidP="00534470">
    <w:pPr>
      <w:pStyle w:val="Footer"/>
      <w:tabs>
        <w:tab w:val="left" w:pos="322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75805"/>
      <w:docPartObj>
        <w:docPartGallery w:val="Page Numbers (Bottom of Page)"/>
        <w:docPartUnique/>
      </w:docPartObj>
    </w:sdtPr>
    <w:sdtEndPr>
      <w:rPr>
        <w:noProof/>
      </w:rPr>
    </w:sdtEndPr>
    <w:sdtContent>
      <w:p w:rsidR="006F06C9" w:rsidRDefault="006F06C9">
        <w:pPr>
          <w:pStyle w:val="Footer"/>
          <w:jc w:val="center"/>
        </w:pPr>
        <w:r>
          <w:fldChar w:fldCharType="begin"/>
        </w:r>
        <w:r>
          <w:instrText xml:space="preserve"> PAGE   \* MERGEFORMAT </w:instrText>
        </w:r>
        <w:r>
          <w:fldChar w:fldCharType="separate"/>
        </w:r>
        <w:r w:rsidR="003D0CAF">
          <w:rPr>
            <w:noProof/>
          </w:rPr>
          <w:t>161</w:t>
        </w:r>
        <w:r>
          <w:rPr>
            <w:noProof/>
          </w:rPr>
          <w:fldChar w:fldCharType="end"/>
        </w:r>
      </w:p>
    </w:sdtContent>
  </w:sdt>
  <w:p w:rsidR="006F06C9" w:rsidRDefault="006F06C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126150"/>
      <w:docPartObj>
        <w:docPartGallery w:val="Page Numbers (Bottom of Page)"/>
        <w:docPartUnique/>
      </w:docPartObj>
    </w:sdtPr>
    <w:sdtEndPr>
      <w:rPr>
        <w:noProof/>
      </w:rPr>
    </w:sdtEndPr>
    <w:sdtContent>
      <w:p w:rsidR="006F06C9" w:rsidRDefault="006F06C9">
        <w:pPr>
          <w:pStyle w:val="Footer"/>
          <w:jc w:val="center"/>
        </w:pPr>
        <w:r>
          <w:fldChar w:fldCharType="begin"/>
        </w:r>
        <w:r>
          <w:instrText xml:space="preserve"> PAGE   \* MERGEFORMAT </w:instrText>
        </w:r>
        <w:r>
          <w:fldChar w:fldCharType="separate"/>
        </w:r>
        <w:r w:rsidR="003D0CAF">
          <w:rPr>
            <w:noProof/>
          </w:rPr>
          <w:t>202</w:t>
        </w:r>
        <w:r>
          <w:rPr>
            <w:noProof/>
          </w:rPr>
          <w:fldChar w:fldCharType="end"/>
        </w:r>
      </w:p>
    </w:sdtContent>
  </w:sdt>
  <w:p w:rsidR="006F06C9" w:rsidRPr="00EC0B61" w:rsidRDefault="006F06C9" w:rsidP="00EC0B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Pr="000A1DA0" w:rsidRDefault="006F06C9" w:rsidP="00D308FF">
    <w:pPr>
      <w:pStyle w:val="Footer"/>
      <w:rPr>
        <w:bCs/>
        <w:sz w:val="16"/>
        <w:szCs w:val="16"/>
      </w:rPr>
    </w:pPr>
    <w:r w:rsidRPr="000A1DA0">
      <w:rPr>
        <w:bCs/>
        <w:sz w:val="16"/>
        <w:szCs w:val="16"/>
      </w:rPr>
      <w:t>Evaluation of the National Varicella Immunisation Program – DRAFT REPORT</w:t>
    </w:r>
    <w:r w:rsidRPr="000A1DA0">
      <w:rPr>
        <w:bCs/>
        <w:sz w:val="16"/>
        <w:szCs w:val="16"/>
      </w:rPr>
      <w:tab/>
    </w:r>
    <w:r w:rsidRPr="000A1DA0">
      <w:rPr>
        <w:bCs/>
        <w:sz w:val="16"/>
        <w:szCs w:val="16"/>
      </w:rPr>
      <w:tab/>
      <w:t xml:space="preserve">Page </w:t>
    </w:r>
    <w:r w:rsidRPr="000A1DA0">
      <w:rPr>
        <w:bCs/>
        <w:sz w:val="16"/>
        <w:szCs w:val="16"/>
      </w:rPr>
      <w:fldChar w:fldCharType="begin"/>
    </w:r>
    <w:r w:rsidRPr="000A1DA0">
      <w:rPr>
        <w:bCs/>
        <w:sz w:val="16"/>
        <w:szCs w:val="16"/>
      </w:rPr>
      <w:instrText xml:space="preserve"> PAGE </w:instrText>
    </w:r>
    <w:r w:rsidRPr="000A1DA0">
      <w:rPr>
        <w:bCs/>
        <w:sz w:val="16"/>
        <w:szCs w:val="16"/>
      </w:rPr>
      <w:fldChar w:fldCharType="separate"/>
    </w:r>
    <w:r>
      <w:rPr>
        <w:bCs/>
        <w:noProof/>
        <w:sz w:val="16"/>
        <w:szCs w:val="16"/>
      </w:rPr>
      <w:t>95</w:t>
    </w:r>
    <w:r w:rsidRPr="000A1DA0">
      <w:rPr>
        <w:bCs/>
        <w:sz w:val="16"/>
        <w:szCs w:val="16"/>
      </w:rPr>
      <w:fldChar w:fldCharType="end"/>
    </w:r>
    <w:r w:rsidRPr="000A1DA0">
      <w:rPr>
        <w:bCs/>
        <w:sz w:val="16"/>
        <w:szCs w:val="16"/>
      </w:rPr>
      <w:t xml:space="preserve"> of </w:t>
    </w:r>
    <w:r w:rsidRPr="000A1DA0">
      <w:rPr>
        <w:bCs/>
        <w:sz w:val="16"/>
        <w:szCs w:val="16"/>
      </w:rPr>
      <w:fldChar w:fldCharType="begin"/>
    </w:r>
    <w:r w:rsidRPr="000A1DA0">
      <w:rPr>
        <w:bCs/>
        <w:sz w:val="16"/>
        <w:szCs w:val="16"/>
      </w:rPr>
      <w:instrText xml:space="preserve"> NUMPAGES </w:instrText>
    </w:r>
    <w:r w:rsidRPr="000A1DA0">
      <w:rPr>
        <w:bCs/>
        <w:sz w:val="16"/>
        <w:szCs w:val="16"/>
      </w:rPr>
      <w:fldChar w:fldCharType="separate"/>
    </w:r>
    <w:r w:rsidR="003D0CAF">
      <w:rPr>
        <w:bCs/>
        <w:noProof/>
        <w:sz w:val="16"/>
        <w:szCs w:val="16"/>
      </w:rPr>
      <w:t>1</w:t>
    </w:r>
    <w:r w:rsidRPr="000A1DA0">
      <w:rPr>
        <w:bCs/>
        <w:sz w:val="16"/>
        <w:szCs w:val="16"/>
      </w:rPr>
      <w:fldChar w:fldCharType="end"/>
    </w:r>
  </w:p>
  <w:p w:rsidR="006F06C9" w:rsidRPr="00067A98" w:rsidRDefault="006F06C9" w:rsidP="00067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AF7" w:rsidRDefault="00260AF7" w:rsidP="00782244">
      <w:r>
        <w:separator/>
      </w:r>
    </w:p>
    <w:p w:rsidR="00260AF7" w:rsidRDefault="00260AF7"/>
  </w:footnote>
  <w:footnote w:type="continuationSeparator" w:id="0">
    <w:p w:rsidR="00260AF7" w:rsidRDefault="00260AF7" w:rsidP="00782244">
      <w:r>
        <w:continuationSeparator/>
      </w:r>
    </w:p>
    <w:p w:rsidR="00260AF7" w:rsidRDefault="00260A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C9" w:rsidRDefault="006F06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B212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82A877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62CEB5C"/>
    <w:lvl w:ilvl="0">
      <w:start w:val="1"/>
      <w:numFmt w:val="decimal"/>
      <w:pStyle w:val="ListNumber3"/>
      <w:lvlText w:val="%1."/>
      <w:lvlJc w:val="left"/>
      <w:pPr>
        <w:tabs>
          <w:tab w:val="num" w:pos="926"/>
        </w:tabs>
        <w:ind w:left="926" w:hanging="360"/>
      </w:pPr>
    </w:lvl>
  </w:abstractNum>
  <w:abstractNum w:abstractNumId="3">
    <w:nsid w:val="FFFFFF7F"/>
    <w:multiLevelType w:val="singleLevel"/>
    <w:tmpl w:val="7C56938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AD2D2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E283F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710C6D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244D4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4F09DD2"/>
    <w:lvl w:ilvl="0">
      <w:start w:val="1"/>
      <w:numFmt w:val="decimal"/>
      <w:pStyle w:val="ListNumber"/>
      <w:lvlText w:val="%1."/>
      <w:lvlJc w:val="left"/>
      <w:pPr>
        <w:tabs>
          <w:tab w:val="num" w:pos="360"/>
        </w:tabs>
        <w:ind w:left="360" w:hanging="360"/>
      </w:pPr>
    </w:lvl>
  </w:abstractNum>
  <w:abstractNum w:abstractNumId="9">
    <w:nsid w:val="FFFFFF89"/>
    <w:multiLevelType w:val="singleLevel"/>
    <w:tmpl w:val="76A4D5D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552BCC"/>
    <w:multiLevelType w:val="hybridMultilevel"/>
    <w:tmpl w:val="E1CE4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8A1E6A"/>
    <w:multiLevelType w:val="hybridMultilevel"/>
    <w:tmpl w:val="8092D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ADF3764"/>
    <w:multiLevelType w:val="hybridMultilevel"/>
    <w:tmpl w:val="4A18FB06"/>
    <w:lvl w:ilvl="0" w:tplc="0C09000D">
      <w:start w:val="1"/>
      <w:numFmt w:val="bullet"/>
      <w:lvlText w:val=""/>
      <w:lvlJc w:val="left"/>
      <w:pPr>
        <w:tabs>
          <w:tab w:val="num" w:pos="2520"/>
        </w:tabs>
        <w:ind w:left="252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3">
    <w:nsid w:val="0EE76D0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123B1B36"/>
    <w:multiLevelType w:val="hybridMultilevel"/>
    <w:tmpl w:val="1B6A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9678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54654A6"/>
    <w:multiLevelType w:val="hybridMultilevel"/>
    <w:tmpl w:val="5CC092CA"/>
    <w:lvl w:ilvl="0" w:tplc="E8B64F1A">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8ED7D59"/>
    <w:multiLevelType w:val="hybridMultilevel"/>
    <w:tmpl w:val="3D904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074F54"/>
    <w:multiLevelType w:val="hybridMultilevel"/>
    <w:tmpl w:val="386E2F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98D727A"/>
    <w:multiLevelType w:val="multilevel"/>
    <w:tmpl w:val="2B08424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999"/>
        </w:tabs>
        <w:ind w:left="999" w:hanging="432"/>
      </w:pPr>
      <w:rPr>
        <w:rFonts w:hint="default"/>
        <w:b w:val="0"/>
        <w:i w:val="0"/>
      </w:rPr>
    </w:lvl>
    <w:lvl w:ilvl="2">
      <w:start w:val="1"/>
      <w:numFmt w:val="lowerRoman"/>
      <w:lvlText w:val="%1.%2.%3."/>
      <w:lvlJc w:val="left"/>
      <w:pPr>
        <w:tabs>
          <w:tab w:val="num" w:pos="2138"/>
        </w:tabs>
        <w:ind w:left="1922" w:hanging="504"/>
      </w:pPr>
      <w:rPr>
        <w:rFonts w:hint="default"/>
        <w:b w:val="0"/>
        <w:i w:val="0"/>
      </w:rPr>
    </w:lvl>
    <w:lvl w:ilvl="3">
      <w:start w:val="1"/>
      <w:numFmt w:val="lowerLetter"/>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5E27653"/>
    <w:multiLevelType w:val="multilevel"/>
    <w:tmpl w:val="45D460F0"/>
    <w:lvl w:ilvl="0">
      <w:start w:val="1"/>
      <w:numFmt w:val="decimal"/>
      <w:lvlText w:val="%1."/>
      <w:lvlJc w:val="left"/>
      <w:pPr>
        <w:tabs>
          <w:tab w:val="num" w:pos="2303"/>
        </w:tabs>
        <w:ind w:left="2323" w:hanging="360"/>
      </w:pPr>
      <w:rPr>
        <w:rFonts w:ascii="Arial" w:hAnsi="Arial" w:hint="default"/>
        <w:b/>
        <w:i w:val="0"/>
        <w:sz w:val="24"/>
        <w:szCs w:val="24"/>
      </w:rPr>
    </w:lvl>
    <w:lvl w:ilvl="1">
      <w:start w:val="1"/>
      <w:numFmt w:val="decimal"/>
      <w:lvlText w:val="%1.%2."/>
      <w:lvlJc w:val="left"/>
      <w:pPr>
        <w:tabs>
          <w:tab w:val="num" w:pos="2755"/>
        </w:tabs>
        <w:ind w:left="2755" w:hanging="432"/>
      </w:pPr>
      <w:rPr>
        <w:rFonts w:ascii="Arial" w:hAnsi="Arial" w:hint="default"/>
        <w:b/>
        <w:i w:val="0"/>
        <w:sz w:val="24"/>
        <w:szCs w:val="24"/>
      </w:rPr>
    </w:lvl>
    <w:lvl w:ilvl="2">
      <w:start w:val="1"/>
      <w:numFmt w:val="decimal"/>
      <w:lvlText w:val="%1.%2.%3"/>
      <w:lvlJc w:val="left"/>
      <w:pPr>
        <w:tabs>
          <w:tab w:val="num" w:pos="3403"/>
        </w:tabs>
        <w:ind w:left="3187" w:hanging="504"/>
      </w:pPr>
      <w:rPr>
        <w:rFonts w:hint="default"/>
        <w:b/>
      </w:rPr>
    </w:lvl>
    <w:lvl w:ilvl="3">
      <w:start w:val="1"/>
      <w:numFmt w:val="decimal"/>
      <w:lvlText w:val="%1.%2.%3.%4"/>
      <w:lvlJc w:val="left"/>
      <w:pPr>
        <w:tabs>
          <w:tab w:val="num" w:pos="4123"/>
        </w:tabs>
        <w:ind w:left="3691" w:hanging="648"/>
      </w:pPr>
      <w:rPr>
        <w:rFonts w:hint="default"/>
      </w:rPr>
    </w:lvl>
    <w:lvl w:ilvl="4">
      <w:start w:val="1"/>
      <w:numFmt w:val="decimal"/>
      <w:lvlText w:val="%1.%2.%3.%4.%5"/>
      <w:lvlJc w:val="left"/>
      <w:pPr>
        <w:tabs>
          <w:tab w:val="num" w:pos="3403"/>
        </w:tabs>
        <w:ind w:left="3403" w:firstLine="0"/>
      </w:pPr>
      <w:rPr>
        <w:rFonts w:hint="default"/>
      </w:rPr>
    </w:lvl>
    <w:lvl w:ilvl="5">
      <w:start w:val="1"/>
      <w:numFmt w:val="decimal"/>
      <w:lvlText w:val="%1.%2.%3.%4.%5.%6."/>
      <w:lvlJc w:val="left"/>
      <w:pPr>
        <w:tabs>
          <w:tab w:val="num" w:pos="5203"/>
        </w:tabs>
        <w:ind w:left="4699" w:hanging="936"/>
      </w:pPr>
      <w:rPr>
        <w:rFonts w:hint="default"/>
      </w:rPr>
    </w:lvl>
    <w:lvl w:ilvl="6">
      <w:start w:val="1"/>
      <w:numFmt w:val="decimal"/>
      <w:lvlText w:val="%1.%2.%3.%4.%5.%6.%7."/>
      <w:lvlJc w:val="left"/>
      <w:pPr>
        <w:tabs>
          <w:tab w:val="num" w:pos="5563"/>
        </w:tabs>
        <w:ind w:left="5203" w:hanging="1080"/>
      </w:pPr>
      <w:rPr>
        <w:rFonts w:hint="default"/>
      </w:rPr>
    </w:lvl>
    <w:lvl w:ilvl="7">
      <w:start w:val="1"/>
      <w:numFmt w:val="decimal"/>
      <w:lvlText w:val="%1.%2.%3.%4.%5.%6.%7.%8."/>
      <w:lvlJc w:val="left"/>
      <w:pPr>
        <w:tabs>
          <w:tab w:val="num" w:pos="6283"/>
        </w:tabs>
        <w:ind w:left="5707" w:hanging="1224"/>
      </w:pPr>
      <w:rPr>
        <w:rFonts w:hint="default"/>
      </w:rPr>
    </w:lvl>
    <w:lvl w:ilvl="8">
      <w:start w:val="1"/>
      <w:numFmt w:val="decimal"/>
      <w:lvlText w:val="%1.%2.%3.%4.%5.%6.%7.%8.%9."/>
      <w:lvlJc w:val="left"/>
      <w:pPr>
        <w:tabs>
          <w:tab w:val="num" w:pos="6643"/>
        </w:tabs>
        <w:ind w:left="6283" w:hanging="1440"/>
      </w:pPr>
      <w:rPr>
        <w:rFonts w:hint="default"/>
      </w:rPr>
    </w:lvl>
  </w:abstractNum>
  <w:abstractNum w:abstractNumId="21">
    <w:nsid w:val="27C26DFD"/>
    <w:multiLevelType w:val="hybridMultilevel"/>
    <w:tmpl w:val="B7BAE3DE"/>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2">
    <w:nsid w:val="28AB5E9B"/>
    <w:multiLevelType w:val="hybridMultilevel"/>
    <w:tmpl w:val="6C06A2A2"/>
    <w:lvl w:ilvl="0" w:tplc="A986F944">
      <w:start w:val="1"/>
      <w:numFmt w:val="bullet"/>
      <w:pStyle w:val="Tabletext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9740455"/>
    <w:multiLevelType w:val="hybridMultilevel"/>
    <w:tmpl w:val="BF2A3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FD19F9"/>
    <w:multiLevelType w:val="multilevel"/>
    <w:tmpl w:val="2B08424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574"/>
        </w:tabs>
        <w:ind w:left="574" w:hanging="432"/>
      </w:pPr>
      <w:rPr>
        <w:rFonts w:hint="default"/>
        <w:b w:val="0"/>
        <w:i w:val="0"/>
      </w:rPr>
    </w:lvl>
    <w:lvl w:ilvl="2">
      <w:start w:val="1"/>
      <w:numFmt w:val="lowerRoman"/>
      <w:lvlText w:val="%1.%2.%3."/>
      <w:lvlJc w:val="left"/>
      <w:pPr>
        <w:tabs>
          <w:tab w:val="num" w:pos="1854"/>
        </w:tabs>
        <w:ind w:left="1638" w:hanging="504"/>
      </w:pPr>
      <w:rPr>
        <w:rFonts w:hint="default"/>
        <w:b w:val="0"/>
        <w:i w:val="0"/>
      </w:rPr>
    </w:lvl>
    <w:lvl w:ilvl="3">
      <w:start w:val="1"/>
      <w:numFmt w:val="lowerLetter"/>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2B7570FC"/>
    <w:multiLevelType w:val="hybridMultilevel"/>
    <w:tmpl w:val="97540288"/>
    <w:lvl w:ilvl="0" w:tplc="484C0FAA">
      <w:start w:val="1"/>
      <w:numFmt w:val="lowerLetter"/>
      <w:pStyle w:val="Bodytextlett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2DFC6629"/>
    <w:multiLevelType w:val="multilevel"/>
    <w:tmpl w:val="B9AA640E"/>
    <w:lvl w:ilvl="0">
      <w:start w:val="1"/>
      <w:numFmt w:val="decimal"/>
      <w:lvlText w:val="%1"/>
      <w:lvlJc w:val="left"/>
      <w:pPr>
        <w:tabs>
          <w:tab w:val="num" w:pos="2019"/>
        </w:tabs>
        <w:ind w:left="2039" w:hanging="360"/>
      </w:pPr>
      <w:rPr>
        <w:rFonts w:ascii="Arial" w:hAnsi="Arial" w:hint="default"/>
        <w:b/>
        <w:i w:val="0"/>
        <w:sz w:val="24"/>
        <w:szCs w:val="24"/>
      </w:rPr>
    </w:lvl>
    <w:lvl w:ilvl="1">
      <w:start w:val="1"/>
      <w:numFmt w:val="decimal"/>
      <w:lvlText w:val="%1.%2"/>
      <w:lvlJc w:val="left"/>
      <w:pPr>
        <w:tabs>
          <w:tab w:val="num" w:pos="2471"/>
        </w:tabs>
        <w:ind w:left="2471" w:hanging="432"/>
      </w:pPr>
      <w:rPr>
        <w:rFonts w:ascii="Arial" w:hAnsi="Arial" w:hint="default"/>
        <w:b/>
        <w:i w:val="0"/>
        <w:sz w:val="24"/>
        <w:szCs w:val="24"/>
      </w:rPr>
    </w:lvl>
    <w:lvl w:ilvl="2">
      <w:start w:val="1"/>
      <w:numFmt w:val="decimal"/>
      <w:lvlText w:val="%1.%2.%3"/>
      <w:lvlJc w:val="left"/>
      <w:pPr>
        <w:tabs>
          <w:tab w:val="num" w:pos="3119"/>
        </w:tabs>
        <w:ind w:left="2903" w:hanging="504"/>
      </w:pPr>
      <w:rPr>
        <w:rFonts w:hint="default"/>
        <w:b/>
      </w:rPr>
    </w:lvl>
    <w:lvl w:ilvl="3">
      <w:start w:val="1"/>
      <w:numFmt w:val="decimal"/>
      <w:lvlText w:val="%1.%2.%3.%4"/>
      <w:lvlJc w:val="left"/>
      <w:pPr>
        <w:tabs>
          <w:tab w:val="num" w:pos="3839"/>
        </w:tabs>
        <w:ind w:left="3407" w:hanging="648"/>
      </w:pPr>
      <w:rPr>
        <w:rFonts w:hint="default"/>
      </w:rPr>
    </w:lvl>
    <w:lvl w:ilvl="4">
      <w:start w:val="1"/>
      <w:numFmt w:val="decimal"/>
      <w:suff w:val="space"/>
      <w:lvlText w:val="%1.%2.%3.%4.%5"/>
      <w:lvlJc w:val="left"/>
      <w:pPr>
        <w:ind w:left="3119" w:firstLine="0"/>
      </w:pPr>
      <w:rPr>
        <w:rFonts w:hint="default"/>
      </w:rPr>
    </w:lvl>
    <w:lvl w:ilvl="5">
      <w:start w:val="1"/>
      <w:numFmt w:val="decimal"/>
      <w:lvlText w:val="%1.%2.%3.%4.%5.%6."/>
      <w:lvlJc w:val="left"/>
      <w:pPr>
        <w:tabs>
          <w:tab w:val="num" w:pos="4919"/>
        </w:tabs>
        <w:ind w:left="4415" w:hanging="936"/>
      </w:pPr>
      <w:rPr>
        <w:rFonts w:hint="default"/>
      </w:rPr>
    </w:lvl>
    <w:lvl w:ilvl="6">
      <w:start w:val="1"/>
      <w:numFmt w:val="decimal"/>
      <w:lvlText w:val="%1.%2.%3.%4.%5.%6.%7."/>
      <w:lvlJc w:val="left"/>
      <w:pPr>
        <w:tabs>
          <w:tab w:val="num" w:pos="5279"/>
        </w:tabs>
        <w:ind w:left="4919" w:hanging="1080"/>
      </w:pPr>
      <w:rPr>
        <w:rFonts w:hint="default"/>
      </w:rPr>
    </w:lvl>
    <w:lvl w:ilvl="7">
      <w:start w:val="1"/>
      <w:numFmt w:val="decimal"/>
      <w:lvlText w:val="%1.%2.%3.%4.%5.%6.%7.%8."/>
      <w:lvlJc w:val="left"/>
      <w:pPr>
        <w:tabs>
          <w:tab w:val="num" w:pos="5999"/>
        </w:tabs>
        <w:ind w:left="5423" w:hanging="1224"/>
      </w:pPr>
      <w:rPr>
        <w:rFonts w:hint="default"/>
      </w:rPr>
    </w:lvl>
    <w:lvl w:ilvl="8">
      <w:start w:val="1"/>
      <w:numFmt w:val="decimal"/>
      <w:lvlText w:val="%1.%2.%3.%4.%5.%6.%7.%8.%9."/>
      <w:lvlJc w:val="left"/>
      <w:pPr>
        <w:tabs>
          <w:tab w:val="num" w:pos="6359"/>
        </w:tabs>
        <w:ind w:left="5999" w:hanging="1440"/>
      </w:pPr>
      <w:rPr>
        <w:rFonts w:hint="default"/>
      </w:rPr>
    </w:lvl>
  </w:abstractNum>
  <w:abstractNum w:abstractNumId="27">
    <w:nsid w:val="30E04A1D"/>
    <w:multiLevelType w:val="hybridMultilevel"/>
    <w:tmpl w:val="0C90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1A3C48"/>
    <w:multiLevelType w:val="hybridMultilevel"/>
    <w:tmpl w:val="1BC25010"/>
    <w:lvl w:ilvl="0" w:tplc="B628A0D2">
      <w:start w:val="3"/>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29A74AB"/>
    <w:multiLevelType w:val="hybridMultilevel"/>
    <w:tmpl w:val="B8C87AA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48B720A"/>
    <w:multiLevelType w:val="hybridMultilevel"/>
    <w:tmpl w:val="8B305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533242D"/>
    <w:multiLevelType w:val="hybridMultilevel"/>
    <w:tmpl w:val="31725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6604C26"/>
    <w:multiLevelType w:val="hybridMultilevel"/>
    <w:tmpl w:val="45B4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71D1634"/>
    <w:multiLevelType w:val="hybridMultilevel"/>
    <w:tmpl w:val="1DE8D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A9765C8"/>
    <w:multiLevelType w:val="hybridMultilevel"/>
    <w:tmpl w:val="CDA8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C1073C0"/>
    <w:multiLevelType w:val="hybridMultilevel"/>
    <w:tmpl w:val="B02C228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6">
    <w:nsid w:val="3E626875"/>
    <w:multiLevelType w:val="hybridMultilevel"/>
    <w:tmpl w:val="CF2A1B0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74C02EA"/>
    <w:multiLevelType w:val="hybridMultilevel"/>
    <w:tmpl w:val="EC1EC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7780655"/>
    <w:multiLevelType w:val="multilevel"/>
    <w:tmpl w:val="0A14F06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999"/>
        </w:tabs>
        <w:ind w:left="999" w:hanging="432"/>
      </w:pPr>
      <w:rPr>
        <w:rFonts w:hint="default"/>
        <w:b w:val="0"/>
        <w:i w:val="0"/>
        <w:color w:val="auto"/>
      </w:rPr>
    </w:lvl>
    <w:lvl w:ilvl="2">
      <w:start w:val="1"/>
      <w:numFmt w:val="lowerRoman"/>
      <w:lvlText w:val="%1.%2.%3."/>
      <w:lvlJc w:val="left"/>
      <w:pPr>
        <w:tabs>
          <w:tab w:val="num" w:pos="2138"/>
        </w:tabs>
        <w:ind w:left="1922" w:hanging="504"/>
      </w:pPr>
      <w:rPr>
        <w:rFonts w:hint="default"/>
        <w:b w:val="0"/>
        <w:i w:val="0"/>
      </w:rPr>
    </w:lvl>
    <w:lvl w:ilvl="3">
      <w:start w:val="1"/>
      <w:numFmt w:val="lowerLetter"/>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47CF1EE4"/>
    <w:multiLevelType w:val="hybridMultilevel"/>
    <w:tmpl w:val="8426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9E10D0F"/>
    <w:multiLevelType w:val="multilevel"/>
    <w:tmpl w:val="4976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F33927"/>
    <w:multiLevelType w:val="hybridMultilevel"/>
    <w:tmpl w:val="3B0CAF30"/>
    <w:lvl w:ilvl="0" w:tplc="442EEAFA">
      <w:start w:val="1"/>
      <w:numFmt w:val="decimal"/>
      <w:pStyle w:val="Bodytextnumbered"/>
      <w:lvlText w:val="%1."/>
      <w:lvlJc w:val="left"/>
      <w:pPr>
        <w:ind w:left="360" w:hanging="360"/>
      </w:pPr>
    </w:lvl>
    <w:lvl w:ilvl="1" w:tplc="998C1F28">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4F5E7F9F"/>
    <w:multiLevelType w:val="hybridMultilevel"/>
    <w:tmpl w:val="53901614"/>
    <w:lvl w:ilvl="0" w:tplc="0C09000F">
      <w:start w:val="1"/>
      <w:numFmt w:val="decimal"/>
      <w:lvlText w:val="%1."/>
      <w:lvlJc w:val="left"/>
      <w:pPr>
        <w:tabs>
          <w:tab w:val="num" w:pos="540"/>
        </w:tabs>
        <w:ind w:left="540" w:hanging="360"/>
      </w:pPr>
    </w:lvl>
    <w:lvl w:ilvl="1" w:tplc="0C090019">
      <w:start w:val="1"/>
      <w:numFmt w:val="lowerLetter"/>
      <w:lvlText w:val="%2."/>
      <w:lvlJc w:val="left"/>
      <w:pPr>
        <w:tabs>
          <w:tab w:val="num" w:pos="1260"/>
        </w:tabs>
        <w:ind w:left="1260" w:hanging="360"/>
      </w:pPr>
    </w:lvl>
    <w:lvl w:ilvl="2" w:tplc="0C09001B">
      <w:start w:val="1"/>
      <w:numFmt w:val="lowerRoman"/>
      <w:lvlText w:val="%3."/>
      <w:lvlJc w:val="right"/>
      <w:pPr>
        <w:tabs>
          <w:tab w:val="num" w:pos="1980"/>
        </w:tabs>
        <w:ind w:left="1980" w:hanging="180"/>
      </w:pPr>
    </w:lvl>
    <w:lvl w:ilvl="3" w:tplc="0C09000F">
      <w:start w:val="1"/>
      <w:numFmt w:val="decimal"/>
      <w:lvlText w:val="%4."/>
      <w:lvlJc w:val="left"/>
      <w:pPr>
        <w:tabs>
          <w:tab w:val="num" w:pos="2700"/>
        </w:tabs>
        <w:ind w:left="2700" w:hanging="360"/>
      </w:pPr>
    </w:lvl>
    <w:lvl w:ilvl="4" w:tplc="0C090019">
      <w:start w:val="1"/>
      <w:numFmt w:val="lowerLetter"/>
      <w:lvlText w:val="%5."/>
      <w:lvlJc w:val="left"/>
      <w:pPr>
        <w:tabs>
          <w:tab w:val="num" w:pos="3420"/>
        </w:tabs>
        <w:ind w:left="3420" w:hanging="360"/>
      </w:pPr>
    </w:lvl>
    <w:lvl w:ilvl="5" w:tplc="0C09001B">
      <w:start w:val="1"/>
      <w:numFmt w:val="lowerRoman"/>
      <w:lvlText w:val="%6."/>
      <w:lvlJc w:val="right"/>
      <w:pPr>
        <w:tabs>
          <w:tab w:val="num" w:pos="4140"/>
        </w:tabs>
        <w:ind w:left="4140" w:hanging="180"/>
      </w:pPr>
    </w:lvl>
    <w:lvl w:ilvl="6" w:tplc="0C09000F">
      <w:start w:val="1"/>
      <w:numFmt w:val="decimal"/>
      <w:lvlText w:val="%7."/>
      <w:lvlJc w:val="left"/>
      <w:pPr>
        <w:tabs>
          <w:tab w:val="num" w:pos="4860"/>
        </w:tabs>
        <w:ind w:left="4860" w:hanging="360"/>
      </w:pPr>
    </w:lvl>
    <w:lvl w:ilvl="7" w:tplc="0C090019">
      <w:start w:val="1"/>
      <w:numFmt w:val="lowerLetter"/>
      <w:lvlText w:val="%8."/>
      <w:lvlJc w:val="left"/>
      <w:pPr>
        <w:tabs>
          <w:tab w:val="num" w:pos="5580"/>
        </w:tabs>
        <w:ind w:left="5580" w:hanging="360"/>
      </w:pPr>
    </w:lvl>
    <w:lvl w:ilvl="8" w:tplc="0C09001B">
      <w:start w:val="1"/>
      <w:numFmt w:val="lowerRoman"/>
      <w:lvlText w:val="%9."/>
      <w:lvlJc w:val="right"/>
      <w:pPr>
        <w:tabs>
          <w:tab w:val="num" w:pos="6300"/>
        </w:tabs>
        <w:ind w:left="6300" w:hanging="180"/>
      </w:pPr>
    </w:lvl>
  </w:abstractNum>
  <w:abstractNum w:abstractNumId="43">
    <w:nsid w:val="4FCB5EAB"/>
    <w:multiLevelType w:val="hybridMultilevel"/>
    <w:tmpl w:val="F4B20092"/>
    <w:lvl w:ilvl="0" w:tplc="1A14D7F8">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4">
    <w:nsid w:val="53D54884"/>
    <w:multiLevelType w:val="hybridMultilevel"/>
    <w:tmpl w:val="8D8466D6"/>
    <w:lvl w:ilvl="0" w:tplc="D5C0E578">
      <w:start w:val="1"/>
      <w:numFmt w:val="lowerLetter"/>
      <w:pStyle w:val="Bodytextindented"/>
      <w:lvlText w:val="%1."/>
      <w:lvlJc w:val="left"/>
      <w:pPr>
        <w:ind w:left="1593" w:hanging="360"/>
      </w:pPr>
    </w:lvl>
    <w:lvl w:ilvl="1" w:tplc="0C090019" w:tentative="1">
      <w:start w:val="1"/>
      <w:numFmt w:val="lowerLetter"/>
      <w:lvlText w:val="%2."/>
      <w:lvlJc w:val="left"/>
      <w:pPr>
        <w:ind w:left="2313" w:hanging="360"/>
      </w:pPr>
    </w:lvl>
    <w:lvl w:ilvl="2" w:tplc="0C09001B" w:tentative="1">
      <w:start w:val="1"/>
      <w:numFmt w:val="lowerRoman"/>
      <w:lvlText w:val="%3."/>
      <w:lvlJc w:val="right"/>
      <w:pPr>
        <w:ind w:left="3033" w:hanging="180"/>
      </w:pPr>
    </w:lvl>
    <w:lvl w:ilvl="3" w:tplc="0C09000F" w:tentative="1">
      <w:start w:val="1"/>
      <w:numFmt w:val="decimal"/>
      <w:lvlText w:val="%4."/>
      <w:lvlJc w:val="left"/>
      <w:pPr>
        <w:ind w:left="3753" w:hanging="360"/>
      </w:pPr>
    </w:lvl>
    <w:lvl w:ilvl="4" w:tplc="0C090019" w:tentative="1">
      <w:start w:val="1"/>
      <w:numFmt w:val="lowerLetter"/>
      <w:lvlText w:val="%5."/>
      <w:lvlJc w:val="left"/>
      <w:pPr>
        <w:ind w:left="4473" w:hanging="360"/>
      </w:pPr>
    </w:lvl>
    <w:lvl w:ilvl="5" w:tplc="0C09001B" w:tentative="1">
      <w:start w:val="1"/>
      <w:numFmt w:val="lowerRoman"/>
      <w:lvlText w:val="%6."/>
      <w:lvlJc w:val="right"/>
      <w:pPr>
        <w:ind w:left="5193" w:hanging="180"/>
      </w:pPr>
    </w:lvl>
    <w:lvl w:ilvl="6" w:tplc="0C09000F" w:tentative="1">
      <w:start w:val="1"/>
      <w:numFmt w:val="decimal"/>
      <w:lvlText w:val="%7."/>
      <w:lvlJc w:val="left"/>
      <w:pPr>
        <w:ind w:left="5913" w:hanging="360"/>
      </w:pPr>
    </w:lvl>
    <w:lvl w:ilvl="7" w:tplc="0C090019" w:tentative="1">
      <w:start w:val="1"/>
      <w:numFmt w:val="lowerLetter"/>
      <w:lvlText w:val="%8."/>
      <w:lvlJc w:val="left"/>
      <w:pPr>
        <w:ind w:left="6633" w:hanging="360"/>
      </w:pPr>
    </w:lvl>
    <w:lvl w:ilvl="8" w:tplc="0C09001B" w:tentative="1">
      <w:start w:val="1"/>
      <w:numFmt w:val="lowerRoman"/>
      <w:lvlText w:val="%9."/>
      <w:lvlJc w:val="right"/>
      <w:pPr>
        <w:ind w:left="7353" w:hanging="180"/>
      </w:pPr>
    </w:lvl>
  </w:abstractNum>
  <w:abstractNum w:abstractNumId="45">
    <w:nsid w:val="5AF24D7F"/>
    <w:multiLevelType w:val="hybridMultilevel"/>
    <w:tmpl w:val="24986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DD6A268">
      <w:numFmt w:val="bullet"/>
      <w:lvlText w:val="•"/>
      <w:lvlJc w:val="left"/>
      <w:pPr>
        <w:ind w:left="2520" w:hanging="72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BC31DC1"/>
    <w:multiLevelType w:val="hybridMultilevel"/>
    <w:tmpl w:val="7702EE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0A442D6"/>
    <w:multiLevelType w:val="hybridMultilevel"/>
    <w:tmpl w:val="7C4AA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6A442C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9">
    <w:nsid w:val="7929727F"/>
    <w:multiLevelType w:val="hybridMultilevel"/>
    <w:tmpl w:val="77AA5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C964904"/>
    <w:multiLevelType w:val="hybridMultilevel"/>
    <w:tmpl w:val="B8BC72E8"/>
    <w:lvl w:ilvl="0" w:tplc="68DC1CBE">
      <w:start w:val="1"/>
      <w:numFmt w:val="bullet"/>
      <w:pStyle w:val="Bodytextbullets"/>
      <w:lvlText w:val=""/>
      <w:lvlJc w:val="left"/>
      <w:pPr>
        <w:tabs>
          <w:tab w:val="num" w:pos="567"/>
        </w:tabs>
        <w:ind w:left="567"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8"/>
  </w:num>
  <w:num w:numId="3">
    <w:abstractNumId w:val="47"/>
  </w:num>
  <w:num w:numId="4">
    <w:abstractNumId w:val="50"/>
  </w:num>
  <w:num w:numId="5">
    <w:abstractNumId w:val="20"/>
  </w:num>
  <w:num w:numId="6">
    <w:abstractNumId w:val="26"/>
  </w:num>
  <w:num w:numId="7">
    <w:abstractNumId w:val="45"/>
  </w:num>
  <w:num w:numId="8">
    <w:abstractNumId w:val="43"/>
  </w:num>
  <w:num w:numId="9">
    <w:abstractNumId w:val="41"/>
  </w:num>
  <w:num w:numId="10">
    <w:abstractNumId w:val="18"/>
  </w:num>
  <w:num w:numId="11">
    <w:abstractNumId w:val="37"/>
  </w:num>
  <w:num w:numId="12">
    <w:abstractNumId w:val="14"/>
  </w:num>
  <w:num w:numId="13">
    <w:abstractNumId w:val="27"/>
  </w:num>
  <w:num w:numId="14">
    <w:abstractNumId w:val="22"/>
  </w:num>
  <w:num w:numId="15">
    <w:abstractNumId w:val="11"/>
  </w:num>
  <w:num w:numId="16">
    <w:abstractNumId w:val="34"/>
  </w:num>
  <w:num w:numId="17">
    <w:abstractNumId w:val="12"/>
  </w:num>
  <w:num w:numId="18">
    <w:abstractNumId w:val="24"/>
  </w:num>
  <w:num w:numId="19">
    <w:abstractNumId w:val="21"/>
  </w:num>
  <w:num w:numId="20">
    <w:abstractNumId w:val="19"/>
  </w:num>
  <w:num w:numId="21">
    <w:abstractNumId w:val="38"/>
  </w:num>
  <w:num w:numId="22">
    <w:abstractNumId w:val="15"/>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9"/>
  </w:num>
  <w:num w:numId="33">
    <w:abstractNumId w:val="49"/>
  </w:num>
  <w:num w:numId="34">
    <w:abstractNumId w:val="32"/>
  </w:num>
  <w:num w:numId="35">
    <w:abstractNumId w:val="31"/>
  </w:num>
  <w:num w:numId="36">
    <w:abstractNumId w:val="10"/>
  </w:num>
  <w:num w:numId="37">
    <w:abstractNumId w:val="33"/>
  </w:num>
  <w:num w:numId="38">
    <w:abstractNumId w:val="23"/>
  </w:num>
  <w:num w:numId="39">
    <w:abstractNumId w:val="39"/>
  </w:num>
  <w:num w:numId="40">
    <w:abstractNumId w:val="36"/>
  </w:num>
  <w:num w:numId="41">
    <w:abstractNumId w:val="35"/>
  </w:num>
  <w:num w:numId="42">
    <w:abstractNumId w:val="40"/>
  </w:num>
  <w:num w:numId="43">
    <w:abstractNumId w:val="29"/>
  </w:num>
  <w:num w:numId="44">
    <w:abstractNumId w:val="16"/>
  </w:num>
  <w:num w:numId="45">
    <w:abstractNumId w:val="17"/>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num>
  <w:num w:numId="48">
    <w:abstractNumId w:val="3"/>
    <w:lvlOverride w:ilvl="0">
      <w:startOverride w:val="1"/>
    </w:lvlOverride>
  </w:num>
  <w:num w:numId="49">
    <w:abstractNumId w:val="2"/>
    <w:lvlOverride w:ilvl="0">
      <w:startOverride w:val="1"/>
    </w:lvlOverride>
  </w:num>
  <w:num w:numId="50">
    <w:abstractNumId w:val="1"/>
    <w:lvlOverride w:ilvl="0">
      <w:startOverride w:val="1"/>
    </w:lvlOverride>
  </w:num>
  <w:num w:numId="51">
    <w:abstractNumId w:val="0"/>
    <w:lvlOverride w:ilvl="0">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num>
  <w:num w:numId="56">
    <w:abstractNumId w:val="28"/>
  </w:num>
  <w:num w:numId="57">
    <w:abstractNumId w:val="46"/>
  </w:num>
  <w:num w:numId="58">
    <w:abstractNumId w:val="30"/>
  </w:num>
  <w:num w:numId="59">
    <w:abstractNumId w:val="44"/>
  </w:num>
  <w:num w:numId="60">
    <w:abstractNumId w:val="41"/>
    <w:lvlOverride w:ilvl="0">
      <w:startOverride w:val="1"/>
    </w:lvlOverride>
  </w:num>
  <w:num w:numId="61">
    <w:abstractNumId w:val="41"/>
    <w:lvlOverride w:ilvl="0">
      <w:startOverride w:val="1"/>
    </w:lvlOverride>
  </w:num>
  <w:num w:numId="62">
    <w:abstractNumId w:val="25"/>
  </w:num>
  <w:num w:numId="63">
    <w:abstractNumId w:val="25"/>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CIRS output styl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dda0wweazfww9besetpx2r5pt0asp9ztvs95&quot;&gt;HPV prog evaluation&lt;record-ids&gt;&lt;item&gt;16&lt;/item&gt;&lt;item&gt;17&lt;/item&gt;&lt;item&gt;24&lt;/item&gt;&lt;item&gt;25&lt;/item&gt;&lt;item&gt;43&lt;/item&gt;&lt;item&gt;58&lt;/item&gt;&lt;item&gt;115&lt;/item&gt;&lt;item&gt;117&lt;/item&gt;&lt;item&gt;234&lt;/item&gt;&lt;item&gt;252&lt;/item&gt;&lt;item&gt;259&lt;/item&gt;&lt;item&gt;348&lt;/item&gt;&lt;item&gt;363&lt;/item&gt;&lt;item&gt;387&lt;/item&gt;&lt;item&gt;404&lt;/item&gt;&lt;item&gt;451&lt;/item&gt;&lt;item&gt;465&lt;/item&gt;&lt;item&gt;471&lt;/item&gt;&lt;item&gt;523&lt;/item&gt;&lt;item&gt;524&lt;/item&gt;&lt;item&gt;594&lt;/item&gt;&lt;item&gt;601&lt;/item&gt;&lt;item&gt;644&lt;/item&gt;&lt;item&gt;672&lt;/item&gt;&lt;item&gt;722&lt;/item&gt;&lt;item&gt;779&lt;/item&gt;&lt;item&gt;881&lt;/item&gt;&lt;item&gt;901&lt;/item&gt;&lt;item&gt;905&lt;/item&gt;&lt;item&gt;1017&lt;/item&gt;&lt;item&gt;1060&lt;/item&gt;&lt;item&gt;1126&lt;/item&gt;&lt;item&gt;1202&lt;/item&gt;&lt;item&gt;1203&lt;/item&gt;&lt;item&gt;1204&lt;/item&gt;&lt;item&gt;1205&lt;/item&gt;&lt;item&gt;1206&lt;/item&gt;&lt;item&gt;1207&lt;/item&gt;&lt;item&gt;1208&lt;/item&gt;&lt;item&gt;1209&lt;/item&gt;&lt;item&gt;1210&lt;/item&gt;&lt;item&gt;1211&lt;/item&gt;&lt;item&gt;1212&lt;/item&gt;&lt;item&gt;1213&lt;/item&gt;&lt;item&gt;1218&lt;/item&gt;&lt;item&gt;1220&lt;/item&gt;&lt;item&gt;1223&lt;/item&gt;&lt;item&gt;1231&lt;/item&gt;&lt;item&gt;1237&lt;/item&gt;&lt;item&gt;1241&lt;/item&gt;&lt;item&gt;1245&lt;/item&gt;&lt;item&gt;1248&lt;/item&gt;&lt;item&gt;1249&lt;/item&gt;&lt;item&gt;1253&lt;/item&gt;&lt;item&gt;1254&lt;/item&gt;&lt;item&gt;1255&lt;/item&gt;&lt;item&gt;1256&lt;/item&gt;&lt;item&gt;1257&lt;/item&gt;&lt;item&gt;1258&lt;/item&gt;&lt;item&gt;1259&lt;/item&gt;&lt;item&gt;1260&lt;/item&gt;&lt;item&gt;1261&lt;/item&gt;&lt;item&gt;1262&lt;/item&gt;&lt;item&gt;1263&lt;/item&gt;&lt;item&gt;1265&lt;/item&gt;&lt;item&gt;1267&lt;/item&gt;&lt;item&gt;1270&lt;/item&gt;&lt;item&gt;1271&lt;/item&gt;&lt;item&gt;1272&lt;/item&gt;&lt;item&gt;1273&lt;/item&gt;&lt;item&gt;1274&lt;/item&gt;&lt;item&gt;1275&lt;/item&gt;&lt;item&gt;1276&lt;/item&gt;&lt;item&gt;1278&lt;/item&gt;&lt;item&gt;1279&lt;/item&gt;&lt;item&gt;1280&lt;/item&gt;&lt;item&gt;1281&lt;/item&gt;&lt;item&gt;1286&lt;/item&gt;&lt;item&gt;1287&lt;/item&gt;&lt;item&gt;1288&lt;/item&gt;&lt;item&gt;1291&lt;/item&gt;&lt;item&gt;1292&lt;/item&gt;&lt;item&gt;1294&lt;/item&gt;&lt;item&gt;1295&lt;/item&gt;&lt;item&gt;1296&lt;/item&gt;&lt;item&gt;1297&lt;/item&gt;&lt;item&gt;1298&lt;/item&gt;&lt;item&gt;1299&lt;/item&gt;&lt;item&gt;1300&lt;/item&gt;&lt;item&gt;1301&lt;/item&gt;&lt;item&gt;1302&lt;/item&gt;&lt;item&gt;1303&lt;/item&gt;&lt;item&gt;1304&lt;/item&gt;&lt;item&gt;1305&lt;/item&gt;&lt;item&gt;1309&lt;/item&gt;&lt;item&gt;1313&lt;/item&gt;&lt;item&gt;1319&lt;/item&gt;&lt;item&gt;1322&lt;/item&gt;&lt;item&gt;1323&lt;/item&gt;&lt;item&gt;1324&lt;/item&gt;&lt;item&gt;1325&lt;/item&gt;&lt;item&gt;1327&lt;/item&gt;&lt;item&gt;1328&lt;/item&gt;&lt;item&gt;1330&lt;/item&gt;&lt;item&gt;1331&lt;/item&gt;&lt;item&gt;1332&lt;/item&gt;&lt;item&gt;1333&lt;/item&gt;&lt;item&gt;1334&lt;/item&gt;&lt;item&gt;1335&lt;/item&gt;&lt;item&gt;1337&lt;/item&gt;&lt;item&gt;1338&lt;/item&gt;&lt;item&gt;1339&lt;/item&gt;&lt;item&gt;1340&lt;/item&gt;&lt;item&gt;1341&lt;/item&gt;&lt;item&gt;1343&lt;/item&gt;&lt;item&gt;1344&lt;/item&gt;&lt;item&gt;1345&lt;/item&gt;&lt;item&gt;1346&lt;/item&gt;&lt;item&gt;1347&lt;/item&gt;&lt;item&gt;1348&lt;/item&gt;&lt;item&gt;1352&lt;/item&gt;&lt;item&gt;1353&lt;/item&gt;&lt;item&gt;1354&lt;/item&gt;&lt;item&gt;1355&lt;/item&gt;&lt;item&gt;1356&lt;/item&gt;&lt;item&gt;1357&lt;/item&gt;&lt;item&gt;1358&lt;/item&gt;&lt;item&gt;1359&lt;/item&gt;&lt;item&gt;1360&lt;/item&gt;&lt;/record-ids&gt;&lt;/item&gt;&lt;/Libraries&gt;"/>
  </w:docVars>
  <w:rsids>
    <w:rsidRoot w:val="00782244"/>
    <w:rsid w:val="00000B3F"/>
    <w:rsid w:val="00001672"/>
    <w:rsid w:val="0000187A"/>
    <w:rsid w:val="00002451"/>
    <w:rsid w:val="00002FE3"/>
    <w:rsid w:val="00003182"/>
    <w:rsid w:val="000035F4"/>
    <w:rsid w:val="00003706"/>
    <w:rsid w:val="00004B6E"/>
    <w:rsid w:val="0000606B"/>
    <w:rsid w:val="00006563"/>
    <w:rsid w:val="00006FDF"/>
    <w:rsid w:val="00007229"/>
    <w:rsid w:val="00007EBF"/>
    <w:rsid w:val="00010F98"/>
    <w:rsid w:val="00011DDB"/>
    <w:rsid w:val="00012693"/>
    <w:rsid w:val="000130DE"/>
    <w:rsid w:val="000149CA"/>
    <w:rsid w:val="000177D9"/>
    <w:rsid w:val="000179C1"/>
    <w:rsid w:val="00017FF7"/>
    <w:rsid w:val="000229BA"/>
    <w:rsid w:val="000238B1"/>
    <w:rsid w:val="0002402D"/>
    <w:rsid w:val="00024A30"/>
    <w:rsid w:val="00026676"/>
    <w:rsid w:val="000271C1"/>
    <w:rsid w:val="00027852"/>
    <w:rsid w:val="000303E1"/>
    <w:rsid w:val="00033E09"/>
    <w:rsid w:val="00034768"/>
    <w:rsid w:val="0003776D"/>
    <w:rsid w:val="00040EA2"/>
    <w:rsid w:val="00043C7F"/>
    <w:rsid w:val="000440A2"/>
    <w:rsid w:val="0004467B"/>
    <w:rsid w:val="00045D69"/>
    <w:rsid w:val="000460D8"/>
    <w:rsid w:val="00050206"/>
    <w:rsid w:val="000511B3"/>
    <w:rsid w:val="00051929"/>
    <w:rsid w:val="00052A56"/>
    <w:rsid w:val="00052DEE"/>
    <w:rsid w:val="00053393"/>
    <w:rsid w:val="00055BCF"/>
    <w:rsid w:val="000579E3"/>
    <w:rsid w:val="00057B5D"/>
    <w:rsid w:val="00060EB7"/>
    <w:rsid w:val="00060EF6"/>
    <w:rsid w:val="00061B61"/>
    <w:rsid w:val="0006212E"/>
    <w:rsid w:val="000622B5"/>
    <w:rsid w:val="00064839"/>
    <w:rsid w:val="00064FF4"/>
    <w:rsid w:val="000655FC"/>
    <w:rsid w:val="00065B3E"/>
    <w:rsid w:val="00067A98"/>
    <w:rsid w:val="00071440"/>
    <w:rsid w:val="00071E17"/>
    <w:rsid w:val="00071FF7"/>
    <w:rsid w:val="00072887"/>
    <w:rsid w:val="000733C0"/>
    <w:rsid w:val="00074641"/>
    <w:rsid w:val="00074734"/>
    <w:rsid w:val="00075285"/>
    <w:rsid w:val="0007554F"/>
    <w:rsid w:val="00075771"/>
    <w:rsid w:val="00075854"/>
    <w:rsid w:val="00076525"/>
    <w:rsid w:val="000775A5"/>
    <w:rsid w:val="00077A1D"/>
    <w:rsid w:val="000816BC"/>
    <w:rsid w:val="00082505"/>
    <w:rsid w:val="000826AF"/>
    <w:rsid w:val="00083509"/>
    <w:rsid w:val="0008427B"/>
    <w:rsid w:val="0008507F"/>
    <w:rsid w:val="00085D8C"/>
    <w:rsid w:val="00086D3F"/>
    <w:rsid w:val="00087C7C"/>
    <w:rsid w:val="00090E29"/>
    <w:rsid w:val="00091B92"/>
    <w:rsid w:val="00092229"/>
    <w:rsid w:val="00094722"/>
    <w:rsid w:val="000965DE"/>
    <w:rsid w:val="00097421"/>
    <w:rsid w:val="000A09A1"/>
    <w:rsid w:val="000A0C66"/>
    <w:rsid w:val="000A11E5"/>
    <w:rsid w:val="000A1B97"/>
    <w:rsid w:val="000A1DA0"/>
    <w:rsid w:val="000A2125"/>
    <w:rsid w:val="000A3EF3"/>
    <w:rsid w:val="000A418E"/>
    <w:rsid w:val="000A66D1"/>
    <w:rsid w:val="000B0419"/>
    <w:rsid w:val="000B046A"/>
    <w:rsid w:val="000B1AF9"/>
    <w:rsid w:val="000B1FD5"/>
    <w:rsid w:val="000B23D5"/>
    <w:rsid w:val="000B298C"/>
    <w:rsid w:val="000B5270"/>
    <w:rsid w:val="000B56BE"/>
    <w:rsid w:val="000B7078"/>
    <w:rsid w:val="000C1522"/>
    <w:rsid w:val="000C25C8"/>
    <w:rsid w:val="000C2665"/>
    <w:rsid w:val="000D0021"/>
    <w:rsid w:val="000D0A9A"/>
    <w:rsid w:val="000D31EB"/>
    <w:rsid w:val="000D3A2B"/>
    <w:rsid w:val="000D3F2A"/>
    <w:rsid w:val="000D404C"/>
    <w:rsid w:val="000D426B"/>
    <w:rsid w:val="000D42F3"/>
    <w:rsid w:val="000D4FF6"/>
    <w:rsid w:val="000D506E"/>
    <w:rsid w:val="000D559D"/>
    <w:rsid w:val="000D633F"/>
    <w:rsid w:val="000D672E"/>
    <w:rsid w:val="000D6D16"/>
    <w:rsid w:val="000D766F"/>
    <w:rsid w:val="000D79FD"/>
    <w:rsid w:val="000E176D"/>
    <w:rsid w:val="000E2020"/>
    <w:rsid w:val="000E27E3"/>
    <w:rsid w:val="000E32DD"/>
    <w:rsid w:val="000E33CA"/>
    <w:rsid w:val="000E7F0B"/>
    <w:rsid w:val="000F1469"/>
    <w:rsid w:val="000F3047"/>
    <w:rsid w:val="000F307D"/>
    <w:rsid w:val="000F32A5"/>
    <w:rsid w:val="000F4EDF"/>
    <w:rsid w:val="000F5FA4"/>
    <w:rsid w:val="000F676F"/>
    <w:rsid w:val="000F7E71"/>
    <w:rsid w:val="00102F67"/>
    <w:rsid w:val="001034C8"/>
    <w:rsid w:val="001058BD"/>
    <w:rsid w:val="00105EE4"/>
    <w:rsid w:val="0010644F"/>
    <w:rsid w:val="001067BA"/>
    <w:rsid w:val="00106F61"/>
    <w:rsid w:val="001076EA"/>
    <w:rsid w:val="00110951"/>
    <w:rsid w:val="00111BF0"/>
    <w:rsid w:val="00111CFF"/>
    <w:rsid w:val="0011268D"/>
    <w:rsid w:val="00113473"/>
    <w:rsid w:val="001135B5"/>
    <w:rsid w:val="00113615"/>
    <w:rsid w:val="00114A88"/>
    <w:rsid w:val="00115D57"/>
    <w:rsid w:val="0012074C"/>
    <w:rsid w:val="00121ECA"/>
    <w:rsid w:val="001238BA"/>
    <w:rsid w:val="00124503"/>
    <w:rsid w:val="00126E3B"/>
    <w:rsid w:val="001273B9"/>
    <w:rsid w:val="001302CA"/>
    <w:rsid w:val="00131255"/>
    <w:rsid w:val="001320B0"/>
    <w:rsid w:val="0013217A"/>
    <w:rsid w:val="00132504"/>
    <w:rsid w:val="00133D38"/>
    <w:rsid w:val="001413E2"/>
    <w:rsid w:val="0014288C"/>
    <w:rsid w:val="001429B4"/>
    <w:rsid w:val="001441B7"/>
    <w:rsid w:val="00144BD6"/>
    <w:rsid w:val="00144DF5"/>
    <w:rsid w:val="00144F99"/>
    <w:rsid w:val="001470CA"/>
    <w:rsid w:val="00151C24"/>
    <w:rsid w:val="00151DC6"/>
    <w:rsid w:val="001555F6"/>
    <w:rsid w:val="001576A7"/>
    <w:rsid w:val="00157D4B"/>
    <w:rsid w:val="0016000A"/>
    <w:rsid w:val="0016204E"/>
    <w:rsid w:val="001625B1"/>
    <w:rsid w:val="00162DBD"/>
    <w:rsid w:val="00163D1B"/>
    <w:rsid w:val="0016407D"/>
    <w:rsid w:val="00165528"/>
    <w:rsid w:val="00165E16"/>
    <w:rsid w:val="0016693B"/>
    <w:rsid w:val="00170E17"/>
    <w:rsid w:val="00171006"/>
    <w:rsid w:val="001722B0"/>
    <w:rsid w:val="0017360E"/>
    <w:rsid w:val="001738B4"/>
    <w:rsid w:val="001741EF"/>
    <w:rsid w:val="00174723"/>
    <w:rsid w:val="001750B0"/>
    <w:rsid w:val="00175D18"/>
    <w:rsid w:val="00175F8F"/>
    <w:rsid w:val="001760EC"/>
    <w:rsid w:val="00176126"/>
    <w:rsid w:val="00177BC3"/>
    <w:rsid w:val="00180196"/>
    <w:rsid w:val="001806D8"/>
    <w:rsid w:val="00180758"/>
    <w:rsid w:val="00184C54"/>
    <w:rsid w:val="001853A8"/>
    <w:rsid w:val="001871FA"/>
    <w:rsid w:val="001872C8"/>
    <w:rsid w:val="00190586"/>
    <w:rsid w:val="00193312"/>
    <w:rsid w:val="00194412"/>
    <w:rsid w:val="00195A76"/>
    <w:rsid w:val="00196366"/>
    <w:rsid w:val="00196806"/>
    <w:rsid w:val="00197D73"/>
    <w:rsid w:val="001A0765"/>
    <w:rsid w:val="001A1246"/>
    <w:rsid w:val="001A31F8"/>
    <w:rsid w:val="001A63C9"/>
    <w:rsid w:val="001A68AA"/>
    <w:rsid w:val="001A6B5E"/>
    <w:rsid w:val="001A7553"/>
    <w:rsid w:val="001B27C0"/>
    <w:rsid w:val="001B31DF"/>
    <w:rsid w:val="001B3B24"/>
    <w:rsid w:val="001B4438"/>
    <w:rsid w:val="001B5EAE"/>
    <w:rsid w:val="001B733E"/>
    <w:rsid w:val="001C27AC"/>
    <w:rsid w:val="001C31F7"/>
    <w:rsid w:val="001C443B"/>
    <w:rsid w:val="001C5A49"/>
    <w:rsid w:val="001D0D61"/>
    <w:rsid w:val="001D113B"/>
    <w:rsid w:val="001D2E22"/>
    <w:rsid w:val="001D381E"/>
    <w:rsid w:val="001D3F58"/>
    <w:rsid w:val="001D498C"/>
    <w:rsid w:val="001D5A71"/>
    <w:rsid w:val="001D6068"/>
    <w:rsid w:val="001E0D07"/>
    <w:rsid w:val="001E3304"/>
    <w:rsid w:val="001E6232"/>
    <w:rsid w:val="001E7AA4"/>
    <w:rsid w:val="001F00F1"/>
    <w:rsid w:val="001F0147"/>
    <w:rsid w:val="001F16C0"/>
    <w:rsid w:val="001F2A3A"/>
    <w:rsid w:val="001F45F4"/>
    <w:rsid w:val="001F7325"/>
    <w:rsid w:val="001F7628"/>
    <w:rsid w:val="001F7C23"/>
    <w:rsid w:val="002002B0"/>
    <w:rsid w:val="00200B0C"/>
    <w:rsid w:val="00201BA8"/>
    <w:rsid w:val="00201CAE"/>
    <w:rsid w:val="00202905"/>
    <w:rsid w:val="002032BD"/>
    <w:rsid w:val="00204397"/>
    <w:rsid w:val="00204C54"/>
    <w:rsid w:val="00205BE4"/>
    <w:rsid w:val="0020698A"/>
    <w:rsid w:val="0021315E"/>
    <w:rsid w:val="002134A8"/>
    <w:rsid w:val="0021464C"/>
    <w:rsid w:val="00216E1E"/>
    <w:rsid w:val="00225EC4"/>
    <w:rsid w:val="00226530"/>
    <w:rsid w:val="002316F4"/>
    <w:rsid w:val="00231A3E"/>
    <w:rsid w:val="002321D3"/>
    <w:rsid w:val="0023448C"/>
    <w:rsid w:val="0023562F"/>
    <w:rsid w:val="0023594C"/>
    <w:rsid w:val="00237538"/>
    <w:rsid w:val="00240D1B"/>
    <w:rsid w:val="002413C8"/>
    <w:rsid w:val="00244C76"/>
    <w:rsid w:val="002455B1"/>
    <w:rsid w:val="00246CF8"/>
    <w:rsid w:val="002471AF"/>
    <w:rsid w:val="002500AA"/>
    <w:rsid w:val="0025141F"/>
    <w:rsid w:val="00254151"/>
    <w:rsid w:val="00254213"/>
    <w:rsid w:val="002544F6"/>
    <w:rsid w:val="00256894"/>
    <w:rsid w:val="002572AE"/>
    <w:rsid w:val="00260AF7"/>
    <w:rsid w:val="002614F6"/>
    <w:rsid w:val="00264D74"/>
    <w:rsid w:val="00266B22"/>
    <w:rsid w:val="0026762C"/>
    <w:rsid w:val="00270533"/>
    <w:rsid w:val="00270D0B"/>
    <w:rsid w:val="002710ED"/>
    <w:rsid w:val="0027160C"/>
    <w:rsid w:val="00272444"/>
    <w:rsid w:val="00274301"/>
    <w:rsid w:val="00276359"/>
    <w:rsid w:val="00280406"/>
    <w:rsid w:val="00281E8C"/>
    <w:rsid w:val="002828AD"/>
    <w:rsid w:val="00282E32"/>
    <w:rsid w:val="00283733"/>
    <w:rsid w:val="00283C4A"/>
    <w:rsid w:val="00284AF0"/>
    <w:rsid w:val="00284BF5"/>
    <w:rsid w:val="00285405"/>
    <w:rsid w:val="0028592B"/>
    <w:rsid w:val="00285D91"/>
    <w:rsid w:val="00290787"/>
    <w:rsid w:val="00290CBD"/>
    <w:rsid w:val="002925EB"/>
    <w:rsid w:val="00294BAC"/>
    <w:rsid w:val="00296065"/>
    <w:rsid w:val="00296C1F"/>
    <w:rsid w:val="002A046B"/>
    <w:rsid w:val="002A4134"/>
    <w:rsid w:val="002A4ADE"/>
    <w:rsid w:val="002A5719"/>
    <w:rsid w:val="002A7954"/>
    <w:rsid w:val="002B01FE"/>
    <w:rsid w:val="002B034A"/>
    <w:rsid w:val="002B520C"/>
    <w:rsid w:val="002B577B"/>
    <w:rsid w:val="002B5C73"/>
    <w:rsid w:val="002B5E4C"/>
    <w:rsid w:val="002B603C"/>
    <w:rsid w:val="002B7A0C"/>
    <w:rsid w:val="002B7FFB"/>
    <w:rsid w:val="002C0470"/>
    <w:rsid w:val="002C0571"/>
    <w:rsid w:val="002C0602"/>
    <w:rsid w:val="002C2A70"/>
    <w:rsid w:val="002C4496"/>
    <w:rsid w:val="002C7808"/>
    <w:rsid w:val="002C781A"/>
    <w:rsid w:val="002D0F36"/>
    <w:rsid w:val="002D610B"/>
    <w:rsid w:val="002E0B39"/>
    <w:rsid w:val="002E131D"/>
    <w:rsid w:val="002E18AA"/>
    <w:rsid w:val="002E2DF6"/>
    <w:rsid w:val="002E49A3"/>
    <w:rsid w:val="002E5181"/>
    <w:rsid w:val="002E5293"/>
    <w:rsid w:val="002E5674"/>
    <w:rsid w:val="002E67F2"/>
    <w:rsid w:val="002E6D94"/>
    <w:rsid w:val="002E79B2"/>
    <w:rsid w:val="002E7F07"/>
    <w:rsid w:val="002F0BE2"/>
    <w:rsid w:val="002F2005"/>
    <w:rsid w:val="002F2FCC"/>
    <w:rsid w:val="002F353D"/>
    <w:rsid w:val="002F3FA9"/>
    <w:rsid w:val="002F4480"/>
    <w:rsid w:val="00300374"/>
    <w:rsid w:val="00301816"/>
    <w:rsid w:val="003019CD"/>
    <w:rsid w:val="003034BC"/>
    <w:rsid w:val="00305E4C"/>
    <w:rsid w:val="00306E27"/>
    <w:rsid w:val="003077BD"/>
    <w:rsid w:val="00307BA9"/>
    <w:rsid w:val="00310D65"/>
    <w:rsid w:val="00311DFD"/>
    <w:rsid w:val="003128F7"/>
    <w:rsid w:val="0031437B"/>
    <w:rsid w:val="0031517A"/>
    <w:rsid w:val="0031555E"/>
    <w:rsid w:val="00316B3A"/>
    <w:rsid w:val="00317905"/>
    <w:rsid w:val="00317E09"/>
    <w:rsid w:val="00317F28"/>
    <w:rsid w:val="00320924"/>
    <w:rsid w:val="00322009"/>
    <w:rsid w:val="00322A7A"/>
    <w:rsid w:val="003239A2"/>
    <w:rsid w:val="00330C34"/>
    <w:rsid w:val="003332D0"/>
    <w:rsid w:val="00336D5A"/>
    <w:rsid w:val="0033706A"/>
    <w:rsid w:val="003404EA"/>
    <w:rsid w:val="003408A6"/>
    <w:rsid w:val="003411A2"/>
    <w:rsid w:val="00343426"/>
    <w:rsid w:val="003442F9"/>
    <w:rsid w:val="00344E17"/>
    <w:rsid w:val="003477D4"/>
    <w:rsid w:val="00347C38"/>
    <w:rsid w:val="00354293"/>
    <w:rsid w:val="003554CF"/>
    <w:rsid w:val="00357023"/>
    <w:rsid w:val="00357B86"/>
    <w:rsid w:val="00357C2B"/>
    <w:rsid w:val="003603F7"/>
    <w:rsid w:val="00360955"/>
    <w:rsid w:val="0036464C"/>
    <w:rsid w:val="003663BB"/>
    <w:rsid w:val="00367658"/>
    <w:rsid w:val="00370C25"/>
    <w:rsid w:val="00371FBC"/>
    <w:rsid w:val="00372698"/>
    <w:rsid w:val="00372712"/>
    <w:rsid w:val="00374BBA"/>
    <w:rsid w:val="00376B5B"/>
    <w:rsid w:val="00376FC7"/>
    <w:rsid w:val="003806B6"/>
    <w:rsid w:val="00380920"/>
    <w:rsid w:val="00382CB5"/>
    <w:rsid w:val="0038339C"/>
    <w:rsid w:val="00383F04"/>
    <w:rsid w:val="003843B9"/>
    <w:rsid w:val="00385669"/>
    <w:rsid w:val="00387834"/>
    <w:rsid w:val="003902FE"/>
    <w:rsid w:val="003909B8"/>
    <w:rsid w:val="00390A3C"/>
    <w:rsid w:val="00390FA1"/>
    <w:rsid w:val="0039265E"/>
    <w:rsid w:val="00392935"/>
    <w:rsid w:val="00394811"/>
    <w:rsid w:val="00394DDE"/>
    <w:rsid w:val="003950D9"/>
    <w:rsid w:val="003952DC"/>
    <w:rsid w:val="003A01F5"/>
    <w:rsid w:val="003A17D0"/>
    <w:rsid w:val="003A1BD1"/>
    <w:rsid w:val="003A2F22"/>
    <w:rsid w:val="003A3456"/>
    <w:rsid w:val="003A5762"/>
    <w:rsid w:val="003A5A95"/>
    <w:rsid w:val="003A6479"/>
    <w:rsid w:val="003A6748"/>
    <w:rsid w:val="003A6967"/>
    <w:rsid w:val="003A7317"/>
    <w:rsid w:val="003A7FEC"/>
    <w:rsid w:val="003B0734"/>
    <w:rsid w:val="003B0AEA"/>
    <w:rsid w:val="003B1486"/>
    <w:rsid w:val="003B1644"/>
    <w:rsid w:val="003B1BAE"/>
    <w:rsid w:val="003B74FF"/>
    <w:rsid w:val="003C41DF"/>
    <w:rsid w:val="003C454D"/>
    <w:rsid w:val="003C51F7"/>
    <w:rsid w:val="003C5791"/>
    <w:rsid w:val="003C6720"/>
    <w:rsid w:val="003C6E52"/>
    <w:rsid w:val="003C7AAC"/>
    <w:rsid w:val="003D0523"/>
    <w:rsid w:val="003D05FE"/>
    <w:rsid w:val="003D0CAF"/>
    <w:rsid w:val="003D20FF"/>
    <w:rsid w:val="003D5F51"/>
    <w:rsid w:val="003D6A93"/>
    <w:rsid w:val="003D71E5"/>
    <w:rsid w:val="003E08A1"/>
    <w:rsid w:val="003E0FAC"/>
    <w:rsid w:val="003E25C9"/>
    <w:rsid w:val="003E2A3E"/>
    <w:rsid w:val="003E2F58"/>
    <w:rsid w:val="003E3452"/>
    <w:rsid w:val="003E66B7"/>
    <w:rsid w:val="003E69F5"/>
    <w:rsid w:val="003E6D05"/>
    <w:rsid w:val="003E74E6"/>
    <w:rsid w:val="003F2D8D"/>
    <w:rsid w:val="003F411B"/>
    <w:rsid w:val="003F4609"/>
    <w:rsid w:val="003F6E91"/>
    <w:rsid w:val="003F730B"/>
    <w:rsid w:val="003F7BF2"/>
    <w:rsid w:val="00400B59"/>
    <w:rsid w:val="00405280"/>
    <w:rsid w:val="004057F4"/>
    <w:rsid w:val="00405B57"/>
    <w:rsid w:val="004073F3"/>
    <w:rsid w:val="00407E96"/>
    <w:rsid w:val="0041141C"/>
    <w:rsid w:val="00413B61"/>
    <w:rsid w:val="0041413C"/>
    <w:rsid w:val="00414C68"/>
    <w:rsid w:val="00414E05"/>
    <w:rsid w:val="0041699C"/>
    <w:rsid w:val="00416B27"/>
    <w:rsid w:val="004171E7"/>
    <w:rsid w:val="00417487"/>
    <w:rsid w:val="00417A16"/>
    <w:rsid w:val="00421149"/>
    <w:rsid w:val="004212D4"/>
    <w:rsid w:val="00422428"/>
    <w:rsid w:val="0042294A"/>
    <w:rsid w:val="00424FA8"/>
    <w:rsid w:val="00425A20"/>
    <w:rsid w:val="004275A8"/>
    <w:rsid w:val="0042760C"/>
    <w:rsid w:val="0043033C"/>
    <w:rsid w:val="00430603"/>
    <w:rsid w:val="00431138"/>
    <w:rsid w:val="00432E48"/>
    <w:rsid w:val="0043368A"/>
    <w:rsid w:val="0043483E"/>
    <w:rsid w:val="00434FCC"/>
    <w:rsid w:val="0043548C"/>
    <w:rsid w:val="004355B0"/>
    <w:rsid w:val="004416E3"/>
    <w:rsid w:val="00444194"/>
    <w:rsid w:val="0044523B"/>
    <w:rsid w:val="00446061"/>
    <w:rsid w:val="0044696B"/>
    <w:rsid w:val="00447706"/>
    <w:rsid w:val="00447727"/>
    <w:rsid w:val="00450039"/>
    <w:rsid w:val="0045122C"/>
    <w:rsid w:val="004559EA"/>
    <w:rsid w:val="00456FA7"/>
    <w:rsid w:val="00460383"/>
    <w:rsid w:val="00460FF5"/>
    <w:rsid w:val="00463515"/>
    <w:rsid w:val="0046370D"/>
    <w:rsid w:val="004644BF"/>
    <w:rsid w:val="00464820"/>
    <w:rsid w:val="00465689"/>
    <w:rsid w:val="00466A2C"/>
    <w:rsid w:val="00472C51"/>
    <w:rsid w:val="00472EC2"/>
    <w:rsid w:val="00474230"/>
    <w:rsid w:val="0047478F"/>
    <w:rsid w:val="0047565D"/>
    <w:rsid w:val="0048002E"/>
    <w:rsid w:val="00480782"/>
    <w:rsid w:val="00480FAB"/>
    <w:rsid w:val="00481023"/>
    <w:rsid w:val="004822AA"/>
    <w:rsid w:val="00482879"/>
    <w:rsid w:val="00482BA8"/>
    <w:rsid w:val="00485766"/>
    <w:rsid w:val="0048619F"/>
    <w:rsid w:val="00486D57"/>
    <w:rsid w:val="00486FEC"/>
    <w:rsid w:val="00490879"/>
    <w:rsid w:val="004932B4"/>
    <w:rsid w:val="00493F34"/>
    <w:rsid w:val="00495186"/>
    <w:rsid w:val="00497B88"/>
    <w:rsid w:val="00497B99"/>
    <w:rsid w:val="00497C1E"/>
    <w:rsid w:val="004A04BC"/>
    <w:rsid w:val="004A3718"/>
    <w:rsid w:val="004A7E9F"/>
    <w:rsid w:val="004B2444"/>
    <w:rsid w:val="004B36F0"/>
    <w:rsid w:val="004B494D"/>
    <w:rsid w:val="004B5BC4"/>
    <w:rsid w:val="004B6371"/>
    <w:rsid w:val="004B6575"/>
    <w:rsid w:val="004B6AED"/>
    <w:rsid w:val="004C090F"/>
    <w:rsid w:val="004C2A3A"/>
    <w:rsid w:val="004C3B3F"/>
    <w:rsid w:val="004C4F82"/>
    <w:rsid w:val="004C5806"/>
    <w:rsid w:val="004C5B48"/>
    <w:rsid w:val="004C6CFC"/>
    <w:rsid w:val="004D1667"/>
    <w:rsid w:val="004D16A2"/>
    <w:rsid w:val="004D2BDA"/>
    <w:rsid w:val="004D734E"/>
    <w:rsid w:val="004E02CF"/>
    <w:rsid w:val="004E1AD5"/>
    <w:rsid w:val="004E397F"/>
    <w:rsid w:val="004E3C81"/>
    <w:rsid w:val="004E49DC"/>
    <w:rsid w:val="004E5EBC"/>
    <w:rsid w:val="004E7A8A"/>
    <w:rsid w:val="004E7B08"/>
    <w:rsid w:val="004E7C12"/>
    <w:rsid w:val="004E7D73"/>
    <w:rsid w:val="004F3832"/>
    <w:rsid w:val="004F785D"/>
    <w:rsid w:val="005021F1"/>
    <w:rsid w:val="005026BE"/>
    <w:rsid w:val="00502C55"/>
    <w:rsid w:val="00503910"/>
    <w:rsid w:val="0050635D"/>
    <w:rsid w:val="00506CAE"/>
    <w:rsid w:val="00507173"/>
    <w:rsid w:val="00510685"/>
    <w:rsid w:val="0051216E"/>
    <w:rsid w:val="005132E0"/>
    <w:rsid w:val="00513C1B"/>
    <w:rsid w:val="00516224"/>
    <w:rsid w:val="005167C4"/>
    <w:rsid w:val="00516DFE"/>
    <w:rsid w:val="005171AD"/>
    <w:rsid w:val="00520C04"/>
    <w:rsid w:val="00521A7B"/>
    <w:rsid w:val="005225EE"/>
    <w:rsid w:val="00523769"/>
    <w:rsid w:val="0052380B"/>
    <w:rsid w:val="005250AB"/>
    <w:rsid w:val="0052673F"/>
    <w:rsid w:val="005268C7"/>
    <w:rsid w:val="005323FD"/>
    <w:rsid w:val="00533F3F"/>
    <w:rsid w:val="005342C5"/>
    <w:rsid w:val="00534470"/>
    <w:rsid w:val="0054064F"/>
    <w:rsid w:val="0054169F"/>
    <w:rsid w:val="00541782"/>
    <w:rsid w:val="00541997"/>
    <w:rsid w:val="00541F91"/>
    <w:rsid w:val="005420D3"/>
    <w:rsid w:val="005422C0"/>
    <w:rsid w:val="005433FC"/>
    <w:rsid w:val="00544C3C"/>
    <w:rsid w:val="00546EA0"/>
    <w:rsid w:val="00547200"/>
    <w:rsid w:val="00547D44"/>
    <w:rsid w:val="00547DDA"/>
    <w:rsid w:val="00550FC3"/>
    <w:rsid w:val="00551528"/>
    <w:rsid w:val="00553029"/>
    <w:rsid w:val="005537DC"/>
    <w:rsid w:val="00555A27"/>
    <w:rsid w:val="0055706C"/>
    <w:rsid w:val="00560E90"/>
    <w:rsid w:val="00561AD3"/>
    <w:rsid w:val="005623C0"/>
    <w:rsid w:val="00562610"/>
    <w:rsid w:val="00563CAB"/>
    <w:rsid w:val="00563E90"/>
    <w:rsid w:val="00564B4A"/>
    <w:rsid w:val="00565097"/>
    <w:rsid w:val="005655CD"/>
    <w:rsid w:val="00570C54"/>
    <w:rsid w:val="0057197A"/>
    <w:rsid w:val="005720EE"/>
    <w:rsid w:val="005729D2"/>
    <w:rsid w:val="00573C70"/>
    <w:rsid w:val="00574128"/>
    <w:rsid w:val="0057457E"/>
    <w:rsid w:val="00582237"/>
    <w:rsid w:val="0058508B"/>
    <w:rsid w:val="0058587F"/>
    <w:rsid w:val="0058647C"/>
    <w:rsid w:val="005908E6"/>
    <w:rsid w:val="00591086"/>
    <w:rsid w:val="0059360E"/>
    <w:rsid w:val="0059399E"/>
    <w:rsid w:val="0059456E"/>
    <w:rsid w:val="0059479C"/>
    <w:rsid w:val="005957FD"/>
    <w:rsid w:val="00596BEA"/>
    <w:rsid w:val="005A68F2"/>
    <w:rsid w:val="005A7449"/>
    <w:rsid w:val="005B1D9A"/>
    <w:rsid w:val="005B503A"/>
    <w:rsid w:val="005B5BD6"/>
    <w:rsid w:val="005B66D7"/>
    <w:rsid w:val="005B7912"/>
    <w:rsid w:val="005B7AAB"/>
    <w:rsid w:val="005C1D8F"/>
    <w:rsid w:val="005C5148"/>
    <w:rsid w:val="005C5374"/>
    <w:rsid w:val="005C605C"/>
    <w:rsid w:val="005C6C14"/>
    <w:rsid w:val="005C7572"/>
    <w:rsid w:val="005D0CC1"/>
    <w:rsid w:val="005D0E51"/>
    <w:rsid w:val="005D1F58"/>
    <w:rsid w:val="005D21AE"/>
    <w:rsid w:val="005D37AB"/>
    <w:rsid w:val="005D540F"/>
    <w:rsid w:val="005D7460"/>
    <w:rsid w:val="005E0C3C"/>
    <w:rsid w:val="005E2520"/>
    <w:rsid w:val="005E4D8B"/>
    <w:rsid w:val="005F0C5B"/>
    <w:rsid w:val="005F0D97"/>
    <w:rsid w:val="005F1069"/>
    <w:rsid w:val="005F459B"/>
    <w:rsid w:val="005F45DA"/>
    <w:rsid w:val="005F514F"/>
    <w:rsid w:val="005F5741"/>
    <w:rsid w:val="005F6420"/>
    <w:rsid w:val="005F6783"/>
    <w:rsid w:val="005F7554"/>
    <w:rsid w:val="005F7DA1"/>
    <w:rsid w:val="006028B6"/>
    <w:rsid w:val="006046E7"/>
    <w:rsid w:val="0060488A"/>
    <w:rsid w:val="00605DD8"/>
    <w:rsid w:val="00607F6D"/>
    <w:rsid w:val="00610256"/>
    <w:rsid w:val="00610DE6"/>
    <w:rsid w:val="0061413E"/>
    <w:rsid w:val="00615C03"/>
    <w:rsid w:val="006161D8"/>
    <w:rsid w:val="0061751C"/>
    <w:rsid w:val="00621A71"/>
    <w:rsid w:val="00622B62"/>
    <w:rsid w:val="0062325E"/>
    <w:rsid w:val="006240EB"/>
    <w:rsid w:val="00624486"/>
    <w:rsid w:val="00624F0F"/>
    <w:rsid w:val="00625168"/>
    <w:rsid w:val="00627197"/>
    <w:rsid w:val="00627C33"/>
    <w:rsid w:val="006310E6"/>
    <w:rsid w:val="006311E2"/>
    <w:rsid w:val="00631281"/>
    <w:rsid w:val="006330EA"/>
    <w:rsid w:val="00633C03"/>
    <w:rsid w:val="00635118"/>
    <w:rsid w:val="0063676E"/>
    <w:rsid w:val="00636AE4"/>
    <w:rsid w:val="006370E4"/>
    <w:rsid w:val="006402CC"/>
    <w:rsid w:val="006435BC"/>
    <w:rsid w:val="0064570B"/>
    <w:rsid w:val="00647CC0"/>
    <w:rsid w:val="00650481"/>
    <w:rsid w:val="006504AA"/>
    <w:rsid w:val="006510D1"/>
    <w:rsid w:val="00651627"/>
    <w:rsid w:val="0065313C"/>
    <w:rsid w:val="00653668"/>
    <w:rsid w:val="00654DC0"/>
    <w:rsid w:val="00655144"/>
    <w:rsid w:val="00655651"/>
    <w:rsid w:val="006565C0"/>
    <w:rsid w:val="00657092"/>
    <w:rsid w:val="00657260"/>
    <w:rsid w:val="006634E4"/>
    <w:rsid w:val="006642DD"/>
    <w:rsid w:val="0066446E"/>
    <w:rsid w:val="00664E2B"/>
    <w:rsid w:val="00665F2B"/>
    <w:rsid w:val="00666FF1"/>
    <w:rsid w:val="00670793"/>
    <w:rsid w:val="00671356"/>
    <w:rsid w:val="00671A31"/>
    <w:rsid w:val="006735C3"/>
    <w:rsid w:val="0067498E"/>
    <w:rsid w:val="006757FA"/>
    <w:rsid w:val="00675A3B"/>
    <w:rsid w:val="00676438"/>
    <w:rsid w:val="00676783"/>
    <w:rsid w:val="00676DED"/>
    <w:rsid w:val="00677509"/>
    <w:rsid w:val="006803A2"/>
    <w:rsid w:val="0068205E"/>
    <w:rsid w:val="00682316"/>
    <w:rsid w:val="006834D7"/>
    <w:rsid w:val="00684DFB"/>
    <w:rsid w:val="00686571"/>
    <w:rsid w:val="006869FF"/>
    <w:rsid w:val="0069130C"/>
    <w:rsid w:val="006915E0"/>
    <w:rsid w:val="00693C62"/>
    <w:rsid w:val="00694473"/>
    <w:rsid w:val="0069511A"/>
    <w:rsid w:val="0069548D"/>
    <w:rsid w:val="006976D1"/>
    <w:rsid w:val="006A0439"/>
    <w:rsid w:val="006A41C3"/>
    <w:rsid w:val="006A5AB5"/>
    <w:rsid w:val="006A5ED2"/>
    <w:rsid w:val="006A68AE"/>
    <w:rsid w:val="006A6CEF"/>
    <w:rsid w:val="006A735A"/>
    <w:rsid w:val="006B0EAC"/>
    <w:rsid w:val="006B1537"/>
    <w:rsid w:val="006B165D"/>
    <w:rsid w:val="006B2012"/>
    <w:rsid w:val="006B5A5E"/>
    <w:rsid w:val="006B6D0F"/>
    <w:rsid w:val="006C0ACF"/>
    <w:rsid w:val="006C2F6B"/>
    <w:rsid w:val="006C3676"/>
    <w:rsid w:val="006C58DF"/>
    <w:rsid w:val="006C73CE"/>
    <w:rsid w:val="006C7652"/>
    <w:rsid w:val="006D0E03"/>
    <w:rsid w:val="006D1565"/>
    <w:rsid w:val="006D1A8B"/>
    <w:rsid w:val="006D5849"/>
    <w:rsid w:val="006D5CF5"/>
    <w:rsid w:val="006D71D8"/>
    <w:rsid w:val="006D727F"/>
    <w:rsid w:val="006E15C4"/>
    <w:rsid w:val="006E1B37"/>
    <w:rsid w:val="006E1C84"/>
    <w:rsid w:val="006E2C81"/>
    <w:rsid w:val="006E483A"/>
    <w:rsid w:val="006E486A"/>
    <w:rsid w:val="006E4D31"/>
    <w:rsid w:val="006E4DA8"/>
    <w:rsid w:val="006E4EEE"/>
    <w:rsid w:val="006E51FA"/>
    <w:rsid w:val="006E57F2"/>
    <w:rsid w:val="006F017A"/>
    <w:rsid w:val="006F06C9"/>
    <w:rsid w:val="006F17CE"/>
    <w:rsid w:val="006F2496"/>
    <w:rsid w:val="006F34FB"/>
    <w:rsid w:val="006F6610"/>
    <w:rsid w:val="006F707D"/>
    <w:rsid w:val="006F78EB"/>
    <w:rsid w:val="0070073B"/>
    <w:rsid w:val="00704AC2"/>
    <w:rsid w:val="00705382"/>
    <w:rsid w:val="00707C6F"/>
    <w:rsid w:val="00710241"/>
    <w:rsid w:val="007129CE"/>
    <w:rsid w:val="00712BB6"/>
    <w:rsid w:val="00715310"/>
    <w:rsid w:val="007164D4"/>
    <w:rsid w:val="00717C9F"/>
    <w:rsid w:val="0072292A"/>
    <w:rsid w:val="00723BFB"/>
    <w:rsid w:val="00724090"/>
    <w:rsid w:val="00726ADE"/>
    <w:rsid w:val="00726CAD"/>
    <w:rsid w:val="00727A26"/>
    <w:rsid w:val="0073000E"/>
    <w:rsid w:val="0073230F"/>
    <w:rsid w:val="00732381"/>
    <w:rsid w:val="007326C1"/>
    <w:rsid w:val="00733546"/>
    <w:rsid w:val="00740913"/>
    <w:rsid w:val="00741044"/>
    <w:rsid w:val="007411DE"/>
    <w:rsid w:val="00741E8E"/>
    <w:rsid w:val="007423D7"/>
    <w:rsid w:val="00743702"/>
    <w:rsid w:val="007520A3"/>
    <w:rsid w:val="007526EF"/>
    <w:rsid w:val="00753A01"/>
    <w:rsid w:val="00753BF7"/>
    <w:rsid w:val="00753CCC"/>
    <w:rsid w:val="00753F7C"/>
    <w:rsid w:val="00755848"/>
    <w:rsid w:val="00755DB4"/>
    <w:rsid w:val="00755FC9"/>
    <w:rsid w:val="00756579"/>
    <w:rsid w:val="00757A96"/>
    <w:rsid w:val="00760E58"/>
    <w:rsid w:val="00761441"/>
    <w:rsid w:val="007635FB"/>
    <w:rsid w:val="007641DA"/>
    <w:rsid w:val="00767322"/>
    <w:rsid w:val="0077184E"/>
    <w:rsid w:val="00771D5D"/>
    <w:rsid w:val="007741D2"/>
    <w:rsid w:val="007749C9"/>
    <w:rsid w:val="00774A98"/>
    <w:rsid w:val="00774D45"/>
    <w:rsid w:val="00780284"/>
    <w:rsid w:val="007806CC"/>
    <w:rsid w:val="00781A67"/>
    <w:rsid w:val="00782244"/>
    <w:rsid w:val="00782495"/>
    <w:rsid w:val="00782642"/>
    <w:rsid w:val="00784EDA"/>
    <w:rsid w:val="00786308"/>
    <w:rsid w:val="00786AD2"/>
    <w:rsid w:val="00786C85"/>
    <w:rsid w:val="00786E4C"/>
    <w:rsid w:val="007870E8"/>
    <w:rsid w:val="007918D2"/>
    <w:rsid w:val="007935C6"/>
    <w:rsid w:val="0079393C"/>
    <w:rsid w:val="00793CA2"/>
    <w:rsid w:val="0079563C"/>
    <w:rsid w:val="00795986"/>
    <w:rsid w:val="007974FB"/>
    <w:rsid w:val="007A203C"/>
    <w:rsid w:val="007A2CBB"/>
    <w:rsid w:val="007A34D8"/>
    <w:rsid w:val="007A4D7A"/>
    <w:rsid w:val="007A5B5D"/>
    <w:rsid w:val="007A5F89"/>
    <w:rsid w:val="007A6255"/>
    <w:rsid w:val="007A6C8E"/>
    <w:rsid w:val="007B0432"/>
    <w:rsid w:val="007B099B"/>
    <w:rsid w:val="007B3648"/>
    <w:rsid w:val="007B3E84"/>
    <w:rsid w:val="007B40D7"/>
    <w:rsid w:val="007B4A51"/>
    <w:rsid w:val="007B723A"/>
    <w:rsid w:val="007C191B"/>
    <w:rsid w:val="007C1C87"/>
    <w:rsid w:val="007C4EBE"/>
    <w:rsid w:val="007C6421"/>
    <w:rsid w:val="007C74A8"/>
    <w:rsid w:val="007D08DB"/>
    <w:rsid w:val="007D1DF4"/>
    <w:rsid w:val="007D23D9"/>
    <w:rsid w:val="007D463A"/>
    <w:rsid w:val="007D4DD6"/>
    <w:rsid w:val="007E02CC"/>
    <w:rsid w:val="007E1EEF"/>
    <w:rsid w:val="007E2246"/>
    <w:rsid w:val="007E2EA4"/>
    <w:rsid w:val="007E4960"/>
    <w:rsid w:val="007F0474"/>
    <w:rsid w:val="007F14FA"/>
    <w:rsid w:val="007F15D6"/>
    <w:rsid w:val="007F2607"/>
    <w:rsid w:val="007F2E4F"/>
    <w:rsid w:val="007F3930"/>
    <w:rsid w:val="007F3E97"/>
    <w:rsid w:val="007F44E5"/>
    <w:rsid w:val="007F6333"/>
    <w:rsid w:val="007F6F44"/>
    <w:rsid w:val="00800920"/>
    <w:rsid w:val="00800E39"/>
    <w:rsid w:val="00801C84"/>
    <w:rsid w:val="008025A3"/>
    <w:rsid w:val="0080318D"/>
    <w:rsid w:val="00803427"/>
    <w:rsid w:val="00806042"/>
    <w:rsid w:val="00807EAA"/>
    <w:rsid w:val="00810750"/>
    <w:rsid w:val="00812C81"/>
    <w:rsid w:val="008130B6"/>
    <w:rsid w:val="00814D2D"/>
    <w:rsid w:val="00814DDD"/>
    <w:rsid w:val="00814EBD"/>
    <w:rsid w:val="0081558F"/>
    <w:rsid w:val="00815B57"/>
    <w:rsid w:val="008178DA"/>
    <w:rsid w:val="00820689"/>
    <w:rsid w:val="00820D27"/>
    <w:rsid w:val="0082265C"/>
    <w:rsid w:val="00823579"/>
    <w:rsid w:val="00826200"/>
    <w:rsid w:val="008274EE"/>
    <w:rsid w:val="00827708"/>
    <w:rsid w:val="00830386"/>
    <w:rsid w:val="00830EDA"/>
    <w:rsid w:val="00831346"/>
    <w:rsid w:val="008329AB"/>
    <w:rsid w:val="00832D29"/>
    <w:rsid w:val="008330E0"/>
    <w:rsid w:val="008337DD"/>
    <w:rsid w:val="008339A9"/>
    <w:rsid w:val="0083494F"/>
    <w:rsid w:val="00834CEE"/>
    <w:rsid w:val="00835E1A"/>
    <w:rsid w:val="0083678F"/>
    <w:rsid w:val="0083757A"/>
    <w:rsid w:val="0084043A"/>
    <w:rsid w:val="00844392"/>
    <w:rsid w:val="008454B0"/>
    <w:rsid w:val="008456A0"/>
    <w:rsid w:val="00847430"/>
    <w:rsid w:val="008474D9"/>
    <w:rsid w:val="008503DE"/>
    <w:rsid w:val="00850B70"/>
    <w:rsid w:val="00852439"/>
    <w:rsid w:val="00855D3F"/>
    <w:rsid w:val="0085789A"/>
    <w:rsid w:val="008579C7"/>
    <w:rsid w:val="00857F16"/>
    <w:rsid w:val="0086333F"/>
    <w:rsid w:val="00864197"/>
    <w:rsid w:val="00864E7E"/>
    <w:rsid w:val="00866DD5"/>
    <w:rsid w:val="00870F0E"/>
    <w:rsid w:val="00873278"/>
    <w:rsid w:val="00874C20"/>
    <w:rsid w:val="00875883"/>
    <w:rsid w:val="00875C99"/>
    <w:rsid w:val="00876C57"/>
    <w:rsid w:val="0088070C"/>
    <w:rsid w:val="00881527"/>
    <w:rsid w:val="00881780"/>
    <w:rsid w:val="00882551"/>
    <w:rsid w:val="00882D52"/>
    <w:rsid w:val="00883D6D"/>
    <w:rsid w:val="00890F72"/>
    <w:rsid w:val="00893660"/>
    <w:rsid w:val="00895EC6"/>
    <w:rsid w:val="008A51B8"/>
    <w:rsid w:val="008A5955"/>
    <w:rsid w:val="008A6EAA"/>
    <w:rsid w:val="008B18C9"/>
    <w:rsid w:val="008B24B9"/>
    <w:rsid w:val="008B39E1"/>
    <w:rsid w:val="008B3E34"/>
    <w:rsid w:val="008B587E"/>
    <w:rsid w:val="008B691A"/>
    <w:rsid w:val="008B7CF7"/>
    <w:rsid w:val="008C1B78"/>
    <w:rsid w:val="008C1C40"/>
    <w:rsid w:val="008C351E"/>
    <w:rsid w:val="008C4003"/>
    <w:rsid w:val="008C412D"/>
    <w:rsid w:val="008C4305"/>
    <w:rsid w:val="008C5BA3"/>
    <w:rsid w:val="008C67F6"/>
    <w:rsid w:val="008D6744"/>
    <w:rsid w:val="008D6DD7"/>
    <w:rsid w:val="008D7414"/>
    <w:rsid w:val="008E1D25"/>
    <w:rsid w:val="008E4F66"/>
    <w:rsid w:val="008E4FF3"/>
    <w:rsid w:val="008E6E49"/>
    <w:rsid w:val="008E7A55"/>
    <w:rsid w:val="008F075D"/>
    <w:rsid w:val="008F2711"/>
    <w:rsid w:val="008F29E5"/>
    <w:rsid w:val="008F3EF8"/>
    <w:rsid w:val="008F4631"/>
    <w:rsid w:val="008F4979"/>
    <w:rsid w:val="008F5222"/>
    <w:rsid w:val="008F5775"/>
    <w:rsid w:val="008F5A84"/>
    <w:rsid w:val="00900197"/>
    <w:rsid w:val="009004B1"/>
    <w:rsid w:val="00901C17"/>
    <w:rsid w:val="0090239E"/>
    <w:rsid w:val="00904CDC"/>
    <w:rsid w:val="0090561D"/>
    <w:rsid w:val="00905789"/>
    <w:rsid w:val="00905C8B"/>
    <w:rsid w:val="009062A3"/>
    <w:rsid w:val="00911E21"/>
    <w:rsid w:val="0091650D"/>
    <w:rsid w:val="00917C20"/>
    <w:rsid w:val="00920B05"/>
    <w:rsid w:val="00921255"/>
    <w:rsid w:val="009228D8"/>
    <w:rsid w:val="0092305E"/>
    <w:rsid w:val="00923710"/>
    <w:rsid w:val="00923CE6"/>
    <w:rsid w:val="00923E83"/>
    <w:rsid w:val="009256E9"/>
    <w:rsid w:val="009263B6"/>
    <w:rsid w:val="00926F5E"/>
    <w:rsid w:val="00927195"/>
    <w:rsid w:val="00927CB5"/>
    <w:rsid w:val="00930B2C"/>
    <w:rsid w:val="00930F1F"/>
    <w:rsid w:val="00931535"/>
    <w:rsid w:val="009315B7"/>
    <w:rsid w:val="00932E4D"/>
    <w:rsid w:val="00937C41"/>
    <w:rsid w:val="009418E3"/>
    <w:rsid w:val="00942C75"/>
    <w:rsid w:val="00946887"/>
    <w:rsid w:val="00947755"/>
    <w:rsid w:val="00947C15"/>
    <w:rsid w:val="009502FD"/>
    <w:rsid w:val="00952FCE"/>
    <w:rsid w:val="00954023"/>
    <w:rsid w:val="00955DEC"/>
    <w:rsid w:val="00956E40"/>
    <w:rsid w:val="00957019"/>
    <w:rsid w:val="00960133"/>
    <w:rsid w:val="00960BF3"/>
    <w:rsid w:val="00960D3F"/>
    <w:rsid w:val="00961E7F"/>
    <w:rsid w:val="00962909"/>
    <w:rsid w:val="009629BC"/>
    <w:rsid w:val="00962CF6"/>
    <w:rsid w:val="00963184"/>
    <w:rsid w:val="00964082"/>
    <w:rsid w:val="009648B9"/>
    <w:rsid w:val="00964BBF"/>
    <w:rsid w:val="00967B37"/>
    <w:rsid w:val="009716DE"/>
    <w:rsid w:val="00973846"/>
    <w:rsid w:val="00974786"/>
    <w:rsid w:val="00976720"/>
    <w:rsid w:val="0097711D"/>
    <w:rsid w:val="0098198C"/>
    <w:rsid w:val="009821B4"/>
    <w:rsid w:val="009824C4"/>
    <w:rsid w:val="009834A9"/>
    <w:rsid w:val="00983562"/>
    <w:rsid w:val="00985443"/>
    <w:rsid w:val="0098695E"/>
    <w:rsid w:val="00990230"/>
    <w:rsid w:val="009920E4"/>
    <w:rsid w:val="009921E3"/>
    <w:rsid w:val="0099296F"/>
    <w:rsid w:val="0099583E"/>
    <w:rsid w:val="00997E0E"/>
    <w:rsid w:val="009A06E2"/>
    <w:rsid w:val="009A1A1C"/>
    <w:rsid w:val="009A2B43"/>
    <w:rsid w:val="009A3538"/>
    <w:rsid w:val="009A3DF9"/>
    <w:rsid w:val="009A3E6A"/>
    <w:rsid w:val="009A4249"/>
    <w:rsid w:val="009A47CD"/>
    <w:rsid w:val="009A556B"/>
    <w:rsid w:val="009A6DB4"/>
    <w:rsid w:val="009B1A56"/>
    <w:rsid w:val="009B25C2"/>
    <w:rsid w:val="009B406F"/>
    <w:rsid w:val="009B450C"/>
    <w:rsid w:val="009B5555"/>
    <w:rsid w:val="009B55D0"/>
    <w:rsid w:val="009C0541"/>
    <w:rsid w:val="009C1A43"/>
    <w:rsid w:val="009C2CC1"/>
    <w:rsid w:val="009C4E74"/>
    <w:rsid w:val="009C5D8D"/>
    <w:rsid w:val="009C67FB"/>
    <w:rsid w:val="009C68E2"/>
    <w:rsid w:val="009C7892"/>
    <w:rsid w:val="009D051B"/>
    <w:rsid w:val="009D2B74"/>
    <w:rsid w:val="009D3A8A"/>
    <w:rsid w:val="009D3CEB"/>
    <w:rsid w:val="009D476F"/>
    <w:rsid w:val="009D68B9"/>
    <w:rsid w:val="009D694C"/>
    <w:rsid w:val="009D7DC2"/>
    <w:rsid w:val="009E1785"/>
    <w:rsid w:val="009E1A07"/>
    <w:rsid w:val="009E1BB8"/>
    <w:rsid w:val="009E1D21"/>
    <w:rsid w:val="009E2105"/>
    <w:rsid w:val="009E4F24"/>
    <w:rsid w:val="009E69C8"/>
    <w:rsid w:val="009F0D54"/>
    <w:rsid w:val="009F4203"/>
    <w:rsid w:val="009F562E"/>
    <w:rsid w:val="009F5C71"/>
    <w:rsid w:val="009F61E8"/>
    <w:rsid w:val="00A0298C"/>
    <w:rsid w:val="00A02EE9"/>
    <w:rsid w:val="00A04986"/>
    <w:rsid w:val="00A04D58"/>
    <w:rsid w:val="00A0582E"/>
    <w:rsid w:val="00A06ADA"/>
    <w:rsid w:val="00A0768C"/>
    <w:rsid w:val="00A10B82"/>
    <w:rsid w:val="00A11574"/>
    <w:rsid w:val="00A115B0"/>
    <w:rsid w:val="00A115CE"/>
    <w:rsid w:val="00A15E2C"/>
    <w:rsid w:val="00A167C4"/>
    <w:rsid w:val="00A20295"/>
    <w:rsid w:val="00A203A9"/>
    <w:rsid w:val="00A21619"/>
    <w:rsid w:val="00A24F59"/>
    <w:rsid w:val="00A2515D"/>
    <w:rsid w:val="00A254B5"/>
    <w:rsid w:val="00A25E36"/>
    <w:rsid w:val="00A268E8"/>
    <w:rsid w:val="00A273C9"/>
    <w:rsid w:val="00A27E43"/>
    <w:rsid w:val="00A306A3"/>
    <w:rsid w:val="00A34C97"/>
    <w:rsid w:val="00A41046"/>
    <w:rsid w:val="00A41196"/>
    <w:rsid w:val="00A41B98"/>
    <w:rsid w:val="00A42977"/>
    <w:rsid w:val="00A430C4"/>
    <w:rsid w:val="00A44079"/>
    <w:rsid w:val="00A441E9"/>
    <w:rsid w:val="00A44828"/>
    <w:rsid w:val="00A44DCF"/>
    <w:rsid w:val="00A44E3F"/>
    <w:rsid w:val="00A450D5"/>
    <w:rsid w:val="00A457DA"/>
    <w:rsid w:val="00A45D38"/>
    <w:rsid w:val="00A4605A"/>
    <w:rsid w:val="00A46F94"/>
    <w:rsid w:val="00A51911"/>
    <w:rsid w:val="00A5399D"/>
    <w:rsid w:val="00A55621"/>
    <w:rsid w:val="00A55C9D"/>
    <w:rsid w:val="00A55D9C"/>
    <w:rsid w:val="00A566E0"/>
    <w:rsid w:val="00A56AFB"/>
    <w:rsid w:val="00A60115"/>
    <w:rsid w:val="00A602F6"/>
    <w:rsid w:val="00A613B3"/>
    <w:rsid w:val="00A65912"/>
    <w:rsid w:val="00A666D8"/>
    <w:rsid w:val="00A7076B"/>
    <w:rsid w:val="00A72330"/>
    <w:rsid w:val="00A72995"/>
    <w:rsid w:val="00A74426"/>
    <w:rsid w:val="00A76C78"/>
    <w:rsid w:val="00A83BC8"/>
    <w:rsid w:val="00A84313"/>
    <w:rsid w:val="00A858EB"/>
    <w:rsid w:val="00A87023"/>
    <w:rsid w:val="00A87468"/>
    <w:rsid w:val="00A87B86"/>
    <w:rsid w:val="00A92C12"/>
    <w:rsid w:val="00A93063"/>
    <w:rsid w:val="00A93A2B"/>
    <w:rsid w:val="00A9667B"/>
    <w:rsid w:val="00AA1A85"/>
    <w:rsid w:val="00AA3270"/>
    <w:rsid w:val="00AA5B03"/>
    <w:rsid w:val="00AA5BBB"/>
    <w:rsid w:val="00AA6868"/>
    <w:rsid w:val="00AA7D5E"/>
    <w:rsid w:val="00AA7F97"/>
    <w:rsid w:val="00AB0251"/>
    <w:rsid w:val="00AB132E"/>
    <w:rsid w:val="00AB28CB"/>
    <w:rsid w:val="00AB52B7"/>
    <w:rsid w:val="00AB69FF"/>
    <w:rsid w:val="00AC1101"/>
    <w:rsid w:val="00AC1384"/>
    <w:rsid w:val="00AC14C3"/>
    <w:rsid w:val="00AC1B55"/>
    <w:rsid w:val="00AC3720"/>
    <w:rsid w:val="00AC426B"/>
    <w:rsid w:val="00AC4D7D"/>
    <w:rsid w:val="00AC69BE"/>
    <w:rsid w:val="00AC75FE"/>
    <w:rsid w:val="00AD0B3C"/>
    <w:rsid w:val="00AD0E1C"/>
    <w:rsid w:val="00AD1D00"/>
    <w:rsid w:val="00AD2417"/>
    <w:rsid w:val="00AD2A1F"/>
    <w:rsid w:val="00AD3E41"/>
    <w:rsid w:val="00AD416D"/>
    <w:rsid w:val="00AD43FA"/>
    <w:rsid w:val="00AD57C5"/>
    <w:rsid w:val="00AD64B5"/>
    <w:rsid w:val="00AE1E02"/>
    <w:rsid w:val="00AE3FB1"/>
    <w:rsid w:val="00AE7744"/>
    <w:rsid w:val="00AF0F6B"/>
    <w:rsid w:val="00AF34E5"/>
    <w:rsid w:val="00AF4E5E"/>
    <w:rsid w:val="00AF5006"/>
    <w:rsid w:val="00AF709A"/>
    <w:rsid w:val="00B0206F"/>
    <w:rsid w:val="00B02347"/>
    <w:rsid w:val="00B0240B"/>
    <w:rsid w:val="00B027EA"/>
    <w:rsid w:val="00B032B4"/>
    <w:rsid w:val="00B03CF6"/>
    <w:rsid w:val="00B03D1A"/>
    <w:rsid w:val="00B0505D"/>
    <w:rsid w:val="00B05165"/>
    <w:rsid w:val="00B053D4"/>
    <w:rsid w:val="00B07913"/>
    <w:rsid w:val="00B10D58"/>
    <w:rsid w:val="00B13984"/>
    <w:rsid w:val="00B15450"/>
    <w:rsid w:val="00B17FFE"/>
    <w:rsid w:val="00B2033A"/>
    <w:rsid w:val="00B20A01"/>
    <w:rsid w:val="00B2150D"/>
    <w:rsid w:val="00B22F7D"/>
    <w:rsid w:val="00B2726C"/>
    <w:rsid w:val="00B27DFA"/>
    <w:rsid w:val="00B27EA3"/>
    <w:rsid w:val="00B3010B"/>
    <w:rsid w:val="00B34CD9"/>
    <w:rsid w:val="00B35D51"/>
    <w:rsid w:val="00B37994"/>
    <w:rsid w:val="00B37CA2"/>
    <w:rsid w:val="00B417B3"/>
    <w:rsid w:val="00B4323C"/>
    <w:rsid w:val="00B442DA"/>
    <w:rsid w:val="00B4609E"/>
    <w:rsid w:val="00B46893"/>
    <w:rsid w:val="00B474B4"/>
    <w:rsid w:val="00B51C4B"/>
    <w:rsid w:val="00B51D17"/>
    <w:rsid w:val="00B539AD"/>
    <w:rsid w:val="00B55169"/>
    <w:rsid w:val="00B5649F"/>
    <w:rsid w:val="00B564DE"/>
    <w:rsid w:val="00B608C4"/>
    <w:rsid w:val="00B60BCD"/>
    <w:rsid w:val="00B62515"/>
    <w:rsid w:val="00B63CDE"/>
    <w:rsid w:val="00B654D7"/>
    <w:rsid w:val="00B664CC"/>
    <w:rsid w:val="00B70876"/>
    <w:rsid w:val="00B709DF"/>
    <w:rsid w:val="00B7506E"/>
    <w:rsid w:val="00B7551A"/>
    <w:rsid w:val="00B8021E"/>
    <w:rsid w:val="00B802CF"/>
    <w:rsid w:val="00B80917"/>
    <w:rsid w:val="00B818AD"/>
    <w:rsid w:val="00B823B4"/>
    <w:rsid w:val="00B83D52"/>
    <w:rsid w:val="00B8420B"/>
    <w:rsid w:val="00B84922"/>
    <w:rsid w:val="00B8646D"/>
    <w:rsid w:val="00B865D4"/>
    <w:rsid w:val="00B9108E"/>
    <w:rsid w:val="00B916E9"/>
    <w:rsid w:val="00B9243B"/>
    <w:rsid w:val="00B929F0"/>
    <w:rsid w:val="00B92F49"/>
    <w:rsid w:val="00B9395C"/>
    <w:rsid w:val="00B957A0"/>
    <w:rsid w:val="00B975BC"/>
    <w:rsid w:val="00BA0604"/>
    <w:rsid w:val="00BA2AAE"/>
    <w:rsid w:val="00BA335A"/>
    <w:rsid w:val="00BA4CBB"/>
    <w:rsid w:val="00BA6393"/>
    <w:rsid w:val="00BB0289"/>
    <w:rsid w:val="00BB1459"/>
    <w:rsid w:val="00BB26F0"/>
    <w:rsid w:val="00BB2BF3"/>
    <w:rsid w:val="00BB3725"/>
    <w:rsid w:val="00BC13CF"/>
    <w:rsid w:val="00BC3162"/>
    <w:rsid w:val="00BC43C3"/>
    <w:rsid w:val="00BC4FF7"/>
    <w:rsid w:val="00BC51E3"/>
    <w:rsid w:val="00BC5228"/>
    <w:rsid w:val="00BC68C7"/>
    <w:rsid w:val="00BC769E"/>
    <w:rsid w:val="00BC7B63"/>
    <w:rsid w:val="00BD167D"/>
    <w:rsid w:val="00BD2133"/>
    <w:rsid w:val="00BD2521"/>
    <w:rsid w:val="00BD2589"/>
    <w:rsid w:val="00BD756E"/>
    <w:rsid w:val="00BD7BB6"/>
    <w:rsid w:val="00BE0720"/>
    <w:rsid w:val="00BE4BC1"/>
    <w:rsid w:val="00BE56A3"/>
    <w:rsid w:val="00BE6016"/>
    <w:rsid w:val="00BE71D2"/>
    <w:rsid w:val="00BE75E7"/>
    <w:rsid w:val="00BE7B38"/>
    <w:rsid w:val="00BF12FC"/>
    <w:rsid w:val="00BF1BC2"/>
    <w:rsid w:val="00BF1DF8"/>
    <w:rsid w:val="00BF21BA"/>
    <w:rsid w:val="00BF3766"/>
    <w:rsid w:val="00BF3F7D"/>
    <w:rsid w:val="00BF5C6F"/>
    <w:rsid w:val="00C01D6E"/>
    <w:rsid w:val="00C02835"/>
    <w:rsid w:val="00C0383A"/>
    <w:rsid w:val="00C04852"/>
    <w:rsid w:val="00C04EC9"/>
    <w:rsid w:val="00C06419"/>
    <w:rsid w:val="00C0681C"/>
    <w:rsid w:val="00C06C20"/>
    <w:rsid w:val="00C10777"/>
    <w:rsid w:val="00C11F26"/>
    <w:rsid w:val="00C121DF"/>
    <w:rsid w:val="00C131C9"/>
    <w:rsid w:val="00C13201"/>
    <w:rsid w:val="00C133FA"/>
    <w:rsid w:val="00C13DC4"/>
    <w:rsid w:val="00C163E7"/>
    <w:rsid w:val="00C20935"/>
    <w:rsid w:val="00C20B4B"/>
    <w:rsid w:val="00C2120B"/>
    <w:rsid w:val="00C2177D"/>
    <w:rsid w:val="00C21B6B"/>
    <w:rsid w:val="00C21DB8"/>
    <w:rsid w:val="00C223EE"/>
    <w:rsid w:val="00C226FC"/>
    <w:rsid w:val="00C233EC"/>
    <w:rsid w:val="00C255AD"/>
    <w:rsid w:val="00C25DA1"/>
    <w:rsid w:val="00C26E42"/>
    <w:rsid w:val="00C27180"/>
    <w:rsid w:val="00C27225"/>
    <w:rsid w:val="00C27F10"/>
    <w:rsid w:val="00C30CE9"/>
    <w:rsid w:val="00C3679A"/>
    <w:rsid w:val="00C419B8"/>
    <w:rsid w:val="00C42DDA"/>
    <w:rsid w:val="00C43388"/>
    <w:rsid w:val="00C442FE"/>
    <w:rsid w:val="00C448A2"/>
    <w:rsid w:val="00C50792"/>
    <w:rsid w:val="00C51CFC"/>
    <w:rsid w:val="00C54B65"/>
    <w:rsid w:val="00C552EB"/>
    <w:rsid w:val="00C55308"/>
    <w:rsid w:val="00C576DC"/>
    <w:rsid w:val="00C6072C"/>
    <w:rsid w:val="00C6081E"/>
    <w:rsid w:val="00C61B14"/>
    <w:rsid w:val="00C62FD9"/>
    <w:rsid w:val="00C637B4"/>
    <w:rsid w:val="00C65094"/>
    <w:rsid w:val="00C6565C"/>
    <w:rsid w:val="00C7078B"/>
    <w:rsid w:val="00C71BEC"/>
    <w:rsid w:val="00C7483D"/>
    <w:rsid w:val="00C80348"/>
    <w:rsid w:val="00C8085C"/>
    <w:rsid w:val="00C8131B"/>
    <w:rsid w:val="00C81ED2"/>
    <w:rsid w:val="00C82117"/>
    <w:rsid w:val="00C85140"/>
    <w:rsid w:val="00C861B7"/>
    <w:rsid w:val="00C86D58"/>
    <w:rsid w:val="00C90B93"/>
    <w:rsid w:val="00C95382"/>
    <w:rsid w:val="00C962E8"/>
    <w:rsid w:val="00C96AA1"/>
    <w:rsid w:val="00C9712C"/>
    <w:rsid w:val="00CA089A"/>
    <w:rsid w:val="00CA4C95"/>
    <w:rsid w:val="00CA5B1F"/>
    <w:rsid w:val="00CA66C1"/>
    <w:rsid w:val="00CA6F99"/>
    <w:rsid w:val="00CA7877"/>
    <w:rsid w:val="00CB0C1C"/>
    <w:rsid w:val="00CB25D2"/>
    <w:rsid w:val="00CB298D"/>
    <w:rsid w:val="00CB3363"/>
    <w:rsid w:val="00CB359D"/>
    <w:rsid w:val="00CB44FA"/>
    <w:rsid w:val="00CB4D99"/>
    <w:rsid w:val="00CB60B9"/>
    <w:rsid w:val="00CC135C"/>
    <w:rsid w:val="00CC15E9"/>
    <w:rsid w:val="00CC17F8"/>
    <w:rsid w:val="00CC250F"/>
    <w:rsid w:val="00CC6BD6"/>
    <w:rsid w:val="00CC6DFD"/>
    <w:rsid w:val="00CD08F1"/>
    <w:rsid w:val="00CD09E8"/>
    <w:rsid w:val="00CD35C6"/>
    <w:rsid w:val="00CD45D0"/>
    <w:rsid w:val="00CD703D"/>
    <w:rsid w:val="00CE0A90"/>
    <w:rsid w:val="00CE144F"/>
    <w:rsid w:val="00CE1506"/>
    <w:rsid w:val="00CE2E1E"/>
    <w:rsid w:val="00CE2EAA"/>
    <w:rsid w:val="00CE3063"/>
    <w:rsid w:val="00CE3124"/>
    <w:rsid w:val="00CE3555"/>
    <w:rsid w:val="00CE3B3C"/>
    <w:rsid w:val="00CE4149"/>
    <w:rsid w:val="00CE4193"/>
    <w:rsid w:val="00CE53DE"/>
    <w:rsid w:val="00CE7692"/>
    <w:rsid w:val="00CE7858"/>
    <w:rsid w:val="00CE7DE7"/>
    <w:rsid w:val="00CF0068"/>
    <w:rsid w:val="00CF0AF8"/>
    <w:rsid w:val="00CF17D1"/>
    <w:rsid w:val="00CF2101"/>
    <w:rsid w:val="00CF64A9"/>
    <w:rsid w:val="00D02114"/>
    <w:rsid w:val="00D0275E"/>
    <w:rsid w:val="00D033CC"/>
    <w:rsid w:val="00D040B0"/>
    <w:rsid w:val="00D0415B"/>
    <w:rsid w:val="00D06400"/>
    <w:rsid w:val="00D07C02"/>
    <w:rsid w:val="00D107AA"/>
    <w:rsid w:val="00D11ACD"/>
    <w:rsid w:val="00D11E6D"/>
    <w:rsid w:val="00D12522"/>
    <w:rsid w:val="00D1332F"/>
    <w:rsid w:val="00D164BF"/>
    <w:rsid w:val="00D167DF"/>
    <w:rsid w:val="00D173F4"/>
    <w:rsid w:val="00D22242"/>
    <w:rsid w:val="00D25C5B"/>
    <w:rsid w:val="00D25DF1"/>
    <w:rsid w:val="00D26414"/>
    <w:rsid w:val="00D2737F"/>
    <w:rsid w:val="00D308FF"/>
    <w:rsid w:val="00D329DC"/>
    <w:rsid w:val="00D32D05"/>
    <w:rsid w:val="00D3423B"/>
    <w:rsid w:val="00D34AB6"/>
    <w:rsid w:val="00D37CA6"/>
    <w:rsid w:val="00D4056E"/>
    <w:rsid w:val="00D43E92"/>
    <w:rsid w:val="00D44CF9"/>
    <w:rsid w:val="00D44DED"/>
    <w:rsid w:val="00D44EA9"/>
    <w:rsid w:val="00D45178"/>
    <w:rsid w:val="00D471BA"/>
    <w:rsid w:val="00D4771F"/>
    <w:rsid w:val="00D4784E"/>
    <w:rsid w:val="00D47CB0"/>
    <w:rsid w:val="00D50A27"/>
    <w:rsid w:val="00D50AC5"/>
    <w:rsid w:val="00D50C69"/>
    <w:rsid w:val="00D510FE"/>
    <w:rsid w:val="00D53623"/>
    <w:rsid w:val="00D54BD6"/>
    <w:rsid w:val="00D550BD"/>
    <w:rsid w:val="00D567D7"/>
    <w:rsid w:val="00D574EC"/>
    <w:rsid w:val="00D600FD"/>
    <w:rsid w:val="00D603F4"/>
    <w:rsid w:val="00D62DE4"/>
    <w:rsid w:val="00D63287"/>
    <w:rsid w:val="00D642C6"/>
    <w:rsid w:val="00D658BE"/>
    <w:rsid w:val="00D66DDF"/>
    <w:rsid w:val="00D67FE6"/>
    <w:rsid w:val="00D7182D"/>
    <w:rsid w:val="00D756F8"/>
    <w:rsid w:val="00D769DC"/>
    <w:rsid w:val="00D80630"/>
    <w:rsid w:val="00D8078B"/>
    <w:rsid w:val="00D84944"/>
    <w:rsid w:val="00D860FD"/>
    <w:rsid w:val="00D861BD"/>
    <w:rsid w:val="00D87D02"/>
    <w:rsid w:val="00D91759"/>
    <w:rsid w:val="00D94434"/>
    <w:rsid w:val="00D9474F"/>
    <w:rsid w:val="00D96180"/>
    <w:rsid w:val="00D96576"/>
    <w:rsid w:val="00D96B96"/>
    <w:rsid w:val="00D97849"/>
    <w:rsid w:val="00DA10AE"/>
    <w:rsid w:val="00DA36E7"/>
    <w:rsid w:val="00DA3BC6"/>
    <w:rsid w:val="00DA61FE"/>
    <w:rsid w:val="00DA67E8"/>
    <w:rsid w:val="00DA6AC1"/>
    <w:rsid w:val="00DB1F42"/>
    <w:rsid w:val="00DB2D28"/>
    <w:rsid w:val="00DB5945"/>
    <w:rsid w:val="00DB5D58"/>
    <w:rsid w:val="00DB5E48"/>
    <w:rsid w:val="00DB7269"/>
    <w:rsid w:val="00DB75FA"/>
    <w:rsid w:val="00DB7E2E"/>
    <w:rsid w:val="00DC19CA"/>
    <w:rsid w:val="00DC1E1E"/>
    <w:rsid w:val="00DC2B90"/>
    <w:rsid w:val="00DC5742"/>
    <w:rsid w:val="00DC5A22"/>
    <w:rsid w:val="00DC6B5D"/>
    <w:rsid w:val="00DC743F"/>
    <w:rsid w:val="00DD00AD"/>
    <w:rsid w:val="00DD13C7"/>
    <w:rsid w:val="00DD36EC"/>
    <w:rsid w:val="00DD4879"/>
    <w:rsid w:val="00DD4AF3"/>
    <w:rsid w:val="00DD7504"/>
    <w:rsid w:val="00DD7901"/>
    <w:rsid w:val="00DE0897"/>
    <w:rsid w:val="00DE144C"/>
    <w:rsid w:val="00DE1E25"/>
    <w:rsid w:val="00DE21FA"/>
    <w:rsid w:val="00DE22A6"/>
    <w:rsid w:val="00DE2C0D"/>
    <w:rsid w:val="00DE3F2F"/>
    <w:rsid w:val="00DE56C1"/>
    <w:rsid w:val="00DE58F3"/>
    <w:rsid w:val="00DE631A"/>
    <w:rsid w:val="00DF1B61"/>
    <w:rsid w:val="00DF221A"/>
    <w:rsid w:val="00DF273A"/>
    <w:rsid w:val="00DF35D1"/>
    <w:rsid w:val="00DF3A99"/>
    <w:rsid w:val="00DF53E0"/>
    <w:rsid w:val="00DF5BD1"/>
    <w:rsid w:val="00DF61E4"/>
    <w:rsid w:val="00DF796D"/>
    <w:rsid w:val="00DF7DE0"/>
    <w:rsid w:val="00E00D16"/>
    <w:rsid w:val="00E01479"/>
    <w:rsid w:val="00E06EA1"/>
    <w:rsid w:val="00E100F6"/>
    <w:rsid w:val="00E11FC4"/>
    <w:rsid w:val="00E12362"/>
    <w:rsid w:val="00E137A8"/>
    <w:rsid w:val="00E13F90"/>
    <w:rsid w:val="00E15288"/>
    <w:rsid w:val="00E1695D"/>
    <w:rsid w:val="00E16B5A"/>
    <w:rsid w:val="00E1707F"/>
    <w:rsid w:val="00E170E3"/>
    <w:rsid w:val="00E171B2"/>
    <w:rsid w:val="00E20DFE"/>
    <w:rsid w:val="00E21FD2"/>
    <w:rsid w:val="00E220E2"/>
    <w:rsid w:val="00E22244"/>
    <w:rsid w:val="00E25C49"/>
    <w:rsid w:val="00E26347"/>
    <w:rsid w:val="00E264E5"/>
    <w:rsid w:val="00E30043"/>
    <w:rsid w:val="00E30B7D"/>
    <w:rsid w:val="00E30BA1"/>
    <w:rsid w:val="00E345D5"/>
    <w:rsid w:val="00E356DE"/>
    <w:rsid w:val="00E406F5"/>
    <w:rsid w:val="00E408D1"/>
    <w:rsid w:val="00E42A66"/>
    <w:rsid w:val="00E46647"/>
    <w:rsid w:val="00E47095"/>
    <w:rsid w:val="00E4732D"/>
    <w:rsid w:val="00E501D4"/>
    <w:rsid w:val="00E50323"/>
    <w:rsid w:val="00E516C4"/>
    <w:rsid w:val="00E52679"/>
    <w:rsid w:val="00E5481E"/>
    <w:rsid w:val="00E566D3"/>
    <w:rsid w:val="00E5733B"/>
    <w:rsid w:val="00E57397"/>
    <w:rsid w:val="00E57E44"/>
    <w:rsid w:val="00E601F0"/>
    <w:rsid w:val="00E6215B"/>
    <w:rsid w:val="00E628A4"/>
    <w:rsid w:val="00E64417"/>
    <w:rsid w:val="00E7007F"/>
    <w:rsid w:val="00E70BBB"/>
    <w:rsid w:val="00E70E85"/>
    <w:rsid w:val="00E77121"/>
    <w:rsid w:val="00E7769F"/>
    <w:rsid w:val="00E82E58"/>
    <w:rsid w:val="00E8482A"/>
    <w:rsid w:val="00E90482"/>
    <w:rsid w:val="00E91561"/>
    <w:rsid w:val="00E923BE"/>
    <w:rsid w:val="00E92773"/>
    <w:rsid w:val="00E93800"/>
    <w:rsid w:val="00E938E4"/>
    <w:rsid w:val="00E9659D"/>
    <w:rsid w:val="00E97044"/>
    <w:rsid w:val="00EA7C2D"/>
    <w:rsid w:val="00EB5292"/>
    <w:rsid w:val="00EC0B61"/>
    <w:rsid w:val="00EC110F"/>
    <w:rsid w:val="00EC6CAF"/>
    <w:rsid w:val="00EC6E8E"/>
    <w:rsid w:val="00ED0332"/>
    <w:rsid w:val="00ED18FA"/>
    <w:rsid w:val="00ED23F8"/>
    <w:rsid w:val="00ED44AF"/>
    <w:rsid w:val="00ED478E"/>
    <w:rsid w:val="00ED571A"/>
    <w:rsid w:val="00ED6CA0"/>
    <w:rsid w:val="00EE0C36"/>
    <w:rsid w:val="00EE24AB"/>
    <w:rsid w:val="00EE26E6"/>
    <w:rsid w:val="00EE279B"/>
    <w:rsid w:val="00EE414B"/>
    <w:rsid w:val="00EE5216"/>
    <w:rsid w:val="00EF32D0"/>
    <w:rsid w:val="00EF3AA0"/>
    <w:rsid w:val="00EF3CFA"/>
    <w:rsid w:val="00EF415D"/>
    <w:rsid w:val="00EF42DE"/>
    <w:rsid w:val="00EF6B3E"/>
    <w:rsid w:val="00EF71C8"/>
    <w:rsid w:val="00EF7A97"/>
    <w:rsid w:val="00F019D2"/>
    <w:rsid w:val="00F02A8D"/>
    <w:rsid w:val="00F03D4A"/>
    <w:rsid w:val="00F04AAC"/>
    <w:rsid w:val="00F05263"/>
    <w:rsid w:val="00F07670"/>
    <w:rsid w:val="00F07840"/>
    <w:rsid w:val="00F07D6A"/>
    <w:rsid w:val="00F07DC6"/>
    <w:rsid w:val="00F114B4"/>
    <w:rsid w:val="00F127EC"/>
    <w:rsid w:val="00F12B58"/>
    <w:rsid w:val="00F146B9"/>
    <w:rsid w:val="00F15ED5"/>
    <w:rsid w:val="00F17791"/>
    <w:rsid w:val="00F23837"/>
    <w:rsid w:val="00F2674F"/>
    <w:rsid w:val="00F270D9"/>
    <w:rsid w:val="00F27F90"/>
    <w:rsid w:val="00F30401"/>
    <w:rsid w:val="00F31A30"/>
    <w:rsid w:val="00F3335D"/>
    <w:rsid w:val="00F3425C"/>
    <w:rsid w:val="00F3427D"/>
    <w:rsid w:val="00F3448E"/>
    <w:rsid w:val="00F34F60"/>
    <w:rsid w:val="00F35CE3"/>
    <w:rsid w:val="00F403D5"/>
    <w:rsid w:val="00F42839"/>
    <w:rsid w:val="00F452B0"/>
    <w:rsid w:val="00F465B5"/>
    <w:rsid w:val="00F466C3"/>
    <w:rsid w:val="00F4671A"/>
    <w:rsid w:val="00F50DF6"/>
    <w:rsid w:val="00F519BA"/>
    <w:rsid w:val="00F531C5"/>
    <w:rsid w:val="00F541FC"/>
    <w:rsid w:val="00F54784"/>
    <w:rsid w:val="00F5721C"/>
    <w:rsid w:val="00F57EC0"/>
    <w:rsid w:val="00F60053"/>
    <w:rsid w:val="00F60BF5"/>
    <w:rsid w:val="00F6206A"/>
    <w:rsid w:val="00F627C6"/>
    <w:rsid w:val="00F650A4"/>
    <w:rsid w:val="00F65722"/>
    <w:rsid w:val="00F66452"/>
    <w:rsid w:val="00F6677C"/>
    <w:rsid w:val="00F66AC5"/>
    <w:rsid w:val="00F67AEC"/>
    <w:rsid w:val="00F717D4"/>
    <w:rsid w:val="00F7227B"/>
    <w:rsid w:val="00F72589"/>
    <w:rsid w:val="00F7500C"/>
    <w:rsid w:val="00F75DF8"/>
    <w:rsid w:val="00F77711"/>
    <w:rsid w:val="00F77892"/>
    <w:rsid w:val="00F77A1B"/>
    <w:rsid w:val="00F8034E"/>
    <w:rsid w:val="00F80687"/>
    <w:rsid w:val="00F807F0"/>
    <w:rsid w:val="00F80EA2"/>
    <w:rsid w:val="00F8223B"/>
    <w:rsid w:val="00F83E29"/>
    <w:rsid w:val="00F84836"/>
    <w:rsid w:val="00F854BB"/>
    <w:rsid w:val="00F861B2"/>
    <w:rsid w:val="00F877A7"/>
    <w:rsid w:val="00F90148"/>
    <w:rsid w:val="00F90994"/>
    <w:rsid w:val="00F90BF9"/>
    <w:rsid w:val="00F915D5"/>
    <w:rsid w:val="00F92AB7"/>
    <w:rsid w:val="00F94BFB"/>
    <w:rsid w:val="00F95241"/>
    <w:rsid w:val="00FA11C4"/>
    <w:rsid w:val="00FA1FDF"/>
    <w:rsid w:val="00FA28CB"/>
    <w:rsid w:val="00FA2942"/>
    <w:rsid w:val="00FA509F"/>
    <w:rsid w:val="00FA51DE"/>
    <w:rsid w:val="00FA5C0F"/>
    <w:rsid w:val="00FB0621"/>
    <w:rsid w:val="00FB3368"/>
    <w:rsid w:val="00FB3F80"/>
    <w:rsid w:val="00FB4385"/>
    <w:rsid w:val="00FB4C42"/>
    <w:rsid w:val="00FB4E64"/>
    <w:rsid w:val="00FB6B0F"/>
    <w:rsid w:val="00FB7979"/>
    <w:rsid w:val="00FB7A7F"/>
    <w:rsid w:val="00FC215C"/>
    <w:rsid w:val="00FC28D3"/>
    <w:rsid w:val="00FC3220"/>
    <w:rsid w:val="00FC4343"/>
    <w:rsid w:val="00FC4563"/>
    <w:rsid w:val="00FC57B4"/>
    <w:rsid w:val="00FC6A03"/>
    <w:rsid w:val="00FC6A88"/>
    <w:rsid w:val="00FC7D75"/>
    <w:rsid w:val="00FD06F5"/>
    <w:rsid w:val="00FD0E25"/>
    <w:rsid w:val="00FD1514"/>
    <w:rsid w:val="00FD1A22"/>
    <w:rsid w:val="00FD3453"/>
    <w:rsid w:val="00FD4F40"/>
    <w:rsid w:val="00FD5559"/>
    <w:rsid w:val="00FE050A"/>
    <w:rsid w:val="00FE2F35"/>
    <w:rsid w:val="00FE30C1"/>
    <w:rsid w:val="00FE32A9"/>
    <w:rsid w:val="00FE4305"/>
    <w:rsid w:val="00FE5C85"/>
    <w:rsid w:val="00FE5CE8"/>
    <w:rsid w:val="00FE6981"/>
    <w:rsid w:val="00FF18C7"/>
    <w:rsid w:val="00FF2422"/>
    <w:rsid w:val="00FF30FA"/>
    <w:rsid w:val="00FF38B9"/>
    <w:rsid w:val="00FF49B2"/>
    <w:rsid w:val="00FF4D71"/>
    <w:rsid w:val="00FF6531"/>
    <w:rsid w:val="00FF73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57E"/>
    <w:rPr>
      <w:szCs w:val="20"/>
    </w:rPr>
  </w:style>
  <w:style w:type="paragraph" w:styleId="Heading1">
    <w:name w:val="heading 1"/>
    <w:next w:val="BodyText"/>
    <w:link w:val="Heading1Char"/>
    <w:qFormat/>
    <w:rsid w:val="00EC6CAF"/>
    <w:pPr>
      <w:keepNext/>
      <w:spacing w:after="120" w:line="360" w:lineRule="auto"/>
      <w:outlineLvl w:val="0"/>
    </w:pPr>
    <w:rPr>
      <w:rFonts w:cs="Arial"/>
      <w:b/>
      <w:color w:val="004280"/>
      <w:kern w:val="32"/>
      <w:sz w:val="28"/>
      <w:szCs w:val="28"/>
    </w:rPr>
  </w:style>
  <w:style w:type="paragraph" w:styleId="Heading2">
    <w:name w:val="heading 2"/>
    <w:next w:val="BodyText"/>
    <w:link w:val="Heading2Char"/>
    <w:qFormat/>
    <w:rsid w:val="00814DDD"/>
    <w:pPr>
      <w:keepNext/>
      <w:tabs>
        <w:tab w:val="num" w:pos="1440"/>
      </w:tabs>
      <w:spacing w:before="240" w:after="120" w:line="360" w:lineRule="auto"/>
      <w:outlineLvl w:val="1"/>
    </w:pPr>
    <w:rPr>
      <w:rFonts w:cs="Arial"/>
      <w:b/>
      <w:bCs/>
      <w:iCs/>
      <w:sz w:val="28"/>
      <w:szCs w:val="28"/>
    </w:rPr>
  </w:style>
  <w:style w:type="paragraph" w:styleId="Heading3">
    <w:name w:val="heading 3"/>
    <w:next w:val="BodyText"/>
    <w:link w:val="Heading3Char"/>
    <w:qFormat/>
    <w:rsid w:val="00AF34E5"/>
    <w:pPr>
      <w:keepNext/>
      <w:spacing w:before="240" w:after="120" w:line="360" w:lineRule="auto"/>
      <w:outlineLvl w:val="2"/>
    </w:pPr>
    <w:rPr>
      <w:rFonts w:cs="Arial"/>
      <w:b/>
      <w:bCs/>
      <w:sz w:val="24"/>
      <w:szCs w:val="26"/>
    </w:rPr>
  </w:style>
  <w:style w:type="paragraph" w:styleId="Heading4">
    <w:name w:val="heading 4"/>
    <w:next w:val="BodyText"/>
    <w:link w:val="Heading4Char"/>
    <w:qFormat/>
    <w:rsid w:val="006C73CE"/>
    <w:pPr>
      <w:spacing w:before="120" w:after="120"/>
      <w:jc w:val="both"/>
      <w:outlineLvl w:val="3"/>
    </w:pPr>
    <w:rPr>
      <w:rFonts w:eastAsiaTheme="minorEastAsia" w:cstheme="minorBidi"/>
      <w:b/>
      <w:bCs/>
      <w:i/>
      <w:snapToGrid w:val="0"/>
      <w:sz w:val="24"/>
      <w:szCs w:val="24"/>
    </w:rPr>
  </w:style>
  <w:style w:type="paragraph" w:styleId="Heading5">
    <w:name w:val="heading 5"/>
    <w:next w:val="BodyText"/>
    <w:link w:val="Heading5Char"/>
    <w:unhideWhenUsed/>
    <w:qFormat/>
    <w:rsid w:val="00092229"/>
    <w:pPr>
      <w:keepNext/>
      <w:keepLines/>
      <w:tabs>
        <w:tab w:val="left" w:pos="720"/>
      </w:tabs>
      <w:spacing w:before="120" w:after="120"/>
      <w:outlineLvl w:val="4"/>
    </w:pPr>
    <w:rPr>
      <w:rFonts w:eastAsiaTheme="majorEastAsia" w:cstheme="majorBidi"/>
      <w:b/>
      <w:szCs w:val="20"/>
    </w:rPr>
  </w:style>
  <w:style w:type="paragraph" w:styleId="Heading6">
    <w:name w:val="heading 6"/>
    <w:aliases w:val=" Char4,Char4"/>
    <w:basedOn w:val="Normal"/>
    <w:next w:val="Normal"/>
    <w:link w:val="Heading6Char"/>
    <w:qFormat/>
    <w:rsid w:val="00CE7692"/>
    <w:pPr>
      <w:numPr>
        <w:ilvl w:val="5"/>
        <w:numId w:val="1"/>
      </w:numPr>
      <w:tabs>
        <w:tab w:val="clear" w:pos="1152"/>
      </w:tabs>
      <w:spacing w:before="240" w:after="60"/>
      <w:outlineLvl w:val="5"/>
    </w:pPr>
    <w:rPr>
      <w:rFonts w:ascii="Times New Roman" w:hAnsi="Times New Roman"/>
      <w:b/>
      <w:bCs/>
      <w:sz w:val="20"/>
      <w:szCs w:val="22"/>
      <w:lang w:val="en-US" w:eastAsia="en-US"/>
    </w:rPr>
  </w:style>
  <w:style w:type="paragraph" w:styleId="Heading7">
    <w:name w:val="heading 7"/>
    <w:aliases w:val=" Char3,Char3"/>
    <w:basedOn w:val="Normal"/>
    <w:next w:val="Normal"/>
    <w:link w:val="Heading7Char"/>
    <w:qFormat/>
    <w:rsid w:val="00CE7692"/>
    <w:pPr>
      <w:numPr>
        <w:ilvl w:val="6"/>
        <w:numId w:val="1"/>
      </w:numPr>
      <w:tabs>
        <w:tab w:val="clear" w:pos="1296"/>
      </w:tabs>
      <w:spacing w:before="240" w:after="60"/>
      <w:outlineLvl w:val="6"/>
    </w:pPr>
    <w:rPr>
      <w:rFonts w:ascii="Times New Roman" w:hAnsi="Times New Roman"/>
      <w:sz w:val="24"/>
      <w:szCs w:val="24"/>
      <w:lang w:val="en-US" w:eastAsia="en-US"/>
    </w:rPr>
  </w:style>
  <w:style w:type="paragraph" w:styleId="Heading8">
    <w:name w:val="heading 8"/>
    <w:aliases w:val=" Char2"/>
    <w:basedOn w:val="Normal"/>
    <w:next w:val="Normal"/>
    <w:link w:val="Heading8Char"/>
    <w:qFormat/>
    <w:rsid w:val="00CE7692"/>
    <w:pPr>
      <w:numPr>
        <w:ilvl w:val="7"/>
        <w:numId w:val="1"/>
      </w:numPr>
      <w:tabs>
        <w:tab w:val="clear" w:pos="1440"/>
      </w:tabs>
      <w:spacing w:before="240" w:after="60"/>
      <w:outlineLvl w:val="7"/>
    </w:pPr>
    <w:rPr>
      <w:rFonts w:ascii="Times New Roman" w:hAnsi="Times New Roman"/>
      <w:i/>
      <w:iCs/>
      <w:sz w:val="24"/>
      <w:szCs w:val="24"/>
      <w:lang w:val="en-US" w:eastAsia="en-US"/>
    </w:rPr>
  </w:style>
  <w:style w:type="paragraph" w:styleId="Heading9">
    <w:name w:val="heading 9"/>
    <w:aliases w:val=" Char1,Char1"/>
    <w:basedOn w:val="Normal"/>
    <w:next w:val="Normal"/>
    <w:link w:val="Heading9Char"/>
    <w:qFormat/>
    <w:rsid w:val="00CE7692"/>
    <w:pPr>
      <w:numPr>
        <w:ilvl w:val="8"/>
        <w:numId w:val="1"/>
      </w:numPr>
      <w:tabs>
        <w:tab w:val="clear" w:pos="1584"/>
      </w:tabs>
      <w:spacing w:before="240" w:after="60"/>
      <w:outlineLvl w:val="8"/>
    </w:pPr>
    <w:rPr>
      <w:sz w:val="2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C73CE"/>
    <w:rPr>
      <w:rFonts w:eastAsiaTheme="minorEastAsia" w:cstheme="minorBidi"/>
      <w:b/>
      <w:bCs/>
      <w:i/>
      <w:snapToGrid w:val="0"/>
      <w:sz w:val="24"/>
      <w:szCs w:val="24"/>
    </w:rPr>
  </w:style>
  <w:style w:type="character" w:customStyle="1" w:styleId="Heading1Char">
    <w:name w:val="Heading 1 Char"/>
    <w:basedOn w:val="DefaultParagraphFont"/>
    <w:link w:val="Heading1"/>
    <w:rsid w:val="00EC6CAF"/>
    <w:rPr>
      <w:rFonts w:cs="Arial"/>
      <w:b/>
      <w:color w:val="004280"/>
      <w:kern w:val="32"/>
      <w:sz w:val="28"/>
      <w:szCs w:val="28"/>
    </w:rPr>
  </w:style>
  <w:style w:type="character" w:customStyle="1" w:styleId="Heading2Char">
    <w:name w:val="Heading 2 Char"/>
    <w:basedOn w:val="DefaultParagraphFont"/>
    <w:link w:val="Heading2"/>
    <w:rsid w:val="00814DDD"/>
    <w:rPr>
      <w:rFonts w:cs="Arial"/>
      <w:b/>
      <w:bCs/>
      <w:iCs/>
      <w:sz w:val="28"/>
      <w:szCs w:val="28"/>
    </w:rPr>
  </w:style>
  <w:style w:type="character" w:customStyle="1" w:styleId="Heading3Char">
    <w:name w:val="Heading 3 Char"/>
    <w:basedOn w:val="DefaultParagraphFont"/>
    <w:link w:val="Heading3"/>
    <w:rsid w:val="00AF34E5"/>
    <w:rPr>
      <w:rFonts w:cs="Arial"/>
      <w:b/>
      <w:bCs/>
      <w:sz w:val="24"/>
      <w:szCs w:val="26"/>
    </w:rPr>
  </w:style>
  <w:style w:type="paragraph" w:styleId="Header">
    <w:name w:val="header"/>
    <w:basedOn w:val="Normal"/>
    <w:link w:val="HeaderChar"/>
    <w:rsid w:val="00C21DB8"/>
    <w:pPr>
      <w:tabs>
        <w:tab w:val="center" w:pos="4153"/>
        <w:tab w:val="right" w:pos="8306"/>
      </w:tabs>
    </w:pPr>
    <w:rPr>
      <w:szCs w:val="22"/>
    </w:rPr>
  </w:style>
  <w:style w:type="character" w:customStyle="1" w:styleId="HeaderChar">
    <w:name w:val="Header Char"/>
    <w:basedOn w:val="DefaultParagraphFont"/>
    <w:link w:val="Header"/>
    <w:rsid w:val="00C21DB8"/>
    <w:rPr>
      <w:szCs w:val="24"/>
    </w:rPr>
  </w:style>
  <w:style w:type="paragraph" w:styleId="Footer">
    <w:name w:val="footer"/>
    <w:aliases w:val=" Char6,Char2"/>
    <w:basedOn w:val="Normal"/>
    <w:link w:val="FooterChar"/>
    <w:uiPriority w:val="99"/>
    <w:rsid w:val="00C21DB8"/>
    <w:pPr>
      <w:tabs>
        <w:tab w:val="center" w:pos="4153"/>
        <w:tab w:val="right" w:pos="8306"/>
      </w:tabs>
    </w:pPr>
    <w:rPr>
      <w:szCs w:val="22"/>
    </w:rPr>
  </w:style>
  <w:style w:type="character" w:customStyle="1" w:styleId="FooterChar">
    <w:name w:val="Footer Char"/>
    <w:aliases w:val=" Char6 Char,Char2 Char"/>
    <w:basedOn w:val="DefaultParagraphFont"/>
    <w:link w:val="Footer"/>
    <w:uiPriority w:val="99"/>
    <w:rsid w:val="00C21DB8"/>
    <w:rPr>
      <w:szCs w:val="24"/>
    </w:rPr>
  </w:style>
  <w:style w:type="character" w:styleId="Hyperlink">
    <w:name w:val="Hyperlink"/>
    <w:uiPriority w:val="99"/>
    <w:unhideWhenUsed/>
    <w:rsid w:val="00C21DB8"/>
    <w:rPr>
      <w:color w:val="0000FF"/>
      <w:u w:val="single"/>
    </w:rPr>
  </w:style>
  <w:style w:type="paragraph" w:styleId="BalloonText">
    <w:name w:val="Balloon Text"/>
    <w:basedOn w:val="Normal"/>
    <w:link w:val="BalloonTextChar"/>
    <w:uiPriority w:val="99"/>
    <w:semiHidden/>
    <w:unhideWhenUsed/>
    <w:rsid w:val="00C21DB8"/>
    <w:rPr>
      <w:rFonts w:ascii="Tahoma" w:hAnsi="Tahoma" w:cs="Tahoma"/>
      <w:sz w:val="16"/>
      <w:szCs w:val="16"/>
    </w:rPr>
  </w:style>
  <w:style w:type="character" w:customStyle="1" w:styleId="BalloonTextChar">
    <w:name w:val="Balloon Text Char"/>
    <w:link w:val="BalloonText"/>
    <w:uiPriority w:val="99"/>
    <w:semiHidden/>
    <w:rsid w:val="00C21DB8"/>
    <w:rPr>
      <w:rFonts w:ascii="Tahoma" w:hAnsi="Tahoma" w:cs="Tahoma"/>
      <w:sz w:val="16"/>
      <w:szCs w:val="16"/>
    </w:rPr>
  </w:style>
  <w:style w:type="paragraph" w:customStyle="1" w:styleId="Tableheading">
    <w:name w:val="Table heading"/>
    <w:basedOn w:val="BodyText"/>
    <w:qFormat/>
    <w:rsid w:val="00D861BD"/>
    <w:pPr>
      <w:tabs>
        <w:tab w:val="left" w:pos="1304"/>
        <w:tab w:val="left" w:pos="1701"/>
      </w:tabs>
      <w:spacing w:before="240" w:line="240" w:lineRule="auto"/>
    </w:pPr>
    <w:rPr>
      <w:b/>
      <w:szCs w:val="24"/>
    </w:rPr>
  </w:style>
  <w:style w:type="paragraph" w:styleId="BodyText">
    <w:name w:val="Body Text"/>
    <w:link w:val="BodyTextChar"/>
    <w:unhideWhenUsed/>
    <w:rsid w:val="001058BD"/>
    <w:pPr>
      <w:spacing w:after="120" w:line="360" w:lineRule="auto"/>
    </w:pPr>
    <w:rPr>
      <w:rFonts w:cs="Arial"/>
      <w:lang w:val="en-US" w:eastAsia="en-US"/>
    </w:rPr>
  </w:style>
  <w:style w:type="character" w:customStyle="1" w:styleId="BodyTextChar">
    <w:name w:val="Body Text Char"/>
    <w:basedOn w:val="DefaultParagraphFont"/>
    <w:link w:val="BodyText"/>
    <w:rsid w:val="001058BD"/>
    <w:rPr>
      <w:rFonts w:cs="Arial"/>
      <w:lang w:val="en-US" w:eastAsia="en-US"/>
    </w:rPr>
  </w:style>
  <w:style w:type="paragraph" w:customStyle="1" w:styleId="Tablecolumnheading">
    <w:name w:val="Table column heading"/>
    <w:rsid w:val="00BF3F7D"/>
    <w:pPr>
      <w:tabs>
        <w:tab w:val="left" w:pos="851"/>
      </w:tabs>
      <w:spacing w:before="60" w:after="60"/>
    </w:pPr>
    <w:rPr>
      <w:rFonts w:cs="Arial"/>
      <w:b/>
      <w:sz w:val="20"/>
      <w:szCs w:val="24"/>
      <w:lang w:val="en-US" w:eastAsia="en-US"/>
    </w:rPr>
  </w:style>
  <w:style w:type="paragraph" w:customStyle="1" w:styleId="Tabletextleftaligned">
    <w:name w:val="Table text left aligned"/>
    <w:basedOn w:val="BodyText"/>
    <w:rsid w:val="00782244"/>
    <w:pPr>
      <w:tabs>
        <w:tab w:val="left" w:pos="851"/>
      </w:tabs>
      <w:spacing w:before="60" w:after="60"/>
    </w:pPr>
    <w:rPr>
      <w:sz w:val="20"/>
      <w:szCs w:val="24"/>
    </w:rPr>
  </w:style>
  <w:style w:type="paragraph" w:customStyle="1" w:styleId="Contentsheading">
    <w:name w:val="Contents heading"/>
    <w:basedOn w:val="Heading1"/>
    <w:next w:val="BodyText"/>
    <w:rsid w:val="00782244"/>
    <w:pPr>
      <w:tabs>
        <w:tab w:val="left" w:pos="851"/>
      </w:tabs>
    </w:pPr>
    <w:rPr>
      <w:rFonts w:cs="Times New Roman"/>
      <w:iCs/>
      <w:kern w:val="0"/>
    </w:rPr>
  </w:style>
  <w:style w:type="paragraph" w:customStyle="1" w:styleId="Blockquote">
    <w:name w:val="Block quote"/>
    <w:qFormat/>
    <w:rsid w:val="001058BD"/>
    <w:pPr>
      <w:spacing w:after="120" w:line="360" w:lineRule="auto"/>
      <w:ind w:left="720"/>
    </w:pPr>
    <w:rPr>
      <w:i/>
      <w:szCs w:val="20"/>
    </w:rPr>
  </w:style>
  <w:style w:type="paragraph" w:styleId="TOC1">
    <w:name w:val="toc 1"/>
    <w:basedOn w:val="Normal"/>
    <w:next w:val="Normal"/>
    <w:autoRedefine/>
    <w:uiPriority w:val="39"/>
    <w:qFormat/>
    <w:rsid w:val="00901C17"/>
    <w:pPr>
      <w:tabs>
        <w:tab w:val="right" w:leader="dot" w:pos="10206"/>
      </w:tabs>
      <w:spacing w:line="360" w:lineRule="auto"/>
    </w:pPr>
    <w:rPr>
      <w:rFonts w:cs="Arial"/>
      <w:szCs w:val="28"/>
    </w:rPr>
  </w:style>
  <w:style w:type="character" w:styleId="CommentReference">
    <w:name w:val="annotation reference"/>
    <w:basedOn w:val="DefaultParagraphFont"/>
    <w:uiPriority w:val="99"/>
    <w:semiHidden/>
    <w:unhideWhenUsed/>
    <w:rsid w:val="00DC1E1E"/>
    <w:rPr>
      <w:sz w:val="16"/>
      <w:szCs w:val="16"/>
    </w:rPr>
  </w:style>
  <w:style w:type="paragraph" w:styleId="CommentText">
    <w:name w:val="annotation text"/>
    <w:basedOn w:val="Normal"/>
    <w:link w:val="CommentTextChar"/>
    <w:uiPriority w:val="99"/>
    <w:unhideWhenUsed/>
    <w:rsid w:val="00DC1E1E"/>
    <w:rPr>
      <w:sz w:val="20"/>
    </w:rPr>
  </w:style>
  <w:style w:type="character" w:customStyle="1" w:styleId="CommentTextChar">
    <w:name w:val="Comment Text Char"/>
    <w:basedOn w:val="DefaultParagraphFont"/>
    <w:link w:val="CommentText"/>
    <w:uiPriority w:val="99"/>
    <w:rsid w:val="00DC1E1E"/>
    <w:rPr>
      <w:sz w:val="20"/>
      <w:szCs w:val="20"/>
    </w:rPr>
  </w:style>
  <w:style w:type="paragraph" w:styleId="CommentSubject">
    <w:name w:val="annotation subject"/>
    <w:basedOn w:val="CommentText"/>
    <w:next w:val="CommentText"/>
    <w:link w:val="CommentSubjectChar"/>
    <w:uiPriority w:val="99"/>
    <w:semiHidden/>
    <w:unhideWhenUsed/>
    <w:rsid w:val="00DC1E1E"/>
    <w:rPr>
      <w:b/>
      <w:bCs/>
    </w:rPr>
  </w:style>
  <w:style w:type="character" w:customStyle="1" w:styleId="CommentSubjectChar">
    <w:name w:val="Comment Subject Char"/>
    <w:basedOn w:val="CommentTextChar"/>
    <w:link w:val="CommentSubject"/>
    <w:uiPriority w:val="99"/>
    <w:semiHidden/>
    <w:rsid w:val="00DC1E1E"/>
    <w:rPr>
      <w:b/>
      <w:bCs/>
      <w:sz w:val="20"/>
      <w:szCs w:val="20"/>
    </w:rPr>
  </w:style>
  <w:style w:type="paragraph" w:customStyle="1" w:styleId="Coverpagebannerfont">
    <w:name w:val="Cover page banner font"/>
    <w:basedOn w:val="Normal"/>
    <w:rsid w:val="00CE7692"/>
    <w:pPr>
      <w:jc w:val="center"/>
    </w:pPr>
    <w:rPr>
      <w:color w:val="FFFFFF"/>
      <w:sz w:val="72"/>
      <w:lang w:val="en-US" w:eastAsia="en-US"/>
    </w:rPr>
  </w:style>
  <w:style w:type="character" w:customStyle="1" w:styleId="Heading6Char">
    <w:name w:val="Heading 6 Char"/>
    <w:aliases w:val=" Char4 Char,Char4 Char"/>
    <w:basedOn w:val="DefaultParagraphFont"/>
    <w:link w:val="Heading6"/>
    <w:rsid w:val="00CE7692"/>
    <w:rPr>
      <w:rFonts w:ascii="Times New Roman" w:hAnsi="Times New Roman"/>
      <w:b/>
      <w:bCs/>
      <w:sz w:val="20"/>
      <w:lang w:val="en-US" w:eastAsia="en-US"/>
    </w:rPr>
  </w:style>
  <w:style w:type="character" w:customStyle="1" w:styleId="Heading7Char">
    <w:name w:val="Heading 7 Char"/>
    <w:aliases w:val=" Char3 Char,Char3 Char"/>
    <w:basedOn w:val="DefaultParagraphFont"/>
    <w:link w:val="Heading7"/>
    <w:rsid w:val="00CE7692"/>
    <w:rPr>
      <w:rFonts w:ascii="Times New Roman" w:hAnsi="Times New Roman"/>
      <w:sz w:val="24"/>
      <w:szCs w:val="24"/>
      <w:lang w:val="en-US" w:eastAsia="en-US"/>
    </w:rPr>
  </w:style>
  <w:style w:type="character" w:customStyle="1" w:styleId="Heading8Char">
    <w:name w:val="Heading 8 Char"/>
    <w:aliases w:val=" Char2 Char"/>
    <w:basedOn w:val="DefaultParagraphFont"/>
    <w:link w:val="Heading8"/>
    <w:rsid w:val="00CE7692"/>
    <w:rPr>
      <w:rFonts w:ascii="Times New Roman" w:hAnsi="Times New Roman"/>
      <w:i/>
      <w:iCs/>
      <w:sz w:val="24"/>
      <w:szCs w:val="24"/>
      <w:lang w:val="en-US" w:eastAsia="en-US"/>
    </w:rPr>
  </w:style>
  <w:style w:type="character" w:customStyle="1" w:styleId="Heading9Char">
    <w:name w:val="Heading 9 Char"/>
    <w:aliases w:val=" Char1 Char,Char1 Char"/>
    <w:basedOn w:val="DefaultParagraphFont"/>
    <w:link w:val="Heading9"/>
    <w:rsid w:val="00CE7692"/>
    <w:rPr>
      <w:sz w:val="20"/>
      <w:lang w:val="en-US" w:eastAsia="en-US"/>
    </w:rPr>
  </w:style>
  <w:style w:type="character" w:customStyle="1" w:styleId="Heading5Char">
    <w:name w:val="Heading 5 Char"/>
    <w:basedOn w:val="DefaultParagraphFont"/>
    <w:link w:val="Heading5"/>
    <w:rsid w:val="00092229"/>
    <w:rPr>
      <w:rFonts w:eastAsiaTheme="majorEastAsia" w:cstheme="majorBidi"/>
      <w:b/>
      <w:szCs w:val="20"/>
    </w:rPr>
  </w:style>
  <w:style w:type="numbering" w:styleId="ArticleSection">
    <w:name w:val="Outline List 3"/>
    <w:basedOn w:val="NoList"/>
    <w:semiHidden/>
    <w:rsid w:val="00CE7692"/>
    <w:pPr>
      <w:numPr>
        <w:numId w:val="1"/>
      </w:numPr>
    </w:pPr>
  </w:style>
  <w:style w:type="numbering" w:styleId="111111">
    <w:name w:val="Outline List 2"/>
    <w:basedOn w:val="NoList"/>
    <w:semiHidden/>
    <w:rsid w:val="0085789A"/>
    <w:pPr>
      <w:numPr>
        <w:numId w:val="2"/>
      </w:numPr>
    </w:pPr>
  </w:style>
  <w:style w:type="paragraph" w:customStyle="1" w:styleId="Non-TOCsub-heading">
    <w:name w:val="Non-TOC sub-heading"/>
    <w:next w:val="BodyText"/>
    <w:qFormat/>
    <w:rsid w:val="006E4DA8"/>
    <w:pPr>
      <w:spacing w:line="360" w:lineRule="auto"/>
    </w:pPr>
    <w:rPr>
      <w:rFonts w:cs="Arial"/>
      <w:i/>
    </w:rPr>
  </w:style>
  <w:style w:type="paragraph" w:customStyle="1" w:styleId="Bodytextbullets">
    <w:name w:val="Body text bullets"/>
    <w:basedOn w:val="BodyText"/>
    <w:link w:val="BodytextbulletsChar"/>
    <w:rsid w:val="00AF34E5"/>
    <w:pPr>
      <w:numPr>
        <w:numId w:val="4"/>
      </w:numPr>
      <w:tabs>
        <w:tab w:val="clear" w:pos="567"/>
        <w:tab w:val="left" w:pos="357"/>
      </w:tabs>
      <w:ind w:left="357" w:hanging="357"/>
    </w:pPr>
    <w:rPr>
      <w:szCs w:val="24"/>
      <w:lang w:val="x-none"/>
    </w:rPr>
  </w:style>
  <w:style w:type="character" w:customStyle="1" w:styleId="BodytextbulletsChar">
    <w:name w:val="Body text bullets Char"/>
    <w:link w:val="Bodytextbullets"/>
    <w:rsid w:val="00AF34E5"/>
    <w:rPr>
      <w:rFonts w:cs="Arial"/>
      <w:szCs w:val="24"/>
      <w:lang w:val="x-none" w:eastAsia="en-US"/>
    </w:rPr>
  </w:style>
  <w:style w:type="paragraph" w:customStyle="1" w:styleId="Tablefootnote">
    <w:name w:val="Table footnote"/>
    <w:qFormat/>
    <w:rsid w:val="00BF3F7D"/>
    <w:pPr>
      <w:tabs>
        <w:tab w:val="left" w:pos="284"/>
      </w:tabs>
      <w:spacing w:before="60" w:after="60"/>
      <w:ind w:left="284" w:hanging="284"/>
    </w:pPr>
    <w:rPr>
      <w:rFonts w:cs="Arial"/>
      <w:sz w:val="18"/>
      <w:szCs w:val="18"/>
    </w:rPr>
  </w:style>
  <w:style w:type="paragraph" w:customStyle="1" w:styleId="Tabletextcentred">
    <w:name w:val="Table text centred"/>
    <w:basedOn w:val="Tabletextleftaligned"/>
    <w:rsid w:val="0077184E"/>
    <w:pPr>
      <w:spacing w:line="240" w:lineRule="auto"/>
      <w:jc w:val="center"/>
    </w:pPr>
  </w:style>
  <w:style w:type="table" w:styleId="TableGrid">
    <w:name w:val="Table Grid"/>
    <w:basedOn w:val="TableNormal"/>
    <w:rsid w:val="00E70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BBB"/>
    <w:pPr>
      <w:ind w:left="720"/>
      <w:contextualSpacing/>
    </w:pPr>
  </w:style>
  <w:style w:type="paragraph" w:customStyle="1" w:styleId="Non-TOCHeading">
    <w:name w:val="Non-TOC Heading"/>
    <w:next w:val="BodyText"/>
    <w:link w:val="Non-TOCHeadingChar"/>
    <w:rsid w:val="006E4DA8"/>
    <w:pPr>
      <w:tabs>
        <w:tab w:val="left" w:pos="0"/>
        <w:tab w:val="left" w:pos="709"/>
        <w:tab w:val="left" w:pos="1418"/>
      </w:tabs>
      <w:spacing w:before="240" w:after="120"/>
    </w:pPr>
    <w:rPr>
      <w:rFonts w:cs="Arial"/>
      <w:b/>
      <w:iCs/>
      <w:kern w:val="32"/>
      <w:szCs w:val="24"/>
    </w:rPr>
  </w:style>
  <w:style w:type="character" w:customStyle="1" w:styleId="Non-TOCHeadingChar">
    <w:name w:val="Non-TOC Heading Char"/>
    <w:basedOn w:val="Heading1Char"/>
    <w:link w:val="Non-TOCHeading"/>
    <w:rsid w:val="006E4DA8"/>
    <w:rPr>
      <w:rFonts w:cs="Arial"/>
      <w:b/>
      <w:iCs/>
      <w:color w:val="004280"/>
      <w:kern w:val="32"/>
      <w:sz w:val="28"/>
      <w:szCs w:val="24"/>
    </w:rPr>
  </w:style>
  <w:style w:type="paragraph" w:customStyle="1" w:styleId="Bodytextaftertable">
    <w:name w:val="Body text after table"/>
    <w:next w:val="BodyText"/>
    <w:qFormat/>
    <w:rsid w:val="00BF3F7D"/>
    <w:pPr>
      <w:spacing w:before="360" w:after="120" w:line="360" w:lineRule="auto"/>
    </w:pPr>
    <w:rPr>
      <w:rFonts w:cs="Arial"/>
      <w:lang w:val="en-US" w:eastAsia="en-US"/>
    </w:rPr>
  </w:style>
  <w:style w:type="paragraph" w:styleId="TOC4">
    <w:name w:val="toc 4"/>
    <w:basedOn w:val="Normal"/>
    <w:next w:val="Normal"/>
    <w:autoRedefine/>
    <w:uiPriority w:val="39"/>
    <w:rsid w:val="001A7553"/>
    <w:pPr>
      <w:ind w:left="1440"/>
    </w:pPr>
    <w:rPr>
      <w:i/>
      <w:sz w:val="20"/>
    </w:rPr>
  </w:style>
  <w:style w:type="character" w:styleId="PageNumber">
    <w:name w:val="page number"/>
    <w:basedOn w:val="DefaultParagraphFont"/>
    <w:rsid w:val="001A7553"/>
    <w:rPr>
      <w:rFonts w:ascii="Arial" w:hAnsi="Arial"/>
      <w:sz w:val="22"/>
    </w:rPr>
  </w:style>
  <w:style w:type="paragraph" w:styleId="TOC3">
    <w:name w:val="toc 3"/>
    <w:basedOn w:val="Normal"/>
    <w:next w:val="Normal"/>
    <w:autoRedefine/>
    <w:uiPriority w:val="39"/>
    <w:qFormat/>
    <w:rsid w:val="001A7553"/>
    <w:pPr>
      <w:ind w:left="720"/>
    </w:pPr>
    <w:rPr>
      <w:sz w:val="20"/>
    </w:rPr>
  </w:style>
  <w:style w:type="paragraph" w:styleId="TableofFigures">
    <w:name w:val="table of figures"/>
    <w:basedOn w:val="Normal"/>
    <w:next w:val="Normal"/>
    <w:uiPriority w:val="99"/>
    <w:rsid w:val="002E79B2"/>
    <w:pPr>
      <w:tabs>
        <w:tab w:val="left" w:pos="1418"/>
        <w:tab w:val="right" w:leader="dot" w:pos="10206"/>
      </w:tabs>
      <w:spacing w:before="120" w:after="120"/>
      <w:ind w:left="1418" w:right="284" w:hanging="1418"/>
    </w:pPr>
  </w:style>
  <w:style w:type="table" w:styleId="TableClassic1">
    <w:name w:val="Table Classic 1"/>
    <w:basedOn w:val="TableNormal"/>
    <w:rsid w:val="001A7553"/>
    <w:rPr>
      <w:rFonts w:ascii="Times New Roman" w:hAnsi="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b/>
        <w:i/>
        <w:iCs/>
      </w:rPr>
      <w:tblPr/>
      <w:tcPr>
        <w:tcBorders>
          <w:top w:val="single" w:sz="12" w:space="0" w:color="auto"/>
          <w:bottom w:val="single" w:sz="12" w:space="0" w:color="auto"/>
        </w:tcBorders>
        <w:shd w:val="clear" w:color="auto" w:fill="auto"/>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left w:val="nil"/>
          <w:right w:val="single" w:sz="6" w:space="0" w:color="000000"/>
        </w:tcBorders>
        <w:shd w:val="clear" w:color="auto" w:fill="auto"/>
      </w:tcPr>
    </w:tblStylePr>
    <w:tblStylePr w:type="lastCol">
      <w:tblPr/>
      <w:tcPr>
        <w:tcBorders>
          <w:right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link w:val="TabletextChar"/>
    <w:rsid w:val="005F514F"/>
    <w:pPr>
      <w:tabs>
        <w:tab w:val="left" w:pos="397"/>
        <w:tab w:val="left" w:pos="567"/>
      </w:tabs>
      <w:autoSpaceDE w:val="0"/>
      <w:autoSpaceDN w:val="0"/>
      <w:adjustRightInd w:val="0"/>
      <w:spacing w:before="60" w:after="60"/>
    </w:pPr>
    <w:rPr>
      <w:rFonts w:cs="Arial"/>
      <w:snapToGrid w:val="0"/>
      <w:color w:val="000000"/>
      <w:sz w:val="20"/>
      <w:szCs w:val="24"/>
      <w:lang w:val="en-US" w:eastAsia="en-US"/>
    </w:rPr>
  </w:style>
  <w:style w:type="character" w:customStyle="1" w:styleId="TabletextChar">
    <w:name w:val="Table text Char"/>
    <w:basedOn w:val="DefaultParagraphFont"/>
    <w:link w:val="Tabletext"/>
    <w:rsid w:val="005F514F"/>
    <w:rPr>
      <w:rFonts w:cs="Arial"/>
      <w:snapToGrid w:val="0"/>
      <w:color w:val="000000"/>
      <w:sz w:val="20"/>
      <w:szCs w:val="24"/>
      <w:lang w:val="en-US" w:eastAsia="en-US"/>
    </w:rPr>
  </w:style>
  <w:style w:type="paragraph" w:customStyle="1" w:styleId="Tablecolumnheadings">
    <w:name w:val="Table column headings"/>
    <w:next w:val="Tabletext"/>
    <w:rsid w:val="00BF3F7D"/>
    <w:pPr>
      <w:spacing w:before="60" w:after="60"/>
      <w:jc w:val="center"/>
    </w:pPr>
    <w:rPr>
      <w:rFonts w:cs="Arial"/>
      <w:b/>
      <w:bCs/>
      <w:iCs/>
      <w:snapToGrid w:val="0"/>
      <w:color w:val="000000"/>
      <w:sz w:val="20"/>
      <w:szCs w:val="24"/>
      <w:lang w:val="en-US" w:eastAsia="en-US"/>
    </w:rPr>
  </w:style>
  <w:style w:type="paragraph" w:customStyle="1" w:styleId="Tabletext0beforeafter">
    <w:name w:val="Table text 0 before/after"/>
    <w:qFormat/>
    <w:rsid w:val="0061751C"/>
    <w:rPr>
      <w:rFonts w:cs="Arial"/>
      <w:snapToGrid w:val="0"/>
      <w:color w:val="000000"/>
      <w:sz w:val="20"/>
      <w:szCs w:val="24"/>
      <w:lang w:val="en-US" w:eastAsia="en-US"/>
    </w:rPr>
  </w:style>
  <w:style w:type="paragraph" w:customStyle="1" w:styleId="Tablefigureheadingsnotlisted">
    <w:name w:val="Table/figure headings not listed"/>
    <w:basedOn w:val="BodyText"/>
    <w:next w:val="BodyText"/>
    <w:rsid w:val="00D861BD"/>
    <w:pPr>
      <w:tabs>
        <w:tab w:val="left" w:pos="851"/>
        <w:tab w:val="left" w:pos="1021"/>
      </w:tabs>
      <w:autoSpaceDE w:val="0"/>
      <w:autoSpaceDN w:val="0"/>
      <w:adjustRightInd w:val="0"/>
      <w:spacing w:before="120" w:after="0"/>
      <w:ind w:left="1021" w:hanging="1021"/>
    </w:pPr>
    <w:rPr>
      <w:b/>
      <w:szCs w:val="24"/>
    </w:rPr>
  </w:style>
  <w:style w:type="paragraph" w:styleId="TOC2">
    <w:name w:val="toc 2"/>
    <w:basedOn w:val="Normal"/>
    <w:next w:val="Normal"/>
    <w:autoRedefine/>
    <w:uiPriority w:val="39"/>
    <w:unhideWhenUsed/>
    <w:qFormat/>
    <w:rsid w:val="005171AD"/>
    <w:pPr>
      <w:spacing w:after="100"/>
      <w:ind w:left="220"/>
    </w:pPr>
  </w:style>
  <w:style w:type="paragraph" w:styleId="Revision">
    <w:name w:val="Revision"/>
    <w:hidden/>
    <w:uiPriority w:val="99"/>
    <w:semiHidden/>
    <w:rsid w:val="002C7808"/>
    <w:rPr>
      <w:szCs w:val="20"/>
    </w:rPr>
  </w:style>
  <w:style w:type="paragraph" w:styleId="TOCHeading">
    <w:name w:val="TOC Heading"/>
    <w:basedOn w:val="Heading1"/>
    <w:next w:val="Normal"/>
    <w:uiPriority w:val="39"/>
    <w:semiHidden/>
    <w:unhideWhenUsed/>
    <w:qFormat/>
    <w:rsid w:val="00DF61E4"/>
    <w:pPr>
      <w:keepLines/>
      <w:spacing w:before="480" w:after="0" w:line="276" w:lineRule="auto"/>
      <w:outlineLvl w:val="9"/>
    </w:pPr>
    <w:rPr>
      <w:rFonts w:asciiTheme="majorHAnsi" w:eastAsiaTheme="majorEastAsia" w:hAnsiTheme="majorHAnsi" w:cstheme="majorBidi"/>
      <w:bCs/>
      <w:color w:val="365F91" w:themeColor="accent1" w:themeShade="BF"/>
      <w:kern w:val="0"/>
      <w:lang w:val="en-US" w:eastAsia="ja-JP"/>
    </w:rPr>
  </w:style>
  <w:style w:type="paragraph" w:styleId="TOC5">
    <w:name w:val="toc 5"/>
    <w:basedOn w:val="Normal"/>
    <w:next w:val="Normal"/>
    <w:autoRedefine/>
    <w:uiPriority w:val="39"/>
    <w:unhideWhenUsed/>
    <w:rsid w:val="00DF61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61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61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61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61E4"/>
    <w:pPr>
      <w:spacing w:after="100" w:line="276" w:lineRule="auto"/>
      <w:ind w:left="1760"/>
    </w:pPr>
    <w:rPr>
      <w:rFonts w:asciiTheme="minorHAnsi" w:eastAsiaTheme="minorEastAsia" w:hAnsiTheme="minorHAnsi" w:cstheme="minorBidi"/>
      <w:szCs w:val="22"/>
    </w:rPr>
  </w:style>
  <w:style w:type="character" w:styleId="FollowedHyperlink">
    <w:name w:val="FollowedHyperlink"/>
    <w:basedOn w:val="DefaultParagraphFont"/>
    <w:semiHidden/>
    <w:unhideWhenUsed/>
    <w:rsid w:val="00FA5C0F"/>
    <w:rPr>
      <w:color w:val="800080" w:themeColor="followedHyperlink"/>
      <w:u w:val="single"/>
    </w:rPr>
  </w:style>
  <w:style w:type="numbering" w:customStyle="1" w:styleId="NoList1">
    <w:name w:val="No List1"/>
    <w:next w:val="NoList"/>
    <w:uiPriority w:val="99"/>
    <w:semiHidden/>
    <w:unhideWhenUsed/>
    <w:rsid w:val="009E1BB8"/>
  </w:style>
  <w:style w:type="table" w:customStyle="1" w:styleId="TableGrid1">
    <w:name w:val="Table Grid1"/>
    <w:basedOn w:val="TableNormal"/>
    <w:next w:val="TableGrid"/>
    <w:uiPriority w:val="59"/>
    <w:rsid w:val="009E1BB8"/>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E1BB8"/>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9E1BB8"/>
    <w:rPr>
      <w:color w:val="808080"/>
    </w:rPr>
  </w:style>
  <w:style w:type="numbering" w:customStyle="1" w:styleId="NoList2">
    <w:name w:val="No List2"/>
    <w:next w:val="NoList"/>
    <w:uiPriority w:val="99"/>
    <w:semiHidden/>
    <w:unhideWhenUsed/>
    <w:rsid w:val="00A02EE9"/>
  </w:style>
  <w:style w:type="table" w:customStyle="1" w:styleId="TableGrid2">
    <w:name w:val="Table Grid2"/>
    <w:basedOn w:val="TableNormal"/>
    <w:next w:val="TableGrid"/>
    <w:rsid w:val="00A02E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B7E2E"/>
  </w:style>
  <w:style w:type="paragraph" w:customStyle="1" w:styleId="Tableheadcentre">
    <w:name w:val="Table head centre"/>
    <w:basedOn w:val="Normal"/>
    <w:rsid w:val="00DB7E2E"/>
    <w:pPr>
      <w:spacing w:after="120"/>
      <w:jc w:val="center"/>
    </w:pPr>
    <w:rPr>
      <w:b/>
      <w:sz w:val="20"/>
      <w:lang w:val="en-GB"/>
    </w:rPr>
  </w:style>
  <w:style w:type="paragraph" w:customStyle="1" w:styleId="Tabletextbold">
    <w:name w:val="Table text bold"/>
    <w:basedOn w:val="Normal"/>
    <w:rsid w:val="00BF3F7D"/>
    <w:pPr>
      <w:spacing w:before="60" w:after="60"/>
    </w:pPr>
    <w:rPr>
      <w:b/>
      <w:sz w:val="20"/>
      <w:lang w:val="en-GB"/>
    </w:rPr>
  </w:style>
  <w:style w:type="paragraph" w:customStyle="1" w:styleId="Tabletext0beforeafter-centred">
    <w:name w:val="Table text 0 before/after - centred"/>
    <w:basedOn w:val="Tabletext0beforeafter"/>
    <w:qFormat/>
    <w:rsid w:val="0061751C"/>
    <w:pPr>
      <w:jc w:val="center"/>
    </w:pPr>
  </w:style>
  <w:style w:type="paragraph" w:customStyle="1" w:styleId="Bodytextnumbered">
    <w:name w:val="Body text numbered"/>
    <w:qFormat/>
    <w:rsid w:val="00BB3725"/>
    <w:pPr>
      <w:numPr>
        <w:numId w:val="9"/>
      </w:numPr>
      <w:tabs>
        <w:tab w:val="left" w:pos="357"/>
      </w:tabs>
      <w:spacing w:after="120" w:line="360" w:lineRule="auto"/>
      <w:ind w:left="357" w:hanging="357"/>
    </w:pPr>
    <w:rPr>
      <w:rFonts w:eastAsia="Calibri" w:cs="Arial"/>
    </w:rPr>
  </w:style>
  <w:style w:type="numbering" w:styleId="1ai">
    <w:name w:val="Outline List 1"/>
    <w:basedOn w:val="NoList"/>
    <w:semiHidden/>
    <w:rsid w:val="00301816"/>
    <w:pPr>
      <w:numPr>
        <w:numId w:val="22"/>
      </w:numPr>
    </w:pPr>
  </w:style>
  <w:style w:type="paragraph" w:styleId="BlockText">
    <w:name w:val="Block Text"/>
    <w:basedOn w:val="Normal"/>
    <w:semiHidden/>
    <w:rsid w:val="00301816"/>
    <w:pPr>
      <w:spacing w:after="120"/>
      <w:ind w:left="1440" w:right="1440"/>
    </w:pPr>
    <w:rPr>
      <w:rFonts w:ascii="Times New Roman" w:hAnsi="Times New Roman"/>
      <w:sz w:val="24"/>
      <w:szCs w:val="24"/>
      <w:lang w:val="en-US" w:eastAsia="en-US"/>
    </w:rPr>
  </w:style>
  <w:style w:type="paragraph" w:styleId="BodyText2">
    <w:name w:val="Body Text 2"/>
    <w:basedOn w:val="Normal"/>
    <w:link w:val="BodyText2Char"/>
    <w:semiHidden/>
    <w:rsid w:val="00301816"/>
    <w:pPr>
      <w:spacing w:after="120" w:line="480" w:lineRule="auto"/>
    </w:pPr>
    <w:rPr>
      <w:rFonts w:ascii="Times New Roman" w:hAnsi="Times New Roman"/>
      <w:sz w:val="24"/>
      <w:szCs w:val="24"/>
      <w:lang w:val="en-US" w:eastAsia="en-US"/>
    </w:rPr>
  </w:style>
  <w:style w:type="character" w:customStyle="1" w:styleId="BodyText2Char">
    <w:name w:val="Body Text 2 Char"/>
    <w:basedOn w:val="DefaultParagraphFont"/>
    <w:link w:val="BodyText2"/>
    <w:semiHidden/>
    <w:rsid w:val="00301816"/>
    <w:rPr>
      <w:rFonts w:ascii="Times New Roman" w:hAnsi="Times New Roman"/>
      <w:sz w:val="24"/>
      <w:szCs w:val="24"/>
      <w:lang w:val="en-US" w:eastAsia="en-US"/>
    </w:rPr>
  </w:style>
  <w:style w:type="paragraph" w:styleId="BodyText3">
    <w:name w:val="Body Text 3"/>
    <w:basedOn w:val="Normal"/>
    <w:link w:val="BodyText3Char"/>
    <w:semiHidden/>
    <w:rsid w:val="00301816"/>
    <w:pPr>
      <w:spacing w:after="120"/>
    </w:pPr>
    <w:rPr>
      <w:rFonts w:ascii="Times New Roman" w:hAnsi="Times New Roman"/>
      <w:sz w:val="16"/>
      <w:szCs w:val="16"/>
      <w:lang w:val="en-US" w:eastAsia="en-US"/>
    </w:rPr>
  </w:style>
  <w:style w:type="character" w:customStyle="1" w:styleId="BodyText3Char">
    <w:name w:val="Body Text 3 Char"/>
    <w:basedOn w:val="DefaultParagraphFont"/>
    <w:link w:val="BodyText3"/>
    <w:semiHidden/>
    <w:rsid w:val="00301816"/>
    <w:rPr>
      <w:rFonts w:ascii="Times New Roman" w:hAnsi="Times New Roman"/>
      <w:sz w:val="16"/>
      <w:szCs w:val="16"/>
      <w:lang w:val="en-US" w:eastAsia="en-US"/>
    </w:rPr>
  </w:style>
  <w:style w:type="paragraph" w:styleId="BodyTextFirstIndent">
    <w:name w:val="Body Text First Indent"/>
    <w:basedOn w:val="BodyText"/>
    <w:link w:val="BodyTextFirstIndentChar"/>
    <w:semiHidden/>
    <w:rsid w:val="00301816"/>
    <w:pPr>
      <w:ind w:firstLine="210"/>
    </w:pPr>
    <w:rPr>
      <w:rFonts w:ascii="Times New Roman" w:hAnsi="Times New Roman"/>
      <w:sz w:val="24"/>
      <w:szCs w:val="24"/>
    </w:rPr>
  </w:style>
  <w:style w:type="character" w:customStyle="1" w:styleId="BodyTextFirstIndentChar">
    <w:name w:val="Body Text First Indent Char"/>
    <w:basedOn w:val="BodyTextChar"/>
    <w:link w:val="BodyTextFirstIndent"/>
    <w:semiHidden/>
    <w:rsid w:val="00301816"/>
    <w:rPr>
      <w:rFonts w:ascii="Times New Roman" w:hAnsi="Times New Roman" w:cs="Arial"/>
      <w:sz w:val="24"/>
      <w:szCs w:val="24"/>
      <w:lang w:val="en-US" w:eastAsia="en-US"/>
    </w:rPr>
  </w:style>
  <w:style w:type="paragraph" w:customStyle="1" w:styleId="Bodytextindented">
    <w:name w:val="Body text indented"/>
    <w:qFormat/>
    <w:rsid w:val="000E33CA"/>
    <w:pPr>
      <w:numPr>
        <w:numId w:val="59"/>
      </w:numPr>
      <w:spacing w:after="120" w:line="360" w:lineRule="auto"/>
      <w:ind w:left="1208" w:hanging="357"/>
    </w:pPr>
    <w:rPr>
      <w:rFonts w:eastAsia="Calibri" w:cs="Arial"/>
    </w:rPr>
  </w:style>
  <w:style w:type="paragraph" w:customStyle="1" w:styleId="Bodytextlettered">
    <w:name w:val="Body text lettered"/>
    <w:qFormat/>
    <w:rsid w:val="009D694C"/>
    <w:pPr>
      <w:numPr>
        <w:numId w:val="62"/>
      </w:numPr>
      <w:spacing w:after="120" w:line="360" w:lineRule="auto"/>
      <w:ind w:left="357" w:hanging="357"/>
    </w:pPr>
    <w:rPr>
      <w:rFonts w:eastAsia="Calibri" w:cs="Arial"/>
    </w:rPr>
  </w:style>
  <w:style w:type="paragraph" w:styleId="BodyTextFirstIndent2">
    <w:name w:val="Body Text First Indent 2"/>
    <w:basedOn w:val="Normal"/>
    <w:link w:val="BodyTextFirstIndent2Char"/>
    <w:semiHidden/>
    <w:rsid w:val="00EC6CAF"/>
    <w:pPr>
      <w:tabs>
        <w:tab w:val="left" w:pos="851"/>
      </w:tabs>
      <w:spacing w:after="120" w:line="360" w:lineRule="auto"/>
      <w:ind w:left="851" w:right="851" w:firstLine="210"/>
    </w:pPr>
    <w:rPr>
      <w:rFonts w:cs="Arial"/>
      <w:i/>
      <w:szCs w:val="24"/>
      <w:lang w:val="en-US" w:eastAsia="en-US"/>
    </w:rPr>
  </w:style>
  <w:style w:type="character" w:customStyle="1" w:styleId="BodyTextFirstIndent2Char">
    <w:name w:val="Body Text First Indent 2 Char"/>
    <w:basedOn w:val="DefaultParagraphFont"/>
    <w:link w:val="BodyTextFirstIndent2"/>
    <w:semiHidden/>
    <w:rsid w:val="00EC6CAF"/>
    <w:rPr>
      <w:i/>
      <w:szCs w:val="24"/>
      <w:lang w:val="en-US" w:eastAsia="en-US"/>
    </w:rPr>
  </w:style>
  <w:style w:type="paragraph" w:styleId="BodyTextIndent2">
    <w:name w:val="Body Text Indent 2"/>
    <w:basedOn w:val="Normal"/>
    <w:link w:val="BodyTextIndent2Char"/>
    <w:semiHidden/>
    <w:rsid w:val="00301816"/>
    <w:pPr>
      <w:spacing w:after="120" w:line="480" w:lineRule="auto"/>
      <w:ind w:left="283"/>
    </w:pPr>
    <w:rPr>
      <w:rFonts w:ascii="Times New Roman" w:hAnsi="Times New Roman"/>
      <w:sz w:val="24"/>
      <w:szCs w:val="24"/>
      <w:lang w:val="en-US" w:eastAsia="en-US"/>
    </w:rPr>
  </w:style>
  <w:style w:type="character" w:customStyle="1" w:styleId="BodyTextIndent2Char">
    <w:name w:val="Body Text Indent 2 Char"/>
    <w:basedOn w:val="DefaultParagraphFont"/>
    <w:link w:val="BodyTextIndent2"/>
    <w:semiHidden/>
    <w:rsid w:val="00301816"/>
    <w:rPr>
      <w:rFonts w:ascii="Times New Roman" w:hAnsi="Times New Roman"/>
      <w:sz w:val="24"/>
      <w:szCs w:val="24"/>
      <w:lang w:val="en-US" w:eastAsia="en-US"/>
    </w:rPr>
  </w:style>
  <w:style w:type="paragraph" w:styleId="BodyTextIndent3">
    <w:name w:val="Body Text Indent 3"/>
    <w:basedOn w:val="Normal"/>
    <w:link w:val="BodyTextIndent3Char"/>
    <w:semiHidden/>
    <w:rsid w:val="00301816"/>
    <w:pPr>
      <w:spacing w:after="120"/>
      <w:ind w:left="283"/>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semiHidden/>
    <w:rsid w:val="00301816"/>
    <w:rPr>
      <w:rFonts w:ascii="Times New Roman" w:hAnsi="Times New Roman"/>
      <w:sz w:val="16"/>
      <w:szCs w:val="16"/>
      <w:lang w:val="en-US" w:eastAsia="en-US"/>
    </w:rPr>
  </w:style>
  <w:style w:type="paragraph" w:styleId="Closing">
    <w:name w:val="Closing"/>
    <w:basedOn w:val="Normal"/>
    <w:link w:val="ClosingChar"/>
    <w:semiHidden/>
    <w:rsid w:val="00301816"/>
    <w:pPr>
      <w:ind w:left="4252"/>
    </w:pPr>
    <w:rPr>
      <w:rFonts w:ascii="Times New Roman" w:hAnsi="Times New Roman"/>
      <w:sz w:val="24"/>
      <w:szCs w:val="24"/>
      <w:lang w:val="en-US" w:eastAsia="en-US"/>
    </w:rPr>
  </w:style>
  <w:style w:type="character" w:customStyle="1" w:styleId="ClosingChar">
    <w:name w:val="Closing Char"/>
    <w:basedOn w:val="DefaultParagraphFont"/>
    <w:link w:val="Closing"/>
    <w:semiHidden/>
    <w:rsid w:val="00301816"/>
    <w:rPr>
      <w:rFonts w:ascii="Times New Roman" w:hAnsi="Times New Roman"/>
      <w:sz w:val="24"/>
      <w:szCs w:val="24"/>
      <w:lang w:val="en-US" w:eastAsia="en-US"/>
    </w:rPr>
  </w:style>
  <w:style w:type="paragraph" w:styleId="E-mailSignature">
    <w:name w:val="E-mail Signature"/>
    <w:basedOn w:val="Normal"/>
    <w:link w:val="E-mailSignatureChar"/>
    <w:semiHidden/>
    <w:rsid w:val="00301816"/>
    <w:rPr>
      <w:rFonts w:ascii="Times New Roman" w:hAnsi="Times New Roman"/>
      <w:sz w:val="24"/>
      <w:szCs w:val="24"/>
      <w:lang w:val="en-US" w:eastAsia="en-US"/>
    </w:rPr>
  </w:style>
  <w:style w:type="character" w:customStyle="1" w:styleId="E-mailSignatureChar">
    <w:name w:val="E-mail Signature Char"/>
    <w:basedOn w:val="DefaultParagraphFont"/>
    <w:link w:val="E-mailSignature"/>
    <w:semiHidden/>
    <w:rsid w:val="00301816"/>
    <w:rPr>
      <w:rFonts w:ascii="Times New Roman" w:hAnsi="Times New Roman"/>
      <w:sz w:val="24"/>
      <w:szCs w:val="24"/>
      <w:lang w:val="en-US" w:eastAsia="en-US"/>
    </w:rPr>
  </w:style>
  <w:style w:type="character" w:styleId="Emphasis">
    <w:name w:val="Emphasis"/>
    <w:basedOn w:val="DefaultParagraphFont"/>
    <w:qFormat/>
    <w:rsid w:val="00301816"/>
    <w:rPr>
      <w:i/>
      <w:iCs/>
    </w:rPr>
  </w:style>
  <w:style w:type="paragraph" w:styleId="EnvelopeAddress">
    <w:name w:val="envelope address"/>
    <w:basedOn w:val="Normal"/>
    <w:semiHidden/>
    <w:rsid w:val="00301816"/>
    <w:pPr>
      <w:framePr w:w="7920" w:h="1980" w:hRule="exact" w:hSpace="180" w:wrap="auto" w:hAnchor="page" w:xAlign="center" w:yAlign="bottom"/>
      <w:ind w:left="2880"/>
    </w:pPr>
    <w:rPr>
      <w:rFonts w:cs="Arial"/>
      <w:sz w:val="24"/>
      <w:szCs w:val="24"/>
      <w:lang w:val="en-US" w:eastAsia="en-US"/>
    </w:rPr>
  </w:style>
  <w:style w:type="paragraph" w:styleId="EnvelopeReturn">
    <w:name w:val="envelope return"/>
    <w:basedOn w:val="Normal"/>
    <w:semiHidden/>
    <w:rsid w:val="00301816"/>
    <w:rPr>
      <w:rFonts w:cs="Arial"/>
      <w:sz w:val="20"/>
      <w:lang w:val="en-US" w:eastAsia="en-US"/>
    </w:rPr>
  </w:style>
  <w:style w:type="character" w:styleId="HTMLAcronym">
    <w:name w:val="HTML Acronym"/>
    <w:basedOn w:val="DefaultParagraphFont"/>
    <w:semiHidden/>
    <w:rsid w:val="00301816"/>
  </w:style>
  <w:style w:type="paragraph" w:styleId="HTMLAddress">
    <w:name w:val="HTML Address"/>
    <w:basedOn w:val="Normal"/>
    <w:link w:val="HTMLAddressChar"/>
    <w:semiHidden/>
    <w:rsid w:val="00301816"/>
    <w:rPr>
      <w:rFonts w:ascii="Times New Roman" w:hAnsi="Times New Roman"/>
      <w:i/>
      <w:iCs/>
      <w:sz w:val="24"/>
      <w:szCs w:val="24"/>
      <w:lang w:val="en-US" w:eastAsia="en-US"/>
    </w:rPr>
  </w:style>
  <w:style w:type="character" w:customStyle="1" w:styleId="HTMLAddressChar">
    <w:name w:val="HTML Address Char"/>
    <w:basedOn w:val="DefaultParagraphFont"/>
    <w:link w:val="HTMLAddress"/>
    <w:semiHidden/>
    <w:rsid w:val="00301816"/>
    <w:rPr>
      <w:rFonts w:ascii="Times New Roman" w:hAnsi="Times New Roman"/>
      <w:i/>
      <w:iCs/>
      <w:sz w:val="24"/>
      <w:szCs w:val="24"/>
      <w:lang w:val="en-US" w:eastAsia="en-US"/>
    </w:rPr>
  </w:style>
  <w:style w:type="character" w:styleId="HTMLCite">
    <w:name w:val="HTML Cite"/>
    <w:basedOn w:val="DefaultParagraphFont"/>
    <w:semiHidden/>
    <w:rsid w:val="00301816"/>
    <w:rPr>
      <w:i/>
      <w:iCs/>
    </w:rPr>
  </w:style>
  <w:style w:type="character" w:styleId="HTMLCode">
    <w:name w:val="HTML Code"/>
    <w:basedOn w:val="DefaultParagraphFont"/>
    <w:semiHidden/>
    <w:rsid w:val="00301816"/>
    <w:rPr>
      <w:rFonts w:ascii="Courier New" w:hAnsi="Courier New" w:cs="Courier New"/>
      <w:sz w:val="20"/>
      <w:szCs w:val="20"/>
    </w:rPr>
  </w:style>
  <w:style w:type="character" w:styleId="HTMLDefinition">
    <w:name w:val="HTML Definition"/>
    <w:basedOn w:val="DefaultParagraphFont"/>
    <w:semiHidden/>
    <w:rsid w:val="00301816"/>
    <w:rPr>
      <w:i/>
      <w:iCs/>
    </w:rPr>
  </w:style>
  <w:style w:type="character" w:styleId="HTMLKeyboard">
    <w:name w:val="HTML Keyboard"/>
    <w:basedOn w:val="DefaultParagraphFont"/>
    <w:semiHidden/>
    <w:rsid w:val="00301816"/>
    <w:rPr>
      <w:rFonts w:ascii="Courier New" w:hAnsi="Courier New" w:cs="Courier New"/>
      <w:sz w:val="20"/>
      <w:szCs w:val="20"/>
    </w:rPr>
  </w:style>
  <w:style w:type="paragraph" w:styleId="HTMLPreformatted">
    <w:name w:val="HTML Preformatted"/>
    <w:basedOn w:val="Normal"/>
    <w:link w:val="HTMLPreformattedChar"/>
    <w:semiHidden/>
    <w:rsid w:val="00301816"/>
    <w:rPr>
      <w:rFonts w:ascii="Courier New" w:hAnsi="Courier New" w:cs="Courier New"/>
      <w:sz w:val="20"/>
      <w:lang w:val="en-US" w:eastAsia="en-US"/>
    </w:rPr>
  </w:style>
  <w:style w:type="character" w:customStyle="1" w:styleId="HTMLPreformattedChar">
    <w:name w:val="HTML Preformatted Char"/>
    <w:basedOn w:val="DefaultParagraphFont"/>
    <w:link w:val="HTMLPreformatted"/>
    <w:semiHidden/>
    <w:rsid w:val="00301816"/>
    <w:rPr>
      <w:rFonts w:ascii="Courier New" w:hAnsi="Courier New" w:cs="Courier New"/>
      <w:sz w:val="20"/>
      <w:szCs w:val="20"/>
      <w:lang w:val="en-US" w:eastAsia="en-US"/>
    </w:rPr>
  </w:style>
  <w:style w:type="character" w:styleId="HTMLSample">
    <w:name w:val="HTML Sample"/>
    <w:basedOn w:val="DefaultParagraphFont"/>
    <w:semiHidden/>
    <w:rsid w:val="00301816"/>
    <w:rPr>
      <w:rFonts w:ascii="Courier New" w:hAnsi="Courier New" w:cs="Courier New"/>
    </w:rPr>
  </w:style>
  <w:style w:type="character" w:styleId="HTMLTypewriter">
    <w:name w:val="HTML Typewriter"/>
    <w:basedOn w:val="DefaultParagraphFont"/>
    <w:semiHidden/>
    <w:rsid w:val="00301816"/>
    <w:rPr>
      <w:rFonts w:ascii="Courier New" w:hAnsi="Courier New" w:cs="Courier New"/>
      <w:sz w:val="20"/>
      <w:szCs w:val="20"/>
    </w:rPr>
  </w:style>
  <w:style w:type="character" w:styleId="HTMLVariable">
    <w:name w:val="HTML Variable"/>
    <w:basedOn w:val="DefaultParagraphFont"/>
    <w:semiHidden/>
    <w:rsid w:val="00301816"/>
    <w:rPr>
      <w:i/>
      <w:iCs/>
    </w:rPr>
  </w:style>
  <w:style w:type="character" w:styleId="LineNumber">
    <w:name w:val="line number"/>
    <w:basedOn w:val="DefaultParagraphFont"/>
    <w:semiHidden/>
    <w:rsid w:val="00301816"/>
  </w:style>
  <w:style w:type="paragraph" w:styleId="List">
    <w:name w:val="List"/>
    <w:basedOn w:val="Normal"/>
    <w:semiHidden/>
    <w:rsid w:val="00301816"/>
    <w:pPr>
      <w:ind w:left="283" w:hanging="283"/>
    </w:pPr>
    <w:rPr>
      <w:rFonts w:ascii="Times New Roman" w:hAnsi="Times New Roman"/>
      <w:sz w:val="24"/>
      <w:szCs w:val="24"/>
      <w:lang w:val="en-US" w:eastAsia="en-US"/>
    </w:rPr>
  </w:style>
  <w:style w:type="paragraph" w:styleId="List2">
    <w:name w:val="List 2"/>
    <w:basedOn w:val="Normal"/>
    <w:semiHidden/>
    <w:rsid w:val="00301816"/>
    <w:pPr>
      <w:ind w:left="566" w:hanging="283"/>
    </w:pPr>
    <w:rPr>
      <w:rFonts w:ascii="Times New Roman" w:hAnsi="Times New Roman"/>
      <w:sz w:val="24"/>
      <w:szCs w:val="24"/>
      <w:lang w:val="en-US" w:eastAsia="en-US"/>
    </w:rPr>
  </w:style>
  <w:style w:type="paragraph" w:styleId="List3">
    <w:name w:val="List 3"/>
    <w:basedOn w:val="Normal"/>
    <w:semiHidden/>
    <w:rsid w:val="00301816"/>
    <w:pPr>
      <w:ind w:left="849" w:hanging="283"/>
    </w:pPr>
    <w:rPr>
      <w:rFonts w:ascii="Times New Roman" w:hAnsi="Times New Roman"/>
      <w:sz w:val="24"/>
      <w:szCs w:val="24"/>
      <w:lang w:val="en-US" w:eastAsia="en-US"/>
    </w:rPr>
  </w:style>
  <w:style w:type="paragraph" w:styleId="List4">
    <w:name w:val="List 4"/>
    <w:basedOn w:val="Normal"/>
    <w:semiHidden/>
    <w:rsid w:val="00301816"/>
    <w:pPr>
      <w:ind w:left="1132" w:hanging="283"/>
    </w:pPr>
    <w:rPr>
      <w:rFonts w:ascii="Times New Roman" w:hAnsi="Times New Roman"/>
      <w:sz w:val="24"/>
      <w:szCs w:val="24"/>
      <w:lang w:val="en-US" w:eastAsia="en-US"/>
    </w:rPr>
  </w:style>
  <w:style w:type="paragraph" w:styleId="List5">
    <w:name w:val="List 5"/>
    <w:basedOn w:val="Normal"/>
    <w:semiHidden/>
    <w:rsid w:val="00301816"/>
    <w:pPr>
      <w:ind w:left="1415" w:hanging="283"/>
    </w:pPr>
    <w:rPr>
      <w:rFonts w:ascii="Times New Roman" w:hAnsi="Times New Roman"/>
      <w:sz w:val="24"/>
      <w:szCs w:val="24"/>
      <w:lang w:val="en-US" w:eastAsia="en-US"/>
    </w:rPr>
  </w:style>
  <w:style w:type="paragraph" w:styleId="ListBullet2">
    <w:name w:val="List Bullet 2"/>
    <w:basedOn w:val="Normal"/>
    <w:autoRedefine/>
    <w:semiHidden/>
    <w:rsid w:val="00301816"/>
    <w:pPr>
      <w:numPr>
        <w:numId w:val="23"/>
      </w:numPr>
    </w:pPr>
    <w:rPr>
      <w:rFonts w:ascii="Times New Roman" w:hAnsi="Times New Roman"/>
      <w:sz w:val="24"/>
      <w:szCs w:val="24"/>
      <w:lang w:val="en-US" w:eastAsia="en-US"/>
    </w:rPr>
  </w:style>
  <w:style w:type="paragraph" w:styleId="ListBullet3">
    <w:name w:val="List Bullet 3"/>
    <w:basedOn w:val="Normal"/>
    <w:autoRedefine/>
    <w:semiHidden/>
    <w:rsid w:val="00301816"/>
    <w:pPr>
      <w:numPr>
        <w:numId w:val="24"/>
      </w:numPr>
    </w:pPr>
    <w:rPr>
      <w:rFonts w:ascii="Times New Roman" w:hAnsi="Times New Roman"/>
      <w:sz w:val="24"/>
      <w:szCs w:val="24"/>
      <w:lang w:val="en-US" w:eastAsia="en-US"/>
    </w:rPr>
  </w:style>
  <w:style w:type="paragraph" w:styleId="ListBullet4">
    <w:name w:val="List Bullet 4"/>
    <w:basedOn w:val="Normal"/>
    <w:autoRedefine/>
    <w:semiHidden/>
    <w:rsid w:val="00301816"/>
    <w:pPr>
      <w:numPr>
        <w:numId w:val="25"/>
      </w:numPr>
    </w:pPr>
    <w:rPr>
      <w:rFonts w:ascii="Times New Roman" w:hAnsi="Times New Roman"/>
      <w:sz w:val="24"/>
      <w:szCs w:val="24"/>
      <w:lang w:val="en-US" w:eastAsia="en-US"/>
    </w:rPr>
  </w:style>
  <w:style w:type="paragraph" w:styleId="ListBullet5">
    <w:name w:val="List Bullet 5"/>
    <w:basedOn w:val="Normal"/>
    <w:autoRedefine/>
    <w:semiHidden/>
    <w:rsid w:val="00301816"/>
    <w:pPr>
      <w:numPr>
        <w:numId w:val="26"/>
      </w:numPr>
    </w:pPr>
    <w:rPr>
      <w:rFonts w:ascii="Times New Roman" w:hAnsi="Times New Roman"/>
      <w:sz w:val="24"/>
      <w:szCs w:val="24"/>
      <w:lang w:val="en-US" w:eastAsia="en-US"/>
    </w:rPr>
  </w:style>
  <w:style w:type="paragraph" w:styleId="ListContinue">
    <w:name w:val="List Continue"/>
    <w:basedOn w:val="Normal"/>
    <w:semiHidden/>
    <w:rsid w:val="00301816"/>
    <w:pPr>
      <w:spacing w:after="120"/>
      <w:ind w:left="283"/>
    </w:pPr>
    <w:rPr>
      <w:rFonts w:ascii="Times New Roman" w:hAnsi="Times New Roman"/>
      <w:sz w:val="24"/>
      <w:szCs w:val="24"/>
      <w:lang w:val="en-US" w:eastAsia="en-US"/>
    </w:rPr>
  </w:style>
  <w:style w:type="paragraph" w:styleId="ListContinue2">
    <w:name w:val="List Continue 2"/>
    <w:basedOn w:val="Normal"/>
    <w:semiHidden/>
    <w:rsid w:val="00301816"/>
    <w:pPr>
      <w:spacing w:after="120"/>
      <w:ind w:left="566"/>
    </w:pPr>
    <w:rPr>
      <w:rFonts w:ascii="Times New Roman" w:hAnsi="Times New Roman"/>
      <w:sz w:val="24"/>
      <w:szCs w:val="24"/>
      <w:lang w:val="en-US" w:eastAsia="en-US"/>
    </w:rPr>
  </w:style>
  <w:style w:type="paragraph" w:styleId="ListContinue3">
    <w:name w:val="List Continue 3"/>
    <w:basedOn w:val="Normal"/>
    <w:semiHidden/>
    <w:rsid w:val="00301816"/>
    <w:pPr>
      <w:spacing w:after="120"/>
      <w:ind w:left="849"/>
    </w:pPr>
    <w:rPr>
      <w:rFonts w:ascii="Times New Roman" w:hAnsi="Times New Roman"/>
      <w:sz w:val="24"/>
      <w:szCs w:val="24"/>
      <w:lang w:val="en-US" w:eastAsia="en-US"/>
    </w:rPr>
  </w:style>
  <w:style w:type="paragraph" w:styleId="ListContinue4">
    <w:name w:val="List Continue 4"/>
    <w:basedOn w:val="Normal"/>
    <w:semiHidden/>
    <w:rsid w:val="00301816"/>
    <w:pPr>
      <w:spacing w:after="120"/>
      <w:ind w:left="1132"/>
    </w:pPr>
    <w:rPr>
      <w:rFonts w:ascii="Times New Roman" w:hAnsi="Times New Roman"/>
      <w:sz w:val="24"/>
      <w:szCs w:val="24"/>
      <w:lang w:val="en-US" w:eastAsia="en-US"/>
    </w:rPr>
  </w:style>
  <w:style w:type="paragraph" w:styleId="ListContinue5">
    <w:name w:val="List Continue 5"/>
    <w:basedOn w:val="Normal"/>
    <w:semiHidden/>
    <w:rsid w:val="00301816"/>
    <w:pPr>
      <w:spacing w:after="120"/>
      <w:ind w:left="1415"/>
    </w:pPr>
    <w:rPr>
      <w:rFonts w:ascii="Times New Roman" w:hAnsi="Times New Roman"/>
      <w:sz w:val="24"/>
      <w:szCs w:val="24"/>
      <w:lang w:val="en-US" w:eastAsia="en-US"/>
    </w:rPr>
  </w:style>
  <w:style w:type="paragraph" w:styleId="ListNumber">
    <w:name w:val="List Number"/>
    <w:basedOn w:val="Normal"/>
    <w:semiHidden/>
    <w:rsid w:val="00301816"/>
    <w:pPr>
      <w:numPr>
        <w:numId w:val="27"/>
      </w:numPr>
    </w:pPr>
    <w:rPr>
      <w:rFonts w:ascii="Times New Roman" w:hAnsi="Times New Roman"/>
      <w:sz w:val="24"/>
      <w:szCs w:val="24"/>
      <w:lang w:val="en-US" w:eastAsia="en-US"/>
    </w:rPr>
  </w:style>
  <w:style w:type="paragraph" w:styleId="ListNumber2">
    <w:name w:val="List Number 2"/>
    <w:basedOn w:val="Normal"/>
    <w:semiHidden/>
    <w:rsid w:val="00301816"/>
    <w:pPr>
      <w:numPr>
        <w:numId w:val="28"/>
      </w:numPr>
    </w:pPr>
    <w:rPr>
      <w:rFonts w:ascii="Times New Roman" w:hAnsi="Times New Roman"/>
      <w:sz w:val="24"/>
      <w:szCs w:val="24"/>
      <w:lang w:val="en-US" w:eastAsia="en-US"/>
    </w:rPr>
  </w:style>
  <w:style w:type="paragraph" w:styleId="ListNumber3">
    <w:name w:val="List Number 3"/>
    <w:basedOn w:val="Normal"/>
    <w:semiHidden/>
    <w:rsid w:val="00301816"/>
    <w:pPr>
      <w:numPr>
        <w:numId w:val="29"/>
      </w:numPr>
    </w:pPr>
    <w:rPr>
      <w:rFonts w:ascii="Times New Roman" w:hAnsi="Times New Roman"/>
      <w:sz w:val="24"/>
      <w:szCs w:val="24"/>
      <w:lang w:val="en-US" w:eastAsia="en-US"/>
    </w:rPr>
  </w:style>
  <w:style w:type="paragraph" w:styleId="ListNumber4">
    <w:name w:val="List Number 4"/>
    <w:basedOn w:val="Normal"/>
    <w:semiHidden/>
    <w:rsid w:val="00301816"/>
    <w:pPr>
      <w:numPr>
        <w:numId w:val="30"/>
      </w:numPr>
    </w:pPr>
    <w:rPr>
      <w:rFonts w:ascii="Times New Roman" w:hAnsi="Times New Roman"/>
      <w:sz w:val="24"/>
      <w:szCs w:val="24"/>
      <w:lang w:val="en-US" w:eastAsia="en-US"/>
    </w:rPr>
  </w:style>
  <w:style w:type="paragraph" w:styleId="ListNumber5">
    <w:name w:val="List Number 5"/>
    <w:basedOn w:val="Normal"/>
    <w:semiHidden/>
    <w:rsid w:val="00301816"/>
    <w:pPr>
      <w:numPr>
        <w:numId w:val="31"/>
      </w:numPr>
    </w:pPr>
    <w:rPr>
      <w:rFonts w:ascii="Times New Roman" w:hAnsi="Times New Roman"/>
      <w:sz w:val="24"/>
      <w:szCs w:val="24"/>
      <w:lang w:val="en-US" w:eastAsia="en-US"/>
    </w:rPr>
  </w:style>
  <w:style w:type="paragraph" w:styleId="MessageHeader">
    <w:name w:val="Message Header"/>
    <w:basedOn w:val="Normal"/>
    <w:link w:val="MessageHeaderChar"/>
    <w:semiHidden/>
    <w:rsid w:val="0030181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lang w:val="en-US" w:eastAsia="en-US"/>
    </w:rPr>
  </w:style>
  <w:style w:type="character" w:customStyle="1" w:styleId="MessageHeaderChar">
    <w:name w:val="Message Header Char"/>
    <w:basedOn w:val="DefaultParagraphFont"/>
    <w:link w:val="MessageHeader"/>
    <w:semiHidden/>
    <w:rsid w:val="00301816"/>
    <w:rPr>
      <w:rFonts w:cs="Arial"/>
      <w:sz w:val="24"/>
      <w:szCs w:val="24"/>
      <w:shd w:val="pct20" w:color="auto" w:fill="auto"/>
      <w:lang w:val="en-US" w:eastAsia="en-US"/>
    </w:rPr>
  </w:style>
  <w:style w:type="paragraph" w:styleId="NormalIndent">
    <w:name w:val="Normal Indent"/>
    <w:basedOn w:val="Normal"/>
    <w:semiHidden/>
    <w:rsid w:val="00301816"/>
    <w:pPr>
      <w:ind w:left="720"/>
    </w:pPr>
    <w:rPr>
      <w:rFonts w:ascii="Times New Roman" w:hAnsi="Times New Roman"/>
      <w:sz w:val="24"/>
      <w:szCs w:val="24"/>
      <w:lang w:val="en-US" w:eastAsia="en-US"/>
    </w:rPr>
  </w:style>
  <w:style w:type="paragraph" w:styleId="NoteHeading">
    <w:name w:val="Note Heading"/>
    <w:basedOn w:val="Normal"/>
    <w:next w:val="Normal"/>
    <w:link w:val="NoteHeadingChar"/>
    <w:semiHidden/>
    <w:rsid w:val="00301816"/>
    <w:rPr>
      <w:rFonts w:ascii="Times New Roman" w:hAnsi="Times New Roman"/>
      <w:sz w:val="24"/>
      <w:szCs w:val="24"/>
      <w:lang w:val="en-US" w:eastAsia="en-US"/>
    </w:rPr>
  </w:style>
  <w:style w:type="character" w:customStyle="1" w:styleId="NoteHeadingChar">
    <w:name w:val="Note Heading Char"/>
    <w:basedOn w:val="DefaultParagraphFont"/>
    <w:link w:val="NoteHeading"/>
    <w:semiHidden/>
    <w:rsid w:val="00301816"/>
    <w:rPr>
      <w:rFonts w:ascii="Times New Roman" w:hAnsi="Times New Roman"/>
      <w:sz w:val="24"/>
      <w:szCs w:val="24"/>
      <w:lang w:val="en-US" w:eastAsia="en-US"/>
    </w:rPr>
  </w:style>
  <w:style w:type="paragraph" w:styleId="PlainText">
    <w:name w:val="Plain Text"/>
    <w:basedOn w:val="Normal"/>
    <w:link w:val="PlainTextChar"/>
    <w:semiHidden/>
    <w:rsid w:val="00301816"/>
    <w:rPr>
      <w:rFonts w:ascii="Courier New" w:hAnsi="Courier New" w:cs="Courier New"/>
      <w:sz w:val="20"/>
      <w:lang w:val="en-US" w:eastAsia="en-US"/>
    </w:rPr>
  </w:style>
  <w:style w:type="character" w:customStyle="1" w:styleId="PlainTextChar">
    <w:name w:val="Plain Text Char"/>
    <w:basedOn w:val="DefaultParagraphFont"/>
    <w:link w:val="PlainText"/>
    <w:semiHidden/>
    <w:rsid w:val="00301816"/>
    <w:rPr>
      <w:rFonts w:ascii="Courier New" w:hAnsi="Courier New" w:cs="Courier New"/>
      <w:sz w:val="20"/>
      <w:szCs w:val="20"/>
      <w:lang w:val="en-US" w:eastAsia="en-US"/>
    </w:rPr>
  </w:style>
  <w:style w:type="paragraph" w:styleId="Salutation">
    <w:name w:val="Salutation"/>
    <w:basedOn w:val="Normal"/>
    <w:next w:val="Normal"/>
    <w:link w:val="SalutationChar"/>
    <w:semiHidden/>
    <w:rsid w:val="00301816"/>
    <w:rPr>
      <w:rFonts w:ascii="Times New Roman" w:hAnsi="Times New Roman"/>
      <w:sz w:val="24"/>
      <w:szCs w:val="24"/>
      <w:lang w:val="en-US" w:eastAsia="en-US"/>
    </w:rPr>
  </w:style>
  <w:style w:type="character" w:customStyle="1" w:styleId="SalutationChar">
    <w:name w:val="Salutation Char"/>
    <w:basedOn w:val="DefaultParagraphFont"/>
    <w:link w:val="Salutation"/>
    <w:semiHidden/>
    <w:rsid w:val="00301816"/>
    <w:rPr>
      <w:rFonts w:ascii="Times New Roman" w:hAnsi="Times New Roman"/>
      <w:sz w:val="24"/>
      <w:szCs w:val="24"/>
      <w:lang w:val="en-US" w:eastAsia="en-US"/>
    </w:rPr>
  </w:style>
  <w:style w:type="paragraph" w:styleId="Signature">
    <w:name w:val="Signature"/>
    <w:basedOn w:val="Normal"/>
    <w:link w:val="SignatureChar"/>
    <w:semiHidden/>
    <w:rsid w:val="00301816"/>
    <w:pPr>
      <w:ind w:left="4252"/>
    </w:pPr>
    <w:rPr>
      <w:rFonts w:ascii="Times New Roman" w:hAnsi="Times New Roman"/>
      <w:sz w:val="24"/>
      <w:szCs w:val="24"/>
      <w:lang w:val="en-US" w:eastAsia="en-US"/>
    </w:rPr>
  </w:style>
  <w:style w:type="character" w:customStyle="1" w:styleId="SignatureChar">
    <w:name w:val="Signature Char"/>
    <w:basedOn w:val="DefaultParagraphFont"/>
    <w:link w:val="Signature"/>
    <w:semiHidden/>
    <w:rsid w:val="00301816"/>
    <w:rPr>
      <w:rFonts w:ascii="Times New Roman" w:hAnsi="Times New Roman"/>
      <w:sz w:val="24"/>
      <w:szCs w:val="24"/>
      <w:lang w:val="en-US" w:eastAsia="en-US"/>
    </w:rPr>
  </w:style>
  <w:style w:type="paragraph" w:styleId="Subtitle">
    <w:name w:val="Subtitle"/>
    <w:basedOn w:val="Normal"/>
    <w:link w:val="SubtitleChar"/>
    <w:qFormat/>
    <w:rsid w:val="00301816"/>
    <w:pPr>
      <w:spacing w:after="60"/>
      <w:jc w:val="center"/>
      <w:outlineLvl w:val="1"/>
    </w:pPr>
    <w:rPr>
      <w:rFonts w:cs="Arial"/>
      <w:sz w:val="24"/>
      <w:szCs w:val="24"/>
      <w:lang w:val="en-US" w:eastAsia="en-US"/>
    </w:rPr>
  </w:style>
  <w:style w:type="character" w:customStyle="1" w:styleId="SubtitleChar">
    <w:name w:val="Subtitle Char"/>
    <w:basedOn w:val="DefaultParagraphFont"/>
    <w:link w:val="Subtitle"/>
    <w:rsid w:val="00301816"/>
    <w:rPr>
      <w:rFonts w:cs="Arial"/>
      <w:sz w:val="24"/>
      <w:szCs w:val="24"/>
      <w:lang w:val="en-US" w:eastAsia="en-US"/>
    </w:rPr>
  </w:style>
  <w:style w:type="table" w:styleId="Table3Deffects1">
    <w:name w:val="Table 3D effects 1"/>
    <w:basedOn w:val="TableNormal"/>
    <w:semiHidden/>
    <w:rsid w:val="00301816"/>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01816"/>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01816"/>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01816"/>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0181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0181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0181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01816"/>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0181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0181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01816"/>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0181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01816"/>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0181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01816"/>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0181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301816"/>
    <w:rPr>
      <w:rFonts w:ascii="Times New Roman" w:hAnsi="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0181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0181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0181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0181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0181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01816"/>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01816"/>
    <w:rPr>
      <w:rFonts w:ascii="Times New Roman" w:hAnsi="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0181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0181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0181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01816"/>
    <w:rPr>
      <w:rFonts w:ascii="Times New Roman" w:hAnsi="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01816"/>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01816"/>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01816"/>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0181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0181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0181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0181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autoRedefine/>
    <w:semiHidden/>
    <w:rsid w:val="00301816"/>
    <w:pPr>
      <w:numPr>
        <w:numId w:val="32"/>
      </w:numPr>
    </w:pPr>
    <w:rPr>
      <w:rFonts w:ascii="Times New Roman" w:hAnsi="Times New Roman"/>
      <w:sz w:val="24"/>
      <w:szCs w:val="24"/>
      <w:lang w:val="en-US" w:eastAsia="en-US"/>
    </w:rPr>
  </w:style>
  <w:style w:type="paragraph" w:styleId="Date">
    <w:name w:val="Date"/>
    <w:basedOn w:val="Normal"/>
    <w:next w:val="Normal"/>
    <w:link w:val="DateChar"/>
    <w:semiHidden/>
    <w:rsid w:val="00301816"/>
    <w:rPr>
      <w:rFonts w:ascii="Times New Roman" w:hAnsi="Times New Roman"/>
      <w:sz w:val="24"/>
      <w:szCs w:val="24"/>
      <w:lang w:val="en-US" w:eastAsia="en-US"/>
    </w:rPr>
  </w:style>
  <w:style w:type="character" w:customStyle="1" w:styleId="DateChar">
    <w:name w:val="Date Char"/>
    <w:basedOn w:val="DefaultParagraphFont"/>
    <w:link w:val="Date"/>
    <w:semiHidden/>
    <w:rsid w:val="00301816"/>
    <w:rPr>
      <w:rFonts w:ascii="Times New Roman" w:hAnsi="Times New Roman"/>
      <w:sz w:val="24"/>
      <w:szCs w:val="24"/>
      <w:lang w:val="en-US" w:eastAsia="en-US"/>
    </w:rPr>
  </w:style>
  <w:style w:type="paragraph" w:customStyle="1" w:styleId="Figureheading">
    <w:name w:val="Figure heading"/>
    <w:basedOn w:val="Tableheading"/>
    <w:next w:val="BodyText"/>
    <w:rsid w:val="005422C0"/>
    <w:pPr>
      <w:tabs>
        <w:tab w:val="clear" w:pos="1304"/>
        <w:tab w:val="left" w:pos="1418"/>
      </w:tabs>
      <w:spacing w:before="120"/>
    </w:pPr>
    <w:rPr>
      <w:lang w:val="en-AU"/>
    </w:rPr>
  </w:style>
  <w:style w:type="paragraph" w:customStyle="1" w:styleId="References">
    <w:name w:val="References"/>
    <w:basedOn w:val="BodyText"/>
    <w:rsid w:val="00301816"/>
    <w:pPr>
      <w:tabs>
        <w:tab w:val="left" w:pos="567"/>
      </w:tabs>
      <w:ind w:left="567" w:hanging="567"/>
    </w:pPr>
    <w:rPr>
      <w:szCs w:val="24"/>
    </w:rPr>
  </w:style>
  <w:style w:type="character" w:styleId="FootnoteReference">
    <w:name w:val="footnote reference"/>
    <w:uiPriority w:val="99"/>
    <w:semiHidden/>
    <w:rsid w:val="00301816"/>
    <w:rPr>
      <w:vertAlign w:val="superscript"/>
    </w:rPr>
  </w:style>
  <w:style w:type="table" w:styleId="LightList-Accent3">
    <w:name w:val="Light List Accent 3"/>
    <w:basedOn w:val="TableNormal"/>
    <w:uiPriority w:val="61"/>
    <w:rsid w:val="0030181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dNoteBibliographyTitle">
    <w:name w:val="EndNote Bibliography Title"/>
    <w:basedOn w:val="Normal"/>
    <w:link w:val="EndNoteBibliographyTitleChar"/>
    <w:rsid w:val="00FE5CE8"/>
    <w:pPr>
      <w:jc w:val="center"/>
    </w:pPr>
    <w:rPr>
      <w:rFonts w:cs="Arial"/>
      <w:noProof/>
    </w:rPr>
  </w:style>
  <w:style w:type="character" w:customStyle="1" w:styleId="EndNoteBibliographyTitleChar">
    <w:name w:val="EndNote Bibliography Title Char"/>
    <w:basedOn w:val="DefaultParagraphFont"/>
    <w:link w:val="EndNoteBibliographyTitle"/>
    <w:rsid w:val="00FE5CE8"/>
    <w:rPr>
      <w:rFonts w:cs="Arial"/>
      <w:noProof/>
      <w:szCs w:val="20"/>
    </w:rPr>
  </w:style>
  <w:style w:type="paragraph" w:customStyle="1" w:styleId="EndNoteBibliography">
    <w:name w:val="EndNote Bibliography"/>
    <w:basedOn w:val="Normal"/>
    <w:link w:val="EndNoteBibliographyChar"/>
    <w:rsid w:val="00FE5CE8"/>
    <w:rPr>
      <w:rFonts w:cs="Arial"/>
      <w:noProof/>
    </w:rPr>
  </w:style>
  <w:style w:type="character" w:customStyle="1" w:styleId="EndNoteBibliographyChar">
    <w:name w:val="EndNote Bibliography Char"/>
    <w:basedOn w:val="DefaultParagraphFont"/>
    <w:link w:val="EndNoteBibliography"/>
    <w:rsid w:val="00FE5CE8"/>
    <w:rPr>
      <w:rFonts w:cs="Arial"/>
      <w:noProof/>
      <w:szCs w:val="20"/>
    </w:rPr>
  </w:style>
  <w:style w:type="character" w:customStyle="1" w:styleId="Heading5Char1">
    <w:name w:val="Heading 5 Char1"/>
    <w:aliases w:val="VAREval5 Char1"/>
    <w:basedOn w:val="DefaultParagraphFont"/>
    <w:semiHidden/>
    <w:rsid w:val="00F650A4"/>
    <w:rPr>
      <w:rFonts w:asciiTheme="majorHAnsi" w:eastAsiaTheme="majorEastAsia" w:hAnsiTheme="majorHAnsi" w:cstheme="majorBidi"/>
      <w:color w:val="243F60" w:themeColor="accent1" w:themeShade="7F"/>
      <w:sz w:val="22"/>
    </w:rPr>
  </w:style>
  <w:style w:type="character" w:customStyle="1" w:styleId="Heading6Char1">
    <w:name w:val="Heading 6 Char1"/>
    <w:aliases w:val="Char4 Char1"/>
    <w:basedOn w:val="DefaultParagraphFont"/>
    <w:semiHidden/>
    <w:rsid w:val="00F650A4"/>
    <w:rPr>
      <w:rFonts w:asciiTheme="majorHAnsi" w:eastAsiaTheme="majorEastAsia" w:hAnsiTheme="majorHAnsi" w:cstheme="majorBidi"/>
      <w:i/>
      <w:iCs/>
      <w:color w:val="243F60" w:themeColor="accent1" w:themeShade="7F"/>
      <w:sz w:val="22"/>
    </w:rPr>
  </w:style>
  <w:style w:type="character" w:customStyle="1" w:styleId="Heading7Char1">
    <w:name w:val="Heading 7 Char1"/>
    <w:aliases w:val="Char3 Char1"/>
    <w:basedOn w:val="DefaultParagraphFont"/>
    <w:semiHidden/>
    <w:rsid w:val="00F650A4"/>
    <w:rPr>
      <w:rFonts w:asciiTheme="majorHAnsi" w:eastAsiaTheme="majorEastAsia" w:hAnsiTheme="majorHAnsi" w:cstheme="majorBidi"/>
      <w:i/>
      <w:iCs/>
      <w:color w:val="404040" w:themeColor="text1" w:themeTint="BF"/>
      <w:sz w:val="22"/>
    </w:rPr>
  </w:style>
  <w:style w:type="character" w:customStyle="1" w:styleId="Heading8Char1">
    <w:name w:val="Heading 8 Char1"/>
    <w:aliases w:val="Char2 Char1"/>
    <w:basedOn w:val="DefaultParagraphFont"/>
    <w:semiHidden/>
    <w:rsid w:val="00F650A4"/>
    <w:rPr>
      <w:rFonts w:asciiTheme="majorHAnsi" w:eastAsiaTheme="majorEastAsia" w:hAnsiTheme="majorHAnsi" w:cstheme="majorBidi"/>
      <w:color w:val="404040" w:themeColor="text1" w:themeTint="BF"/>
    </w:rPr>
  </w:style>
  <w:style w:type="character" w:customStyle="1" w:styleId="Heading9Char1">
    <w:name w:val="Heading 9 Char1"/>
    <w:aliases w:val="Char1 Char1"/>
    <w:basedOn w:val="DefaultParagraphFont"/>
    <w:semiHidden/>
    <w:rsid w:val="00F650A4"/>
    <w:rPr>
      <w:rFonts w:asciiTheme="majorHAnsi" w:eastAsiaTheme="majorEastAsia" w:hAnsiTheme="majorHAnsi" w:cstheme="majorBidi"/>
      <w:i/>
      <w:iCs/>
      <w:color w:val="404040" w:themeColor="text1" w:themeTint="BF"/>
    </w:rPr>
  </w:style>
  <w:style w:type="character" w:customStyle="1" w:styleId="BodyTextChar2">
    <w:name w:val="Body Text Char2"/>
    <w:aliases w:val="Body Text Char Char1 Char2,Body Text Char Char1 Char Char2,Body Text Char Char1 Char Char Char2,Body Text Char Char1 Char Char Char Char1,Body Text Char1 Char2,Body Text Char1 Char Char2,Body Text Char1 Char Char Char2"/>
    <w:basedOn w:val="DefaultParagraphFont"/>
    <w:semiHidden/>
    <w:rsid w:val="00F650A4"/>
    <w:rPr>
      <w:rFonts w:cs="Times New Roman"/>
      <w:sz w:val="22"/>
    </w:rPr>
  </w:style>
  <w:style w:type="table" w:customStyle="1" w:styleId="LightList-Accent11">
    <w:name w:val="Light List - Accent 11"/>
    <w:basedOn w:val="TableNormal"/>
    <w:uiPriority w:val="61"/>
    <w:rsid w:val="00F650A4"/>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4">
    <w:name w:val="No List4"/>
    <w:next w:val="NoList"/>
    <w:uiPriority w:val="99"/>
    <w:semiHidden/>
    <w:unhideWhenUsed/>
    <w:rsid w:val="009F562E"/>
  </w:style>
  <w:style w:type="table" w:customStyle="1" w:styleId="TableGrid30">
    <w:name w:val="Table Grid3"/>
    <w:basedOn w:val="TableNormal"/>
    <w:next w:val="TableGrid"/>
    <w:rsid w:val="009F5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9F562E"/>
    <w:rPr>
      <w:rFonts w:ascii="Times New Roman" w:hAnsi="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b/>
        <w:i/>
        <w:iCs/>
      </w:rPr>
      <w:tblPr/>
      <w:tcPr>
        <w:tcBorders>
          <w:top w:val="single" w:sz="12" w:space="0" w:color="auto"/>
          <w:bottom w:val="single" w:sz="12" w:space="0" w:color="auto"/>
        </w:tcBorders>
        <w:shd w:val="clear" w:color="auto" w:fill="auto"/>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left w:val="nil"/>
          <w:right w:val="single" w:sz="6" w:space="0" w:color="000000"/>
        </w:tcBorders>
        <w:shd w:val="clear" w:color="auto" w:fill="auto"/>
      </w:tcPr>
    </w:tblStylePr>
    <w:tblStylePr w:type="lastCol">
      <w:tblPr/>
      <w:tcPr>
        <w:tcBorders>
          <w:right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9F562E"/>
  </w:style>
  <w:style w:type="table" w:customStyle="1" w:styleId="TableGrid11">
    <w:name w:val="Table Grid11"/>
    <w:basedOn w:val="TableNormal"/>
    <w:next w:val="TableGrid"/>
    <w:uiPriority w:val="59"/>
    <w:rsid w:val="009F562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9F562E"/>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1">
    <w:name w:val="No List21"/>
    <w:next w:val="NoList"/>
    <w:uiPriority w:val="99"/>
    <w:semiHidden/>
    <w:unhideWhenUsed/>
    <w:rsid w:val="009F562E"/>
  </w:style>
  <w:style w:type="table" w:customStyle="1" w:styleId="TableGrid21">
    <w:name w:val="Table Grid21"/>
    <w:basedOn w:val="TableNormal"/>
    <w:next w:val="TableGrid"/>
    <w:rsid w:val="009F562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F562E"/>
  </w:style>
  <w:style w:type="table" w:customStyle="1" w:styleId="Table3Deffects11">
    <w:name w:val="Table 3D effects 11"/>
    <w:basedOn w:val="TableNormal"/>
    <w:next w:val="Table3Deffects1"/>
    <w:semiHidden/>
    <w:rsid w:val="009F562E"/>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9F562E"/>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9F562E"/>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9F562E"/>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9F562E"/>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9F562E"/>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9F562E"/>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9F562E"/>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9F562E"/>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9F562E"/>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9F562E"/>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9F562E"/>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9F562E"/>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9F562E"/>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9F562E"/>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9F562E"/>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9F562E"/>
    <w:rPr>
      <w:rFonts w:ascii="Times New Roman" w:hAnsi="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9F562E"/>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9F562E"/>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9F562E"/>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9F562E"/>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9F562E"/>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9F562E"/>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9F562E"/>
    <w:rPr>
      <w:rFonts w:ascii="Times New Roman" w:hAnsi="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9F562E"/>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9F562E"/>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9F562E"/>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9F562E"/>
    <w:rPr>
      <w:rFonts w:ascii="Times New Roman" w:hAnsi="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9F562E"/>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9F562E"/>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9F562E"/>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9F562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9F562E"/>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9F562E"/>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9F562E"/>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rsid w:val="009F562E"/>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ppendixunnumberedfiguretableheading">
    <w:name w:val="Appendix unnumbered figure/table heading"/>
    <w:next w:val="BodyText"/>
    <w:qFormat/>
    <w:rsid w:val="009502FD"/>
    <w:pPr>
      <w:tabs>
        <w:tab w:val="right" w:pos="540"/>
        <w:tab w:val="left" w:pos="720"/>
      </w:tabs>
      <w:spacing w:after="120"/>
    </w:pPr>
    <w:rPr>
      <w:rFonts w:cs="Arial"/>
      <w:b/>
      <w:sz w:val="24"/>
      <w:szCs w:val="24"/>
    </w:rPr>
  </w:style>
  <w:style w:type="paragraph" w:customStyle="1" w:styleId="Tabletextbullets">
    <w:name w:val="Table text bullets"/>
    <w:qFormat/>
    <w:rsid w:val="00165E16"/>
    <w:pPr>
      <w:numPr>
        <w:numId w:val="14"/>
      </w:numPr>
      <w:tabs>
        <w:tab w:val="left" w:pos="284"/>
      </w:tabs>
      <w:ind w:left="284" w:hanging="284"/>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57E"/>
    <w:rPr>
      <w:szCs w:val="20"/>
    </w:rPr>
  </w:style>
  <w:style w:type="paragraph" w:styleId="Heading1">
    <w:name w:val="heading 1"/>
    <w:next w:val="BodyText"/>
    <w:link w:val="Heading1Char"/>
    <w:qFormat/>
    <w:rsid w:val="00EC6CAF"/>
    <w:pPr>
      <w:keepNext/>
      <w:spacing w:after="120" w:line="360" w:lineRule="auto"/>
      <w:outlineLvl w:val="0"/>
    </w:pPr>
    <w:rPr>
      <w:rFonts w:cs="Arial"/>
      <w:b/>
      <w:color w:val="004280"/>
      <w:kern w:val="32"/>
      <w:sz w:val="28"/>
      <w:szCs w:val="28"/>
    </w:rPr>
  </w:style>
  <w:style w:type="paragraph" w:styleId="Heading2">
    <w:name w:val="heading 2"/>
    <w:next w:val="BodyText"/>
    <w:link w:val="Heading2Char"/>
    <w:qFormat/>
    <w:rsid w:val="00814DDD"/>
    <w:pPr>
      <w:keepNext/>
      <w:tabs>
        <w:tab w:val="num" w:pos="1440"/>
      </w:tabs>
      <w:spacing w:before="240" w:after="120" w:line="360" w:lineRule="auto"/>
      <w:outlineLvl w:val="1"/>
    </w:pPr>
    <w:rPr>
      <w:rFonts w:cs="Arial"/>
      <w:b/>
      <w:bCs/>
      <w:iCs/>
      <w:sz w:val="28"/>
      <w:szCs w:val="28"/>
    </w:rPr>
  </w:style>
  <w:style w:type="paragraph" w:styleId="Heading3">
    <w:name w:val="heading 3"/>
    <w:next w:val="BodyText"/>
    <w:link w:val="Heading3Char"/>
    <w:qFormat/>
    <w:rsid w:val="00AF34E5"/>
    <w:pPr>
      <w:keepNext/>
      <w:spacing w:before="240" w:after="120" w:line="360" w:lineRule="auto"/>
      <w:outlineLvl w:val="2"/>
    </w:pPr>
    <w:rPr>
      <w:rFonts w:cs="Arial"/>
      <w:b/>
      <w:bCs/>
      <w:sz w:val="24"/>
      <w:szCs w:val="26"/>
    </w:rPr>
  </w:style>
  <w:style w:type="paragraph" w:styleId="Heading4">
    <w:name w:val="heading 4"/>
    <w:next w:val="BodyText"/>
    <w:link w:val="Heading4Char"/>
    <w:qFormat/>
    <w:rsid w:val="006C73CE"/>
    <w:pPr>
      <w:spacing w:before="120" w:after="120"/>
      <w:jc w:val="both"/>
      <w:outlineLvl w:val="3"/>
    </w:pPr>
    <w:rPr>
      <w:rFonts w:eastAsiaTheme="minorEastAsia" w:cstheme="minorBidi"/>
      <w:b/>
      <w:bCs/>
      <w:i/>
      <w:snapToGrid w:val="0"/>
      <w:sz w:val="24"/>
      <w:szCs w:val="24"/>
    </w:rPr>
  </w:style>
  <w:style w:type="paragraph" w:styleId="Heading5">
    <w:name w:val="heading 5"/>
    <w:next w:val="BodyText"/>
    <w:link w:val="Heading5Char"/>
    <w:unhideWhenUsed/>
    <w:qFormat/>
    <w:rsid w:val="00092229"/>
    <w:pPr>
      <w:keepNext/>
      <w:keepLines/>
      <w:tabs>
        <w:tab w:val="left" w:pos="720"/>
      </w:tabs>
      <w:spacing w:before="120" w:after="120"/>
      <w:outlineLvl w:val="4"/>
    </w:pPr>
    <w:rPr>
      <w:rFonts w:eastAsiaTheme="majorEastAsia" w:cstheme="majorBidi"/>
      <w:b/>
      <w:szCs w:val="20"/>
    </w:rPr>
  </w:style>
  <w:style w:type="paragraph" w:styleId="Heading6">
    <w:name w:val="heading 6"/>
    <w:aliases w:val=" Char4,Char4"/>
    <w:basedOn w:val="Normal"/>
    <w:next w:val="Normal"/>
    <w:link w:val="Heading6Char"/>
    <w:qFormat/>
    <w:rsid w:val="00CE7692"/>
    <w:pPr>
      <w:numPr>
        <w:ilvl w:val="5"/>
        <w:numId w:val="1"/>
      </w:numPr>
      <w:tabs>
        <w:tab w:val="clear" w:pos="1152"/>
      </w:tabs>
      <w:spacing w:before="240" w:after="60"/>
      <w:outlineLvl w:val="5"/>
    </w:pPr>
    <w:rPr>
      <w:rFonts w:ascii="Times New Roman" w:hAnsi="Times New Roman"/>
      <w:b/>
      <w:bCs/>
      <w:sz w:val="20"/>
      <w:szCs w:val="22"/>
      <w:lang w:val="en-US" w:eastAsia="en-US"/>
    </w:rPr>
  </w:style>
  <w:style w:type="paragraph" w:styleId="Heading7">
    <w:name w:val="heading 7"/>
    <w:aliases w:val=" Char3,Char3"/>
    <w:basedOn w:val="Normal"/>
    <w:next w:val="Normal"/>
    <w:link w:val="Heading7Char"/>
    <w:qFormat/>
    <w:rsid w:val="00CE7692"/>
    <w:pPr>
      <w:numPr>
        <w:ilvl w:val="6"/>
        <w:numId w:val="1"/>
      </w:numPr>
      <w:tabs>
        <w:tab w:val="clear" w:pos="1296"/>
      </w:tabs>
      <w:spacing w:before="240" w:after="60"/>
      <w:outlineLvl w:val="6"/>
    </w:pPr>
    <w:rPr>
      <w:rFonts w:ascii="Times New Roman" w:hAnsi="Times New Roman"/>
      <w:sz w:val="24"/>
      <w:szCs w:val="24"/>
      <w:lang w:val="en-US" w:eastAsia="en-US"/>
    </w:rPr>
  </w:style>
  <w:style w:type="paragraph" w:styleId="Heading8">
    <w:name w:val="heading 8"/>
    <w:aliases w:val=" Char2"/>
    <w:basedOn w:val="Normal"/>
    <w:next w:val="Normal"/>
    <w:link w:val="Heading8Char"/>
    <w:qFormat/>
    <w:rsid w:val="00CE7692"/>
    <w:pPr>
      <w:numPr>
        <w:ilvl w:val="7"/>
        <w:numId w:val="1"/>
      </w:numPr>
      <w:tabs>
        <w:tab w:val="clear" w:pos="1440"/>
      </w:tabs>
      <w:spacing w:before="240" w:after="60"/>
      <w:outlineLvl w:val="7"/>
    </w:pPr>
    <w:rPr>
      <w:rFonts w:ascii="Times New Roman" w:hAnsi="Times New Roman"/>
      <w:i/>
      <w:iCs/>
      <w:sz w:val="24"/>
      <w:szCs w:val="24"/>
      <w:lang w:val="en-US" w:eastAsia="en-US"/>
    </w:rPr>
  </w:style>
  <w:style w:type="paragraph" w:styleId="Heading9">
    <w:name w:val="heading 9"/>
    <w:aliases w:val=" Char1,Char1"/>
    <w:basedOn w:val="Normal"/>
    <w:next w:val="Normal"/>
    <w:link w:val="Heading9Char"/>
    <w:qFormat/>
    <w:rsid w:val="00CE7692"/>
    <w:pPr>
      <w:numPr>
        <w:ilvl w:val="8"/>
        <w:numId w:val="1"/>
      </w:numPr>
      <w:tabs>
        <w:tab w:val="clear" w:pos="1584"/>
      </w:tabs>
      <w:spacing w:before="240" w:after="60"/>
      <w:outlineLvl w:val="8"/>
    </w:pPr>
    <w:rPr>
      <w:sz w:val="2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C73CE"/>
    <w:rPr>
      <w:rFonts w:eastAsiaTheme="minorEastAsia" w:cstheme="minorBidi"/>
      <w:b/>
      <w:bCs/>
      <w:i/>
      <w:snapToGrid w:val="0"/>
      <w:sz w:val="24"/>
      <w:szCs w:val="24"/>
    </w:rPr>
  </w:style>
  <w:style w:type="character" w:customStyle="1" w:styleId="Heading1Char">
    <w:name w:val="Heading 1 Char"/>
    <w:basedOn w:val="DefaultParagraphFont"/>
    <w:link w:val="Heading1"/>
    <w:rsid w:val="00EC6CAF"/>
    <w:rPr>
      <w:rFonts w:cs="Arial"/>
      <w:b/>
      <w:color w:val="004280"/>
      <w:kern w:val="32"/>
      <w:sz w:val="28"/>
      <w:szCs w:val="28"/>
    </w:rPr>
  </w:style>
  <w:style w:type="character" w:customStyle="1" w:styleId="Heading2Char">
    <w:name w:val="Heading 2 Char"/>
    <w:basedOn w:val="DefaultParagraphFont"/>
    <w:link w:val="Heading2"/>
    <w:rsid w:val="00814DDD"/>
    <w:rPr>
      <w:rFonts w:cs="Arial"/>
      <w:b/>
      <w:bCs/>
      <w:iCs/>
      <w:sz w:val="28"/>
      <w:szCs w:val="28"/>
    </w:rPr>
  </w:style>
  <w:style w:type="character" w:customStyle="1" w:styleId="Heading3Char">
    <w:name w:val="Heading 3 Char"/>
    <w:basedOn w:val="DefaultParagraphFont"/>
    <w:link w:val="Heading3"/>
    <w:rsid w:val="00AF34E5"/>
    <w:rPr>
      <w:rFonts w:cs="Arial"/>
      <w:b/>
      <w:bCs/>
      <w:sz w:val="24"/>
      <w:szCs w:val="26"/>
    </w:rPr>
  </w:style>
  <w:style w:type="paragraph" w:styleId="Header">
    <w:name w:val="header"/>
    <w:basedOn w:val="Normal"/>
    <w:link w:val="HeaderChar"/>
    <w:rsid w:val="00C21DB8"/>
    <w:pPr>
      <w:tabs>
        <w:tab w:val="center" w:pos="4153"/>
        <w:tab w:val="right" w:pos="8306"/>
      </w:tabs>
    </w:pPr>
    <w:rPr>
      <w:szCs w:val="22"/>
    </w:rPr>
  </w:style>
  <w:style w:type="character" w:customStyle="1" w:styleId="HeaderChar">
    <w:name w:val="Header Char"/>
    <w:basedOn w:val="DefaultParagraphFont"/>
    <w:link w:val="Header"/>
    <w:rsid w:val="00C21DB8"/>
    <w:rPr>
      <w:szCs w:val="24"/>
    </w:rPr>
  </w:style>
  <w:style w:type="paragraph" w:styleId="Footer">
    <w:name w:val="footer"/>
    <w:aliases w:val=" Char6,Char2"/>
    <w:basedOn w:val="Normal"/>
    <w:link w:val="FooterChar"/>
    <w:uiPriority w:val="99"/>
    <w:rsid w:val="00C21DB8"/>
    <w:pPr>
      <w:tabs>
        <w:tab w:val="center" w:pos="4153"/>
        <w:tab w:val="right" w:pos="8306"/>
      </w:tabs>
    </w:pPr>
    <w:rPr>
      <w:szCs w:val="22"/>
    </w:rPr>
  </w:style>
  <w:style w:type="character" w:customStyle="1" w:styleId="FooterChar">
    <w:name w:val="Footer Char"/>
    <w:aliases w:val=" Char6 Char,Char2 Char"/>
    <w:basedOn w:val="DefaultParagraphFont"/>
    <w:link w:val="Footer"/>
    <w:uiPriority w:val="99"/>
    <w:rsid w:val="00C21DB8"/>
    <w:rPr>
      <w:szCs w:val="24"/>
    </w:rPr>
  </w:style>
  <w:style w:type="character" w:styleId="Hyperlink">
    <w:name w:val="Hyperlink"/>
    <w:uiPriority w:val="99"/>
    <w:unhideWhenUsed/>
    <w:rsid w:val="00C21DB8"/>
    <w:rPr>
      <w:color w:val="0000FF"/>
      <w:u w:val="single"/>
    </w:rPr>
  </w:style>
  <w:style w:type="paragraph" w:styleId="BalloonText">
    <w:name w:val="Balloon Text"/>
    <w:basedOn w:val="Normal"/>
    <w:link w:val="BalloonTextChar"/>
    <w:uiPriority w:val="99"/>
    <w:semiHidden/>
    <w:unhideWhenUsed/>
    <w:rsid w:val="00C21DB8"/>
    <w:rPr>
      <w:rFonts w:ascii="Tahoma" w:hAnsi="Tahoma" w:cs="Tahoma"/>
      <w:sz w:val="16"/>
      <w:szCs w:val="16"/>
    </w:rPr>
  </w:style>
  <w:style w:type="character" w:customStyle="1" w:styleId="BalloonTextChar">
    <w:name w:val="Balloon Text Char"/>
    <w:link w:val="BalloonText"/>
    <w:uiPriority w:val="99"/>
    <w:semiHidden/>
    <w:rsid w:val="00C21DB8"/>
    <w:rPr>
      <w:rFonts w:ascii="Tahoma" w:hAnsi="Tahoma" w:cs="Tahoma"/>
      <w:sz w:val="16"/>
      <w:szCs w:val="16"/>
    </w:rPr>
  </w:style>
  <w:style w:type="paragraph" w:customStyle="1" w:styleId="Tableheading">
    <w:name w:val="Table heading"/>
    <w:basedOn w:val="BodyText"/>
    <w:qFormat/>
    <w:rsid w:val="00D861BD"/>
    <w:pPr>
      <w:tabs>
        <w:tab w:val="left" w:pos="1304"/>
        <w:tab w:val="left" w:pos="1701"/>
      </w:tabs>
      <w:spacing w:before="240" w:line="240" w:lineRule="auto"/>
    </w:pPr>
    <w:rPr>
      <w:b/>
      <w:szCs w:val="24"/>
    </w:rPr>
  </w:style>
  <w:style w:type="paragraph" w:styleId="BodyText">
    <w:name w:val="Body Text"/>
    <w:link w:val="BodyTextChar"/>
    <w:unhideWhenUsed/>
    <w:rsid w:val="001058BD"/>
    <w:pPr>
      <w:spacing w:after="120" w:line="360" w:lineRule="auto"/>
    </w:pPr>
    <w:rPr>
      <w:rFonts w:cs="Arial"/>
      <w:lang w:val="en-US" w:eastAsia="en-US"/>
    </w:rPr>
  </w:style>
  <w:style w:type="character" w:customStyle="1" w:styleId="BodyTextChar">
    <w:name w:val="Body Text Char"/>
    <w:basedOn w:val="DefaultParagraphFont"/>
    <w:link w:val="BodyText"/>
    <w:rsid w:val="001058BD"/>
    <w:rPr>
      <w:rFonts w:cs="Arial"/>
      <w:lang w:val="en-US" w:eastAsia="en-US"/>
    </w:rPr>
  </w:style>
  <w:style w:type="paragraph" w:customStyle="1" w:styleId="Tablecolumnheading">
    <w:name w:val="Table column heading"/>
    <w:rsid w:val="00BF3F7D"/>
    <w:pPr>
      <w:tabs>
        <w:tab w:val="left" w:pos="851"/>
      </w:tabs>
      <w:spacing w:before="60" w:after="60"/>
    </w:pPr>
    <w:rPr>
      <w:rFonts w:cs="Arial"/>
      <w:b/>
      <w:sz w:val="20"/>
      <w:szCs w:val="24"/>
      <w:lang w:val="en-US" w:eastAsia="en-US"/>
    </w:rPr>
  </w:style>
  <w:style w:type="paragraph" w:customStyle="1" w:styleId="Tabletextleftaligned">
    <w:name w:val="Table text left aligned"/>
    <w:basedOn w:val="BodyText"/>
    <w:rsid w:val="00782244"/>
    <w:pPr>
      <w:tabs>
        <w:tab w:val="left" w:pos="851"/>
      </w:tabs>
      <w:spacing w:before="60" w:after="60"/>
    </w:pPr>
    <w:rPr>
      <w:sz w:val="20"/>
      <w:szCs w:val="24"/>
    </w:rPr>
  </w:style>
  <w:style w:type="paragraph" w:customStyle="1" w:styleId="Contentsheading">
    <w:name w:val="Contents heading"/>
    <w:basedOn w:val="Heading1"/>
    <w:next w:val="BodyText"/>
    <w:rsid w:val="00782244"/>
    <w:pPr>
      <w:tabs>
        <w:tab w:val="left" w:pos="851"/>
      </w:tabs>
    </w:pPr>
    <w:rPr>
      <w:rFonts w:cs="Times New Roman"/>
      <w:iCs/>
      <w:kern w:val="0"/>
    </w:rPr>
  </w:style>
  <w:style w:type="paragraph" w:customStyle="1" w:styleId="Blockquote">
    <w:name w:val="Block quote"/>
    <w:qFormat/>
    <w:rsid w:val="001058BD"/>
    <w:pPr>
      <w:spacing w:after="120" w:line="360" w:lineRule="auto"/>
      <w:ind w:left="720"/>
    </w:pPr>
    <w:rPr>
      <w:i/>
      <w:szCs w:val="20"/>
    </w:rPr>
  </w:style>
  <w:style w:type="paragraph" w:styleId="TOC1">
    <w:name w:val="toc 1"/>
    <w:basedOn w:val="Normal"/>
    <w:next w:val="Normal"/>
    <w:autoRedefine/>
    <w:uiPriority w:val="39"/>
    <w:qFormat/>
    <w:rsid w:val="00901C17"/>
    <w:pPr>
      <w:tabs>
        <w:tab w:val="right" w:leader="dot" w:pos="10206"/>
      </w:tabs>
      <w:spacing w:line="360" w:lineRule="auto"/>
    </w:pPr>
    <w:rPr>
      <w:rFonts w:cs="Arial"/>
      <w:szCs w:val="28"/>
    </w:rPr>
  </w:style>
  <w:style w:type="character" w:styleId="CommentReference">
    <w:name w:val="annotation reference"/>
    <w:basedOn w:val="DefaultParagraphFont"/>
    <w:uiPriority w:val="99"/>
    <w:semiHidden/>
    <w:unhideWhenUsed/>
    <w:rsid w:val="00DC1E1E"/>
    <w:rPr>
      <w:sz w:val="16"/>
      <w:szCs w:val="16"/>
    </w:rPr>
  </w:style>
  <w:style w:type="paragraph" w:styleId="CommentText">
    <w:name w:val="annotation text"/>
    <w:basedOn w:val="Normal"/>
    <w:link w:val="CommentTextChar"/>
    <w:uiPriority w:val="99"/>
    <w:unhideWhenUsed/>
    <w:rsid w:val="00DC1E1E"/>
    <w:rPr>
      <w:sz w:val="20"/>
    </w:rPr>
  </w:style>
  <w:style w:type="character" w:customStyle="1" w:styleId="CommentTextChar">
    <w:name w:val="Comment Text Char"/>
    <w:basedOn w:val="DefaultParagraphFont"/>
    <w:link w:val="CommentText"/>
    <w:uiPriority w:val="99"/>
    <w:rsid w:val="00DC1E1E"/>
    <w:rPr>
      <w:sz w:val="20"/>
      <w:szCs w:val="20"/>
    </w:rPr>
  </w:style>
  <w:style w:type="paragraph" w:styleId="CommentSubject">
    <w:name w:val="annotation subject"/>
    <w:basedOn w:val="CommentText"/>
    <w:next w:val="CommentText"/>
    <w:link w:val="CommentSubjectChar"/>
    <w:uiPriority w:val="99"/>
    <w:semiHidden/>
    <w:unhideWhenUsed/>
    <w:rsid w:val="00DC1E1E"/>
    <w:rPr>
      <w:b/>
      <w:bCs/>
    </w:rPr>
  </w:style>
  <w:style w:type="character" w:customStyle="1" w:styleId="CommentSubjectChar">
    <w:name w:val="Comment Subject Char"/>
    <w:basedOn w:val="CommentTextChar"/>
    <w:link w:val="CommentSubject"/>
    <w:uiPriority w:val="99"/>
    <w:semiHidden/>
    <w:rsid w:val="00DC1E1E"/>
    <w:rPr>
      <w:b/>
      <w:bCs/>
      <w:sz w:val="20"/>
      <w:szCs w:val="20"/>
    </w:rPr>
  </w:style>
  <w:style w:type="paragraph" w:customStyle="1" w:styleId="Coverpagebannerfont">
    <w:name w:val="Cover page banner font"/>
    <w:basedOn w:val="Normal"/>
    <w:rsid w:val="00CE7692"/>
    <w:pPr>
      <w:jc w:val="center"/>
    </w:pPr>
    <w:rPr>
      <w:color w:val="FFFFFF"/>
      <w:sz w:val="72"/>
      <w:lang w:val="en-US" w:eastAsia="en-US"/>
    </w:rPr>
  </w:style>
  <w:style w:type="character" w:customStyle="1" w:styleId="Heading6Char">
    <w:name w:val="Heading 6 Char"/>
    <w:aliases w:val=" Char4 Char,Char4 Char"/>
    <w:basedOn w:val="DefaultParagraphFont"/>
    <w:link w:val="Heading6"/>
    <w:rsid w:val="00CE7692"/>
    <w:rPr>
      <w:rFonts w:ascii="Times New Roman" w:hAnsi="Times New Roman"/>
      <w:b/>
      <w:bCs/>
      <w:sz w:val="20"/>
      <w:lang w:val="en-US" w:eastAsia="en-US"/>
    </w:rPr>
  </w:style>
  <w:style w:type="character" w:customStyle="1" w:styleId="Heading7Char">
    <w:name w:val="Heading 7 Char"/>
    <w:aliases w:val=" Char3 Char,Char3 Char"/>
    <w:basedOn w:val="DefaultParagraphFont"/>
    <w:link w:val="Heading7"/>
    <w:rsid w:val="00CE7692"/>
    <w:rPr>
      <w:rFonts w:ascii="Times New Roman" w:hAnsi="Times New Roman"/>
      <w:sz w:val="24"/>
      <w:szCs w:val="24"/>
      <w:lang w:val="en-US" w:eastAsia="en-US"/>
    </w:rPr>
  </w:style>
  <w:style w:type="character" w:customStyle="1" w:styleId="Heading8Char">
    <w:name w:val="Heading 8 Char"/>
    <w:aliases w:val=" Char2 Char"/>
    <w:basedOn w:val="DefaultParagraphFont"/>
    <w:link w:val="Heading8"/>
    <w:rsid w:val="00CE7692"/>
    <w:rPr>
      <w:rFonts w:ascii="Times New Roman" w:hAnsi="Times New Roman"/>
      <w:i/>
      <w:iCs/>
      <w:sz w:val="24"/>
      <w:szCs w:val="24"/>
      <w:lang w:val="en-US" w:eastAsia="en-US"/>
    </w:rPr>
  </w:style>
  <w:style w:type="character" w:customStyle="1" w:styleId="Heading9Char">
    <w:name w:val="Heading 9 Char"/>
    <w:aliases w:val=" Char1 Char,Char1 Char"/>
    <w:basedOn w:val="DefaultParagraphFont"/>
    <w:link w:val="Heading9"/>
    <w:rsid w:val="00CE7692"/>
    <w:rPr>
      <w:sz w:val="20"/>
      <w:lang w:val="en-US" w:eastAsia="en-US"/>
    </w:rPr>
  </w:style>
  <w:style w:type="character" w:customStyle="1" w:styleId="Heading5Char">
    <w:name w:val="Heading 5 Char"/>
    <w:basedOn w:val="DefaultParagraphFont"/>
    <w:link w:val="Heading5"/>
    <w:rsid w:val="00092229"/>
    <w:rPr>
      <w:rFonts w:eastAsiaTheme="majorEastAsia" w:cstheme="majorBidi"/>
      <w:b/>
      <w:szCs w:val="20"/>
    </w:rPr>
  </w:style>
  <w:style w:type="numbering" w:styleId="ArticleSection">
    <w:name w:val="Outline List 3"/>
    <w:basedOn w:val="NoList"/>
    <w:semiHidden/>
    <w:rsid w:val="00CE7692"/>
    <w:pPr>
      <w:numPr>
        <w:numId w:val="1"/>
      </w:numPr>
    </w:pPr>
  </w:style>
  <w:style w:type="numbering" w:styleId="111111">
    <w:name w:val="Outline List 2"/>
    <w:basedOn w:val="NoList"/>
    <w:semiHidden/>
    <w:rsid w:val="0085789A"/>
    <w:pPr>
      <w:numPr>
        <w:numId w:val="2"/>
      </w:numPr>
    </w:pPr>
  </w:style>
  <w:style w:type="paragraph" w:customStyle="1" w:styleId="Non-TOCsub-heading">
    <w:name w:val="Non-TOC sub-heading"/>
    <w:next w:val="BodyText"/>
    <w:qFormat/>
    <w:rsid w:val="006E4DA8"/>
    <w:pPr>
      <w:spacing w:line="360" w:lineRule="auto"/>
    </w:pPr>
    <w:rPr>
      <w:rFonts w:cs="Arial"/>
      <w:i/>
    </w:rPr>
  </w:style>
  <w:style w:type="paragraph" w:customStyle="1" w:styleId="Bodytextbullets">
    <w:name w:val="Body text bullets"/>
    <w:basedOn w:val="BodyText"/>
    <w:link w:val="BodytextbulletsChar"/>
    <w:rsid w:val="00AF34E5"/>
    <w:pPr>
      <w:numPr>
        <w:numId w:val="4"/>
      </w:numPr>
      <w:tabs>
        <w:tab w:val="clear" w:pos="567"/>
        <w:tab w:val="left" w:pos="357"/>
      </w:tabs>
      <w:ind w:left="357" w:hanging="357"/>
    </w:pPr>
    <w:rPr>
      <w:szCs w:val="24"/>
      <w:lang w:val="x-none"/>
    </w:rPr>
  </w:style>
  <w:style w:type="character" w:customStyle="1" w:styleId="BodytextbulletsChar">
    <w:name w:val="Body text bullets Char"/>
    <w:link w:val="Bodytextbullets"/>
    <w:rsid w:val="00AF34E5"/>
    <w:rPr>
      <w:rFonts w:cs="Arial"/>
      <w:szCs w:val="24"/>
      <w:lang w:val="x-none" w:eastAsia="en-US"/>
    </w:rPr>
  </w:style>
  <w:style w:type="paragraph" w:customStyle="1" w:styleId="Tablefootnote">
    <w:name w:val="Table footnote"/>
    <w:qFormat/>
    <w:rsid w:val="00BF3F7D"/>
    <w:pPr>
      <w:tabs>
        <w:tab w:val="left" w:pos="284"/>
      </w:tabs>
      <w:spacing w:before="60" w:after="60"/>
      <w:ind w:left="284" w:hanging="284"/>
    </w:pPr>
    <w:rPr>
      <w:rFonts w:cs="Arial"/>
      <w:sz w:val="18"/>
      <w:szCs w:val="18"/>
    </w:rPr>
  </w:style>
  <w:style w:type="paragraph" w:customStyle="1" w:styleId="Tabletextcentred">
    <w:name w:val="Table text centred"/>
    <w:basedOn w:val="Tabletextleftaligned"/>
    <w:rsid w:val="0077184E"/>
    <w:pPr>
      <w:spacing w:line="240" w:lineRule="auto"/>
      <w:jc w:val="center"/>
    </w:pPr>
  </w:style>
  <w:style w:type="table" w:styleId="TableGrid">
    <w:name w:val="Table Grid"/>
    <w:basedOn w:val="TableNormal"/>
    <w:rsid w:val="00E70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BBB"/>
    <w:pPr>
      <w:ind w:left="720"/>
      <w:contextualSpacing/>
    </w:pPr>
  </w:style>
  <w:style w:type="paragraph" w:customStyle="1" w:styleId="Non-TOCHeading">
    <w:name w:val="Non-TOC Heading"/>
    <w:next w:val="BodyText"/>
    <w:link w:val="Non-TOCHeadingChar"/>
    <w:rsid w:val="006E4DA8"/>
    <w:pPr>
      <w:tabs>
        <w:tab w:val="left" w:pos="0"/>
        <w:tab w:val="left" w:pos="709"/>
        <w:tab w:val="left" w:pos="1418"/>
      </w:tabs>
      <w:spacing w:before="240" w:after="120"/>
    </w:pPr>
    <w:rPr>
      <w:rFonts w:cs="Arial"/>
      <w:b/>
      <w:iCs/>
      <w:kern w:val="32"/>
      <w:szCs w:val="24"/>
    </w:rPr>
  </w:style>
  <w:style w:type="character" w:customStyle="1" w:styleId="Non-TOCHeadingChar">
    <w:name w:val="Non-TOC Heading Char"/>
    <w:basedOn w:val="Heading1Char"/>
    <w:link w:val="Non-TOCHeading"/>
    <w:rsid w:val="006E4DA8"/>
    <w:rPr>
      <w:rFonts w:cs="Arial"/>
      <w:b/>
      <w:iCs/>
      <w:color w:val="004280"/>
      <w:kern w:val="32"/>
      <w:sz w:val="28"/>
      <w:szCs w:val="24"/>
    </w:rPr>
  </w:style>
  <w:style w:type="paragraph" w:customStyle="1" w:styleId="Bodytextaftertable">
    <w:name w:val="Body text after table"/>
    <w:next w:val="BodyText"/>
    <w:qFormat/>
    <w:rsid w:val="00BF3F7D"/>
    <w:pPr>
      <w:spacing w:before="360" w:after="120" w:line="360" w:lineRule="auto"/>
    </w:pPr>
    <w:rPr>
      <w:rFonts w:cs="Arial"/>
      <w:lang w:val="en-US" w:eastAsia="en-US"/>
    </w:rPr>
  </w:style>
  <w:style w:type="paragraph" w:styleId="TOC4">
    <w:name w:val="toc 4"/>
    <w:basedOn w:val="Normal"/>
    <w:next w:val="Normal"/>
    <w:autoRedefine/>
    <w:uiPriority w:val="39"/>
    <w:rsid w:val="001A7553"/>
    <w:pPr>
      <w:ind w:left="1440"/>
    </w:pPr>
    <w:rPr>
      <w:i/>
      <w:sz w:val="20"/>
    </w:rPr>
  </w:style>
  <w:style w:type="character" w:styleId="PageNumber">
    <w:name w:val="page number"/>
    <w:basedOn w:val="DefaultParagraphFont"/>
    <w:rsid w:val="001A7553"/>
    <w:rPr>
      <w:rFonts w:ascii="Arial" w:hAnsi="Arial"/>
      <w:sz w:val="22"/>
    </w:rPr>
  </w:style>
  <w:style w:type="paragraph" w:styleId="TOC3">
    <w:name w:val="toc 3"/>
    <w:basedOn w:val="Normal"/>
    <w:next w:val="Normal"/>
    <w:autoRedefine/>
    <w:uiPriority w:val="39"/>
    <w:qFormat/>
    <w:rsid w:val="001A7553"/>
    <w:pPr>
      <w:ind w:left="720"/>
    </w:pPr>
    <w:rPr>
      <w:sz w:val="20"/>
    </w:rPr>
  </w:style>
  <w:style w:type="paragraph" w:styleId="TableofFigures">
    <w:name w:val="table of figures"/>
    <w:basedOn w:val="Normal"/>
    <w:next w:val="Normal"/>
    <w:uiPriority w:val="99"/>
    <w:rsid w:val="002E79B2"/>
    <w:pPr>
      <w:tabs>
        <w:tab w:val="left" w:pos="1418"/>
        <w:tab w:val="right" w:leader="dot" w:pos="10206"/>
      </w:tabs>
      <w:spacing w:before="120" w:after="120"/>
      <w:ind w:left="1418" w:right="284" w:hanging="1418"/>
    </w:pPr>
  </w:style>
  <w:style w:type="table" w:styleId="TableClassic1">
    <w:name w:val="Table Classic 1"/>
    <w:basedOn w:val="TableNormal"/>
    <w:rsid w:val="001A7553"/>
    <w:rPr>
      <w:rFonts w:ascii="Times New Roman" w:hAnsi="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b/>
        <w:i/>
        <w:iCs/>
      </w:rPr>
      <w:tblPr/>
      <w:tcPr>
        <w:tcBorders>
          <w:top w:val="single" w:sz="12" w:space="0" w:color="auto"/>
          <w:bottom w:val="single" w:sz="12" w:space="0" w:color="auto"/>
        </w:tcBorders>
        <w:shd w:val="clear" w:color="auto" w:fill="auto"/>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left w:val="nil"/>
          <w:right w:val="single" w:sz="6" w:space="0" w:color="000000"/>
        </w:tcBorders>
        <w:shd w:val="clear" w:color="auto" w:fill="auto"/>
      </w:tcPr>
    </w:tblStylePr>
    <w:tblStylePr w:type="lastCol">
      <w:tblPr/>
      <w:tcPr>
        <w:tcBorders>
          <w:right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link w:val="TabletextChar"/>
    <w:rsid w:val="005F514F"/>
    <w:pPr>
      <w:tabs>
        <w:tab w:val="left" w:pos="397"/>
        <w:tab w:val="left" w:pos="567"/>
      </w:tabs>
      <w:autoSpaceDE w:val="0"/>
      <w:autoSpaceDN w:val="0"/>
      <w:adjustRightInd w:val="0"/>
      <w:spacing w:before="60" w:after="60"/>
    </w:pPr>
    <w:rPr>
      <w:rFonts w:cs="Arial"/>
      <w:snapToGrid w:val="0"/>
      <w:color w:val="000000"/>
      <w:sz w:val="20"/>
      <w:szCs w:val="24"/>
      <w:lang w:val="en-US" w:eastAsia="en-US"/>
    </w:rPr>
  </w:style>
  <w:style w:type="character" w:customStyle="1" w:styleId="TabletextChar">
    <w:name w:val="Table text Char"/>
    <w:basedOn w:val="DefaultParagraphFont"/>
    <w:link w:val="Tabletext"/>
    <w:rsid w:val="005F514F"/>
    <w:rPr>
      <w:rFonts w:cs="Arial"/>
      <w:snapToGrid w:val="0"/>
      <w:color w:val="000000"/>
      <w:sz w:val="20"/>
      <w:szCs w:val="24"/>
      <w:lang w:val="en-US" w:eastAsia="en-US"/>
    </w:rPr>
  </w:style>
  <w:style w:type="paragraph" w:customStyle="1" w:styleId="Tablecolumnheadings">
    <w:name w:val="Table column headings"/>
    <w:next w:val="Tabletext"/>
    <w:rsid w:val="00BF3F7D"/>
    <w:pPr>
      <w:spacing w:before="60" w:after="60"/>
      <w:jc w:val="center"/>
    </w:pPr>
    <w:rPr>
      <w:rFonts w:cs="Arial"/>
      <w:b/>
      <w:bCs/>
      <w:iCs/>
      <w:snapToGrid w:val="0"/>
      <w:color w:val="000000"/>
      <w:sz w:val="20"/>
      <w:szCs w:val="24"/>
      <w:lang w:val="en-US" w:eastAsia="en-US"/>
    </w:rPr>
  </w:style>
  <w:style w:type="paragraph" w:customStyle="1" w:styleId="Tabletext0beforeafter">
    <w:name w:val="Table text 0 before/after"/>
    <w:qFormat/>
    <w:rsid w:val="0061751C"/>
    <w:rPr>
      <w:rFonts w:cs="Arial"/>
      <w:snapToGrid w:val="0"/>
      <w:color w:val="000000"/>
      <w:sz w:val="20"/>
      <w:szCs w:val="24"/>
      <w:lang w:val="en-US" w:eastAsia="en-US"/>
    </w:rPr>
  </w:style>
  <w:style w:type="paragraph" w:customStyle="1" w:styleId="Tablefigureheadingsnotlisted">
    <w:name w:val="Table/figure headings not listed"/>
    <w:basedOn w:val="BodyText"/>
    <w:next w:val="BodyText"/>
    <w:rsid w:val="00D861BD"/>
    <w:pPr>
      <w:tabs>
        <w:tab w:val="left" w:pos="851"/>
        <w:tab w:val="left" w:pos="1021"/>
      </w:tabs>
      <w:autoSpaceDE w:val="0"/>
      <w:autoSpaceDN w:val="0"/>
      <w:adjustRightInd w:val="0"/>
      <w:spacing w:before="120" w:after="0"/>
      <w:ind w:left="1021" w:hanging="1021"/>
    </w:pPr>
    <w:rPr>
      <w:b/>
      <w:szCs w:val="24"/>
    </w:rPr>
  </w:style>
  <w:style w:type="paragraph" w:styleId="TOC2">
    <w:name w:val="toc 2"/>
    <w:basedOn w:val="Normal"/>
    <w:next w:val="Normal"/>
    <w:autoRedefine/>
    <w:uiPriority w:val="39"/>
    <w:unhideWhenUsed/>
    <w:qFormat/>
    <w:rsid w:val="005171AD"/>
    <w:pPr>
      <w:spacing w:after="100"/>
      <w:ind w:left="220"/>
    </w:pPr>
  </w:style>
  <w:style w:type="paragraph" w:styleId="Revision">
    <w:name w:val="Revision"/>
    <w:hidden/>
    <w:uiPriority w:val="99"/>
    <w:semiHidden/>
    <w:rsid w:val="002C7808"/>
    <w:rPr>
      <w:szCs w:val="20"/>
    </w:rPr>
  </w:style>
  <w:style w:type="paragraph" w:styleId="TOCHeading">
    <w:name w:val="TOC Heading"/>
    <w:basedOn w:val="Heading1"/>
    <w:next w:val="Normal"/>
    <w:uiPriority w:val="39"/>
    <w:semiHidden/>
    <w:unhideWhenUsed/>
    <w:qFormat/>
    <w:rsid w:val="00DF61E4"/>
    <w:pPr>
      <w:keepLines/>
      <w:spacing w:before="480" w:after="0" w:line="276" w:lineRule="auto"/>
      <w:outlineLvl w:val="9"/>
    </w:pPr>
    <w:rPr>
      <w:rFonts w:asciiTheme="majorHAnsi" w:eastAsiaTheme="majorEastAsia" w:hAnsiTheme="majorHAnsi" w:cstheme="majorBidi"/>
      <w:bCs/>
      <w:color w:val="365F91" w:themeColor="accent1" w:themeShade="BF"/>
      <w:kern w:val="0"/>
      <w:lang w:val="en-US" w:eastAsia="ja-JP"/>
    </w:rPr>
  </w:style>
  <w:style w:type="paragraph" w:styleId="TOC5">
    <w:name w:val="toc 5"/>
    <w:basedOn w:val="Normal"/>
    <w:next w:val="Normal"/>
    <w:autoRedefine/>
    <w:uiPriority w:val="39"/>
    <w:unhideWhenUsed/>
    <w:rsid w:val="00DF61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61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61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61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61E4"/>
    <w:pPr>
      <w:spacing w:after="100" w:line="276" w:lineRule="auto"/>
      <w:ind w:left="1760"/>
    </w:pPr>
    <w:rPr>
      <w:rFonts w:asciiTheme="minorHAnsi" w:eastAsiaTheme="minorEastAsia" w:hAnsiTheme="minorHAnsi" w:cstheme="minorBidi"/>
      <w:szCs w:val="22"/>
    </w:rPr>
  </w:style>
  <w:style w:type="character" w:styleId="FollowedHyperlink">
    <w:name w:val="FollowedHyperlink"/>
    <w:basedOn w:val="DefaultParagraphFont"/>
    <w:semiHidden/>
    <w:unhideWhenUsed/>
    <w:rsid w:val="00FA5C0F"/>
    <w:rPr>
      <w:color w:val="800080" w:themeColor="followedHyperlink"/>
      <w:u w:val="single"/>
    </w:rPr>
  </w:style>
  <w:style w:type="numbering" w:customStyle="1" w:styleId="NoList1">
    <w:name w:val="No List1"/>
    <w:next w:val="NoList"/>
    <w:uiPriority w:val="99"/>
    <w:semiHidden/>
    <w:unhideWhenUsed/>
    <w:rsid w:val="009E1BB8"/>
  </w:style>
  <w:style w:type="table" w:customStyle="1" w:styleId="TableGrid1">
    <w:name w:val="Table Grid1"/>
    <w:basedOn w:val="TableNormal"/>
    <w:next w:val="TableGrid"/>
    <w:uiPriority w:val="59"/>
    <w:rsid w:val="009E1BB8"/>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E1BB8"/>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9E1BB8"/>
    <w:rPr>
      <w:color w:val="808080"/>
    </w:rPr>
  </w:style>
  <w:style w:type="numbering" w:customStyle="1" w:styleId="NoList2">
    <w:name w:val="No List2"/>
    <w:next w:val="NoList"/>
    <w:uiPriority w:val="99"/>
    <w:semiHidden/>
    <w:unhideWhenUsed/>
    <w:rsid w:val="00A02EE9"/>
  </w:style>
  <w:style w:type="table" w:customStyle="1" w:styleId="TableGrid2">
    <w:name w:val="Table Grid2"/>
    <w:basedOn w:val="TableNormal"/>
    <w:next w:val="TableGrid"/>
    <w:rsid w:val="00A02E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B7E2E"/>
  </w:style>
  <w:style w:type="paragraph" w:customStyle="1" w:styleId="Tableheadcentre">
    <w:name w:val="Table head centre"/>
    <w:basedOn w:val="Normal"/>
    <w:rsid w:val="00DB7E2E"/>
    <w:pPr>
      <w:spacing w:after="120"/>
      <w:jc w:val="center"/>
    </w:pPr>
    <w:rPr>
      <w:b/>
      <w:sz w:val="20"/>
      <w:lang w:val="en-GB"/>
    </w:rPr>
  </w:style>
  <w:style w:type="paragraph" w:customStyle="1" w:styleId="Tabletextbold">
    <w:name w:val="Table text bold"/>
    <w:basedOn w:val="Normal"/>
    <w:rsid w:val="00BF3F7D"/>
    <w:pPr>
      <w:spacing w:before="60" w:after="60"/>
    </w:pPr>
    <w:rPr>
      <w:b/>
      <w:sz w:val="20"/>
      <w:lang w:val="en-GB"/>
    </w:rPr>
  </w:style>
  <w:style w:type="paragraph" w:customStyle="1" w:styleId="Tabletext0beforeafter-centred">
    <w:name w:val="Table text 0 before/after - centred"/>
    <w:basedOn w:val="Tabletext0beforeafter"/>
    <w:qFormat/>
    <w:rsid w:val="0061751C"/>
    <w:pPr>
      <w:jc w:val="center"/>
    </w:pPr>
  </w:style>
  <w:style w:type="paragraph" w:customStyle="1" w:styleId="Bodytextnumbered">
    <w:name w:val="Body text numbered"/>
    <w:qFormat/>
    <w:rsid w:val="00BB3725"/>
    <w:pPr>
      <w:numPr>
        <w:numId w:val="9"/>
      </w:numPr>
      <w:tabs>
        <w:tab w:val="left" w:pos="357"/>
      </w:tabs>
      <w:spacing w:after="120" w:line="360" w:lineRule="auto"/>
      <w:ind w:left="357" w:hanging="357"/>
    </w:pPr>
    <w:rPr>
      <w:rFonts w:eastAsia="Calibri" w:cs="Arial"/>
    </w:rPr>
  </w:style>
  <w:style w:type="numbering" w:styleId="1ai">
    <w:name w:val="Outline List 1"/>
    <w:basedOn w:val="NoList"/>
    <w:semiHidden/>
    <w:rsid w:val="00301816"/>
    <w:pPr>
      <w:numPr>
        <w:numId w:val="22"/>
      </w:numPr>
    </w:pPr>
  </w:style>
  <w:style w:type="paragraph" w:styleId="BlockText">
    <w:name w:val="Block Text"/>
    <w:basedOn w:val="Normal"/>
    <w:semiHidden/>
    <w:rsid w:val="00301816"/>
    <w:pPr>
      <w:spacing w:after="120"/>
      <w:ind w:left="1440" w:right="1440"/>
    </w:pPr>
    <w:rPr>
      <w:rFonts w:ascii="Times New Roman" w:hAnsi="Times New Roman"/>
      <w:sz w:val="24"/>
      <w:szCs w:val="24"/>
      <w:lang w:val="en-US" w:eastAsia="en-US"/>
    </w:rPr>
  </w:style>
  <w:style w:type="paragraph" w:styleId="BodyText2">
    <w:name w:val="Body Text 2"/>
    <w:basedOn w:val="Normal"/>
    <w:link w:val="BodyText2Char"/>
    <w:semiHidden/>
    <w:rsid w:val="00301816"/>
    <w:pPr>
      <w:spacing w:after="120" w:line="480" w:lineRule="auto"/>
    </w:pPr>
    <w:rPr>
      <w:rFonts w:ascii="Times New Roman" w:hAnsi="Times New Roman"/>
      <w:sz w:val="24"/>
      <w:szCs w:val="24"/>
      <w:lang w:val="en-US" w:eastAsia="en-US"/>
    </w:rPr>
  </w:style>
  <w:style w:type="character" w:customStyle="1" w:styleId="BodyText2Char">
    <w:name w:val="Body Text 2 Char"/>
    <w:basedOn w:val="DefaultParagraphFont"/>
    <w:link w:val="BodyText2"/>
    <w:semiHidden/>
    <w:rsid w:val="00301816"/>
    <w:rPr>
      <w:rFonts w:ascii="Times New Roman" w:hAnsi="Times New Roman"/>
      <w:sz w:val="24"/>
      <w:szCs w:val="24"/>
      <w:lang w:val="en-US" w:eastAsia="en-US"/>
    </w:rPr>
  </w:style>
  <w:style w:type="paragraph" w:styleId="BodyText3">
    <w:name w:val="Body Text 3"/>
    <w:basedOn w:val="Normal"/>
    <w:link w:val="BodyText3Char"/>
    <w:semiHidden/>
    <w:rsid w:val="00301816"/>
    <w:pPr>
      <w:spacing w:after="120"/>
    </w:pPr>
    <w:rPr>
      <w:rFonts w:ascii="Times New Roman" w:hAnsi="Times New Roman"/>
      <w:sz w:val="16"/>
      <w:szCs w:val="16"/>
      <w:lang w:val="en-US" w:eastAsia="en-US"/>
    </w:rPr>
  </w:style>
  <w:style w:type="character" w:customStyle="1" w:styleId="BodyText3Char">
    <w:name w:val="Body Text 3 Char"/>
    <w:basedOn w:val="DefaultParagraphFont"/>
    <w:link w:val="BodyText3"/>
    <w:semiHidden/>
    <w:rsid w:val="00301816"/>
    <w:rPr>
      <w:rFonts w:ascii="Times New Roman" w:hAnsi="Times New Roman"/>
      <w:sz w:val="16"/>
      <w:szCs w:val="16"/>
      <w:lang w:val="en-US" w:eastAsia="en-US"/>
    </w:rPr>
  </w:style>
  <w:style w:type="paragraph" w:styleId="BodyTextFirstIndent">
    <w:name w:val="Body Text First Indent"/>
    <w:basedOn w:val="BodyText"/>
    <w:link w:val="BodyTextFirstIndentChar"/>
    <w:semiHidden/>
    <w:rsid w:val="00301816"/>
    <w:pPr>
      <w:ind w:firstLine="210"/>
    </w:pPr>
    <w:rPr>
      <w:rFonts w:ascii="Times New Roman" w:hAnsi="Times New Roman"/>
      <w:sz w:val="24"/>
      <w:szCs w:val="24"/>
    </w:rPr>
  </w:style>
  <w:style w:type="character" w:customStyle="1" w:styleId="BodyTextFirstIndentChar">
    <w:name w:val="Body Text First Indent Char"/>
    <w:basedOn w:val="BodyTextChar"/>
    <w:link w:val="BodyTextFirstIndent"/>
    <w:semiHidden/>
    <w:rsid w:val="00301816"/>
    <w:rPr>
      <w:rFonts w:ascii="Times New Roman" w:hAnsi="Times New Roman" w:cs="Arial"/>
      <w:sz w:val="24"/>
      <w:szCs w:val="24"/>
      <w:lang w:val="en-US" w:eastAsia="en-US"/>
    </w:rPr>
  </w:style>
  <w:style w:type="paragraph" w:customStyle="1" w:styleId="Bodytextindented">
    <w:name w:val="Body text indented"/>
    <w:qFormat/>
    <w:rsid w:val="000E33CA"/>
    <w:pPr>
      <w:numPr>
        <w:numId w:val="59"/>
      </w:numPr>
      <w:spacing w:after="120" w:line="360" w:lineRule="auto"/>
      <w:ind w:left="1208" w:hanging="357"/>
    </w:pPr>
    <w:rPr>
      <w:rFonts w:eastAsia="Calibri" w:cs="Arial"/>
    </w:rPr>
  </w:style>
  <w:style w:type="paragraph" w:customStyle="1" w:styleId="Bodytextlettered">
    <w:name w:val="Body text lettered"/>
    <w:qFormat/>
    <w:rsid w:val="009D694C"/>
    <w:pPr>
      <w:numPr>
        <w:numId w:val="62"/>
      </w:numPr>
      <w:spacing w:after="120" w:line="360" w:lineRule="auto"/>
      <w:ind w:left="357" w:hanging="357"/>
    </w:pPr>
    <w:rPr>
      <w:rFonts w:eastAsia="Calibri" w:cs="Arial"/>
    </w:rPr>
  </w:style>
  <w:style w:type="paragraph" w:styleId="BodyTextFirstIndent2">
    <w:name w:val="Body Text First Indent 2"/>
    <w:basedOn w:val="Normal"/>
    <w:link w:val="BodyTextFirstIndent2Char"/>
    <w:semiHidden/>
    <w:rsid w:val="00EC6CAF"/>
    <w:pPr>
      <w:tabs>
        <w:tab w:val="left" w:pos="851"/>
      </w:tabs>
      <w:spacing w:after="120" w:line="360" w:lineRule="auto"/>
      <w:ind w:left="851" w:right="851" w:firstLine="210"/>
    </w:pPr>
    <w:rPr>
      <w:rFonts w:cs="Arial"/>
      <w:i/>
      <w:szCs w:val="24"/>
      <w:lang w:val="en-US" w:eastAsia="en-US"/>
    </w:rPr>
  </w:style>
  <w:style w:type="character" w:customStyle="1" w:styleId="BodyTextFirstIndent2Char">
    <w:name w:val="Body Text First Indent 2 Char"/>
    <w:basedOn w:val="DefaultParagraphFont"/>
    <w:link w:val="BodyTextFirstIndent2"/>
    <w:semiHidden/>
    <w:rsid w:val="00EC6CAF"/>
    <w:rPr>
      <w:i/>
      <w:szCs w:val="24"/>
      <w:lang w:val="en-US" w:eastAsia="en-US"/>
    </w:rPr>
  </w:style>
  <w:style w:type="paragraph" w:styleId="BodyTextIndent2">
    <w:name w:val="Body Text Indent 2"/>
    <w:basedOn w:val="Normal"/>
    <w:link w:val="BodyTextIndent2Char"/>
    <w:semiHidden/>
    <w:rsid w:val="00301816"/>
    <w:pPr>
      <w:spacing w:after="120" w:line="480" w:lineRule="auto"/>
      <w:ind w:left="283"/>
    </w:pPr>
    <w:rPr>
      <w:rFonts w:ascii="Times New Roman" w:hAnsi="Times New Roman"/>
      <w:sz w:val="24"/>
      <w:szCs w:val="24"/>
      <w:lang w:val="en-US" w:eastAsia="en-US"/>
    </w:rPr>
  </w:style>
  <w:style w:type="character" w:customStyle="1" w:styleId="BodyTextIndent2Char">
    <w:name w:val="Body Text Indent 2 Char"/>
    <w:basedOn w:val="DefaultParagraphFont"/>
    <w:link w:val="BodyTextIndent2"/>
    <w:semiHidden/>
    <w:rsid w:val="00301816"/>
    <w:rPr>
      <w:rFonts w:ascii="Times New Roman" w:hAnsi="Times New Roman"/>
      <w:sz w:val="24"/>
      <w:szCs w:val="24"/>
      <w:lang w:val="en-US" w:eastAsia="en-US"/>
    </w:rPr>
  </w:style>
  <w:style w:type="paragraph" w:styleId="BodyTextIndent3">
    <w:name w:val="Body Text Indent 3"/>
    <w:basedOn w:val="Normal"/>
    <w:link w:val="BodyTextIndent3Char"/>
    <w:semiHidden/>
    <w:rsid w:val="00301816"/>
    <w:pPr>
      <w:spacing w:after="120"/>
      <w:ind w:left="283"/>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semiHidden/>
    <w:rsid w:val="00301816"/>
    <w:rPr>
      <w:rFonts w:ascii="Times New Roman" w:hAnsi="Times New Roman"/>
      <w:sz w:val="16"/>
      <w:szCs w:val="16"/>
      <w:lang w:val="en-US" w:eastAsia="en-US"/>
    </w:rPr>
  </w:style>
  <w:style w:type="paragraph" w:styleId="Closing">
    <w:name w:val="Closing"/>
    <w:basedOn w:val="Normal"/>
    <w:link w:val="ClosingChar"/>
    <w:semiHidden/>
    <w:rsid w:val="00301816"/>
    <w:pPr>
      <w:ind w:left="4252"/>
    </w:pPr>
    <w:rPr>
      <w:rFonts w:ascii="Times New Roman" w:hAnsi="Times New Roman"/>
      <w:sz w:val="24"/>
      <w:szCs w:val="24"/>
      <w:lang w:val="en-US" w:eastAsia="en-US"/>
    </w:rPr>
  </w:style>
  <w:style w:type="character" w:customStyle="1" w:styleId="ClosingChar">
    <w:name w:val="Closing Char"/>
    <w:basedOn w:val="DefaultParagraphFont"/>
    <w:link w:val="Closing"/>
    <w:semiHidden/>
    <w:rsid w:val="00301816"/>
    <w:rPr>
      <w:rFonts w:ascii="Times New Roman" w:hAnsi="Times New Roman"/>
      <w:sz w:val="24"/>
      <w:szCs w:val="24"/>
      <w:lang w:val="en-US" w:eastAsia="en-US"/>
    </w:rPr>
  </w:style>
  <w:style w:type="paragraph" w:styleId="E-mailSignature">
    <w:name w:val="E-mail Signature"/>
    <w:basedOn w:val="Normal"/>
    <w:link w:val="E-mailSignatureChar"/>
    <w:semiHidden/>
    <w:rsid w:val="00301816"/>
    <w:rPr>
      <w:rFonts w:ascii="Times New Roman" w:hAnsi="Times New Roman"/>
      <w:sz w:val="24"/>
      <w:szCs w:val="24"/>
      <w:lang w:val="en-US" w:eastAsia="en-US"/>
    </w:rPr>
  </w:style>
  <w:style w:type="character" w:customStyle="1" w:styleId="E-mailSignatureChar">
    <w:name w:val="E-mail Signature Char"/>
    <w:basedOn w:val="DefaultParagraphFont"/>
    <w:link w:val="E-mailSignature"/>
    <w:semiHidden/>
    <w:rsid w:val="00301816"/>
    <w:rPr>
      <w:rFonts w:ascii="Times New Roman" w:hAnsi="Times New Roman"/>
      <w:sz w:val="24"/>
      <w:szCs w:val="24"/>
      <w:lang w:val="en-US" w:eastAsia="en-US"/>
    </w:rPr>
  </w:style>
  <w:style w:type="character" w:styleId="Emphasis">
    <w:name w:val="Emphasis"/>
    <w:basedOn w:val="DefaultParagraphFont"/>
    <w:qFormat/>
    <w:rsid w:val="00301816"/>
    <w:rPr>
      <w:i/>
      <w:iCs/>
    </w:rPr>
  </w:style>
  <w:style w:type="paragraph" w:styleId="EnvelopeAddress">
    <w:name w:val="envelope address"/>
    <w:basedOn w:val="Normal"/>
    <w:semiHidden/>
    <w:rsid w:val="00301816"/>
    <w:pPr>
      <w:framePr w:w="7920" w:h="1980" w:hRule="exact" w:hSpace="180" w:wrap="auto" w:hAnchor="page" w:xAlign="center" w:yAlign="bottom"/>
      <w:ind w:left="2880"/>
    </w:pPr>
    <w:rPr>
      <w:rFonts w:cs="Arial"/>
      <w:sz w:val="24"/>
      <w:szCs w:val="24"/>
      <w:lang w:val="en-US" w:eastAsia="en-US"/>
    </w:rPr>
  </w:style>
  <w:style w:type="paragraph" w:styleId="EnvelopeReturn">
    <w:name w:val="envelope return"/>
    <w:basedOn w:val="Normal"/>
    <w:semiHidden/>
    <w:rsid w:val="00301816"/>
    <w:rPr>
      <w:rFonts w:cs="Arial"/>
      <w:sz w:val="20"/>
      <w:lang w:val="en-US" w:eastAsia="en-US"/>
    </w:rPr>
  </w:style>
  <w:style w:type="character" w:styleId="HTMLAcronym">
    <w:name w:val="HTML Acronym"/>
    <w:basedOn w:val="DefaultParagraphFont"/>
    <w:semiHidden/>
    <w:rsid w:val="00301816"/>
  </w:style>
  <w:style w:type="paragraph" w:styleId="HTMLAddress">
    <w:name w:val="HTML Address"/>
    <w:basedOn w:val="Normal"/>
    <w:link w:val="HTMLAddressChar"/>
    <w:semiHidden/>
    <w:rsid w:val="00301816"/>
    <w:rPr>
      <w:rFonts w:ascii="Times New Roman" w:hAnsi="Times New Roman"/>
      <w:i/>
      <w:iCs/>
      <w:sz w:val="24"/>
      <w:szCs w:val="24"/>
      <w:lang w:val="en-US" w:eastAsia="en-US"/>
    </w:rPr>
  </w:style>
  <w:style w:type="character" w:customStyle="1" w:styleId="HTMLAddressChar">
    <w:name w:val="HTML Address Char"/>
    <w:basedOn w:val="DefaultParagraphFont"/>
    <w:link w:val="HTMLAddress"/>
    <w:semiHidden/>
    <w:rsid w:val="00301816"/>
    <w:rPr>
      <w:rFonts w:ascii="Times New Roman" w:hAnsi="Times New Roman"/>
      <w:i/>
      <w:iCs/>
      <w:sz w:val="24"/>
      <w:szCs w:val="24"/>
      <w:lang w:val="en-US" w:eastAsia="en-US"/>
    </w:rPr>
  </w:style>
  <w:style w:type="character" w:styleId="HTMLCite">
    <w:name w:val="HTML Cite"/>
    <w:basedOn w:val="DefaultParagraphFont"/>
    <w:semiHidden/>
    <w:rsid w:val="00301816"/>
    <w:rPr>
      <w:i/>
      <w:iCs/>
    </w:rPr>
  </w:style>
  <w:style w:type="character" w:styleId="HTMLCode">
    <w:name w:val="HTML Code"/>
    <w:basedOn w:val="DefaultParagraphFont"/>
    <w:semiHidden/>
    <w:rsid w:val="00301816"/>
    <w:rPr>
      <w:rFonts w:ascii="Courier New" w:hAnsi="Courier New" w:cs="Courier New"/>
      <w:sz w:val="20"/>
      <w:szCs w:val="20"/>
    </w:rPr>
  </w:style>
  <w:style w:type="character" w:styleId="HTMLDefinition">
    <w:name w:val="HTML Definition"/>
    <w:basedOn w:val="DefaultParagraphFont"/>
    <w:semiHidden/>
    <w:rsid w:val="00301816"/>
    <w:rPr>
      <w:i/>
      <w:iCs/>
    </w:rPr>
  </w:style>
  <w:style w:type="character" w:styleId="HTMLKeyboard">
    <w:name w:val="HTML Keyboard"/>
    <w:basedOn w:val="DefaultParagraphFont"/>
    <w:semiHidden/>
    <w:rsid w:val="00301816"/>
    <w:rPr>
      <w:rFonts w:ascii="Courier New" w:hAnsi="Courier New" w:cs="Courier New"/>
      <w:sz w:val="20"/>
      <w:szCs w:val="20"/>
    </w:rPr>
  </w:style>
  <w:style w:type="paragraph" w:styleId="HTMLPreformatted">
    <w:name w:val="HTML Preformatted"/>
    <w:basedOn w:val="Normal"/>
    <w:link w:val="HTMLPreformattedChar"/>
    <w:semiHidden/>
    <w:rsid w:val="00301816"/>
    <w:rPr>
      <w:rFonts w:ascii="Courier New" w:hAnsi="Courier New" w:cs="Courier New"/>
      <w:sz w:val="20"/>
      <w:lang w:val="en-US" w:eastAsia="en-US"/>
    </w:rPr>
  </w:style>
  <w:style w:type="character" w:customStyle="1" w:styleId="HTMLPreformattedChar">
    <w:name w:val="HTML Preformatted Char"/>
    <w:basedOn w:val="DefaultParagraphFont"/>
    <w:link w:val="HTMLPreformatted"/>
    <w:semiHidden/>
    <w:rsid w:val="00301816"/>
    <w:rPr>
      <w:rFonts w:ascii="Courier New" w:hAnsi="Courier New" w:cs="Courier New"/>
      <w:sz w:val="20"/>
      <w:szCs w:val="20"/>
      <w:lang w:val="en-US" w:eastAsia="en-US"/>
    </w:rPr>
  </w:style>
  <w:style w:type="character" w:styleId="HTMLSample">
    <w:name w:val="HTML Sample"/>
    <w:basedOn w:val="DefaultParagraphFont"/>
    <w:semiHidden/>
    <w:rsid w:val="00301816"/>
    <w:rPr>
      <w:rFonts w:ascii="Courier New" w:hAnsi="Courier New" w:cs="Courier New"/>
    </w:rPr>
  </w:style>
  <w:style w:type="character" w:styleId="HTMLTypewriter">
    <w:name w:val="HTML Typewriter"/>
    <w:basedOn w:val="DefaultParagraphFont"/>
    <w:semiHidden/>
    <w:rsid w:val="00301816"/>
    <w:rPr>
      <w:rFonts w:ascii="Courier New" w:hAnsi="Courier New" w:cs="Courier New"/>
      <w:sz w:val="20"/>
      <w:szCs w:val="20"/>
    </w:rPr>
  </w:style>
  <w:style w:type="character" w:styleId="HTMLVariable">
    <w:name w:val="HTML Variable"/>
    <w:basedOn w:val="DefaultParagraphFont"/>
    <w:semiHidden/>
    <w:rsid w:val="00301816"/>
    <w:rPr>
      <w:i/>
      <w:iCs/>
    </w:rPr>
  </w:style>
  <w:style w:type="character" w:styleId="LineNumber">
    <w:name w:val="line number"/>
    <w:basedOn w:val="DefaultParagraphFont"/>
    <w:semiHidden/>
    <w:rsid w:val="00301816"/>
  </w:style>
  <w:style w:type="paragraph" w:styleId="List">
    <w:name w:val="List"/>
    <w:basedOn w:val="Normal"/>
    <w:semiHidden/>
    <w:rsid w:val="00301816"/>
    <w:pPr>
      <w:ind w:left="283" w:hanging="283"/>
    </w:pPr>
    <w:rPr>
      <w:rFonts w:ascii="Times New Roman" w:hAnsi="Times New Roman"/>
      <w:sz w:val="24"/>
      <w:szCs w:val="24"/>
      <w:lang w:val="en-US" w:eastAsia="en-US"/>
    </w:rPr>
  </w:style>
  <w:style w:type="paragraph" w:styleId="List2">
    <w:name w:val="List 2"/>
    <w:basedOn w:val="Normal"/>
    <w:semiHidden/>
    <w:rsid w:val="00301816"/>
    <w:pPr>
      <w:ind w:left="566" w:hanging="283"/>
    </w:pPr>
    <w:rPr>
      <w:rFonts w:ascii="Times New Roman" w:hAnsi="Times New Roman"/>
      <w:sz w:val="24"/>
      <w:szCs w:val="24"/>
      <w:lang w:val="en-US" w:eastAsia="en-US"/>
    </w:rPr>
  </w:style>
  <w:style w:type="paragraph" w:styleId="List3">
    <w:name w:val="List 3"/>
    <w:basedOn w:val="Normal"/>
    <w:semiHidden/>
    <w:rsid w:val="00301816"/>
    <w:pPr>
      <w:ind w:left="849" w:hanging="283"/>
    </w:pPr>
    <w:rPr>
      <w:rFonts w:ascii="Times New Roman" w:hAnsi="Times New Roman"/>
      <w:sz w:val="24"/>
      <w:szCs w:val="24"/>
      <w:lang w:val="en-US" w:eastAsia="en-US"/>
    </w:rPr>
  </w:style>
  <w:style w:type="paragraph" w:styleId="List4">
    <w:name w:val="List 4"/>
    <w:basedOn w:val="Normal"/>
    <w:semiHidden/>
    <w:rsid w:val="00301816"/>
    <w:pPr>
      <w:ind w:left="1132" w:hanging="283"/>
    </w:pPr>
    <w:rPr>
      <w:rFonts w:ascii="Times New Roman" w:hAnsi="Times New Roman"/>
      <w:sz w:val="24"/>
      <w:szCs w:val="24"/>
      <w:lang w:val="en-US" w:eastAsia="en-US"/>
    </w:rPr>
  </w:style>
  <w:style w:type="paragraph" w:styleId="List5">
    <w:name w:val="List 5"/>
    <w:basedOn w:val="Normal"/>
    <w:semiHidden/>
    <w:rsid w:val="00301816"/>
    <w:pPr>
      <w:ind w:left="1415" w:hanging="283"/>
    </w:pPr>
    <w:rPr>
      <w:rFonts w:ascii="Times New Roman" w:hAnsi="Times New Roman"/>
      <w:sz w:val="24"/>
      <w:szCs w:val="24"/>
      <w:lang w:val="en-US" w:eastAsia="en-US"/>
    </w:rPr>
  </w:style>
  <w:style w:type="paragraph" w:styleId="ListBullet2">
    <w:name w:val="List Bullet 2"/>
    <w:basedOn w:val="Normal"/>
    <w:autoRedefine/>
    <w:semiHidden/>
    <w:rsid w:val="00301816"/>
    <w:pPr>
      <w:numPr>
        <w:numId w:val="23"/>
      </w:numPr>
    </w:pPr>
    <w:rPr>
      <w:rFonts w:ascii="Times New Roman" w:hAnsi="Times New Roman"/>
      <w:sz w:val="24"/>
      <w:szCs w:val="24"/>
      <w:lang w:val="en-US" w:eastAsia="en-US"/>
    </w:rPr>
  </w:style>
  <w:style w:type="paragraph" w:styleId="ListBullet3">
    <w:name w:val="List Bullet 3"/>
    <w:basedOn w:val="Normal"/>
    <w:autoRedefine/>
    <w:semiHidden/>
    <w:rsid w:val="00301816"/>
    <w:pPr>
      <w:numPr>
        <w:numId w:val="24"/>
      </w:numPr>
    </w:pPr>
    <w:rPr>
      <w:rFonts w:ascii="Times New Roman" w:hAnsi="Times New Roman"/>
      <w:sz w:val="24"/>
      <w:szCs w:val="24"/>
      <w:lang w:val="en-US" w:eastAsia="en-US"/>
    </w:rPr>
  </w:style>
  <w:style w:type="paragraph" w:styleId="ListBullet4">
    <w:name w:val="List Bullet 4"/>
    <w:basedOn w:val="Normal"/>
    <w:autoRedefine/>
    <w:semiHidden/>
    <w:rsid w:val="00301816"/>
    <w:pPr>
      <w:numPr>
        <w:numId w:val="25"/>
      </w:numPr>
    </w:pPr>
    <w:rPr>
      <w:rFonts w:ascii="Times New Roman" w:hAnsi="Times New Roman"/>
      <w:sz w:val="24"/>
      <w:szCs w:val="24"/>
      <w:lang w:val="en-US" w:eastAsia="en-US"/>
    </w:rPr>
  </w:style>
  <w:style w:type="paragraph" w:styleId="ListBullet5">
    <w:name w:val="List Bullet 5"/>
    <w:basedOn w:val="Normal"/>
    <w:autoRedefine/>
    <w:semiHidden/>
    <w:rsid w:val="00301816"/>
    <w:pPr>
      <w:numPr>
        <w:numId w:val="26"/>
      </w:numPr>
    </w:pPr>
    <w:rPr>
      <w:rFonts w:ascii="Times New Roman" w:hAnsi="Times New Roman"/>
      <w:sz w:val="24"/>
      <w:szCs w:val="24"/>
      <w:lang w:val="en-US" w:eastAsia="en-US"/>
    </w:rPr>
  </w:style>
  <w:style w:type="paragraph" w:styleId="ListContinue">
    <w:name w:val="List Continue"/>
    <w:basedOn w:val="Normal"/>
    <w:semiHidden/>
    <w:rsid w:val="00301816"/>
    <w:pPr>
      <w:spacing w:after="120"/>
      <w:ind w:left="283"/>
    </w:pPr>
    <w:rPr>
      <w:rFonts w:ascii="Times New Roman" w:hAnsi="Times New Roman"/>
      <w:sz w:val="24"/>
      <w:szCs w:val="24"/>
      <w:lang w:val="en-US" w:eastAsia="en-US"/>
    </w:rPr>
  </w:style>
  <w:style w:type="paragraph" w:styleId="ListContinue2">
    <w:name w:val="List Continue 2"/>
    <w:basedOn w:val="Normal"/>
    <w:semiHidden/>
    <w:rsid w:val="00301816"/>
    <w:pPr>
      <w:spacing w:after="120"/>
      <w:ind w:left="566"/>
    </w:pPr>
    <w:rPr>
      <w:rFonts w:ascii="Times New Roman" w:hAnsi="Times New Roman"/>
      <w:sz w:val="24"/>
      <w:szCs w:val="24"/>
      <w:lang w:val="en-US" w:eastAsia="en-US"/>
    </w:rPr>
  </w:style>
  <w:style w:type="paragraph" w:styleId="ListContinue3">
    <w:name w:val="List Continue 3"/>
    <w:basedOn w:val="Normal"/>
    <w:semiHidden/>
    <w:rsid w:val="00301816"/>
    <w:pPr>
      <w:spacing w:after="120"/>
      <w:ind w:left="849"/>
    </w:pPr>
    <w:rPr>
      <w:rFonts w:ascii="Times New Roman" w:hAnsi="Times New Roman"/>
      <w:sz w:val="24"/>
      <w:szCs w:val="24"/>
      <w:lang w:val="en-US" w:eastAsia="en-US"/>
    </w:rPr>
  </w:style>
  <w:style w:type="paragraph" w:styleId="ListContinue4">
    <w:name w:val="List Continue 4"/>
    <w:basedOn w:val="Normal"/>
    <w:semiHidden/>
    <w:rsid w:val="00301816"/>
    <w:pPr>
      <w:spacing w:after="120"/>
      <w:ind w:left="1132"/>
    </w:pPr>
    <w:rPr>
      <w:rFonts w:ascii="Times New Roman" w:hAnsi="Times New Roman"/>
      <w:sz w:val="24"/>
      <w:szCs w:val="24"/>
      <w:lang w:val="en-US" w:eastAsia="en-US"/>
    </w:rPr>
  </w:style>
  <w:style w:type="paragraph" w:styleId="ListContinue5">
    <w:name w:val="List Continue 5"/>
    <w:basedOn w:val="Normal"/>
    <w:semiHidden/>
    <w:rsid w:val="00301816"/>
    <w:pPr>
      <w:spacing w:after="120"/>
      <w:ind w:left="1415"/>
    </w:pPr>
    <w:rPr>
      <w:rFonts w:ascii="Times New Roman" w:hAnsi="Times New Roman"/>
      <w:sz w:val="24"/>
      <w:szCs w:val="24"/>
      <w:lang w:val="en-US" w:eastAsia="en-US"/>
    </w:rPr>
  </w:style>
  <w:style w:type="paragraph" w:styleId="ListNumber">
    <w:name w:val="List Number"/>
    <w:basedOn w:val="Normal"/>
    <w:semiHidden/>
    <w:rsid w:val="00301816"/>
    <w:pPr>
      <w:numPr>
        <w:numId w:val="27"/>
      </w:numPr>
    </w:pPr>
    <w:rPr>
      <w:rFonts w:ascii="Times New Roman" w:hAnsi="Times New Roman"/>
      <w:sz w:val="24"/>
      <w:szCs w:val="24"/>
      <w:lang w:val="en-US" w:eastAsia="en-US"/>
    </w:rPr>
  </w:style>
  <w:style w:type="paragraph" w:styleId="ListNumber2">
    <w:name w:val="List Number 2"/>
    <w:basedOn w:val="Normal"/>
    <w:semiHidden/>
    <w:rsid w:val="00301816"/>
    <w:pPr>
      <w:numPr>
        <w:numId w:val="28"/>
      </w:numPr>
    </w:pPr>
    <w:rPr>
      <w:rFonts w:ascii="Times New Roman" w:hAnsi="Times New Roman"/>
      <w:sz w:val="24"/>
      <w:szCs w:val="24"/>
      <w:lang w:val="en-US" w:eastAsia="en-US"/>
    </w:rPr>
  </w:style>
  <w:style w:type="paragraph" w:styleId="ListNumber3">
    <w:name w:val="List Number 3"/>
    <w:basedOn w:val="Normal"/>
    <w:semiHidden/>
    <w:rsid w:val="00301816"/>
    <w:pPr>
      <w:numPr>
        <w:numId w:val="29"/>
      </w:numPr>
    </w:pPr>
    <w:rPr>
      <w:rFonts w:ascii="Times New Roman" w:hAnsi="Times New Roman"/>
      <w:sz w:val="24"/>
      <w:szCs w:val="24"/>
      <w:lang w:val="en-US" w:eastAsia="en-US"/>
    </w:rPr>
  </w:style>
  <w:style w:type="paragraph" w:styleId="ListNumber4">
    <w:name w:val="List Number 4"/>
    <w:basedOn w:val="Normal"/>
    <w:semiHidden/>
    <w:rsid w:val="00301816"/>
    <w:pPr>
      <w:numPr>
        <w:numId w:val="30"/>
      </w:numPr>
    </w:pPr>
    <w:rPr>
      <w:rFonts w:ascii="Times New Roman" w:hAnsi="Times New Roman"/>
      <w:sz w:val="24"/>
      <w:szCs w:val="24"/>
      <w:lang w:val="en-US" w:eastAsia="en-US"/>
    </w:rPr>
  </w:style>
  <w:style w:type="paragraph" w:styleId="ListNumber5">
    <w:name w:val="List Number 5"/>
    <w:basedOn w:val="Normal"/>
    <w:semiHidden/>
    <w:rsid w:val="00301816"/>
    <w:pPr>
      <w:numPr>
        <w:numId w:val="31"/>
      </w:numPr>
    </w:pPr>
    <w:rPr>
      <w:rFonts w:ascii="Times New Roman" w:hAnsi="Times New Roman"/>
      <w:sz w:val="24"/>
      <w:szCs w:val="24"/>
      <w:lang w:val="en-US" w:eastAsia="en-US"/>
    </w:rPr>
  </w:style>
  <w:style w:type="paragraph" w:styleId="MessageHeader">
    <w:name w:val="Message Header"/>
    <w:basedOn w:val="Normal"/>
    <w:link w:val="MessageHeaderChar"/>
    <w:semiHidden/>
    <w:rsid w:val="0030181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lang w:val="en-US" w:eastAsia="en-US"/>
    </w:rPr>
  </w:style>
  <w:style w:type="character" w:customStyle="1" w:styleId="MessageHeaderChar">
    <w:name w:val="Message Header Char"/>
    <w:basedOn w:val="DefaultParagraphFont"/>
    <w:link w:val="MessageHeader"/>
    <w:semiHidden/>
    <w:rsid w:val="00301816"/>
    <w:rPr>
      <w:rFonts w:cs="Arial"/>
      <w:sz w:val="24"/>
      <w:szCs w:val="24"/>
      <w:shd w:val="pct20" w:color="auto" w:fill="auto"/>
      <w:lang w:val="en-US" w:eastAsia="en-US"/>
    </w:rPr>
  </w:style>
  <w:style w:type="paragraph" w:styleId="NormalIndent">
    <w:name w:val="Normal Indent"/>
    <w:basedOn w:val="Normal"/>
    <w:semiHidden/>
    <w:rsid w:val="00301816"/>
    <w:pPr>
      <w:ind w:left="720"/>
    </w:pPr>
    <w:rPr>
      <w:rFonts w:ascii="Times New Roman" w:hAnsi="Times New Roman"/>
      <w:sz w:val="24"/>
      <w:szCs w:val="24"/>
      <w:lang w:val="en-US" w:eastAsia="en-US"/>
    </w:rPr>
  </w:style>
  <w:style w:type="paragraph" w:styleId="NoteHeading">
    <w:name w:val="Note Heading"/>
    <w:basedOn w:val="Normal"/>
    <w:next w:val="Normal"/>
    <w:link w:val="NoteHeadingChar"/>
    <w:semiHidden/>
    <w:rsid w:val="00301816"/>
    <w:rPr>
      <w:rFonts w:ascii="Times New Roman" w:hAnsi="Times New Roman"/>
      <w:sz w:val="24"/>
      <w:szCs w:val="24"/>
      <w:lang w:val="en-US" w:eastAsia="en-US"/>
    </w:rPr>
  </w:style>
  <w:style w:type="character" w:customStyle="1" w:styleId="NoteHeadingChar">
    <w:name w:val="Note Heading Char"/>
    <w:basedOn w:val="DefaultParagraphFont"/>
    <w:link w:val="NoteHeading"/>
    <w:semiHidden/>
    <w:rsid w:val="00301816"/>
    <w:rPr>
      <w:rFonts w:ascii="Times New Roman" w:hAnsi="Times New Roman"/>
      <w:sz w:val="24"/>
      <w:szCs w:val="24"/>
      <w:lang w:val="en-US" w:eastAsia="en-US"/>
    </w:rPr>
  </w:style>
  <w:style w:type="paragraph" w:styleId="PlainText">
    <w:name w:val="Plain Text"/>
    <w:basedOn w:val="Normal"/>
    <w:link w:val="PlainTextChar"/>
    <w:semiHidden/>
    <w:rsid w:val="00301816"/>
    <w:rPr>
      <w:rFonts w:ascii="Courier New" w:hAnsi="Courier New" w:cs="Courier New"/>
      <w:sz w:val="20"/>
      <w:lang w:val="en-US" w:eastAsia="en-US"/>
    </w:rPr>
  </w:style>
  <w:style w:type="character" w:customStyle="1" w:styleId="PlainTextChar">
    <w:name w:val="Plain Text Char"/>
    <w:basedOn w:val="DefaultParagraphFont"/>
    <w:link w:val="PlainText"/>
    <w:semiHidden/>
    <w:rsid w:val="00301816"/>
    <w:rPr>
      <w:rFonts w:ascii="Courier New" w:hAnsi="Courier New" w:cs="Courier New"/>
      <w:sz w:val="20"/>
      <w:szCs w:val="20"/>
      <w:lang w:val="en-US" w:eastAsia="en-US"/>
    </w:rPr>
  </w:style>
  <w:style w:type="paragraph" w:styleId="Salutation">
    <w:name w:val="Salutation"/>
    <w:basedOn w:val="Normal"/>
    <w:next w:val="Normal"/>
    <w:link w:val="SalutationChar"/>
    <w:semiHidden/>
    <w:rsid w:val="00301816"/>
    <w:rPr>
      <w:rFonts w:ascii="Times New Roman" w:hAnsi="Times New Roman"/>
      <w:sz w:val="24"/>
      <w:szCs w:val="24"/>
      <w:lang w:val="en-US" w:eastAsia="en-US"/>
    </w:rPr>
  </w:style>
  <w:style w:type="character" w:customStyle="1" w:styleId="SalutationChar">
    <w:name w:val="Salutation Char"/>
    <w:basedOn w:val="DefaultParagraphFont"/>
    <w:link w:val="Salutation"/>
    <w:semiHidden/>
    <w:rsid w:val="00301816"/>
    <w:rPr>
      <w:rFonts w:ascii="Times New Roman" w:hAnsi="Times New Roman"/>
      <w:sz w:val="24"/>
      <w:szCs w:val="24"/>
      <w:lang w:val="en-US" w:eastAsia="en-US"/>
    </w:rPr>
  </w:style>
  <w:style w:type="paragraph" w:styleId="Signature">
    <w:name w:val="Signature"/>
    <w:basedOn w:val="Normal"/>
    <w:link w:val="SignatureChar"/>
    <w:semiHidden/>
    <w:rsid w:val="00301816"/>
    <w:pPr>
      <w:ind w:left="4252"/>
    </w:pPr>
    <w:rPr>
      <w:rFonts w:ascii="Times New Roman" w:hAnsi="Times New Roman"/>
      <w:sz w:val="24"/>
      <w:szCs w:val="24"/>
      <w:lang w:val="en-US" w:eastAsia="en-US"/>
    </w:rPr>
  </w:style>
  <w:style w:type="character" w:customStyle="1" w:styleId="SignatureChar">
    <w:name w:val="Signature Char"/>
    <w:basedOn w:val="DefaultParagraphFont"/>
    <w:link w:val="Signature"/>
    <w:semiHidden/>
    <w:rsid w:val="00301816"/>
    <w:rPr>
      <w:rFonts w:ascii="Times New Roman" w:hAnsi="Times New Roman"/>
      <w:sz w:val="24"/>
      <w:szCs w:val="24"/>
      <w:lang w:val="en-US" w:eastAsia="en-US"/>
    </w:rPr>
  </w:style>
  <w:style w:type="paragraph" w:styleId="Subtitle">
    <w:name w:val="Subtitle"/>
    <w:basedOn w:val="Normal"/>
    <w:link w:val="SubtitleChar"/>
    <w:qFormat/>
    <w:rsid w:val="00301816"/>
    <w:pPr>
      <w:spacing w:after="60"/>
      <w:jc w:val="center"/>
      <w:outlineLvl w:val="1"/>
    </w:pPr>
    <w:rPr>
      <w:rFonts w:cs="Arial"/>
      <w:sz w:val="24"/>
      <w:szCs w:val="24"/>
      <w:lang w:val="en-US" w:eastAsia="en-US"/>
    </w:rPr>
  </w:style>
  <w:style w:type="character" w:customStyle="1" w:styleId="SubtitleChar">
    <w:name w:val="Subtitle Char"/>
    <w:basedOn w:val="DefaultParagraphFont"/>
    <w:link w:val="Subtitle"/>
    <w:rsid w:val="00301816"/>
    <w:rPr>
      <w:rFonts w:cs="Arial"/>
      <w:sz w:val="24"/>
      <w:szCs w:val="24"/>
      <w:lang w:val="en-US" w:eastAsia="en-US"/>
    </w:rPr>
  </w:style>
  <w:style w:type="table" w:styleId="Table3Deffects1">
    <w:name w:val="Table 3D effects 1"/>
    <w:basedOn w:val="TableNormal"/>
    <w:semiHidden/>
    <w:rsid w:val="00301816"/>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01816"/>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01816"/>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01816"/>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0181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0181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0181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01816"/>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0181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0181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01816"/>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0181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01816"/>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0181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01816"/>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0181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301816"/>
    <w:rPr>
      <w:rFonts w:ascii="Times New Roman" w:hAnsi="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0181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0181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0181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0181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0181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01816"/>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01816"/>
    <w:rPr>
      <w:rFonts w:ascii="Times New Roman" w:hAnsi="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0181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0181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0181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0181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01816"/>
    <w:rPr>
      <w:rFonts w:ascii="Times New Roman" w:hAnsi="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01816"/>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0181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01816"/>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01816"/>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0181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0181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0181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0181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autoRedefine/>
    <w:semiHidden/>
    <w:rsid w:val="00301816"/>
    <w:pPr>
      <w:numPr>
        <w:numId w:val="32"/>
      </w:numPr>
    </w:pPr>
    <w:rPr>
      <w:rFonts w:ascii="Times New Roman" w:hAnsi="Times New Roman"/>
      <w:sz w:val="24"/>
      <w:szCs w:val="24"/>
      <w:lang w:val="en-US" w:eastAsia="en-US"/>
    </w:rPr>
  </w:style>
  <w:style w:type="paragraph" w:styleId="Date">
    <w:name w:val="Date"/>
    <w:basedOn w:val="Normal"/>
    <w:next w:val="Normal"/>
    <w:link w:val="DateChar"/>
    <w:semiHidden/>
    <w:rsid w:val="00301816"/>
    <w:rPr>
      <w:rFonts w:ascii="Times New Roman" w:hAnsi="Times New Roman"/>
      <w:sz w:val="24"/>
      <w:szCs w:val="24"/>
      <w:lang w:val="en-US" w:eastAsia="en-US"/>
    </w:rPr>
  </w:style>
  <w:style w:type="character" w:customStyle="1" w:styleId="DateChar">
    <w:name w:val="Date Char"/>
    <w:basedOn w:val="DefaultParagraphFont"/>
    <w:link w:val="Date"/>
    <w:semiHidden/>
    <w:rsid w:val="00301816"/>
    <w:rPr>
      <w:rFonts w:ascii="Times New Roman" w:hAnsi="Times New Roman"/>
      <w:sz w:val="24"/>
      <w:szCs w:val="24"/>
      <w:lang w:val="en-US" w:eastAsia="en-US"/>
    </w:rPr>
  </w:style>
  <w:style w:type="paragraph" w:customStyle="1" w:styleId="Figureheading">
    <w:name w:val="Figure heading"/>
    <w:basedOn w:val="Tableheading"/>
    <w:next w:val="BodyText"/>
    <w:rsid w:val="005422C0"/>
    <w:pPr>
      <w:tabs>
        <w:tab w:val="clear" w:pos="1304"/>
        <w:tab w:val="left" w:pos="1418"/>
      </w:tabs>
      <w:spacing w:before="120"/>
    </w:pPr>
    <w:rPr>
      <w:lang w:val="en-AU"/>
    </w:rPr>
  </w:style>
  <w:style w:type="paragraph" w:customStyle="1" w:styleId="References">
    <w:name w:val="References"/>
    <w:basedOn w:val="BodyText"/>
    <w:rsid w:val="00301816"/>
    <w:pPr>
      <w:tabs>
        <w:tab w:val="left" w:pos="567"/>
      </w:tabs>
      <w:ind w:left="567" w:hanging="567"/>
    </w:pPr>
    <w:rPr>
      <w:szCs w:val="24"/>
    </w:rPr>
  </w:style>
  <w:style w:type="character" w:styleId="FootnoteReference">
    <w:name w:val="footnote reference"/>
    <w:uiPriority w:val="99"/>
    <w:semiHidden/>
    <w:rsid w:val="00301816"/>
    <w:rPr>
      <w:vertAlign w:val="superscript"/>
    </w:rPr>
  </w:style>
  <w:style w:type="table" w:styleId="LightList-Accent3">
    <w:name w:val="Light List Accent 3"/>
    <w:basedOn w:val="TableNormal"/>
    <w:uiPriority w:val="61"/>
    <w:rsid w:val="0030181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dNoteBibliographyTitle">
    <w:name w:val="EndNote Bibliography Title"/>
    <w:basedOn w:val="Normal"/>
    <w:link w:val="EndNoteBibliographyTitleChar"/>
    <w:rsid w:val="00FE5CE8"/>
    <w:pPr>
      <w:jc w:val="center"/>
    </w:pPr>
    <w:rPr>
      <w:rFonts w:cs="Arial"/>
      <w:noProof/>
    </w:rPr>
  </w:style>
  <w:style w:type="character" w:customStyle="1" w:styleId="EndNoteBibliographyTitleChar">
    <w:name w:val="EndNote Bibliography Title Char"/>
    <w:basedOn w:val="DefaultParagraphFont"/>
    <w:link w:val="EndNoteBibliographyTitle"/>
    <w:rsid w:val="00FE5CE8"/>
    <w:rPr>
      <w:rFonts w:cs="Arial"/>
      <w:noProof/>
      <w:szCs w:val="20"/>
    </w:rPr>
  </w:style>
  <w:style w:type="paragraph" w:customStyle="1" w:styleId="EndNoteBibliography">
    <w:name w:val="EndNote Bibliography"/>
    <w:basedOn w:val="Normal"/>
    <w:link w:val="EndNoteBibliographyChar"/>
    <w:rsid w:val="00FE5CE8"/>
    <w:rPr>
      <w:rFonts w:cs="Arial"/>
      <w:noProof/>
    </w:rPr>
  </w:style>
  <w:style w:type="character" w:customStyle="1" w:styleId="EndNoteBibliographyChar">
    <w:name w:val="EndNote Bibliography Char"/>
    <w:basedOn w:val="DefaultParagraphFont"/>
    <w:link w:val="EndNoteBibliography"/>
    <w:rsid w:val="00FE5CE8"/>
    <w:rPr>
      <w:rFonts w:cs="Arial"/>
      <w:noProof/>
      <w:szCs w:val="20"/>
    </w:rPr>
  </w:style>
  <w:style w:type="character" w:customStyle="1" w:styleId="Heading5Char1">
    <w:name w:val="Heading 5 Char1"/>
    <w:aliases w:val="VAREval5 Char1"/>
    <w:basedOn w:val="DefaultParagraphFont"/>
    <w:semiHidden/>
    <w:rsid w:val="00F650A4"/>
    <w:rPr>
      <w:rFonts w:asciiTheme="majorHAnsi" w:eastAsiaTheme="majorEastAsia" w:hAnsiTheme="majorHAnsi" w:cstheme="majorBidi"/>
      <w:color w:val="243F60" w:themeColor="accent1" w:themeShade="7F"/>
      <w:sz w:val="22"/>
    </w:rPr>
  </w:style>
  <w:style w:type="character" w:customStyle="1" w:styleId="Heading6Char1">
    <w:name w:val="Heading 6 Char1"/>
    <w:aliases w:val="Char4 Char1"/>
    <w:basedOn w:val="DefaultParagraphFont"/>
    <w:semiHidden/>
    <w:rsid w:val="00F650A4"/>
    <w:rPr>
      <w:rFonts w:asciiTheme="majorHAnsi" w:eastAsiaTheme="majorEastAsia" w:hAnsiTheme="majorHAnsi" w:cstheme="majorBidi"/>
      <w:i/>
      <w:iCs/>
      <w:color w:val="243F60" w:themeColor="accent1" w:themeShade="7F"/>
      <w:sz w:val="22"/>
    </w:rPr>
  </w:style>
  <w:style w:type="character" w:customStyle="1" w:styleId="Heading7Char1">
    <w:name w:val="Heading 7 Char1"/>
    <w:aliases w:val="Char3 Char1"/>
    <w:basedOn w:val="DefaultParagraphFont"/>
    <w:semiHidden/>
    <w:rsid w:val="00F650A4"/>
    <w:rPr>
      <w:rFonts w:asciiTheme="majorHAnsi" w:eastAsiaTheme="majorEastAsia" w:hAnsiTheme="majorHAnsi" w:cstheme="majorBidi"/>
      <w:i/>
      <w:iCs/>
      <w:color w:val="404040" w:themeColor="text1" w:themeTint="BF"/>
      <w:sz w:val="22"/>
    </w:rPr>
  </w:style>
  <w:style w:type="character" w:customStyle="1" w:styleId="Heading8Char1">
    <w:name w:val="Heading 8 Char1"/>
    <w:aliases w:val="Char2 Char1"/>
    <w:basedOn w:val="DefaultParagraphFont"/>
    <w:semiHidden/>
    <w:rsid w:val="00F650A4"/>
    <w:rPr>
      <w:rFonts w:asciiTheme="majorHAnsi" w:eastAsiaTheme="majorEastAsia" w:hAnsiTheme="majorHAnsi" w:cstheme="majorBidi"/>
      <w:color w:val="404040" w:themeColor="text1" w:themeTint="BF"/>
    </w:rPr>
  </w:style>
  <w:style w:type="character" w:customStyle="1" w:styleId="Heading9Char1">
    <w:name w:val="Heading 9 Char1"/>
    <w:aliases w:val="Char1 Char1"/>
    <w:basedOn w:val="DefaultParagraphFont"/>
    <w:semiHidden/>
    <w:rsid w:val="00F650A4"/>
    <w:rPr>
      <w:rFonts w:asciiTheme="majorHAnsi" w:eastAsiaTheme="majorEastAsia" w:hAnsiTheme="majorHAnsi" w:cstheme="majorBidi"/>
      <w:i/>
      <w:iCs/>
      <w:color w:val="404040" w:themeColor="text1" w:themeTint="BF"/>
    </w:rPr>
  </w:style>
  <w:style w:type="character" w:customStyle="1" w:styleId="BodyTextChar2">
    <w:name w:val="Body Text Char2"/>
    <w:aliases w:val="Body Text Char Char1 Char2,Body Text Char Char1 Char Char2,Body Text Char Char1 Char Char Char2,Body Text Char Char1 Char Char Char Char1,Body Text Char1 Char2,Body Text Char1 Char Char2,Body Text Char1 Char Char Char2"/>
    <w:basedOn w:val="DefaultParagraphFont"/>
    <w:semiHidden/>
    <w:rsid w:val="00F650A4"/>
    <w:rPr>
      <w:rFonts w:cs="Times New Roman"/>
      <w:sz w:val="22"/>
    </w:rPr>
  </w:style>
  <w:style w:type="table" w:customStyle="1" w:styleId="LightList-Accent11">
    <w:name w:val="Light List - Accent 11"/>
    <w:basedOn w:val="TableNormal"/>
    <w:uiPriority w:val="61"/>
    <w:rsid w:val="00F650A4"/>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4">
    <w:name w:val="No List4"/>
    <w:next w:val="NoList"/>
    <w:uiPriority w:val="99"/>
    <w:semiHidden/>
    <w:unhideWhenUsed/>
    <w:rsid w:val="009F562E"/>
  </w:style>
  <w:style w:type="table" w:customStyle="1" w:styleId="TableGrid30">
    <w:name w:val="Table Grid3"/>
    <w:basedOn w:val="TableNormal"/>
    <w:next w:val="TableGrid"/>
    <w:rsid w:val="009F5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9F562E"/>
    <w:rPr>
      <w:rFonts w:ascii="Times New Roman" w:hAnsi="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b/>
        <w:i/>
        <w:iCs/>
      </w:rPr>
      <w:tblPr/>
      <w:tcPr>
        <w:tcBorders>
          <w:top w:val="single" w:sz="12" w:space="0" w:color="auto"/>
          <w:bottom w:val="single" w:sz="12" w:space="0" w:color="auto"/>
        </w:tcBorders>
        <w:shd w:val="clear" w:color="auto" w:fill="auto"/>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left w:val="nil"/>
          <w:right w:val="single" w:sz="6" w:space="0" w:color="000000"/>
        </w:tcBorders>
        <w:shd w:val="clear" w:color="auto" w:fill="auto"/>
      </w:tcPr>
    </w:tblStylePr>
    <w:tblStylePr w:type="lastCol">
      <w:tblPr/>
      <w:tcPr>
        <w:tcBorders>
          <w:right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9F562E"/>
  </w:style>
  <w:style w:type="table" w:customStyle="1" w:styleId="TableGrid11">
    <w:name w:val="Table Grid11"/>
    <w:basedOn w:val="TableNormal"/>
    <w:next w:val="TableGrid"/>
    <w:uiPriority w:val="59"/>
    <w:rsid w:val="009F562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9F562E"/>
    <w:rPr>
      <w:rFonts w:ascii="Times New Roman" w:hAnsi="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21">
    <w:name w:val="No List21"/>
    <w:next w:val="NoList"/>
    <w:uiPriority w:val="99"/>
    <w:semiHidden/>
    <w:unhideWhenUsed/>
    <w:rsid w:val="009F562E"/>
  </w:style>
  <w:style w:type="table" w:customStyle="1" w:styleId="TableGrid21">
    <w:name w:val="Table Grid21"/>
    <w:basedOn w:val="TableNormal"/>
    <w:next w:val="TableGrid"/>
    <w:rsid w:val="009F562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F562E"/>
  </w:style>
  <w:style w:type="table" w:customStyle="1" w:styleId="Table3Deffects11">
    <w:name w:val="Table 3D effects 11"/>
    <w:basedOn w:val="TableNormal"/>
    <w:next w:val="Table3Deffects1"/>
    <w:semiHidden/>
    <w:rsid w:val="009F562E"/>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9F562E"/>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9F562E"/>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9F562E"/>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9F562E"/>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9F562E"/>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9F562E"/>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9F562E"/>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9F562E"/>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9F562E"/>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9F562E"/>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9F562E"/>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9F562E"/>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9F562E"/>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9F562E"/>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9F562E"/>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9F562E"/>
    <w:rPr>
      <w:rFonts w:ascii="Times New Roman" w:hAnsi="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9F562E"/>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9F562E"/>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9F562E"/>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9F562E"/>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9F562E"/>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9F562E"/>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9F562E"/>
    <w:rPr>
      <w:rFonts w:ascii="Times New Roman" w:hAnsi="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9F562E"/>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9F562E"/>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9F562E"/>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9F562E"/>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9F562E"/>
    <w:rPr>
      <w:rFonts w:ascii="Times New Roman" w:hAnsi="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9F562E"/>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9F562E"/>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9F562E"/>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9F562E"/>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9F562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9F562E"/>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9F562E"/>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9F562E"/>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rsid w:val="009F562E"/>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ppendixunnumberedfiguretableheading">
    <w:name w:val="Appendix unnumbered figure/table heading"/>
    <w:next w:val="BodyText"/>
    <w:qFormat/>
    <w:rsid w:val="009502FD"/>
    <w:pPr>
      <w:tabs>
        <w:tab w:val="right" w:pos="540"/>
        <w:tab w:val="left" w:pos="720"/>
      </w:tabs>
      <w:spacing w:after="120"/>
    </w:pPr>
    <w:rPr>
      <w:rFonts w:cs="Arial"/>
      <w:b/>
      <w:sz w:val="24"/>
      <w:szCs w:val="24"/>
    </w:rPr>
  </w:style>
  <w:style w:type="paragraph" w:customStyle="1" w:styleId="Tabletextbullets">
    <w:name w:val="Table text bullets"/>
    <w:qFormat/>
    <w:rsid w:val="00165E16"/>
    <w:pPr>
      <w:numPr>
        <w:numId w:val="14"/>
      </w:numPr>
      <w:tabs>
        <w:tab w:val="left" w:pos="284"/>
      </w:tabs>
      <w:ind w:left="284" w:hanging="284"/>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76492">
      <w:bodyDiv w:val="1"/>
      <w:marLeft w:val="0"/>
      <w:marRight w:val="0"/>
      <w:marTop w:val="45"/>
      <w:marBottom w:val="45"/>
      <w:divBdr>
        <w:top w:val="none" w:sz="0" w:space="0" w:color="auto"/>
        <w:left w:val="none" w:sz="0" w:space="0" w:color="auto"/>
        <w:bottom w:val="none" w:sz="0" w:space="0" w:color="auto"/>
        <w:right w:val="none" w:sz="0" w:space="0" w:color="auto"/>
      </w:divBdr>
      <w:divsChild>
        <w:div w:id="1226723727">
          <w:marLeft w:val="0"/>
          <w:marRight w:val="0"/>
          <w:marTop w:val="0"/>
          <w:marBottom w:val="0"/>
          <w:divBdr>
            <w:top w:val="none" w:sz="0" w:space="0" w:color="auto"/>
            <w:left w:val="none" w:sz="0" w:space="0" w:color="auto"/>
            <w:bottom w:val="none" w:sz="0" w:space="0" w:color="auto"/>
            <w:right w:val="none" w:sz="0" w:space="0" w:color="auto"/>
          </w:divBdr>
          <w:divsChild>
            <w:div w:id="1302810101">
              <w:marLeft w:val="0"/>
              <w:marRight w:val="0"/>
              <w:marTop w:val="0"/>
              <w:marBottom w:val="0"/>
              <w:divBdr>
                <w:top w:val="none" w:sz="0" w:space="0" w:color="auto"/>
                <w:left w:val="none" w:sz="0" w:space="0" w:color="auto"/>
                <w:bottom w:val="none" w:sz="0" w:space="0" w:color="auto"/>
                <w:right w:val="none" w:sz="0" w:space="0" w:color="auto"/>
              </w:divBdr>
              <w:divsChild>
                <w:div w:id="1098797394">
                  <w:marLeft w:val="0"/>
                  <w:marRight w:val="0"/>
                  <w:marTop w:val="0"/>
                  <w:marBottom w:val="0"/>
                  <w:divBdr>
                    <w:top w:val="none" w:sz="0" w:space="0" w:color="auto"/>
                    <w:left w:val="none" w:sz="0" w:space="0" w:color="auto"/>
                    <w:bottom w:val="none" w:sz="0" w:space="0" w:color="auto"/>
                    <w:right w:val="none" w:sz="0" w:space="0" w:color="auto"/>
                  </w:divBdr>
                  <w:divsChild>
                    <w:div w:id="266934869">
                      <w:marLeft w:val="0"/>
                      <w:marRight w:val="0"/>
                      <w:marTop w:val="0"/>
                      <w:marBottom w:val="0"/>
                      <w:divBdr>
                        <w:top w:val="none" w:sz="0" w:space="0" w:color="auto"/>
                        <w:left w:val="none" w:sz="0" w:space="0" w:color="auto"/>
                        <w:bottom w:val="none" w:sz="0" w:space="0" w:color="auto"/>
                        <w:right w:val="none" w:sz="0" w:space="0" w:color="auto"/>
                      </w:divBdr>
                      <w:divsChild>
                        <w:div w:id="227151299">
                          <w:marLeft w:val="0"/>
                          <w:marRight w:val="0"/>
                          <w:marTop w:val="315"/>
                          <w:marBottom w:val="0"/>
                          <w:divBdr>
                            <w:top w:val="none" w:sz="0" w:space="0" w:color="auto"/>
                            <w:left w:val="none" w:sz="0" w:space="0" w:color="auto"/>
                            <w:bottom w:val="none" w:sz="0" w:space="0" w:color="auto"/>
                            <w:right w:val="none" w:sz="0" w:space="0" w:color="auto"/>
                          </w:divBdr>
                          <w:divsChild>
                            <w:div w:id="319233980">
                              <w:marLeft w:val="1980"/>
                              <w:marRight w:val="3810"/>
                              <w:marTop w:val="0"/>
                              <w:marBottom w:val="0"/>
                              <w:divBdr>
                                <w:top w:val="none" w:sz="0" w:space="0" w:color="auto"/>
                                <w:left w:val="none" w:sz="0" w:space="0" w:color="auto"/>
                                <w:bottom w:val="none" w:sz="0" w:space="0" w:color="auto"/>
                                <w:right w:val="none" w:sz="0" w:space="0" w:color="auto"/>
                              </w:divBdr>
                              <w:divsChild>
                                <w:div w:id="165829272">
                                  <w:marLeft w:val="0"/>
                                  <w:marRight w:val="0"/>
                                  <w:marTop w:val="0"/>
                                  <w:marBottom w:val="0"/>
                                  <w:divBdr>
                                    <w:top w:val="none" w:sz="0" w:space="0" w:color="auto"/>
                                    <w:left w:val="none" w:sz="0" w:space="0" w:color="auto"/>
                                    <w:bottom w:val="none" w:sz="0" w:space="0" w:color="auto"/>
                                    <w:right w:val="none" w:sz="0" w:space="0" w:color="auto"/>
                                  </w:divBdr>
                                  <w:divsChild>
                                    <w:div w:id="946038985">
                                      <w:marLeft w:val="0"/>
                                      <w:marRight w:val="0"/>
                                      <w:marTop w:val="0"/>
                                      <w:marBottom w:val="0"/>
                                      <w:divBdr>
                                        <w:top w:val="none" w:sz="0" w:space="0" w:color="auto"/>
                                        <w:left w:val="none" w:sz="0" w:space="0" w:color="auto"/>
                                        <w:bottom w:val="none" w:sz="0" w:space="0" w:color="auto"/>
                                        <w:right w:val="none" w:sz="0" w:space="0" w:color="auto"/>
                                      </w:divBdr>
                                      <w:divsChild>
                                        <w:div w:id="1221331156">
                                          <w:marLeft w:val="0"/>
                                          <w:marRight w:val="0"/>
                                          <w:marTop w:val="0"/>
                                          <w:marBottom w:val="0"/>
                                          <w:divBdr>
                                            <w:top w:val="none" w:sz="0" w:space="0" w:color="auto"/>
                                            <w:left w:val="none" w:sz="0" w:space="0" w:color="auto"/>
                                            <w:bottom w:val="none" w:sz="0" w:space="0" w:color="auto"/>
                                            <w:right w:val="none" w:sz="0" w:space="0" w:color="auto"/>
                                          </w:divBdr>
                                          <w:divsChild>
                                            <w:div w:id="2045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647422">
      <w:bodyDiv w:val="1"/>
      <w:marLeft w:val="0"/>
      <w:marRight w:val="0"/>
      <w:marTop w:val="0"/>
      <w:marBottom w:val="0"/>
      <w:divBdr>
        <w:top w:val="none" w:sz="0" w:space="0" w:color="auto"/>
        <w:left w:val="none" w:sz="0" w:space="0" w:color="auto"/>
        <w:bottom w:val="none" w:sz="0" w:space="0" w:color="auto"/>
        <w:right w:val="none" w:sz="0" w:space="0" w:color="auto"/>
      </w:divBdr>
    </w:div>
    <w:div w:id="209265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footer" Target="footer4.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chart" Target="charts/chart2.xml"/><Relationship Id="rId63" Type="http://schemas.openxmlformats.org/officeDocument/2006/relationships/hyperlink" Target="http://www.federalfinancialrelations.gov.au/content/npa/health_payments.aspx" TargetMode="External"/><Relationship Id="rId68" Type="http://schemas.openxmlformats.org/officeDocument/2006/relationships/hyperlink" Target="http://www.who.int/vaccine_safety/committee/reports/Jun_2013/en/" TargetMode="External"/><Relationship Id="rId76" Type="http://schemas.openxmlformats.org/officeDocument/2006/relationships/hyperlink" Target="https://www.nhmrc.gov.au/guidelines/publications/wh39" TargetMode="External"/><Relationship Id="rId84" Type="http://schemas.openxmlformats.org/officeDocument/2006/relationships/image" Target="media/image31.png"/><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www.papscreen.org.au/browse.asp?ContainerID=c14" TargetMode="External"/><Relationship Id="rId9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footer" Target="footer5.xml"/><Relationship Id="rId53" Type="http://schemas.openxmlformats.org/officeDocument/2006/relationships/footer" Target="footer6.xml"/><Relationship Id="rId58" Type="http://schemas.openxmlformats.org/officeDocument/2006/relationships/hyperlink" Target="http://www.tga.gov.au/auspar/auspar-human-papillomavirus-quadrivalent-vaccine" TargetMode="External"/><Relationship Id="rId66" Type="http://schemas.openxmlformats.org/officeDocument/2006/relationships/hyperlink" Target="http://www.immunise.health.gov.au/internet/immunise/publishing.nsf/Content/adverse-event" TargetMode="External"/><Relationship Id="rId74" Type="http://schemas.openxmlformats.org/officeDocument/2006/relationships/hyperlink" Target="http://www.health.gov.au/internet/immunise/publishing.nsf/Content/immunise-hpv" TargetMode="External"/><Relationship Id="rId79" Type="http://schemas.openxmlformats.org/officeDocument/2006/relationships/image" Target="media/image26.png"/><Relationship Id="rId87"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hyperlink" Target="http://www.pbs.gov.au/info/industry/listing/elements/pbac-meetings/pbac-outcomes/2011-11/positive-recommendations" TargetMode="External"/><Relationship Id="rId82" Type="http://schemas.openxmlformats.org/officeDocument/2006/relationships/image" Target="media/image29.png"/><Relationship Id="rId90" Type="http://schemas.openxmlformats.org/officeDocument/2006/relationships/header" Target="header18.xml"/><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0.xml"/><Relationship Id="rId48" Type="http://schemas.openxmlformats.org/officeDocument/2006/relationships/chart" Target="charts/chart1.xml"/><Relationship Id="rId56" Type="http://schemas.openxmlformats.org/officeDocument/2006/relationships/image" Target="media/image25.png"/><Relationship Id="rId64" Type="http://schemas.openxmlformats.org/officeDocument/2006/relationships/hyperlink" Target="http://www.tga.gov.au/safety/alerts-medicine-gardasil-070624.htm" TargetMode="External"/><Relationship Id="rId69" Type="http://schemas.openxmlformats.org/officeDocument/2006/relationships/hyperlink" Target="http://www.aihw.gov.au/data-source/" TargetMode="External"/><Relationship Id="rId77" Type="http://schemas.openxmlformats.org/officeDocument/2006/relationships/hyperlink" Target="http://www.aihw.gov.au/publication-detail/?id=6442468067" TargetMode="Externa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yperlink" Target="http://www.abs.gov.au/AUSSTATS/abs@.nsf/lookup/4704.0Chapter210Oct+2010" TargetMode="External"/><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hyperlink" Target="http://www.pbs.gov.au/info/news/2006/11/aust-govt-funds-gardasil" TargetMode="External"/><Relationship Id="rId67" Type="http://schemas.openxmlformats.org/officeDocument/2006/relationships/hyperlink" Target="http://www.mhra.gov.uk/Safetyinformation/Generalsafetyinformationandadvice/Product-specificinformationandadvice/Product-specificinformationandadvice-G-L/HumanpapillomavirusHPVvaccine/CON023340" TargetMode="External"/><Relationship Id="rId20" Type="http://schemas.openxmlformats.org/officeDocument/2006/relationships/image" Target="media/image3.jpeg"/><Relationship Id="rId41" Type="http://schemas.openxmlformats.org/officeDocument/2006/relationships/image" Target="media/image20.png"/><Relationship Id="rId54" Type="http://schemas.openxmlformats.org/officeDocument/2006/relationships/header" Target="header15.xml"/><Relationship Id="rId62" Type="http://schemas.openxmlformats.org/officeDocument/2006/relationships/hyperlink" Target="http://www.mmll.org.au/about-us/newsroom/232-hpv-vaccine-extended-to-boys" TargetMode="External"/><Relationship Id="rId70" Type="http://schemas.openxmlformats.org/officeDocument/2006/relationships/hyperlink" Target="http://www.cancerscreening.gov.au/internet/screening/publishing.nsf/Content/hpv-vaccinated-policy" TargetMode="External"/><Relationship Id="rId75" Type="http://schemas.openxmlformats.org/officeDocument/2006/relationships/hyperlink" Target="http://www.abs.gov.au/AUSSTATS/abs@.nsf/DetailsPage/3238.01991%20to%202021?OpenDocument" TargetMode="External"/><Relationship Id="rId83" Type="http://schemas.openxmlformats.org/officeDocument/2006/relationships/image" Target="media/image30.png"/><Relationship Id="rId88" Type="http://schemas.openxmlformats.org/officeDocument/2006/relationships/header" Target="header17.xml"/><Relationship Id="rId9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hyperlink" Target="http://www-dep.iarc.fr/"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hyperlink" Target="http://www.hpvregister.org.au" TargetMode="External"/><Relationship Id="rId65" Type="http://schemas.openxmlformats.org/officeDocument/2006/relationships/hyperlink" Target="http://www.pbs.gov.au/info/news/2006/11/aust-govt-funds-gardasil" TargetMode="External"/><Relationship Id="rId73" Type="http://schemas.openxmlformats.org/officeDocument/2006/relationships/hyperlink" Target="http://www.abs.gov.au/AUSSTATS/abs@.nsf/DetailsPage/3101.0Mar%202013?OpenDocument" TargetMode="External"/><Relationship Id="rId78" Type="http://schemas.openxmlformats.org/officeDocument/2006/relationships/hyperlink" Target="mailto:stephanie.knox@health.nsw.gov.au" TargetMode="External"/><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rfs.med.unsw.edu.au\ACP-POWCS2\HPVCC\HPVCC%20Data\Working%20Datasets\AIHWwarts\OutputFiles\AIHW_Rate_Tabl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fs.med.unsw.edu.au\ACP-POWCS2\HPVCC\HPVCC%20Data\Working%20Datasets\AIHWwarts\OutputFiles\AIHW_Rate_Tabl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fs.med.unsw.edu.au\ACP-POWCS2\HPVCC\HPVCC%20Model\ParameterInfo\AUS\Vaccination\adjustedCoverageRatesCalculator_forWarts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07334114529148"/>
          <c:y val="4.455860273788189E-2"/>
          <c:w val="0.83832860600352632"/>
          <c:h val="0.78667223693969535"/>
        </c:manualLayout>
      </c:layout>
      <c:lineChart>
        <c:grouping val="standard"/>
        <c:varyColors val="0"/>
        <c:ser>
          <c:idx val="1"/>
          <c:order val="0"/>
          <c:tx>
            <c:strRef>
              <c:f>formatted!$I$3</c:f>
              <c:strCache>
                <c:ptCount val="1"/>
                <c:pt idx="0">
                  <c:v>Males</c:v>
                </c:pt>
              </c:strCache>
            </c:strRef>
          </c:tx>
          <c:spPr>
            <a:ln>
              <a:noFill/>
            </a:ln>
          </c:spPr>
          <c:cat>
            <c:numRef>
              <c:f>formatted!$A$7:$A$18</c:f>
              <c:numCache>
                <c:formatCode>General</c:formatCode>
                <c:ptCount val="12"/>
                <c:pt idx="0">
                  <c:v>1999</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formatted!$J$7:$J$18</c:f>
              <c:numCache>
                <c:formatCode>0.0</c:formatCode>
                <c:ptCount val="12"/>
                <c:pt idx="0">
                  <c:v>11.78368368834489</c:v>
                </c:pt>
                <c:pt idx="1">
                  <c:v>11.571552031179742</c:v>
                </c:pt>
                <c:pt idx="2">
                  <c:v>12.417107211846453</c:v>
                </c:pt>
                <c:pt idx="3">
                  <c:v>13.102361330181932</c:v>
                </c:pt>
                <c:pt idx="4">
                  <c:v>12.916230681556295</c:v>
                </c:pt>
                <c:pt idx="5">
                  <c:v>12.905213936886403</c:v>
                </c:pt>
                <c:pt idx="6">
                  <c:v>12.173071566436025</c:v>
                </c:pt>
                <c:pt idx="7">
                  <c:v>12.053686396281929</c:v>
                </c:pt>
                <c:pt idx="8">
                  <c:v>11.097865402071768</c:v>
                </c:pt>
                <c:pt idx="9">
                  <c:v>11.316309354646664</c:v>
                </c:pt>
                <c:pt idx="10">
                  <c:v>10.805132579204686</c:v>
                </c:pt>
                <c:pt idx="11">
                  <c:v>10.965592965987577</c:v>
                </c:pt>
              </c:numCache>
            </c:numRef>
          </c:val>
          <c:smooth val="0"/>
        </c:ser>
        <c:ser>
          <c:idx val="0"/>
          <c:order val="1"/>
          <c:tx>
            <c:strRef>
              <c:f>formatted!$B$3</c:f>
              <c:strCache>
                <c:ptCount val="1"/>
                <c:pt idx="0">
                  <c:v>Females</c:v>
                </c:pt>
              </c:strCache>
            </c:strRef>
          </c:tx>
          <c:spPr>
            <a:ln>
              <a:noFill/>
            </a:ln>
          </c:spPr>
          <c:cat>
            <c:numRef>
              <c:f>formatted!$A$7:$A$18</c:f>
              <c:numCache>
                <c:formatCode>General</c:formatCode>
                <c:ptCount val="12"/>
                <c:pt idx="0">
                  <c:v>1999</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formatted!$C$7:$C$18</c:f>
              <c:numCache>
                <c:formatCode>0.0</c:formatCode>
                <c:ptCount val="12"/>
                <c:pt idx="0">
                  <c:v>26.395743040215127</c:v>
                </c:pt>
                <c:pt idx="1">
                  <c:v>25.440108983655907</c:v>
                </c:pt>
                <c:pt idx="2">
                  <c:v>24.889860933880744</c:v>
                </c:pt>
                <c:pt idx="3">
                  <c:v>24.860125786363987</c:v>
                </c:pt>
                <c:pt idx="4">
                  <c:v>24.102216220737226</c:v>
                </c:pt>
                <c:pt idx="5">
                  <c:v>23.70588740543548</c:v>
                </c:pt>
                <c:pt idx="6">
                  <c:v>22.306240114969125</c:v>
                </c:pt>
                <c:pt idx="7">
                  <c:v>20.154856232230259</c:v>
                </c:pt>
                <c:pt idx="8">
                  <c:v>17.854604192805432</c:v>
                </c:pt>
                <c:pt idx="9">
                  <c:v>14.423726849317678</c:v>
                </c:pt>
                <c:pt idx="10">
                  <c:v>12.685813299176573</c:v>
                </c:pt>
                <c:pt idx="11">
                  <c:v>11.628799593281917</c:v>
                </c:pt>
              </c:numCache>
            </c:numRef>
          </c:val>
          <c:smooth val="0"/>
        </c:ser>
        <c:dLbls>
          <c:showLegendKey val="0"/>
          <c:showVal val="0"/>
          <c:showCatName val="0"/>
          <c:showSerName val="0"/>
          <c:showPercent val="0"/>
          <c:showBubbleSize val="0"/>
        </c:dLbls>
        <c:marker val="1"/>
        <c:smooth val="0"/>
        <c:axId val="281292800"/>
        <c:axId val="281294720"/>
      </c:lineChart>
      <c:catAx>
        <c:axId val="281292800"/>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AU"/>
                  <a:t>Year (commencing 1 July)</a:t>
                </a:r>
              </a:p>
            </c:rich>
          </c:tx>
          <c:layout>
            <c:manualLayout>
              <c:xMode val="edge"/>
              <c:yMode val="edge"/>
              <c:x val="0.39516113944876385"/>
              <c:y val="0.92696974482774186"/>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1294720"/>
        <c:crosses val="autoZero"/>
        <c:auto val="1"/>
        <c:lblAlgn val="ctr"/>
        <c:lblOffset val="100"/>
        <c:noMultiLvlLbl val="0"/>
      </c:catAx>
      <c:valAx>
        <c:axId val="281294720"/>
        <c:scaling>
          <c:orientation val="minMax"/>
        </c:scaling>
        <c:delete val="0"/>
        <c:axPos val="l"/>
        <c:majorGridlines/>
        <c:title>
          <c:tx>
            <c:rich>
              <a:bodyPr/>
              <a:lstStyle/>
              <a:p>
                <a:pPr>
                  <a:defRPr sz="1000" b="0" i="0" u="none" strike="noStrike" baseline="0">
                    <a:solidFill>
                      <a:srgbClr val="000000"/>
                    </a:solidFill>
                    <a:latin typeface="Calibri"/>
                    <a:ea typeface="Calibri"/>
                    <a:cs typeface="Calibri"/>
                  </a:defRPr>
                </a:pPr>
                <a:r>
                  <a:rPr lang="en-AU"/>
                  <a:t>Admissions (per 100,000, ASR)</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1292800"/>
        <c:crosses val="autoZero"/>
        <c:crossBetween val="between"/>
      </c:valAx>
    </c:plotArea>
    <c:legend>
      <c:legendPos val="r"/>
      <c:layout>
        <c:manualLayout>
          <c:xMode val="edge"/>
          <c:yMode val="edge"/>
          <c:x val="0.78742259254219371"/>
          <c:y val="7.3915875128789416E-2"/>
          <c:w val="0.16257721056184918"/>
          <c:h val="0.23620242312117862"/>
        </c:manualLayout>
      </c:layout>
      <c:overlay val="1"/>
      <c:spPr>
        <a:solidFill>
          <a:schemeClr val="bg1"/>
        </a:solidFill>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'formatted (atsi)'!$I$3:$I$4</c:f>
              <c:strCache>
                <c:ptCount val="1"/>
                <c:pt idx="0">
                  <c:v>Indigenous Australians 15-24</c:v>
                </c:pt>
              </c:strCache>
            </c:strRef>
          </c:tx>
          <c:spPr>
            <a:ln>
              <a:noFill/>
            </a:ln>
          </c:spPr>
          <c:marker>
            <c:symbol val="diamond"/>
            <c:size val="7"/>
          </c:marke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(atsi)'!$J$6:$J$12</c:f>
              <c:numCache>
                <c:formatCode>0.0</c:formatCode>
                <c:ptCount val="7"/>
                <c:pt idx="0">
                  <c:v>91.7</c:v>
                </c:pt>
                <c:pt idx="1">
                  <c:v>52.8</c:v>
                </c:pt>
                <c:pt idx="2">
                  <c:v>103.2</c:v>
                </c:pt>
                <c:pt idx="3">
                  <c:v>72.8</c:v>
                </c:pt>
                <c:pt idx="4">
                  <c:v>31.2</c:v>
                </c:pt>
                <c:pt idx="5">
                  <c:v>18.899999999999999</c:v>
                </c:pt>
                <c:pt idx="6">
                  <c:v>18.3</c:v>
                </c:pt>
              </c:numCache>
            </c:numRef>
          </c:val>
          <c:smooth val="0"/>
        </c:ser>
        <c:ser>
          <c:idx val="1"/>
          <c:order val="1"/>
          <c:tx>
            <c:strRef>
              <c:f>'formatted (atsi)'!$K$3:$K$4</c:f>
              <c:strCache>
                <c:ptCount val="1"/>
                <c:pt idx="0">
                  <c:v>Indigenous Australians 25-34</c:v>
                </c:pt>
              </c:strCache>
            </c:strRef>
          </c:tx>
          <c:spPr>
            <a:ln>
              <a:noFill/>
            </a:ln>
          </c:spP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(atsi)'!$L$6:$L$12</c:f>
              <c:numCache>
                <c:formatCode>0.0</c:formatCode>
                <c:ptCount val="7"/>
                <c:pt idx="0">
                  <c:v>30.8</c:v>
                </c:pt>
                <c:pt idx="1">
                  <c:v>22.4</c:v>
                </c:pt>
                <c:pt idx="2">
                  <c:v>19.600000000000001</c:v>
                </c:pt>
                <c:pt idx="3">
                  <c:v>41.9</c:v>
                </c:pt>
                <c:pt idx="4">
                  <c:v>31.3</c:v>
                </c:pt>
                <c:pt idx="5">
                  <c:v>10.8</c:v>
                </c:pt>
                <c:pt idx="6">
                  <c:v>28.8</c:v>
                </c:pt>
              </c:numCache>
            </c:numRef>
          </c:val>
          <c:smooth val="0"/>
        </c:ser>
        <c:ser>
          <c:idx val="2"/>
          <c:order val="2"/>
          <c:tx>
            <c:strRef>
              <c:f>'formatted (atsi)'!$M$3:$M$4</c:f>
              <c:strCache>
                <c:ptCount val="1"/>
                <c:pt idx="0">
                  <c:v>Indigenous Australians 35-69</c:v>
                </c:pt>
              </c:strCache>
            </c:strRef>
          </c:tx>
          <c:spPr>
            <a:ln>
              <a:noFill/>
            </a:ln>
          </c:spP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(atsi)'!$N$6:$N$12</c:f>
              <c:numCache>
                <c:formatCode>0.0</c:formatCode>
                <c:ptCount val="7"/>
                <c:pt idx="0">
                  <c:v>12.9</c:v>
                </c:pt>
                <c:pt idx="1">
                  <c:v>15</c:v>
                </c:pt>
                <c:pt idx="2">
                  <c:v>23.9</c:v>
                </c:pt>
                <c:pt idx="3">
                  <c:v>14</c:v>
                </c:pt>
                <c:pt idx="4">
                  <c:v>21.8</c:v>
                </c:pt>
                <c:pt idx="5">
                  <c:v>18.8</c:v>
                </c:pt>
                <c:pt idx="6">
                  <c:v>15.7</c:v>
                </c:pt>
              </c:numCache>
            </c:numRef>
          </c:val>
          <c:smooth val="0"/>
        </c:ser>
        <c:ser>
          <c:idx val="3"/>
          <c:order val="3"/>
          <c:tx>
            <c:strRef>
              <c:f>'formatted (atsi)'!$B$3:$B$4</c:f>
              <c:strCache>
                <c:ptCount val="1"/>
                <c:pt idx="0">
                  <c:v>Other Australians 15-24</c:v>
                </c:pt>
              </c:strCache>
            </c:strRef>
          </c:tx>
          <c:spPr>
            <a:ln>
              <a:noFill/>
            </a:ln>
          </c:spPr>
          <c:marker>
            <c:symbol val="diamond"/>
            <c:size val="7"/>
            <c:spPr>
              <a:noFill/>
              <a:ln w="19050">
                <a:solidFill>
                  <a:schemeClr val="tx2"/>
                </a:solidFill>
              </a:ln>
            </c:spPr>
          </c:marke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(atsi)'!$C$6:$C$12</c:f>
              <c:numCache>
                <c:formatCode>0.0</c:formatCode>
                <c:ptCount val="7"/>
                <c:pt idx="0">
                  <c:v>81.2</c:v>
                </c:pt>
                <c:pt idx="1">
                  <c:v>76.5</c:v>
                </c:pt>
                <c:pt idx="2">
                  <c:v>63.9</c:v>
                </c:pt>
                <c:pt idx="3">
                  <c:v>54.8</c:v>
                </c:pt>
                <c:pt idx="4">
                  <c:v>35.4</c:v>
                </c:pt>
                <c:pt idx="5">
                  <c:v>23.9</c:v>
                </c:pt>
                <c:pt idx="6">
                  <c:v>15.5</c:v>
                </c:pt>
              </c:numCache>
            </c:numRef>
          </c:val>
          <c:smooth val="0"/>
        </c:ser>
        <c:ser>
          <c:idx val="4"/>
          <c:order val="4"/>
          <c:tx>
            <c:strRef>
              <c:f>'formatted (atsi)'!$D$3:$D$4</c:f>
              <c:strCache>
                <c:ptCount val="1"/>
                <c:pt idx="0">
                  <c:v>Other Australians 25-34</c:v>
                </c:pt>
              </c:strCache>
            </c:strRef>
          </c:tx>
          <c:spPr>
            <a:ln>
              <a:noFill/>
            </a:ln>
          </c:spPr>
          <c:marker>
            <c:symbol val="square"/>
            <c:size val="7"/>
            <c:spPr>
              <a:noFill/>
              <a:ln w="19050">
                <a:solidFill>
                  <a:schemeClr val="accent2"/>
                </a:solidFill>
              </a:ln>
            </c:spPr>
          </c:marke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(atsi)'!$E$6:$E$12</c:f>
              <c:numCache>
                <c:formatCode>0.0</c:formatCode>
                <c:ptCount val="7"/>
                <c:pt idx="0">
                  <c:v>39.9</c:v>
                </c:pt>
                <c:pt idx="1">
                  <c:v>36.799999999999997</c:v>
                </c:pt>
                <c:pt idx="2">
                  <c:v>33.799999999999997</c:v>
                </c:pt>
                <c:pt idx="3">
                  <c:v>33.4</c:v>
                </c:pt>
                <c:pt idx="4">
                  <c:v>28.6</c:v>
                </c:pt>
                <c:pt idx="5">
                  <c:v>27</c:v>
                </c:pt>
                <c:pt idx="6">
                  <c:v>23.2</c:v>
                </c:pt>
              </c:numCache>
            </c:numRef>
          </c:val>
          <c:smooth val="0"/>
        </c:ser>
        <c:ser>
          <c:idx val="5"/>
          <c:order val="5"/>
          <c:tx>
            <c:strRef>
              <c:f>'formatted (atsi)'!$F$3:$F$4</c:f>
              <c:strCache>
                <c:ptCount val="1"/>
                <c:pt idx="0">
                  <c:v>Other Australians 35-69</c:v>
                </c:pt>
              </c:strCache>
            </c:strRef>
          </c:tx>
          <c:spPr>
            <a:ln>
              <a:noFill/>
            </a:ln>
          </c:spPr>
          <c:marker>
            <c:symbol val="triangle"/>
            <c:size val="7"/>
            <c:spPr>
              <a:noFill/>
              <a:ln w="15875">
                <a:solidFill>
                  <a:schemeClr val="accent3"/>
                </a:solidFill>
              </a:ln>
            </c:spPr>
          </c:marker>
          <c:cat>
            <c:numRef>
              <c:f>'formatted (atsi)'!$A$6:$A$12</c:f>
              <c:numCache>
                <c:formatCode>General</c:formatCode>
                <c:ptCount val="7"/>
                <c:pt idx="0">
                  <c:v>2004</c:v>
                </c:pt>
                <c:pt idx="1">
                  <c:v>2005</c:v>
                </c:pt>
                <c:pt idx="2">
                  <c:v>2006</c:v>
                </c:pt>
                <c:pt idx="3">
                  <c:v>2007</c:v>
                </c:pt>
                <c:pt idx="4">
                  <c:v>2008</c:v>
                </c:pt>
                <c:pt idx="5">
                  <c:v>2009</c:v>
                </c:pt>
                <c:pt idx="6">
                  <c:v>2010</c:v>
                </c:pt>
              </c:numCache>
            </c:numRef>
          </c:cat>
          <c:val>
            <c:numRef>
              <c:f>'formatted (atsi)'!$G$6:$G$12</c:f>
              <c:numCache>
                <c:formatCode>0.0</c:formatCode>
                <c:ptCount val="7"/>
                <c:pt idx="0">
                  <c:v>14.2</c:v>
                </c:pt>
                <c:pt idx="1">
                  <c:v>13.8</c:v>
                </c:pt>
                <c:pt idx="2">
                  <c:v>12.5</c:v>
                </c:pt>
                <c:pt idx="3">
                  <c:v>10.8</c:v>
                </c:pt>
                <c:pt idx="4">
                  <c:v>11.3</c:v>
                </c:pt>
                <c:pt idx="5">
                  <c:v>11.7</c:v>
                </c:pt>
                <c:pt idx="6">
                  <c:v>13.3</c:v>
                </c:pt>
              </c:numCache>
            </c:numRef>
          </c:val>
          <c:smooth val="0"/>
        </c:ser>
        <c:dLbls>
          <c:showLegendKey val="0"/>
          <c:showVal val="0"/>
          <c:showCatName val="0"/>
          <c:showSerName val="0"/>
          <c:showPercent val="0"/>
          <c:showBubbleSize val="0"/>
        </c:dLbls>
        <c:marker val="1"/>
        <c:smooth val="0"/>
        <c:axId val="281323008"/>
        <c:axId val="281325568"/>
      </c:lineChart>
      <c:catAx>
        <c:axId val="281323008"/>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AU"/>
                  <a:t>Year (commencing 1 July)</a:t>
                </a:r>
              </a:p>
            </c:rich>
          </c:tx>
          <c:layout>
            <c:manualLayout>
              <c:xMode val="edge"/>
              <c:yMode val="edge"/>
              <c:x val="0.4078946798316877"/>
              <c:y val="0.94264999769765623"/>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1325568"/>
        <c:crosses val="autoZero"/>
        <c:auto val="1"/>
        <c:lblAlgn val="ctr"/>
        <c:lblOffset val="100"/>
        <c:noMultiLvlLbl val="0"/>
      </c:catAx>
      <c:valAx>
        <c:axId val="281325568"/>
        <c:scaling>
          <c:orientation val="minMax"/>
        </c:scaling>
        <c:delete val="0"/>
        <c:axPos val="l"/>
        <c:majorGridlines/>
        <c:title>
          <c:tx>
            <c:rich>
              <a:bodyPr/>
              <a:lstStyle/>
              <a:p>
                <a:pPr>
                  <a:defRPr sz="1000" b="0" i="0" u="none" strike="noStrike" baseline="0">
                    <a:solidFill>
                      <a:srgbClr val="000000"/>
                    </a:solidFill>
                    <a:latin typeface="Calibri"/>
                    <a:ea typeface="Calibri"/>
                    <a:cs typeface="Calibri"/>
                  </a:defRPr>
                </a:pPr>
                <a:r>
                  <a:rPr lang="en-AU"/>
                  <a:t>Admissions for GW (per 100,000 population)</a:t>
                </a:r>
              </a:p>
            </c:rich>
          </c:tx>
          <c:layout>
            <c:manualLayout>
              <c:xMode val="edge"/>
              <c:yMode val="edge"/>
              <c:x val="1.6898054409865432E-2"/>
              <c:y val="0.12943477460054334"/>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1323008"/>
        <c:crosses val="autoZero"/>
        <c:crossBetween val="between"/>
      </c:valAx>
    </c:plotArea>
    <c:legend>
      <c:legendPos val="r"/>
      <c:layout>
        <c:manualLayout>
          <c:xMode val="edge"/>
          <c:yMode val="edge"/>
          <c:x val="0.62316960379952502"/>
          <c:y val="6.1832895888014001E-2"/>
          <c:w val="0.34761254843144607"/>
          <c:h val="0.30849035317953677"/>
        </c:manualLayout>
      </c:layout>
      <c:overlay val="1"/>
      <c:spPr>
        <a:solidFill>
          <a:schemeClr val="bg1"/>
        </a:solidFill>
      </c:spPr>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8644353596796"/>
          <c:y val="3.3466509162691685E-2"/>
          <c:w val="0.83900298147662233"/>
          <c:h val="0.68378940892574747"/>
        </c:manualLayout>
      </c:layout>
      <c:lineChart>
        <c:grouping val="standard"/>
        <c:varyColors val="0"/>
        <c:ser>
          <c:idx val="5"/>
          <c:order val="0"/>
          <c:tx>
            <c:strRef>
              <c:f>'Females-data &amp; targets'!$A$222:$B$222</c:f>
              <c:strCache>
                <c:ptCount val="1"/>
                <c:pt idx="0">
                  <c:v>12-17 yrs (three doses)</c:v>
                </c:pt>
              </c:strCache>
            </c:strRef>
          </c:tx>
          <c:spPr>
            <a:ln>
              <a:solidFill>
                <a:schemeClr val="accent3"/>
              </a:solidFill>
            </a:ln>
          </c:spPr>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targets'!$C$222:$G$222</c:f>
              <c:numCache>
                <c:formatCode>0%</c:formatCode>
                <c:ptCount val="5"/>
                <c:pt idx="0">
                  <c:v>0.39471436788650738</c:v>
                </c:pt>
                <c:pt idx="1">
                  <c:v>0.71140428224348851</c:v>
                </c:pt>
                <c:pt idx="2">
                  <c:v>0.71097612606611171</c:v>
                </c:pt>
                <c:pt idx="3">
                  <c:v>0.70783376978553514</c:v>
                </c:pt>
                <c:pt idx="4">
                  <c:v>0.72111420707154061</c:v>
                </c:pt>
              </c:numCache>
            </c:numRef>
          </c:val>
          <c:smooth val="0"/>
        </c:ser>
        <c:ser>
          <c:idx val="0"/>
          <c:order val="1"/>
          <c:tx>
            <c:strRef>
              <c:f>'Females-data &amp; targets'!$A$226:$B$226</c:f>
              <c:strCache>
                <c:ptCount val="1"/>
                <c:pt idx="0">
                  <c:v>18-26 yrs (three doses)</c:v>
                </c:pt>
              </c:strCache>
            </c:strRef>
          </c:tx>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targets'!$C$226:$G$226</c:f>
              <c:numCache>
                <c:formatCode>0%</c:formatCode>
                <c:ptCount val="5"/>
                <c:pt idx="0">
                  <c:v>0.1231727064783978</c:v>
                </c:pt>
                <c:pt idx="1">
                  <c:v>0.26535517610996678</c:v>
                </c:pt>
                <c:pt idx="2">
                  <c:v>0.3779416342274125</c:v>
                </c:pt>
                <c:pt idx="3">
                  <c:v>0.40778163349662344</c:v>
                </c:pt>
                <c:pt idx="4" formatCode="0.0%">
                  <c:v>0.45223274305073147</c:v>
                </c:pt>
              </c:numCache>
            </c:numRef>
          </c:val>
          <c:smooth val="0"/>
        </c:ser>
        <c:ser>
          <c:idx val="1"/>
          <c:order val="2"/>
          <c:tx>
            <c:strRef>
              <c:f>'Females-data &amp; targets'!$A$230:$B$230</c:f>
              <c:strCache>
                <c:ptCount val="1"/>
                <c:pt idx="0">
                  <c:v>27-30 yrs (three doses)</c:v>
                </c:pt>
              </c:strCache>
            </c:strRef>
          </c:tx>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targets'!$C$230:$G$230</c:f>
              <c:numCache>
                <c:formatCode>0%</c:formatCode>
                <c:ptCount val="5"/>
                <c:pt idx="0">
                  <c:v>0</c:v>
                </c:pt>
                <c:pt idx="1">
                  <c:v>4.1680929860967712E-2</c:v>
                </c:pt>
                <c:pt idx="2">
                  <c:v>0.10615902303582098</c:v>
                </c:pt>
                <c:pt idx="3">
                  <c:v>0.17594923625025763</c:v>
                </c:pt>
                <c:pt idx="4">
                  <c:v>0.24769227811993022</c:v>
                </c:pt>
              </c:numCache>
            </c:numRef>
          </c:val>
          <c:smooth val="0"/>
        </c:ser>
        <c:ser>
          <c:idx val="4"/>
          <c:order val="3"/>
          <c:tx>
            <c:strRef>
              <c:f>'Females-data &amp; targets'!$A$221:$B$221</c:f>
              <c:strCache>
                <c:ptCount val="1"/>
                <c:pt idx="0">
                  <c:v>12-17 yrs (two doses)</c:v>
                </c:pt>
              </c:strCache>
            </c:strRef>
          </c:tx>
          <c:spPr>
            <a:ln>
              <a:solidFill>
                <a:schemeClr val="accent3"/>
              </a:solidFill>
              <a:prstDash val="sysDash"/>
            </a:ln>
          </c:spPr>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targets'!$C$221:$G$221</c:f>
              <c:numCache>
                <c:formatCode>0%</c:formatCode>
                <c:ptCount val="5"/>
                <c:pt idx="0">
                  <c:v>0.44317423553331287</c:v>
                </c:pt>
                <c:pt idx="1">
                  <c:v>0.78087784089893431</c:v>
                </c:pt>
                <c:pt idx="2">
                  <c:v>0.77678294569035722</c:v>
                </c:pt>
                <c:pt idx="3">
                  <c:v>0.77006649558636586</c:v>
                </c:pt>
                <c:pt idx="4">
                  <c:v>0.78102535824397434</c:v>
                </c:pt>
              </c:numCache>
            </c:numRef>
          </c:val>
          <c:smooth val="0"/>
        </c:ser>
        <c:ser>
          <c:idx val="2"/>
          <c:order val="4"/>
          <c:tx>
            <c:strRef>
              <c:f>'Females-data &amp; targets'!$A$225:$B$225</c:f>
              <c:strCache>
                <c:ptCount val="1"/>
                <c:pt idx="0">
                  <c:v>18-26 yrs (two doses)</c:v>
                </c:pt>
              </c:strCache>
            </c:strRef>
          </c:tx>
          <c:spPr>
            <a:ln>
              <a:solidFill>
                <a:schemeClr val="accent1"/>
              </a:solidFill>
              <a:prstDash val="sysDash"/>
            </a:ln>
          </c:spPr>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targets'!$C$225:$G$225</c:f>
              <c:numCache>
                <c:formatCode>0%</c:formatCode>
                <c:ptCount val="5"/>
                <c:pt idx="0">
                  <c:v>0.17390818945019501</c:v>
                </c:pt>
                <c:pt idx="1">
                  <c:v>0.35849438473934786</c:v>
                </c:pt>
                <c:pt idx="2">
                  <c:v>0.49686882454362868</c:v>
                </c:pt>
                <c:pt idx="3">
                  <c:v>0.51879592882637815</c:v>
                </c:pt>
                <c:pt idx="4" formatCode="0.0%">
                  <c:v>0.5585834927488218</c:v>
                </c:pt>
              </c:numCache>
            </c:numRef>
          </c:val>
          <c:smooth val="0"/>
        </c:ser>
        <c:ser>
          <c:idx val="3"/>
          <c:order val="5"/>
          <c:tx>
            <c:strRef>
              <c:f>'Females-data &amp; targets'!$A$229:$B$229</c:f>
              <c:strCache>
                <c:ptCount val="1"/>
                <c:pt idx="0">
                  <c:v>27-30 yrs (two doses)</c:v>
                </c:pt>
              </c:strCache>
            </c:strRef>
          </c:tx>
          <c:spPr>
            <a:ln>
              <a:solidFill>
                <a:schemeClr val="accent2"/>
              </a:solidFill>
              <a:prstDash val="sysDash"/>
            </a:ln>
          </c:spPr>
          <c:marker>
            <c:symbol val="none"/>
          </c:marker>
          <c:cat>
            <c:numRef>
              <c:f>'Females-data &amp; targets'!$C$219:$G$219</c:f>
              <c:numCache>
                <c:formatCode>General</c:formatCode>
                <c:ptCount val="5"/>
                <c:pt idx="0">
                  <c:v>2007</c:v>
                </c:pt>
                <c:pt idx="1">
                  <c:v>2008</c:v>
                </c:pt>
                <c:pt idx="2">
                  <c:v>2009</c:v>
                </c:pt>
                <c:pt idx="3">
                  <c:v>2010</c:v>
                </c:pt>
                <c:pt idx="4">
                  <c:v>2011</c:v>
                </c:pt>
              </c:numCache>
            </c:numRef>
          </c:cat>
          <c:val>
            <c:numRef>
              <c:f>'Females-data &amp; targets'!$C$229:$G$229</c:f>
              <c:numCache>
                <c:formatCode>0%</c:formatCode>
                <c:ptCount val="5"/>
                <c:pt idx="0">
                  <c:v>0</c:v>
                </c:pt>
                <c:pt idx="1">
                  <c:v>5.8843665686072064E-2</c:v>
                </c:pt>
                <c:pt idx="2">
                  <c:v>0.15098765073369172</c:v>
                </c:pt>
                <c:pt idx="3">
                  <c:v>0.24906202202686184</c:v>
                </c:pt>
                <c:pt idx="4">
                  <c:v>0.35222231448804009</c:v>
                </c:pt>
              </c:numCache>
            </c:numRef>
          </c:val>
          <c:smooth val="0"/>
        </c:ser>
        <c:dLbls>
          <c:showLegendKey val="0"/>
          <c:showVal val="0"/>
          <c:showCatName val="0"/>
          <c:showSerName val="0"/>
          <c:showPercent val="0"/>
          <c:showBubbleSize val="0"/>
        </c:dLbls>
        <c:marker val="1"/>
        <c:smooth val="0"/>
        <c:axId val="281353600"/>
        <c:axId val="281363968"/>
      </c:lineChart>
      <c:catAx>
        <c:axId val="281353600"/>
        <c:scaling>
          <c:orientation val="minMax"/>
        </c:scaling>
        <c:delete val="0"/>
        <c:axPos val="b"/>
        <c:title>
          <c:tx>
            <c:rich>
              <a:bodyPr/>
              <a:lstStyle/>
              <a:p>
                <a:pPr>
                  <a:defRPr/>
                </a:pPr>
                <a:r>
                  <a:rPr lang="en-AU"/>
                  <a:t>Year (commencing 1 July)</a:t>
                </a:r>
              </a:p>
            </c:rich>
          </c:tx>
          <c:layout>
            <c:manualLayout>
              <c:xMode val="edge"/>
              <c:yMode val="edge"/>
              <c:x val="0.41064844154676311"/>
              <c:y val="0.79276953271209927"/>
            </c:manualLayout>
          </c:layout>
          <c:overlay val="0"/>
        </c:title>
        <c:numFmt formatCode="General" sourceLinked="1"/>
        <c:majorTickMark val="out"/>
        <c:minorTickMark val="none"/>
        <c:tickLblPos val="nextTo"/>
        <c:crossAx val="281363968"/>
        <c:crosses val="autoZero"/>
        <c:auto val="1"/>
        <c:lblAlgn val="ctr"/>
        <c:lblOffset val="100"/>
        <c:noMultiLvlLbl val="0"/>
      </c:catAx>
      <c:valAx>
        <c:axId val="281363968"/>
        <c:scaling>
          <c:orientation val="minMax"/>
        </c:scaling>
        <c:delete val="0"/>
        <c:axPos val="l"/>
        <c:majorGridlines/>
        <c:title>
          <c:tx>
            <c:rich>
              <a:bodyPr rot="-5400000" vert="horz"/>
              <a:lstStyle/>
              <a:p>
                <a:pPr>
                  <a:defRPr b="0"/>
                </a:pPr>
                <a:r>
                  <a:rPr lang="en-AU" b="0"/>
                  <a:t>Estimated percent vaccinated</a:t>
                </a:r>
              </a:p>
            </c:rich>
          </c:tx>
          <c:layout>
            <c:manualLayout>
              <c:xMode val="edge"/>
              <c:yMode val="edge"/>
              <c:x val="1.7266189285989664E-2"/>
              <c:y val="0.16931904345290172"/>
            </c:manualLayout>
          </c:layout>
          <c:overlay val="0"/>
        </c:title>
        <c:numFmt formatCode="0%" sourceLinked="1"/>
        <c:majorTickMark val="out"/>
        <c:minorTickMark val="none"/>
        <c:tickLblPos val="nextTo"/>
        <c:crossAx val="281353600"/>
        <c:crosses val="autoZero"/>
        <c:crossBetween val="between"/>
      </c:valAx>
    </c:plotArea>
    <c:legend>
      <c:legendPos val="b"/>
      <c:layout>
        <c:manualLayout>
          <c:xMode val="edge"/>
          <c:yMode val="edge"/>
          <c:x val="1.6632059836959784E-2"/>
          <c:y val="0.87292994182368988"/>
          <c:w val="0.94700289835031171"/>
          <c:h val="0.1176352472819527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0E7F2-424F-4556-9137-CEDC3511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202</Pages>
  <Words>78902</Words>
  <Characters>449747</Characters>
  <Application>Microsoft Office Word</Application>
  <DocSecurity>0</DocSecurity>
  <Lines>3747</Lines>
  <Paragraphs>1055</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Contents </vt:lpstr>
      <vt:lpstr>Acknowledgements </vt:lpstr>
      <vt:lpstr>List of tables</vt:lpstr>
      <vt:lpstr>List of figures</vt:lpstr>
      <vt:lpstr>Abbreviations </vt:lpstr>
      <vt:lpstr>Executive summary</vt:lpstr>
      <vt:lpstr>    Background</vt:lpstr>
      <vt:lpstr>    Aims</vt:lpstr>
      <vt:lpstr>    Methods</vt:lpstr>
      <vt:lpstr>        Process evaluation</vt:lpstr>
      <vt:lpstr>        Vaccination coverage</vt:lpstr>
      <vt:lpstr>        Adverse events following immunisation</vt:lpstr>
      <vt:lpstr>        Disease impact</vt:lpstr>
      <vt:lpstr>    Results </vt:lpstr>
      <vt:lpstr>        Process evaluation</vt:lpstr>
      <vt:lpstr>        Vaccination coverage </vt:lpstr>
      <vt:lpstr>        Adverse events following immunisation</vt:lpstr>
      <vt:lpstr>        Disease impact </vt:lpstr>
      <vt:lpstr>    Conclusion</vt:lpstr>
      <vt:lpstr>CHAPTER 1. Introduction</vt:lpstr>
      <vt:lpstr>    Background</vt:lpstr>
      <vt:lpstr>    Human papillomavirus vaccination in Australia </vt:lpstr>
      <vt:lpstr>CHAPTER 2. Process evaluation </vt:lpstr>
      <vt:lpstr>    Aims</vt:lpstr>
      <vt:lpstr>    Methods</vt:lpstr>
      <vt:lpstr>        Literature review</vt:lpstr>
      <vt:lpstr>        Review of Australian media</vt:lpstr>
      <vt:lpstr>        Recruitment of key stakeholders </vt:lpstr>
      <vt:lpstr>        Stakeholder interviews</vt:lpstr>
      <vt:lpstr>        Stakeholder online survey</vt:lpstr>
      <vt:lpstr>        Survey of National Cervical Screening Program managers</vt:lpstr>
      <vt:lpstr>    Results</vt:lpstr>
      <vt:lpstr>        Jurisdictional program implementation 2013 to 2014</vt:lpstr>
      <vt:lpstr>        Existing literature on the implementation of the Australian National HPV Vaccina</vt:lpstr>
      <vt:lpstr>    </vt:lpstr>
      <vt:lpstr>    </vt:lpstr>
      <vt:lpstr>        Summary of media reports on the National HPV Vaccination Program</vt:lpstr>
      <vt:lpstr>        Stakeholder interviews</vt:lpstr>
    </vt:vector>
  </TitlesOfParts>
  <Company>CHW</Company>
  <LinksUpToDate>false</LinksUpToDate>
  <CharactersWithSpaces>527594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Dey</dc:creator>
  <cp:lastModifiedBy>Bradley Michelle</cp:lastModifiedBy>
  <cp:revision>10</cp:revision>
  <cp:lastPrinted>2014-11-26T05:00:00Z</cp:lastPrinted>
  <dcterms:created xsi:type="dcterms:W3CDTF">2014-11-24T22:41:00Z</dcterms:created>
  <dcterms:modified xsi:type="dcterms:W3CDTF">2014-11-26T05:02:00Z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