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9B1A8" w14:textId="06A73E25" w:rsidR="00110F99" w:rsidRDefault="00110F99" w:rsidP="00F5411F">
      <w:pPr>
        <w:pStyle w:val="Title"/>
        <w:spacing w:before="240"/>
        <w:jc w:val="center"/>
      </w:pPr>
      <w:r>
        <w:t>Review of Medicare</w:t>
      </w:r>
      <w:r w:rsidR="00B06D7D">
        <w:t xml:space="preserve"> Integrity and </w:t>
      </w:r>
      <w:r>
        <w:t>Compliance</w:t>
      </w:r>
    </w:p>
    <w:p w14:paraId="440BD5C1" w14:textId="77777777" w:rsidR="00C26698" w:rsidRDefault="00A0101D" w:rsidP="00C26698">
      <w:pPr>
        <w:pStyle w:val="Title"/>
        <w:jc w:val="center"/>
      </w:pPr>
      <w:r w:rsidRPr="00A0101D">
        <w:t>TERMS OF REFERENC</w:t>
      </w:r>
      <w:r w:rsidR="005E65A5">
        <w:t>E</w:t>
      </w:r>
      <w:bookmarkStart w:id="0" w:name="_Hlk83112967"/>
    </w:p>
    <w:p w14:paraId="1A24E17B" w14:textId="43CA542B" w:rsidR="0E758680" w:rsidRDefault="00110F99" w:rsidP="00C26698">
      <w:pPr>
        <w:pStyle w:val="Heading1"/>
      </w:pPr>
      <w:r>
        <w:t>Introduction</w:t>
      </w:r>
    </w:p>
    <w:p w14:paraId="58D44DFE" w14:textId="35194A84" w:rsidR="007668D4" w:rsidRDefault="007668D4" w:rsidP="007668D4">
      <w:pPr>
        <w:spacing w:before="120" w:after="120"/>
        <w:rPr>
          <w:rFonts w:eastAsia="Arial"/>
        </w:rPr>
      </w:pPr>
      <w:r>
        <w:rPr>
          <w:rFonts w:eastAsia="Arial"/>
        </w:rPr>
        <w:t>The Minister for Health and Aged Care has requested a</w:t>
      </w:r>
      <w:r w:rsidR="00AE1A6D">
        <w:rPr>
          <w:rFonts w:eastAsia="Arial"/>
        </w:rPr>
        <w:t>n independent</w:t>
      </w:r>
      <w:r w:rsidR="00AF3C11">
        <w:rPr>
          <w:rFonts w:eastAsia="Arial"/>
        </w:rPr>
        <w:t>,</w:t>
      </w:r>
      <w:r w:rsidR="00AE1A6D">
        <w:rPr>
          <w:rFonts w:eastAsia="Arial"/>
        </w:rPr>
        <w:t xml:space="preserve"> </w:t>
      </w:r>
      <w:r>
        <w:rPr>
          <w:rFonts w:eastAsia="Arial"/>
        </w:rPr>
        <w:t>high-level review of the</w:t>
      </w:r>
      <w:r w:rsidR="00B06D7D">
        <w:rPr>
          <w:rFonts w:eastAsia="Arial"/>
        </w:rPr>
        <w:t xml:space="preserve"> Integrity of</w:t>
      </w:r>
      <w:r>
        <w:rPr>
          <w:rFonts w:eastAsia="Arial"/>
        </w:rPr>
        <w:t xml:space="preserve"> Medicare</w:t>
      </w:r>
      <w:r w:rsidR="006503E5">
        <w:rPr>
          <w:rFonts w:eastAsia="Arial"/>
        </w:rPr>
        <w:t xml:space="preserve"> </w:t>
      </w:r>
      <w:r w:rsidR="00B06D7D">
        <w:rPr>
          <w:rFonts w:eastAsia="Arial"/>
        </w:rPr>
        <w:t>and</w:t>
      </w:r>
      <w:r w:rsidR="00D56983">
        <w:rPr>
          <w:rFonts w:eastAsia="Arial"/>
        </w:rPr>
        <w:t xml:space="preserve"> the</w:t>
      </w:r>
      <w:r w:rsidR="00B06D7D">
        <w:rPr>
          <w:rFonts w:eastAsia="Arial"/>
        </w:rPr>
        <w:t xml:space="preserve"> </w:t>
      </w:r>
      <w:r>
        <w:rPr>
          <w:rFonts w:eastAsia="Arial"/>
        </w:rPr>
        <w:t xml:space="preserve">compliance </w:t>
      </w:r>
      <w:r w:rsidR="00B06D7D">
        <w:rPr>
          <w:rFonts w:eastAsia="Arial"/>
        </w:rPr>
        <w:t>mechanisms</w:t>
      </w:r>
      <w:r>
        <w:rPr>
          <w:rFonts w:eastAsia="Arial"/>
        </w:rPr>
        <w:t>.</w:t>
      </w:r>
      <w:r w:rsidR="00B06D7D">
        <w:rPr>
          <w:rFonts w:eastAsia="Arial"/>
        </w:rPr>
        <w:t xml:space="preserve"> The review will focus </w:t>
      </w:r>
      <w:r w:rsidR="00CF2D16">
        <w:rPr>
          <w:rFonts w:eastAsia="Arial"/>
        </w:rPr>
        <w:t xml:space="preserve">primarily on </w:t>
      </w:r>
      <w:r w:rsidR="00B06D7D">
        <w:rPr>
          <w:rFonts w:eastAsia="Arial"/>
        </w:rPr>
        <w:t>the Medical Benefits Scheme</w:t>
      </w:r>
      <w:r w:rsidR="00CF2D16">
        <w:rPr>
          <w:rFonts w:eastAsia="Arial"/>
        </w:rPr>
        <w:t>.</w:t>
      </w:r>
    </w:p>
    <w:p w14:paraId="0D6DCDC1" w14:textId="44C52449" w:rsidR="007668D4" w:rsidRDefault="007668D4" w:rsidP="007668D4">
      <w:pPr>
        <w:spacing w:before="120" w:after="120"/>
        <w:rPr>
          <w:rFonts w:eastAsia="Arial"/>
        </w:rPr>
      </w:pPr>
      <w:r w:rsidRPr="007668D4">
        <w:rPr>
          <w:rFonts w:eastAsia="Arial"/>
        </w:rPr>
        <w:t xml:space="preserve">The three main </w:t>
      </w:r>
      <w:r>
        <w:rPr>
          <w:rFonts w:eastAsia="Arial"/>
        </w:rPr>
        <w:t>outcomes sought are the delivery of:</w:t>
      </w:r>
    </w:p>
    <w:p w14:paraId="34B7F086" w14:textId="6AEEA0C6" w:rsidR="007668D4" w:rsidRPr="007668D4" w:rsidRDefault="007668D4" w:rsidP="007668D4">
      <w:pPr>
        <w:pStyle w:val="ListParagraph"/>
        <w:numPr>
          <w:ilvl w:val="3"/>
          <w:numId w:val="11"/>
        </w:numPr>
        <w:spacing w:before="120" w:after="120"/>
        <w:ind w:left="851" w:hanging="567"/>
        <w:rPr>
          <w:rFonts w:eastAsia="Arial"/>
        </w:rPr>
      </w:pPr>
      <w:r w:rsidRPr="007668D4">
        <w:rPr>
          <w:rFonts w:eastAsia="Arial"/>
        </w:rPr>
        <w:t>an assessment of the potential value of non-compliance across the Medicare system</w:t>
      </w:r>
    </w:p>
    <w:p w14:paraId="5A9C548F" w14:textId="0A775D96" w:rsidR="007668D4" w:rsidRPr="007668D4" w:rsidRDefault="00DD1E36" w:rsidP="007668D4">
      <w:pPr>
        <w:pStyle w:val="ListParagraph"/>
        <w:numPr>
          <w:ilvl w:val="0"/>
          <w:numId w:val="11"/>
        </w:numPr>
        <w:spacing w:before="120" w:after="120"/>
        <w:ind w:left="851" w:hanging="567"/>
        <w:rPr>
          <w:rFonts w:eastAsia="Arial"/>
        </w:rPr>
      </w:pPr>
      <w:r>
        <w:rPr>
          <w:rFonts w:eastAsia="Arial"/>
        </w:rPr>
        <w:t xml:space="preserve">identification of </w:t>
      </w:r>
      <w:r w:rsidR="007668D4" w:rsidRPr="007668D4">
        <w:rPr>
          <w:rFonts w:eastAsia="Arial"/>
        </w:rPr>
        <w:t>specific integrity risks related to Medicare payment channels</w:t>
      </w:r>
    </w:p>
    <w:p w14:paraId="6D7E63A3" w14:textId="5F9AC084" w:rsidR="007668D4" w:rsidRPr="007668D4" w:rsidRDefault="007668D4" w:rsidP="00B867D8">
      <w:pPr>
        <w:pStyle w:val="ListParagraph"/>
        <w:numPr>
          <w:ilvl w:val="0"/>
          <w:numId w:val="11"/>
        </w:numPr>
        <w:spacing w:before="120" w:after="120"/>
        <w:ind w:left="851" w:hanging="567"/>
        <w:rPr>
          <w:rFonts w:eastAsia="Arial"/>
        </w:rPr>
      </w:pPr>
      <w:r>
        <w:rPr>
          <w:rFonts w:eastAsia="Arial"/>
        </w:rPr>
        <w:t xml:space="preserve">an assessment and </w:t>
      </w:r>
      <w:r w:rsidRPr="007668D4">
        <w:rPr>
          <w:rFonts w:eastAsia="Arial"/>
        </w:rPr>
        <w:t xml:space="preserve">options for improvements </w:t>
      </w:r>
      <w:r>
        <w:rPr>
          <w:rFonts w:eastAsia="Arial"/>
        </w:rPr>
        <w:t xml:space="preserve">to </w:t>
      </w:r>
      <w:r w:rsidRPr="007668D4">
        <w:rPr>
          <w:rFonts w:eastAsia="Arial"/>
        </w:rPr>
        <w:t>pre-payment mechanisms and controls, specifi</w:t>
      </w:r>
      <w:r>
        <w:rPr>
          <w:rFonts w:eastAsia="Arial"/>
        </w:rPr>
        <w:t>ed</w:t>
      </w:r>
      <w:r w:rsidRPr="007668D4">
        <w:rPr>
          <w:rFonts w:eastAsia="Arial"/>
        </w:rPr>
        <w:t xml:space="preserve"> compliance treatments and legislative arrangements.</w:t>
      </w:r>
    </w:p>
    <w:p w14:paraId="32C6A51E" w14:textId="2BE23109" w:rsidR="00476EB6" w:rsidRPr="005B63CE" w:rsidRDefault="00476EB6" w:rsidP="00476EB6">
      <w:pPr>
        <w:pStyle w:val="Heading1"/>
        <w:rPr>
          <w:rStyle w:val="normaltextrun"/>
        </w:rPr>
      </w:pPr>
      <w:r>
        <w:t>Issues</w:t>
      </w:r>
    </w:p>
    <w:p w14:paraId="4CC76E0B" w14:textId="264C7E53" w:rsidR="006503E5" w:rsidRPr="00D56983" w:rsidRDefault="006503E5" w:rsidP="00110F99">
      <w:pPr>
        <w:spacing w:before="120" w:after="120"/>
        <w:rPr>
          <w:rFonts w:eastAsia="Arial"/>
        </w:rPr>
      </w:pPr>
      <w:r>
        <w:rPr>
          <w:rFonts w:eastAsia="Arial"/>
        </w:rPr>
        <w:t xml:space="preserve">The Medicare environment is </w:t>
      </w:r>
      <w:r w:rsidR="00AE1A6D">
        <w:rPr>
          <w:rFonts w:eastAsia="Arial"/>
        </w:rPr>
        <w:t>complex</w:t>
      </w:r>
      <w:r>
        <w:rPr>
          <w:rFonts w:eastAsia="Arial"/>
        </w:rPr>
        <w:t xml:space="preserve"> </w:t>
      </w:r>
      <w:r w:rsidR="0003227F">
        <w:rPr>
          <w:rFonts w:eastAsia="Arial"/>
        </w:rPr>
        <w:t>and the administration of the scheme requires careful balancing of arrangement</w:t>
      </w:r>
      <w:r w:rsidR="00DD1E36">
        <w:rPr>
          <w:rFonts w:eastAsia="Arial"/>
        </w:rPr>
        <w:t>s</w:t>
      </w:r>
      <w:r w:rsidR="0003227F">
        <w:rPr>
          <w:rFonts w:eastAsia="Arial"/>
        </w:rPr>
        <w:t xml:space="preserve"> to ensure</w:t>
      </w:r>
      <w:r w:rsidR="00B06D7D">
        <w:rPr>
          <w:rFonts w:eastAsia="Arial"/>
        </w:rPr>
        <w:t xml:space="preserve"> patient access to </w:t>
      </w:r>
      <w:r w:rsidR="00B003B7">
        <w:rPr>
          <w:rFonts w:eastAsia="Arial"/>
        </w:rPr>
        <w:t>h</w:t>
      </w:r>
      <w:r w:rsidR="00B06D7D">
        <w:rPr>
          <w:rFonts w:eastAsia="Arial"/>
        </w:rPr>
        <w:t xml:space="preserve">ealthcare, </w:t>
      </w:r>
      <w:r w:rsidR="0003227F">
        <w:rPr>
          <w:rFonts w:eastAsia="Arial"/>
        </w:rPr>
        <w:t>policy</w:t>
      </w:r>
      <w:r w:rsidR="00B06D7D">
        <w:rPr>
          <w:rFonts w:eastAsia="Arial"/>
        </w:rPr>
        <w:t xml:space="preserve"> objectives</w:t>
      </w:r>
      <w:r w:rsidR="00DD1E36">
        <w:rPr>
          <w:rFonts w:eastAsia="Arial"/>
        </w:rPr>
        <w:t>,</w:t>
      </w:r>
      <w:r w:rsidR="0003227F">
        <w:rPr>
          <w:rFonts w:eastAsia="Arial"/>
        </w:rPr>
        <w:t xml:space="preserve"> </w:t>
      </w:r>
      <w:r w:rsidR="0003227F" w:rsidRPr="00D56983">
        <w:rPr>
          <w:rFonts w:eastAsia="Arial"/>
        </w:rPr>
        <w:t xml:space="preserve">efficiency and integrity </w:t>
      </w:r>
      <w:r w:rsidR="00DD1E36" w:rsidRPr="00D56983">
        <w:rPr>
          <w:rFonts w:eastAsia="Arial"/>
        </w:rPr>
        <w:t xml:space="preserve">priorities are </w:t>
      </w:r>
      <w:r w:rsidR="00B003B7" w:rsidRPr="00D56983">
        <w:rPr>
          <w:rFonts w:eastAsia="Arial"/>
        </w:rPr>
        <w:t>supported</w:t>
      </w:r>
      <w:r w:rsidR="0003227F" w:rsidRPr="00D56983">
        <w:rPr>
          <w:rFonts w:eastAsia="Arial"/>
        </w:rPr>
        <w:t>.</w:t>
      </w:r>
    </w:p>
    <w:p w14:paraId="7919CFD9" w14:textId="31F7098D" w:rsidR="00A93550" w:rsidRPr="00D56983" w:rsidRDefault="00CF2D16" w:rsidP="00110F99">
      <w:pPr>
        <w:spacing w:before="120" w:after="120"/>
        <w:rPr>
          <w:rFonts w:cs="Arial"/>
          <w:color w:val="231F20"/>
          <w:spacing w:val="-2"/>
          <w:shd w:val="clear" w:color="auto" w:fill="FFFFFF"/>
        </w:rPr>
      </w:pPr>
      <w:r w:rsidRPr="00D56983">
        <w:rPr>
          <w:rFonts w:eastAsia="Arial"/>
        </w:rPr>
        <w:t xml:space="preserve">Services Australia is responsible for the overall administration of the </w:t>
      </w:r>
      <w:r w:rsidR="00B003B7" w:rsidRPr="00D56983">
        <w:rPr>
          <w:rFonts w:eastAsia="Arial"/>
        </w:rPr>
        <w:t xml:space="preserve">Medicare </w:t>
      </w:r>
      <w:r w:rsidRPr="00D56983">
        <w:rPr>
          <w:rFonts w:eastAsia="Arial"/>
        </w:rPr>
        <w:t xml:space="preserve">payments system including claims assessment, provision of claiming channels and management of access to claiming systems by software vendors and billing agents. Various policy areas within the Department </w:t>
      </w:r>
      <w:r w:rsidR="00AF3C11" w:rsidRPr="00D56983">
        <w:rPr>
          <w:rFonts w:eastAsia="Arial"/>
        </w:rPr>
        <w:t xml:space="preserve">of Health and Aged Care (the Department) </w:t>
      </w:r>
      <w:r w:rsidRPr="00D56983">
        <w:rPr>
          <w:rFonts w:eastAsia="Arial"/>
        </w:rPr>
        <w:t xml:space="preserve">determine the regulations and </w:t>
      </w:r>
      <w:r w:rsidR="00AF3C11" w:rsidRPr="00D56983">
        <w:rPr>
          <w:rFonts w:eastAsia="Arial"/>
        </w:rPr>
        <w:t xml:space="preserve">payment </w:t>
      </w:r>
      <w:r w:rsidRPr="00D56983">
        <w:rPr>
          <w:rFonts w:eastAsia="Arial"/>
        </w:rPr>
        <w:t>system restrictions and the</w:t>
      </w:r>
      <w:r w:rsidR="00DD1E36" w:rsidRPr="00D56983">
        <w:rPr>
          <w:rFonts w:eastAsia="Arial"/>
        </w:rPr>
        <w:t xml:space="preserve"> </w:t>
      </w:r>
      <w:r w:rsidR="0003227F" w:rsidRPr="00D56983">
        <w:rPr>
          <w:rFonts w:eastAsia="Arial"/>
        </w:rPr>
        <w:t>B</w:t>
      </w:r>
      <w:r w:rsidR="00DD1E36" w:rsidRPr="00D56983">
        <w:rPr>
          <w:rFonts w:eastAsia="Arial"/>
        </w:rPr>
        <w:t xml:space="preserve">enefits </w:t>
      </w:r>
      <w:r w:rsidR="0003227F" w:rsidRPr="00D56983">
        <w:rPr>
          <w:rFonts w:eastAsia="Arial"/>
        </w:rPr>
        <w:t>I</w:t>
      </w:r>
      <w:r w:rsidR="00DD1E36" w:rsidRPr="00D56983">
        <w:rPr>
          <w:rFonts w:eastAsia="Arial"/>
        </w:rPr>
        <w:t xml:space="preserve">ntegrity and </w:t>
      </w:r>
      <w:r w:rsidR="0003227F" w:rsidRPr="00D56983">
        <w:rPr>
          <w:rFonts w:eastAsia="Arial"/>
        </w:rPr>
        <w:t>D</w:t>
      </w:r>
      <w:r w:rsidR="00DD1E36" w:rsidRPr="00D56983">
        <w:rPr>
          <w:rFonts w:eastAsia="Arial"/>
        </w:rPr>
        <w:t xml:space="preserve">igital Health </w:t>
      </w:r>
      <w:r w:rsidR="0003227F" w:rsidRPr="00D56983">
        <w:rPr>
          <w:rFonts w:eastAsia="Arial"/>
        </w:rPr>
        <w:t>D</w:t>
      </w:r>
      <w:r w:rsidR="00DD1E36" w:rsidRPr="00D56983">
        <w:rPr>
          <w:rFonts w:eastAsia="Arial"/>
        </w:rPr>
        <w:t>ivision</w:t>
      </w:r>
      <w:r w:rsidR="0003227F" w:rsidRPr="00D56983">
        <w:rPr>
          <w:rFonts w:eastAsia="Arial"/>
        </w:rPr>
        <w:t xml:space="preserve"> manage</w:t>
      </w:r>
      <w:r w:rsidR="00DD1E36" w:rsidRPr="00D56983">
        <w:rPr>
          <w:rFonts w:eastAsia="Arial"/>
        </w:rPr>
        <w:t>s</w:t>
      </w:r>
      <w:r w:rsidRPr="00D56983">
        <w:rPr>
          <w:rFonts w:eastAsia="Arial"/>
        </w:rPr>
        <w:t xml:space="preserve"> health provider payment</w:t>
      </w:r>
      <w:r w:rsidR="0003227F" w:rsidRPr="00D56983">
        <w:rPr>
          <w:rFonts w:eastAsia="Arial"/>
        </w:rPr>
        <w:t xml:space="preserve"> compliance</w:t>
      </w:r>
      <w:r w:rsidR="00F826E3" w:rsidRPr="00D56983">
        <w:rPr>
          <w:rFonts w:eastAsia="Arial"/>
        </w:rPr>
        <w:t xml:space="preserve"> functions</w:t>
      </w:r>
      <w:r w:rsidR="00AF3C11" w:rsidRPr="00D56983">
        <w:rPr>
          <w:rFonts w:eastAsia="Arial"/>
        </w:rPr>
        <w:t>.</w:t>
      </w:r>
      <w:r w:rsidR="0003227F" w:rsidRPr="00D56983">
        <w:rPr>
          <w:rFonts w:eastAsia="Arial"/>
        </w:rPr>
        <w:t xml:space="preserve"> </w:t>
      </w:r>
      <w:r w:rsidRPr="00D56983">
        <w:rPr>
          <w:rFonts w:eastAsia="Arial"/>
        </w:rPr>
        <w:t xml:space="preserve">The </w:t>
      </w:r>
      <w:r w:rsidR="00B06D7D" w:rsidRPr="00D56983">
        <w:rPr>
          <w:rFonts w:eastAsia="Arial"/>
        </w:rPr>
        <w:t>Professional Services Review Agency</w:t>
      </w:r>
      <w:r w:rsidR="00AF3C11" w:rsidRPr="00D56983">
        <w:rPr>
          <w:rFonts w:eastAsia="Arial"/>
        </w:rPr>
        <w:t xml:space="preserve"> (PSR)</w:t>
      </w:r>
      <w:r w:rsidR="00B06D7D" w:rsidRPr="00D56983">
        <w:rPr>
          <w:rFonts w:eastAsia="Arial"/>
        </w:rPr>
        <w:t xml:space="preserve"> is responsible for </w:t>
      </w:r>
      <w:r w:rsidRPr="00D56983">
        <w:rPr>
          <w:rFonts w:cs="Arial"/>
          <w:color w:val="231F20"/>
          <w:spacing w:val="-2"/>
          <w:shd w:val="clear" w:color="auto" w:fill="FFFFFF"/>
        </w:rPr>
        <w:t xml:space="preserve">risks associated with inappropriate </w:t>
      </w:r>
      <w:r w:rsidR="00AF3C11" w:rsidRPr="00D56983">
        <w:rPr>
          <w:rFonts w:cs="Arial"/>
          <w:color w:val="231F20"/>
          <w:spacing w:val="-2"/>
          <w:shd w:val="clear" w:color="auto" w:fill="FFFFFF"/>
        </w:rPr>
        <w:t xml:space="preserve">practice </w:t>
      </w:r>
      <w:r w:rsidRPr="00D56983">
        <w:rPr>
          <w:rFonts w:cs="Arial"/>
          <w:color w:val="231F20"/>
          <w:spacing w:val="-2"/>
          <w:shd w:val="clear" w:color="auto" w:fill="FFFFFF"/>
        </w:rPr>
        <w:t>and</w:t>
      </w:r>
      <w:r w:rsidR="00AF3C11" w:rsidRPr="00D56983">
        <w:rPr>
          <w:rFonts w:cs="Arial"/>
          <w:color w:val="231F20"/>
          <w:spacing w:val="-2"/>
          <w:shd w:val="clear" w:color="auto" w:fill="FFFFFF"/>
        </w:rPr>
        <w:t xml:space="preserve"> related </w:t>
      </w:r>
      <w:r w:rsidRPr="00D56983">
        <w:rPr>
          <w:rFonts w:cs="Arial"/>
          <w:color w:val="231F20"/>
          <w:spacing w:val="-2"/>
          <w:shd w:val="clear" w:color="auto" w:fill="FFFFFF"/>
        </w:rPr>
        <w:t xml:space="preserve">costs to the Commonwealth. </w:t>
      </w:r>
    </w:p>
    <w:p w14:paraId="258E6DB6" w14:textId="70214551" w:rsidR="00AF3C11" w:rsidRPr="00D56983" w:rsidRDefault="00AF3C11" w:rsidP="00AF3C11">
      <w:pPr>
        <w:spacing w:before="120" w:after="120"/>
        <w:rPr>
          <w:rFonts w:eastAsia="Arial"/>
        </w:rPr>
      </w:pPr>
      <w:r w:rsidRPr="00D56983">
        <w:rPr>
          <w:rFonts w:eastAsia="Arial"/>
        </w:rPr>
        <w:t>The Department has three legislated planks of compliance treatment: Investigation for potential criminal prosecution, audits against legislative Medicare Benefits Schedule item requirements and requests to the PSR to review professionals</w:t>
      </w:r>
      <w:r w:rsidR="00B003B7" w:rsidRPr="00D56983">
        <w:rPr>
          <w:rFonts w:eastAsia="Arial"/>
        </w:rPr>
        <w:t xml:space="preserve"> who may have engaged in inappropriate practice.</w:t>
      </w:r>
      <w:r w:rsidRPr="00D56983">
        <w:rPr>
          <w:rFonts w:eastAsia="Arial"/>
        </w:rPr>
        <w:t xml:space="preserve"> This is supported by a wide range of educative, voluntary and behavioural compliance methods. </w:t>
      </w:r>
    </w:p>
    <w:p w14:paraId="5022F6E3" w14:textId="63B28D89" w:rsidR="0003227F" w:rsidRDefault="0003227F" w:rsidP="00110F99">
      <w:pPr>
        <w:spacing w:before="120" w:after="120"/>
        <w:rPr>
          <w:rFonts w:eastAsia="Arial"/>
        </w:rPr>
      </w:pPr>
      <w:r w:rsidRPr="00D56983">
        <w:rPr>
          <w:rFonts w:eastAsia="Arial"/>
        </w:rPr>
        <w:t>The primary aim of the review is to consider whether regulation, enforcement and</w:t>
      </w:r>
      <w:r>
        <w:rPr>
          <w:rFonts w:eastAsia="Arial"/>
        </w:rPr>
        <w:t xml:space="preserve"> compliance setting</w:t>
      </w:r>
      <w:r w:rsidR="00F826E3">
        <w:rPr>
          <w:rFonts w:eastAsia="Arial"/>
        </w:rPr>
        <w:t>s</w:t>
      </w:r>
      <w:r>
        <w:rPr>
          <w:rFonts w:eastAsia="Arial"/>
        </w:rPr>
        <w:t xml:space="preserve"> are adequately balanced against policy and service priorities.</w:t>
      </w:r>
    </w:p>
    <w:p w14:paraId="73E5E354" w14:textId="22EB034E" w:rsidR="00AE1A6D" w:rsidRDefault="00AE1A6D" w:rsidP="00110F99">
      <w:pPr>
        <w:spacing w:before="120" w:after="120"/>
        <w:rPr>
          <w:rFonts w:eastAsia="Arial"/>
        </w:rPr>
      </w:pPr>
      <w:r>
        <w:rPr>
          <w:rFonts w:eastAsia="Arial"/>
        </w:rPr>
        <w:t>This is to be informed by an assessment of the levels of potential non-compliance and the Departments current compliance framework and approach.</w:t>
      </w:r>
    </w:p>
    <w:p w14:paraId="2CEA89F3" w14:textId="476D2917" w:rsidR="00B003B7" w:rsidRDefault="00B003B7">
      <w:pPr>
        <w:rPr>
          <w:rFonts w:eastAsia="Arial"/>
        </w:rPr>
      </w:pPr>
      <w:r>
        <w:rPr>
          <w:rFonts w:eastAsia="Arial"/>
        </w:rPr>
        <w:br w:type="page"/>
      </w:r>
    </w:p>
    <w:p w14:paraId="30413CD1" w14:textId="578EB796" w:rsidR="00AF3C11" w:rsidRPr="00110F99" w:rsidRDefault="00AF3C11" w:rsidP="00110F99">
      <w:pPr>
        <w:spacing w:before="120" w:after="120"/>
        <w:rPr>
          <w:rFonts w:eastAsia="Arial"/>
        </w:rPr>
      </w:pPr>
    </w:p>
    <w:p w14:paraId="3D4D4A11" w14:textId="0B5013C5" w:rsidR="000E1ADA" w:rsidRPr="005B63CE" w:rsidRDefault="00561D6C" w:rsidP="009E41C8">
      <w:pPr>
        <w:pStyle w:val="Heading1"/>
        <w:rPr>
          <w:rStyle w:val="normaltextrun"/>
        </w:rPr>
      </w:pPr>
      <w:r>
        <w:t>Scope</w:t>
      </w:r>
    </w:p>
    <w:bookmarkEnd w:id="0"/>
    <w:p w14:paraId="27D2C1D6" w14:textId="53030073" w:rsidR="00110F99" w:rsidRPr="00A93550" w:rsidRDefault="00A93550" w:rsidP="00A93550">
      <w:pPr>
        <w:spacing w:before="120" w:after="120"/>
        <w:rPr>
          <w:rFonts w:eastAsia="Arial"/>
        </w:rPr>
      </w:pPr>
      <w:r w:rsidRPr="00A93550">
        <w:rPr>
          <w:rFonts w:eastAsia="Arial"/>
        </w:rPr>
        <w:t>The review will:</w:t>
      </w:r>
    </w:p>
    <w:p w14:paraId="21BCA828" w14:textId="5D8BC013" w:rsidR="00D56983" w:rsidRDefault="00A93550" w:rsidP="00DA2780">
      <w:pPr>
        <w:pStyle w:val="ListParagraph"/>
        <w:numPr>
          <w:ilvl w:val="0"/>
          <w:numId w:val="13"/>
        </w:numPr>
      </w:pPr>
      <w:r>
        <w:t>Assess at a high-level, additional measures/controls for the MBS to reduce the risk of fraudulent billing or overservicing before payments are made</w:t>
      </w:r>
      <w:r w:rsidR="00AE1A6D">
        <w:t xml:space="preserve">. </w:t>
      </w:r>
      <w:r w:rsidR="00AE1A6D" w:rsidRPr="00873417">
        <w:t>Consider measures available to slow, deter and prevent incorrect claiming such as system blocks and authorisations. </w:t>
      </w:r>
    </w:p>
    <w:p w14:paraId="555485EC" w14:textId="77777777" w:rsidR="00D56983" w:rsidRDefault="00D56983" w:rsidP="00D56983">
      <w:pPr>
        <w:pStyle w:val="ListParagraph"/>
      </w:pPr>
    </w:p>
    <w:p w14:paraId="7877F4F1" w14:textId="77777777" w:rsidR="00D56983" w:rsidRPr="00D56983" w:rsidRDefault="00A93550" w:rsidP="00D56983">
      <w:pPr>
        <w:pStyle w:val="ListParagraph"/>
        <w:numPr>
          <w:ilvl w:val="0"/>
          <w:numId w:val="13"/>
        </w:numPr>
      </w:pPr>
      <w:r>
        <w:t xml:space="preserve">Assess at a high-level, the integrity risks for the Medicare payment systems and </w:t>
      </w:r>
      <w:r w:rsidRPr="00D56983">
        <w:t>multiple claims channels</w:t>
      </w:r>
      <w:r w:rsidR="00AE1A6D" w:rsidRPr="00D56983">
        <w:t>. In particular, consider whether some claiming channels are more susceptible to misuse</w:t>
      </w:r>
      <w:r w:rsidR="00CF2D16" w:rsidRPr="00D56983">
        <w:t xml:space="preserve"> and fraud</w:t>
      </w:r>
      <w:r w:rsidR="00AE1A6D" w:rsidRPr="00D56983">
        <w:t xml:space="preserve">, and steps which could be taken to minimise the risk of fraud and inappropriate practice through these channels.  </w:t>
      </w:r>
    </w:p>
    <w:p w14:paraId="2CFCBDDC" w14:textId="77777777" w:rsidR="00D56983" w:rsidRDefault="00D56983" w:rsidP="00D56983">
      <w:pPr>
        <w:pStyle w:val="ListParagraph"/>
      </w:pPr>
    </w:p>
    <w:p w14:paraId="549B98B1" w14:textId="77777777" w:rsidR="00D56983" w:rsidRDefault="00D56983" w:rsidP="00D56983">
      <w:pPr>
        <w:pStyle w:val="ListParagraph"/>
        <w:numPr>
          <w:ilvl w:val="0"/>
          <w:numId w:val="13"/>
        </w:numPr>
      </w:pPr>
      <w:r>
        <w:t>A</w:t>
      </w:r>
      <w:r w:rsidR="00A93550">
        <w:t>ssess the possible value of fraudulent, non-compliant or over servicing risks in Medicare</w:t>
      </w:r>
      <w:r w:rsidR="00873417">
        <w:t xml:space="preserve">. </w:t>
      </w:r>
      <w:r w:rsidR="00873417" w:rsidRPr="00873417">
        <w:t xml:space="preserve">Provide a methodology and evidence-based estimate of the likely value of non-compliance in Medicare.  </w:t>
      </w:r>
    </w:p>
    <w:p w14:paraId="703DAD58" w14:textId="77777777" w:rsidR="00D56983" w:rsidRDefault="00D56983" w:rsidP="00D56983">
      <w:pPr>
        <w:pStyle w:val="ListParagraph"/>
      </w:pPr>
    </w:p>
    <w:p w14:paraId="576D0AA5" w14:textId="462BE84C" w:rsidR="00D56983" w:rsidRDefault="00A93550" w:rsidP="00D56983">
      <w:pPr>
        <w:pStyle w:val="ListParagraph"/>
        <w:numPr>
          <w:ilvl w:val="0"/>
          <w:numId w:val="13"/>
        </w:numPr>
      </w:pPr>
      <w:bookmarkStart w:id="1" w:name="_Hlk118463992"/>
      <w:r>
        <w:t xml:space="preserve">Assess the </w:t>
      </w:r>
      <w:r w:rsidR="00873417" w:rsidRPr="00873417">
        <w:t>effectiveness</w:t>
      </w:r>
      <w:r w:rsidR="00B2200E">
        <w:t>, transparency and independence</w:t>
      </w:r>
      <w:r w:rsidR="00873417" w:rsidRPr="00873417">
        <w:t xml:space="preserve"> of the </w:t>
      </w:r>
      <w:r>
        <w:t xml:space="preserve">Practitioner Review Program and Professional Services Review to identify and </w:t>
      </w:r>
      <w:r w:rsidR="00873417">
        <w:t xml:space="preserve">scope </w:t>
      </w:r>
      <w:r>
        <w:t>opportunities for improvements</w:t>
      </w:r>
      <w:r w:rsidR="00AE1A6D">
        <w:t xml:space="preserve"> </w:t>
      </w:r>
      <w:r w:rsidR="00873417">
        <w:t xml:space="preserve">including addressing serious </w:t>
      </w:r>
      <w:r w:rsidR="00AE1A6D">
        <w:t>non-compliant behaviours that do not constitute fraud (non-provision) and are not considered auditable under current legislation</w:t>
      </w:r>
      <w:bookmarkEnd w:id="1"/>
      <w:r w:rsidR="00AE1A6D">
        <w:t xml:space="preserve">. </w:t>
      </w:r>
    </w:p>
    <w:p w14:paraId="2827A538" w14:textId="77777777" w:rsidR="00F76F1D" w:rsidRDefault="00F76F1D" w:rsidP="00F76F1D">
      <w:pPr>
        <w:pStyle w:val="ListParagraph"/>
      </w:pPr>
    </w:p>
    <w:p w14:paraId="52D09D19" w14:textId="3322E30E" w:rsidR="00F76F1D" w:rsidRDefault="00F76F1D" w:rsidP="00D56983">
      <w:pPr>
        <w:pStyle w:val="ListParagraph"/>
        <w:numPr>
          <w:ilvl w:val="0"/>
          <w:numId w:val="13"/>
        </w:numPr>
      </w:pPr>
      <w:r>
        <w:t>A</w:t>
      </w:r>
      <w:r w:rsidRPr="00F76F1D">
        <w:t>ssess the effectiveness, transparency and independence of the Professional Services Review functions</w:t>
      </w:r>
      <w:r>
        <w:t>.</w:t>
      </w:r>
    </w:p>
    <w:p w14:paraId="0D3E4751" w14:textId="77777777" w:rsidR="00D56983" w:rsidRDefault="00D56983" w:rsidP="00D56983">
      <w:pPr>
        <w:pStyle w:val="ListParagraph"/>
      </w:pPr>
    </w:p>
    <w:p w14:paraId="57257F3F" w14:textId="1E705B58" w:rsidR="00873417" w:rsidRPr="00D56983" w:rsidRDefault="00A93550" w:rsidP="00D56983">
      <w:pPr>
        <w:pStyle w:val="ListParagraph"/>
        <w:numPr>
          <w:ilvl w:val="0"/>
          <w:numId w:val="13"/>
        </w:numPr>
      </w:pPr>
      <w:r>
        <w:t xml:space="preserve">Review the Health Insurance Act </w:t>
      </w:r>
      <w:r w:rsidR="00AE1A6D">
        <w:t>and other associated regulations</w:t>
      </w:r>
      <w:r>
        <w:t xml:space="preserve"> to </w:t>
      </w:r>
      <w:r w:rsidR="00B003B7">
        <w:t>identify potential</w:t>
      </w:r>
      <w:r>
        <w:t xml:space="preserve"> improve</w:t>
      </w:r>
      <w:r w:rsidR="00B003B7">
        <w:t>ments to</w:t>
      </w:r>
      <w:r>
        <w:t xml:space="preserve"> upfront controls for payment and options to strengthen compliance </w:t>
      </w:r>
      <w:r w:rsidR="00B003B7">
        <w:t>treatments and</w:t>
      </w:r>
      <w:r>
        <w:t xml:space="preserve"> penalties for fraud, inappropriate practice and non-compliance.</w:t>
      </w:r>
      <w:r w:rsidR="00873417" w:rsidRPr="00873417">
        <w:t xml:space="preserve"> Consider </w:t>
      </w:r>
      <w:r w:rsidR="00873417" w:rsidRPr="00D56983">
        <w:t xml:space="preserve">the effectiveness of current legislative arrangements </w:t>
      </w:r>
      <w:r w:rsidR="00B003B7" w:rsidRPr="00D56983">
        <w:t xml:space="preserve">for the </w:t>
      </w:r>
      <w:r w:rsidR="00873417" w:rsidRPr="00D56983">
        <w:t xml:space="preserve">treatment of non-compliance </w:t>
      </w:r>
      <w:r w:rsidR="00B003B7" w:rsidRPr="00D56983">
        <w:t xml:space="preserve">by </w:t>
      </w:r>
      <w:r w:rsidR="00CF2D16" w:rsidRPr="00D56983">
        <w:t>non-health provider entities</w:t>
      </w:r>
      <w:r w:rsidR="00B003B7" w:rsidRPr="00D56983">
        <w:t xml:space="preserve">. Also assess the effectiveness of recovery mechanisms for </w:t>
      </w:r>
      <w:r w:rsidR="00873417" w:rsidRPr="00D56983">
        <w:t xml:space="preserve">debts due to the Commonwealth, and escalation </w:t>
      </w:r>
      <w:r w:rsidR="00B003B7" w:rsidRPr="00D56983">
        <w:t xml:space="preserve">processes </w:t>
      </w:r>
      <w:r w:rsidR="00873417" w:rsidRPr="00D56983">
        <w:t xml:space="preserve">for repeated non-compliance.  </w:t>
      </w:r>
    </w:p>
    <w:p w14:paraId="4A6EA1B8" w14:textId="548F8960" w:rsidR="00A93550" w:rsidRDefault="00A93550" w:rsidP="00B867D8">
      <w:pPr>
        <w:pStyle w:val="ListParagraph"/>
        <w:spacing w:before="120" w:after="120"/>
      </w:pPr>
    </w:p>
    <w:p w14:paraId="0465B6D4" w14:textId="47A521DF" w:rsidR="00A93550" w:rsidRDefault="00A93550" w:rsidP="00A93550">
      <w:pPr>
        <w:spacing w:before="120" w:after="120"/>
      </w:pPr>
      <w:r>
        <w:t>The review should consider any resources and other contemporary reviews</w:t>
      </w:r>
      <w:r w:rsidR="00C26698">
        <w:t xml:space="preserve">, including those undertaken by the Australian National Audit Office (ANAO) and the independent review of the PSR </w:t>
      </w:r>
      <w:r w:rsidR="00CF2D16">
        <w:t xml:space="preserve">and </w:t>
      </w:r>
      <w:r w:rsidR="00C26698">
        <w:t xml:space="preserve">section 92 </w:t>
      </w:r>
      <w:r w:rsidR="00C4565F">
        <w:t xml:space="preserve">of the </w:t>
      </w:r>
      <w:r w:rsidR="00CF2D16" w:rsidRPr="00D56983">
        <w:rPr>
          <w:i/>
          <w:iCs/>
        </w:rPr>
        <w:t>H</w:t>
      </w:r>
      <w:r w:rsidR="00C4565F" w:rsidRPr="00D56983">
        <w:rPr>
          <w:i/>
          <w:iCs/>
        </w:rPr>
        <w:t xml:space="preserve">ealth </w:t>
      </w:r>
      <w:r w:rsidR="00CF2D16" w:rsidRPr="00D56983">
        <w:rPr>
          <w:i/>
          <w:iCs/>
        </w:rPr>
        <w:t>I</w:t>
      </w:r>
      <w:r w:rsidR="00C4565F" w:rsidRPr="00D56983">
        <w:rPr>
          <w:i/>
          <w:iCs/>
        </w:rPr>
        <w:t xml:space="preserve">nsurance </w:t>
      </w:r>
      <w:r w:rsidR="00CF2D16" w:rsidRPr="00D56983">
        <w:rPr>
          <w:i/>
          <w:iCs/>
        </w:rPr>
        <w:t>A</w:t>
      </w:r>
      <w:r w:rsidR="00C4565F" w:rsidRPr="00D56983">
        <w:rPr>
          <w:i/>
          <w:iCs/>
        </w:rPr>
        <w:t xml:space="preserve">ct </w:t>
      </w:r>
      <w:r w:rsidR="00CF2D16" w:rsidRPr="00D56983">
        <w:rPr>
          <w:i/>
          <w:iCs/>
        </w:rPr>
        <w:t>1973</w:t>
      </w:r>
      <w:r w:rsidR="00CF2D16">
        <w:t>.</w:t>
      </w:r>
    </w:p>
    <w:p w14:paraId="5DB7A6CA" w14:textId="4FABFCD6" w:rsidR="00AF3C11" w:rsidRDefault="00AF3C11" w:rsidP="00AF3C11">
      <w:pPr>
        <w:spacing w:before="120" w:after="120"/>
        <w:rPr>
          <w:rFonts w:eastAsia="Arial"/>
        </w:rPr>
      </w:pPr>
      <w:r w:rsidRPr="00D56983">
        <w:rPr>
          <w:rFonts w:eastAsia="Arial"/>
        </w:rPr>
        <w:t>Issues and recommendations that have application to other health programs such as the Pharmaceutical Benefits Scheme or non-legislated programs such as practice incentive payments, will also be articulated in the review.</w:t>
      </w:r>
      <w:r>
        <w:rPr>
          <w:rFonts w:eastAsia="Arial"/>
        </w:rPr>
        <w:t xml:space="preserve"> </w:t>
      </w:r>
    </w:p>
    <w:p w14:paraId="117DE41F" w14:textId="1D183FFD" w:rsidR="00AE1A6D" w:rsidRDefault="00AE1A6D" w:rsidP="00AE1A6D">
      <w:pPr>
        <w:pStyle w:val="Heading1"/>
      </w:pPr>
      <w:r>
        <w:t>Timeframes</w:t>
      </w:r>
    </w:p>
    <w:p w14:paraId="465B9165" w14:textId="4F3C56E4" w:rsidR="00AE1A6D" w:rsidRPr="00AE1A6D" w:rsidRDefault="00B2200E" w:rsidP="00AE1A6D">
      <w:r>
        <w:t xml:space="preserve">Interim report to be submitted by </w:t>
      </w:r>
      <w:r w:rsidR="00332351">
        <w:t xml:space="preserve">31 January </w:t>
      </w:r>
      <w:r>
        <w:t>202</w:t>
      </w:r>
      <w:r w:rsidR="00332351">
        <w:t>3</w:t>
      </w:r>
      <w:r>
        <w:t xml:space="preserve"> and f</w:t>
      </w:r>
      <w:r w:rsidR="00AE1A6D">
        <w:t xml:space="preserve">inal report to be submitted </w:t>
      </w:r>
      <w:r>
        <w:t>28</w:t>
      </w:r>
      <w:r w:rsidR="007D7920">
        <w:t> </w:t>
      </w:r>
      <w:r w:rsidR="00AE1A6D">
        <w:t>February 2023</w:t>
      </w:r>
      <w:r>
        <w:t>.</w:t>
      </w:r>
    </w:p>
    <w:p w14:paraId="57E7BFB4" w14:textId="233445CA" w:rsidR="000E1ADA" w:rsidRPr="00B53380" w:rsidRDefault="00561D6C" w:rsidP="001B14BD">
      <w:pPr>
        <w:pStyle w:val="Heading1"/>
        <w:rPr>
          <w:rStyle w:val="normaltextrun"/>
        </w:rPr>
      </w:pPr>
      <w:r w:rsidRPr="001B14BD">
        <w:lastRenderedPageBreak/>
        <w:t>Accountability</w:t>
      </w:r>
    </w:p>
    <w:p w14:paraId="70B24E0E" w14:textId="19F39F86" w:rsidR="001E26E0" w:rsidRPr="00074DAD" w:rsidRDefault="00110F99" w:rsidP="00A93550">
      <w:pPr>
        <w:pStyle w:val="Paragraphtext"/>
        <w:rPr>
          <w:rFonts w:ascii="Segoe UI" w:hAnsi="Segoe UI" w:cs="Segoe UI"/>
          <w:sz w:val="20"/>
          <w:szCs w:val="20"/>
        </w:rPr>
      </w:pPr>
      <w:r>
        <w:rPr>
          <w:rStyle w:val="normaltextrun"/>
          <w:sz w:val="20"/>
          <w:szCs w:val="20"/>
        </w:rPr>
        <w:t>Acc</w:t>
      </w:r>
      <w:r w:rsidR="001E26E0" w:rsidRPr="00074DAD">
        <w:rPr>
          <w:rStyle w:val="normaltextrun"/>
          <w:sz w:val="20"/>
          <w:szCs w:val="20"/>
        </w:rPr>
        <w:t>ountability for performance and compliance resides under relevant legislation, including the: </w:t>
      </w:r>
      <w:r w:rsidR="001E26E0" w:rsidRPr="00074DAD">
        <w:rPr>
          <w:rStyle w:val="eop"/>
          <w:rFonts w:eastAsiaTheme="majorEastAsia"/>
          <w:sz w:val="20"/>
          <w:szCs w:val="20"/>
        </w:rPr>
        <w:t> </w:t>
      </w:r>
    </w:p>
    <w:p w14:paraId="5A9A5CBD" w14:textId="51368E59" w:rsidR="00A93550" w:rsidRPr="00D56983" w:rsidRDefault="00A93550" w:rsidP="00A93550">
      <w:pPr>
        <w:pStyle w:val="paragraph"/>
        <w:numPr>
          <w:ilvl w:val="0"/>
          <w:numId w:val="7"/>
        </w:numPr>
        <w:spacing w:before="120" w:beforeAutospacing="0" w:after="120" w:afterAutospacing="0" w:line="230" w:lineRule="exact"/>
        <w:ind w:left="360" w:firstLine="0"/>
        <w:textAlignment w:val="baseline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i/>
          <w:iCs/>
          <w:sz w:val="20"/>
          <w:szCs w:val="20"/>
        </w:rPr>
        <w:t>Health Insurance Act 1973</w:t>
      </w:r>
    </w:p>
    <w:p w14:paraId="7C5EB01A" w14:textId="1F9FB652" w:rsidR="00B14444" w:rsidRPr="00D56983" w:rsidRDefault="00B14444" w:rsidP="00A93550">
      <w:pPr>
        <w:pStyle w:val="paragraph"/>
        <w:numPr>
          <w:ilvl w:val="0"/>
          <w:numId w:val="7"/>
        </w:numPr>
        <w:spacing w:before="120" w:beforeAutospacing="0" w:after="120" w:afterAutospacing="0" w:line="230" w:lineRule="exact"/>
        <w:ind w:left="360" w:firstLine="0"/>
        <w:textAlignment w:val="baseline"/>
        <w:rPr>
          <w:rFonts w:ascii="Arial" w:hAnsi="Arial" w:cs="Arial"/>
          <w:sz w:val="22"/>
        </w:rPr>
      </w:pPr>
      <w:r w:rsidRPr="00D56983">
        <w:rPr>
          <w:rStyle w:val="normaltextrun"/>
          <w:rFonts w:ascii="Arial" w:hAnsi="Arial" w:cs="Arial"/>
          <w:i/>
          <w:iCs/>
          <w:sz w:val="20"/>
          <w:szCs w:val="20"/>
        </w:rPr>
        <w:t>Human Services (Medicare) Act 1973</w:t>
      </w:r>
    </w:p>
    <w:p w14:paraId="03695DFC" w14:textId="71B8D398" w:rsidR="001E26E0" w:rsidRPr="00074DAD" w:rsidRDefault="001E26E0" w:rsidP="00A93550">
      <w:pPr>
        <w:pStyle w:val="paragraph"/>
        <w:numPr>
          <w:ilvl w:val="0"/>
          <w:numId w:val="7"/>
        </w:numPr>
        <w:spacing w:before="120" w:beforeAutospacing="0" w:after="120" w:afterAutospacing="0" w:line="230" w:lineRule="exact"/>
        <w:ind w:left="360" w:firstLine="0"/>
        <w:textAlignment w:val="baseline"/>
        <w:rPr>
          <w:rFonts w:ascii="Arial" w:hAnsi="Arial" w:cs="Arial"/>
          <w:sz w:val="20"/>
          <w:szCs w:val="20"/>
        </w:rPr>
      </w:pPr>
      <w:r w:rsidRPr="00074DAD">
        <w:rPr>
          <w:rStyle w:val="normaltextrun"/>
          <w:rFonts w:ascii="Arial" w:hAnsi="Arial" w:cs="Arial"/>
          <w:i/>
          <w:iCs/>
          <w:sz w:val="20"/>
          <w:szCs w:val="20"/>
        </w:rPr>
        <w:t>Public Governance, Performance and Accountability Act 2013; and </w:t>
      </w:r>
      <w:r w:rsidRPr="00074DAD">
        <w:rPr>
          <w:rStyle w:val="eop"/>
          <w:rFonts w:eastAsiaTheme="majorEastAsia" w:cs="Arial"/>
          <w:sz w:val="20"/>
          <w:szCs w:val="20"/>
        </w:rPr>
        <w:t> </w:t>
      </w:r>
    </w:p>
    <w:p w14:paraId="7C47396D" w14:textId="77777777" w:rsidR="001E26E0" w:rsidRPr="00074DAD" w:rsidRDefault="001E26E0" w:rsidP="00A93550">
      <w:pPr>
        <w:pStyle w:val="paragraph"/>
        <w:numPr>
          <w:ilvl w:val="0"/>
          <w:numId w:val="7"/>
        </w:numPr>
        <w:spacing w:before="120" w:beforeAutospacing="0" w:after="120" w:afterAutospacing="0" w:line="230" w:lineRule="exact"/>
        <w:ind w:left="360" w:firstLine="0"/>
        <w:textAlignment w:val="baseline"/>
        <w:rPr>
          <w:rFonts w:ascii="Arial" w:hAnsi="Arial" w:cs="Arial"/>
          <w:sz w:val="20"/>
          <w:szCs w:val="20"/>
        </w:rPr>
      </w:pPr>
      <w:r w:rsidRPr="00074DAD">
        <w:rPr>
          <w:rStyle w:val="normaltextrun"/>
          <w:rFonts w:ascii="Arial" w:hAnsi="Arial" w:cs="Arial"/>
          <w:i/>
          <w:iCs/>
          <w:sz w:val="20"/>
          <w:szCs w:val="20"/>
        </w:rPr>
        <w:t>Public Service Act 1999</w:t>
      </w:r>
      <w:r w:rsidRPr="00074DAD">
        <w:rPr>
          <w:rStyle w:val="normaltextrun"/>
          <w:rFonts w:ascii="Arial" w:hAnsi="Arial" w:cs="Arial"/>
          <w:sz w:val="20"/>
          <w:szCs w:val="20"/>
        </w:rPr>
        <w:t>. </w:t>
      </w:r>
      <w:r w:rsidRPr="00074DAD">
        <w:rPr>
          <w:rStyle w:val="eop"/>
          <w:rFonts w:eastAsiaTheme="majorEastAsia" w:cs="Arial"/>
          <w:sz w:val="20"/>
          <w:szCs w:val="20"/>
        </w:rPr>
        <w:t> </w:t>
      </w:r>
    </w:p>
    <w:p w14:paraId="5373033B" w14:textId="77777777" w:rsidR="001E26E0" w:rsidRPr="00074DAD" w:rsidRDefault="001E26E0" w:rsidP="00A93550">
      <w:pPr>
        <w:pStyle w:val="paragraph"/>
        <w:spacing w:before="120" w:beforeAutospacing="0" w:after="12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074DAD">
        <w:rPr>
          <w:rStyle w:val="eop"/>
          <w:rFonts w:eastAsiaTheme="majorEastAsia" w:cs="Arial"/>
          <w:sz w:val="20"/>
          <w:szCs w:val="20"/>
        </w:rPr>
        <w:t> </w:t>
      </w:r>
    </w:p>
    <w:sectPr w:rsidR="001E26E0" w:rsidRPr="00074DAD" w:rsidSect="0065059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304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CD99D" w14:textId="77777777" w:rsidR="00D957B4" w:rsidRDefault="00D957B4" w:rsidP="006B56BB">
      <w:r>
        <w:separator/>
      </w:r>
    </w:p>
    <w:p w14:paraId="1D3531AE" w14:textId="77777777" w:rsidR="00D957B4" w:rsidRDefault="00D957B4"/>
  </w:endnote>
  <w:endnote w:type="continuationSeparator" w:id="0">
    <w:p w14:paraId="001B0FE0" w14:textId="77777777" w:rsidR="00D957B4" w:rsidRDefault="00D957B4" w:rsidP="006B56BB">
      <w:r>
        <w:continuationSeparator/>
      </w:r>
    </w:p>
    <w:p w14:paraId="293CBD9F" w14:textId="77777777" w:rsidR="00D957B4" w:rsidRDefault="00D957B4"/>
  </w:endnote>
  <w:endnote w:type="continuationNotice" w:id="1">
    <w:p w14:paraId="2310C102" w14:textId="77777777" w:rsidR="00D957B4" w:rsidRDefault="00D957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D1E16" w14:textId="77777777" w:rsidR="00F01C3D" w:rsidRDefault="00F01C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0BB30" w14:textId="77777777" w:rsidR="00F826E3" w:rsidRDefault="00F826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DC284" w14:textId="77777777" w:rsidR="00F01C3D" w:rsidRDefault="00F01C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C8B46" w14:textId="77777777" w:rsidR="00D957B4" w:rsidRDefault="00D957B4" w:rsidP="006B56BB">
      <w:r>
        <w:separator/>
      </w:r>
    </w:p>
    <w:p w14:paraId="0717EE1A" w14:textId="77777777" w:rsidR="00D957B4" w:rsidRDefault="00D957B4"/>
  </w:footnote>
  <w:footnote w:type="continuationSeparator" w:id="0">
    <w:p w14:paraId="32AF4348" w14:textId="77777777" w:rsidR="00D957B4" w:rsidRDefault="00D957B4" w:rsidP="006B56BB">
      <w:r>
        <w:continuationSeparator/>
      </w:r>
    </w:p>
    <w:p w14:paraId="08B4F36E" w14:textId="77777777" w:rsidR="00D957B4" w:rsidRDefault="00D957B4"/>
  </w:footnote>
  <w:footnote w:type="continuationNotice" w:id="1">
    <w:p w14:paraId="06B51B23" w14:textId="77777777" w:rsidR="00D957B4" w:rsidRDefault="00D957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51B35" w14:textId="77777777" w:rsidR="00F01C3D" w:rsidRDefault="00F01C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3BC7C" w14:textId="710B7FD8" w:rsidR="0065059B" w:rsidRDefault="00F5411F" w:rsidP="0065059B">
    <w:pPr>
      <w:pStyle w:val="Heading1"/>
      <w:tabs>
        <w:tab w:val="left" w:pos="285"/>
        <w:tab w:val="right" w:pos="9070"/>
      </w:tabs>
      <w:jc w:val="center"/>
      <w:rPr>
        <w:color w:val="C00000"/>
        <w:sz w:val="20"/>
        <w:szCs w:val="20"/>
      </w:rPr>
    </w:pPr>
    <w:r>
      <w:rPr>
        <w:noProof/>
        <w:lang w:eastAsia="en-AU"/>
      </w:rPr>
      <w:drawing>
        <wp:anchor distT="0" distB="0" distL="114300" distR="114300" simplePos="0" relativeHeight="251657216" behindDoc="1" locked="0" layoutInCell="1" allowOverlap="1" wp14:anchorId="2F076463" wp14:editId="2A0B22FC">
          <wp:simplePos x="0" y="0"/>
          <wp:positionH relativeFrom="margin">
            <wp:align>right</wp:align>
          </wp:positionH>
          <wp:positionV relativeFrom="paragraph">
            <wp:posOffset>255934</wp:posOffset>
          </wp:positionV>
          <wp:extent cx="5759450" cy="956945"/>
          <wp:effectExtent l="0" t="0" r="0" b="0"/>
          <wp:wrapNone/>
          <wp:docPr id="2" name="Picture 2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-11207" r="-1" b="-2"/>
                  <a:stretch/>
                </pic:blipFill>
                <pic:spPr bwMode="auto">
                  <a:xfrm>
                    <a:off x="0" y="0"/>
                    <a:ext cx="5759450" cy="9569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2B1EF708" w14:textId="584D9ABE" w:rsidR="00F5411F" w:rsidRPr="00F5411F" w:rsidRDefault="00C75C2E" w:rsidP="00C75C2E">
    <w:pPr>
      <w:pStyle w:val="Heading1"/>
      <w:tabs>
        <w:tab w:val="left" w:pos="285"/>
        <w:tab w:val="right" w:pos="9070"/>
      </w:tabs>
      <w:rPr>
        <w:sz w:val="22"/>
        <w:szCs w:val="22"/>
      </w:rPr>
    </w:pPr>
    <w:r>
      <w:tab/>
    </w:r>
    <w:r>
      <w:tab/>
    </w:r>
  </w:p>
  <w:p w14:paraId="520F4643" w14:textId="799E5643" w:rsidR="00C75C2E" w:rsidRDefault="00C75C2E" w:rsidP="00C75C2E">
    <w:pPr>
      <w:pStyle w:val="Heading1"/>
      <w:tabs>
        <w:tab w:val="left" w:pos="285"/>
        <w:tab w:val="right" w:pos="9070"/>
      </w:tabs>
    </w:pPr>
  </w:p>
  <w:p w14:paraId="381B821F" w14:textId="6ECB56EA" w:rsidR="008E0C77" w:rsidRPr="00F66774" w:rsidRDefault="008E0C77" w:rsidP="001B14BD">
    <w:pPr>
      <w:pStyle w:val="Paragraphtex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0D723" w14:textId="77777777" w:rsidR="00F01C3D" w:rsidRDefault="00F01C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1526"/>
    <w:multiLevelType w:val="hybridMultilevel"/>
    <w:tmpl w:val="9BE888A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22F5C"/>
    <w:multiLevelType w:val="multilevel"/>
    <w:tmpl w:val="33501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363506"/>
    <w:multiLevelType w:val="hybridMultilevel"/>
    <w:tmpl w:val="8AB81758"/>
    <w:lvl w:ilvl="0" w:tplc="E804A9B8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726C97"/>
    <w:multiLevelType w:val="hybridMultilevel"/>
    <w:tmpl w:val="BA805F12"/>
    <w:lvl w:ilvl="0" w:tplc="D3FC010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D50FD"/>
    <w:multiLevelType w:val="hybridMultilevel"/>
    <w:tmpl w:val="B3569960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84E54F0"/>
    <w:multiLevelType w:val="hybridMultilevel"/>
    <w:tmpl w:val="819CBC6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726806"/>
    <w:multiLevelType w:val="hybridMultilevel"/>
    <w:tmpl w:val="F9B0A2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42C4E"/>
    <w:multiLevelType w:val="hybridMultilevel"/>
    <w:tmpl w:val="90F46F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A3E17"/>
    <w:multiLevelType w:val="hybridMultilevel"/>
    <w:tmpl w:val="6BE822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3B459F"/>
    <w:multiLevelType w:val="hybridMultilevel"/>
    <w:tmpl w:val="3B6E5A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F8287E"/>
    <w:multiLevelType w:val="hybridMultilevel"/>
    <w:tmpl w:val="FE2A36DA"/>
    <w:lvl w:ilvl="0" w:tplc="B6B6120E">
      <w:start w:val="1"/>
      <w:numFmt w:val="bullet"/>
      <w:pStyle w:val="Tablelist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12"/>
  </w:num>
  <w:num w:numId="5">
    <w:abstractNumId w:val="2"/>
  </w:num>
  <w:num w:numId="6">
    <w:abstractNumId w:val="4"/>
  </w:num>
  <w:num w:numId="7">
    <w:abstractNumId w:val="1"/>
  </w:num>
  <w:num w:numId="8">
    <w:abstractNumId w:val="6"/>
  </w:num>
  <w:num w:numId="9">
    <w:abstractNumId w:val="10"/>
  </w:num>
  <w:num w:numId="10">
    <w:abstractNumId w:val="8"/>
  </w:num>
  <w:num w:numId="11">
    <w:abstractNumId w:val="7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6E0"/>
    <w:rsid w:val="00003743"/>
    <w:rsid w:val="00003D83"/>
    <w:rsid w:val="000047B4"/>
    <w:rsid w:val="00005712"/>
    <w:rsid w:val="000070A8"/>
    <w:rsid w:val="00007FD8"/>
    <w:rsid w:val="000117F8"/>
    <w:rsid w:val="0001460F"/>
    <w:rsid w:val="00021CEC"/>
    <w:rsid w:val="00022629"/>
    <w:rsid w:val="00026139"/>
    <w:rsid w:val="00027601"/>
    <w:rsid w:val="0003227F"/>
    <w:rsid w:val="00033321"/>
    <w:rsid w:val="000338E5"/>
    <w:rsid w:val="00033ECC"/>
    <w:rsid w:val="0003422F"/>
    <w:rsid w:val="00046FF0"/>
    <w:rsid w:val="00050176"/>
    <w:rsid w:val="00067456"/>
    <w:rsid w:val="00071506"/>
    <w:rsid w:val="0007154F"/>
    <w:rsid w:val="00074DAD"/>
    <w:rsid w:val="00081AB1"/>
    <w:rsid w:val="00090316"/>
    <w:rsid w:val="00093981"/>
    <w:rsid w:val="000A1702"/>
    <w:rsid w:val="000B067A"/>
    <w:rsid w:val="000B1540"/>
    <w:rsid w:val="000B1E53"/>
    <w:rsid w:val="000B33FD"/>
    <w:rsid w:val="000B371A"/>
    <w:rsid w:val="000B4ABA"/>
    <w:rsid w:val="000B5485"/>
    <w:rsid w:val="000C33B1"/>
    <w:rsid w:val="000C4B16"/>
    <w:rsid w:val="000C50C3"/>
    <w:rsid w:val="000C5E14"/>
    <w:rsid w:val="000D21F6"/>
    <w:rsid w:val="000D4500"/>
    <w:rsid w:val="000D7AEA"/>
    <w:rsid w:val="000E0421"/>
    <w:rsid w:val="000E1ADA"/>
    <w:rsid w:val="000E2C66"/>
    <w:rsid w:val="000F123C"/>
    <w:rsid w:val="000F2FED"/>
    <w:rsid w:val="000F773B"/>
    <w:rsid w:val="0010616D"/>
    <w:rsid w:val="001077E4"/>
    <w:rsid w:val="00110478"/>
    <w:rsid w:val="00110F99"/>
    <w:rsid w:val="0011711B"/>
    <w:rsid w:val="00117F8A"/>
    <w:rsid w:val="00121B9B"/>
    <w:rsid w:val="00122ADC"/>
    <w:rsid w:val="00130F59"/>
    <w:rsid w:val="00133EC0"/>
    <w:rsid w:val="001345CF"/>
    <w:rsid w:val="00141CE5"/>
    <w:rsid w:val="00142A07"/>
    <w:rsid w:val="00144908"/>
    <w:rsid w:val="001571C7"/>
    <w:rsid w:val="00161094"/>
    <w:rsid w:val="0017665C"/>
    <w:rsid w:val="00177AD2"/>
    <w:rsid w:val="00180692"/>
    <w:rsid w:val="001815A8"/>
    <w:rsid w:val="001840FA"/>
    <w:rsid w:val="00190079"/>
    <w:rsid w:val="0019622E"/>
    <w:rsid w:val="001966A7"/>
    <w:rsid w:val="001A4627"/>
    <w:rsid w:val="001A4979"/>
    <w:rsid w:val="001B14BD"/>
    <w:rsid w:val="001B15D3"/>
    <w:rsid w:val="001B3443"/>
    <w:rsid w:val="001C0326"/>
    <w:rsid w:val="001C192F"/>
    <w:rsid w:val="001C3C42"/>
    <w:rsid w:val="001C66AA"/>
    <w:rsid w:val="001D7869"/>
    <w:rsid w:val="001E1E05"/>
    <w:rsid w:val="001E26E0"/>
    <w:rsid w:val="002026CD"/>
    <w:rsid w:val="002033FC"/>
    <w:rsid w:val="002044BB"/>
    <w:rsid w:val="00210B09"/>
    <w:rsid w:val="00210C9E"/>
    <w:rsid w:val="00211840"/>
    <w:rsid w:val="00220E5F"/>
    <w:rsid w:val="002212B5"/>
    <w:rsid w:val="00226668"/>
    <w:rsid w:val="00226BBE"/>
    <w:rsid w:val="002337E7"/>
    <w:rsid w:val="00233809"/>
    <w:rsid w:val="00235606"/>
    <w:rsid w:val="00240046"/>
    <w:rsid w:val="0024797F"/>
    <w:rsid w:val="0025119E"/>
    <w:rsid w:val="00251269"/>
    <w:rsid w:val="002535C0"/>
    <w:rsid w:val="00255A47"/>
    <w:rsid w:val="002579FE"/>
    <w:rsid w:val="002602A0"/>
    <w:rsid w:val="0026311C"/>
    <w:rsid w:val="0026668C"/>
    <w:rsid w:val="00266AC1"/>
    <w:rsid w:val="00271420"/>
    <w:rsid w:val="0027178C"/>
    <w:rsid w:val="002719FA"/>
    <w:rsid w:val="00272668"/>
    <w:rsid w:val="0027330B"/>
    <w:rsid w:val="00277BFE"/>
    <w:rsid w:val="002803AD"/>
    <w:rsid w:val="00282052"/>
    <w:rsid w:val="0028519E"/>
    <w:rsid w:val="002856A5"/>
    <w:rsid w:val="002872ED"/>
    <w:rsid w:val="002905C2"/>
    <w:rsid w:val="00295AF2"/>
    <w:rsid w:val="00295C91"/>
    <w:rsid w:val="00297151"/>
    <w:rsid w:val="00297D7B"/>
    <w:rsid w:val="002B20E6"/>
    <w:rsid w:val="002B42A3"/>
    <w:rsid w:val="002C03EE"/>
    <w:rsid w:val="002C0CDD"/>
    <w:rsid w:val="002C22CA"/>
    <w:rsid w:val="002C38C4"/>
    <w:rsid w:val="002C6AF9"/>
    <w:rsid w:val="002E1A1D"/>
    <w:rsid w:val="002E4081"/>
    <w:rsid w:val="002E58D3"/>
    <w:rsid w:val="002E5B78"/>
    <w:rsid w:val="002F3AE3"/>
    <w:rsid w:val="0030464B"/>
    <w:rsid w:val="00304670"/>
    <w:rsid w:val="0030786C"/>
    <w:rsid w:val="00310BC4"/>
    <w:rsid w:val="00310E67"/>
    <w:rsid w:val="003233DE"/>
    <w:rsid w:val="0032466B"/>
    <w:rsid w:val="003261EB"/>
    <w:rsid w:val="00332351"/>
    <w:rsid w:val="003330EB"/>
    <w:rsid w:val="003415FD"/>
    <w:rsid w:val="003429F0"/>
    <w:rsid w:val="00345A82"/>
    <w:rsid w:val="0035097A"/>
    <w:rsid w:val="00351F0C"/>
    <w:rsid w:val="003540A4"/>
    <w:rsid w:val="00357BCC"/>
    <w:rsid w:val="00360E4E"/>
    <w:rsid w:val="00370AAA"/>
    <w:rsid w:val="00375F77"/>
    <w:rsid w:val="00381BBE"/>
    <w:rsid w:val="00382903"/>
    <w:rsid w:val="003846FF"/>
    <w:rsid w:val="003857D4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6577"/>
    <w:rsid w:val="003A775A"/>
    <w:rsid w:val="003B213A"/>
    <w:rsid w:val="003B24DF"/>
    <w:rsid w:val="003B43AD"/>
    <w:rsid w:val="003B5710"/>
    <w:rsid w:val="003C0FEC"/>
    <w:rsid w:val="003C2AC8"/>
    <w:rsid w:val="003D033A"/>
    <w:rsid w:val="003D17F9"/>
    <w:rsid w:val="003D2D88"/>
    <w:rsid w:val="003D41EA"/>
    <w:rsid w:val="003D4850"/>
    <w:rsid w:val="003D535A"/>
    <w:rsid w:val="003D7B40"/>
    <w:rsid w:val="003E5265"/>
    <w:rsid w:val="003F0955"/>
    <w:rsid w:val="003F48A5"/>
    <w:rsid w:val="003F5F4D"/>
    <w:rsid w:val="003F646F"/>
    <w:rsid w:val="00400F00"/>
    <w:rsid w:val="00404F8B"/>
    <w:rsid w:val="00405256"/>
    <w:rsid w:val="00410031"/>
    <w:rsid w:val="00415C81"/>
    <w:rsid w:val="0041694A"/>
    <w:rsid w:val="00432378"/>
    <w:rsid w:val="00440D65"/>
    <w:rsid w:val="00441F38"/>
    <w:rsid w:val="004435E6"/>
    <w:rsid w:val="00447E31"/>
    <w:rsid w:val="00453923"/>
    <w:rsid w:val="00454B9B"/>
    <w:rsid w:val="00457858"/>
    <w:rsid w:val="00460B0B"/>
    <w:rsid w:val="00461023"/>
    <w:rsid w:val="00462FAC"/>
    <w:rsid w:val="00464631"/>
    <w:rsid w:val="00464B79"/>
    <w:rsid w:val="00465B07"/>
    <w:rsid w:val="00467BBF"/>
    <w:rsid w:val="00476EB6"/>
    <w:rsid w:val="00484AC3"/>
    <w:rsid w:val="0048593C"/>
    <w:rsid w:val="004867E2"/>
    <w:rsid w:val="004929A9"/>
    <w:rsid w:val="004A78D9"/>
    <w:rsid w:val="004B115B"/>
    <w:rsid w:val="004C4FE0"/>
    <w:rsid w:val="004C6BCF"/>
    <w:rsid w:val="004D4815"/>
    <w:rsid w:val="004D58BF"/>
    <w:rsid w:val="004D5FD0"/>
    <w:rsid w:val="004E4335"/>
    <w:rsid w:val="004F13EE"/>
    <w:rsid w:val="004F2022"/>
    <w:rsid w:val="004F7C05"/>
    <w:rsid w:val="00501C94"/>
    <w:rsid w:val="00506432"/>
    <w:rsid w:val="005078CA"/>
    <w:rsid w:val="00512B2C"/>
    <w:rsid w:val="0052051D"/>
    <w:rsid w:val="0052615A"/>
    <w:rsid w:val="005451E7"/>
    <w:rsid w:val="00545EE6"/>
    <w:rsid w:val="005537F2"/>
    <w:rsid w:val="005550E7"/>
    <w:rsid w:val="005564FB"/>
    <w:rsid w:val="005572C7"/>
    <w:rsid w:val="00561D6C"/>
    <w:rsid w:val="005650ED"/>
    <w:rsid w:val="005660ED"/>
    <w:rsid w:val="00572551"/>
    <w:rsid w:val="00575754"/>
    <w:rsid w:val="00581F0C"/>
    <w:rsid w:val="00581FBA"/>
    <w:rsid w:val="00591E20"/>
    <w:rsid w:val="00595408"/>
    <w:rsid w:val="00595E84"/>
    <w:rsid w:val="005A0C59"/>
    <w:rsid w:val="005A48EB"/>
    <w:rsid w:val="005A6CFB"/>
    <w:rsid w:val="005B20DD"/>
    <w:rsid w:val="005B63CE"/>
    <w:rsid w:val="005C5AEB"/>
    <w:rsid w:val="005D06A7"/>
    <w:rsid w:val="005E0A3F"/>
    <w:rsid w:val="005E65A5"/>
    <w:rsid w:val="005E66D2"/>
    <w:rsid w:val="005E6883"/>
    <w:rsid w:val="005E772F"/>
    <w:rsid w:val="005F4ECA"/>
    <w:rsid w:val="006041BE"/>
    <w:rsid w:val="006043C7"/>
    <w:rsid w:val="00624B52"/>
    <w:rsid w:val="00630794"/>
    <w:rsid w:val="00631DF4"/>
    <w:rsid w:val="00634175"/>
    <w:rsid w:val="006408AC"/>
    <w:rsid w:val="006503E5"/>
    <w:rsid w:val="0065059B"/>
    <w:rsid w:val="006511B6"/>
    <w:rsid w:val="00657FF8"/>
    <w:rsid w:val="006673B6"/>
    <w:rsid w:val="00670D99"/>
    <w:rsid w:val="00670E2B"/>
    <w:rsid w:val="006734BB"/>
    <w:rsid w:val="0067697A"/>
    <w:rsid w:val="006821EB"/>
    <w:rsid w:val="006B2286"/>
    <w:rsid w:val="006B56BB"/>
    <w:rsid w:val="006C77A8"/>
    <w:rsid w:val="006D1D01"/>
    <w:rsid w:val="006D4098"/>
    <w:rsid w:val="006D7681"/>
    <w:rsid w:val="006D7B2E"/>
    <w:rsid w:val="006E02EA"/>
    <w:rsid w:val="006E0968"/>
    <w:rsid w:val="006E2AF6"/>
    <w:rsid w:val="00701275"/>
    <w:rsid w:val="00707F56"/>
    <w:rsid w:val="00713558"/>
    <w:rsid w:val="00720D08"/>
    <w:rsid w:val="00722FF3"/>
    <w:rsid w:val="007263B9"/>
    <w:rsid w:val="00732710"/>
    <w:rsid w:val="007334F8"/>
    <w:rsid w:val="007339CD"/>
    <w:rsid w:val="007359D8"/>
    <w:rsid w:val="007362D4"/>
    <w:rsid w:val="00736BDA"/>
    <w:rsid w:val="007569E8"/>
    <w:rsid w:val="007622EA"/>
    <w:rsid w:val="0076672A"/>
    <w:rsid w:val="007668D4"/>
    <w:rsid w:val="007742E1"/>
    <w:rsid w:val="00775E45"/>
    <w:rsid w:val="00776E74"/>
    <w:rsid w:val="00785169"/>
    <w:rsid w:val="007954AB"/>
    <w:rsid w:val="007A14C5"/>
    <w:rsid w:val="007A4A10"/>
    <w:rsid w:val="007B1760"/>
    <w:rsid w:val="007B294C"/>
    <w:rsid w:val="007C1FDC"/>
    <w:rsid w:val="007C6D9C"/>
    <w:rsid w:val="007C7DDB"/>
    <w:rsid w:val="007D1D7F"/>
    <w:rsid w:val="007D2CC7"/>
    <w:rsid w:val="007D2EC3"/>
    <w:rsid w:val="007D673D"/>
    <w:rsid w:val="007D7920"/>
    <w:rsid w:val="007E4D09"/>
    <w:rsid w:val="007F07FE"/>
    <w:rsid w:val="007F2220"/>
    <w:rsid w:val="007F4B3E"/>
    <w:rsid w:val="008127AF"/>
    <w:rsid w:val="00812B46"/>
    <w:rsid w:val="00815700"/>
    <w:rsid w:val="008264EB"/>
    <w:rsid w:val="00826B8F"/>
    <w:rsid w:val="00831660"/>
    <w:rsid w:val="00831E8A"/>
    <w:rsid w:val="00835C76"/>
    <w:rsid w:val="008376E2"/>
    <w:rsid w:val="00843049"/>
    <w:rsid w:val="0085209B"/>
    <w:rsid w:val="00854E0D"/>
    <w:rsid w:val="00856B66"/>
    <w:rsid w:val="008601AC"/>
    <w:rsid w:val="008619D7"/>
    <w:rsid w:val="00861A5F"/>
    <w:rsid w:val="008644AD"/>
    <w:rsid w:val="00865735"/>
    <w:rsid w:val="00865DDB"/>
    <w:rsid w:val="00867538"/>
    <w:rsid w:val="00873417"/>
    <w:rsid w:val="00873D90"/>
    <w:rsid w:val="00873FC8"/>
    <w:rsid w:val="00884C63"/>
    <w:rsid w:val="00885908"/>
    <w:rsid w:val="008864B7"/>
    <w:rsid w:val="0089404B"/>
    <w:rsid w:val="0089677E"/>
    <w:rsid w:val="008A41B4"/>
    <w:rsid w:val="008A457C"/>
    <w:rsid w:val="008A7438"/>
    <w:rsid w:val="008B1334"/>
    <w:rsid w:val="008B25C7"/>
    <w:rsid w:val="008B3428"/>
    <w:rsid w:val="008B64ED"/>
    <w:rsid w:val="008C0278"/>
    <w:rsid w:val="008C24E9"/>
    <w:rsid w:val="008D0533"/>
    <w:rsid w:val="008D42CB"/>
    <w:rsid w:val="008D48B3"/>
    <w:rsid w:val="008D48C9"/>
    <w:rsid w:val="008D6381"/>
    <w:rsid w:val="008E0C77"/>
    <w:rsid w:val="008E4198"/>
    <w:rsid w:val="008E625F"/>
    <w:rsid w:val="008F264D"/>
    <w:rsid w:val="009040E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61E6"/>
    <w:rsid w:val="009268E1"/>
    <w:rsid w:val="00931858"/>
    <w:rsid w:val="00933875"/>
    <w:rsid w:val="009344DE"/>
    <w:rsid w:val="00941431"/>
    <w:rsid w:val="009416FD"/>
    <w:rsid w:val="00944E10"/>
    <w:rsid w:val="00945E7F"/>
    <w:rsid w:val="009557C1"/>
    <w:rsid w:val="00960D6E"/>
    <w:rsid w:val="009728B6"/>
    <w:rsid w:val="00974B59"/>
    <w:rsid w:val="0098340B"/>
    <w:rsid w:val="00986830"/>
    <w:rsid w:val="009924C3"/>
    <w:rsid w:val="00993102"/>
    <w:rsid w:val="009B1570"/>
    <w:rsid w:val="009B288F"/>
    <w:rsid w:val="009B5176"/>
    <w:rsid w:val="009C6F10"/>
    <w:rsid w:val="009D148F"/>
    <w:rsid w:val="009D3D70"/>
    <w:rsid w:val="009D56C9"/>
    <w:rsid w:val="009E41C8"/>
    <w:rsid w:val="009E6F7E"/>
    <w:rsid w:val="009E7A57"/>
    <w:rsid w:val="009F1707"/>
    <w:rsid w:val="009F4803"/>
    <w:rsid w:val="009F4F6A"/>
    <w:rsid w:val="00A0101D"/>
    <w:rsid w:val="00A10152"/>
    <w:rsid w:val="00A13EB5"/>
    <w:rsid w:val="00A16E36"/>
    <w:rsid w:val="00A24961"/>
    <w:rsid w:val="00A24B10"/>
    <w:rsid w:val="00A277EF"/>
    <w:rsid w:val="00A30E9B"/>
    <w:rsid w:val="00A41A68"/>
    <w:rsid w:val="00A443A0"/>
    <w:rsid w:val="00A4512D"/>
    <w:rsid w:val="00A50244"/>
    <w:rsid w:val="00A627D7"/>
    <w:rsid w:val="00A656C7"/>
    <w:rsid w:val="00A705AF"/>
    <w:rsid w:val="00A71566"/>
    <w:rsid w:val="00A72454"/>
    <w:rsid w:val="00A77696"/>
    <w:rsid w:val="00A77F79"/>
    <w:rsid w:val="00A80557"/>
    <w:rsid w:val="00A81D33"/>
    <w:rsid w:val="00A8341C"/>
    <w:rsid w:val="00A8342B"/>
    <w:rsid w:val="00A930AE"/>
    <w:rsid w:val="00A93550"/>
    <w:rsid w:val="00AA1A95"/>
    <w:rsid w:val="00AA260F"/>
    <w:rsid w:val="00AB1EE7"/>
    <w:rsid w:val="00AB4B37"/>
    <w:rsid w:val="00AB5762"/>
    <w:rsid w:val="00AB5C7B"/>
    <w:rsid w:val="00AC2679"/>
    <w:rsid w:val="00AC4BE4"/>
    <w:rsid w:val="00AC528F"/>
    <w:rsid w:val="00AD05E6"/>
    <w:rsid w:val="00AD0D3F"/>
    <w:rsid w:val="00AE1A6D"/>
    <w:rsid w:val="00AE1D7D"/>
    <w:rsid w:val="00AE2A8B"/>
    <w:rsid w:val="00AE3F64"/>
    <w:rsid w:val="00AF2005"/>
    <w:rsid w:val="00AF3C11"/>
    <w:rsid w:val="00AF7386"/>
    <w:rsid w:val="00AF7934"/>
    <w:rsid w:val="00B003B7"/>
    <w:rsid w:val="00B00B81"/>
    <w:rsid w:val="00B04580"/>
    <w:rsid w:val="00B04B09"/>
    <w:rsid w:val="00B06D7D"/>
    <w:rsid w:val="00B07988"/>
    <w:rsid w:val="00B14444"/>
    <w:rsid w:val="00B16A51"/>
    <w:rsid w:val="00B2200E"/>
    <w:rsid w:val="00B266EE"/>
    <w:rsid w:val="00B31B21"/>
    <w:rsid w:val="00B32222"/>
    <w:rsid w:val="00B34B87"/>
    <w:rsid w:val="00B3618D"/>
    <w:rsid w:val="00B36233"/>
    <w:rsid w:val="00B42851"/>
    <w:rsid w:val="00B45AC7"/>
    <w:rsid w:val="00B53380"/>
    <w:rsid w:val="00B5372F"/>
    <w:rsid w:val="00B61129"/>
    <w:rsid w:val="00B63C2B"/>
    <w:rsid w:val="00B66300"/>
    <w:rsid w:val="00B67E7F"/>
    <w:rsid w:val="00B727DA"/>
    <w:rsid w:val="00B74329"/>
    <w:rsid w:val="00B839B2"/>
    <w:rsid w:val="00B867D8"/>
    <w:rsid w:val="00B94252"/>
    <w:rsid w:val="00B9715A"/>
    <w:rsid w:val="00BA14BE"/>
    <w:rsid w:val="00BA2732"/>
    <w:rsid w:val="00BA293D"/>
    <w:rsid w:val="00BA49BC"/>
    <w:rsid w:val="00BA56B7"/>
    <w:rsid w:val="00BA7A1E"/>
    <w:rsid w:val="00BB14CC"/>
    <w:rsid w:val="00BB2F6C"/>
    <w:rsid w:val="00BB3875"/>
    <w:rsid w:val="00BB5860"/>
    <w:rsid w:val="00BB6AAD"/>
    <w:rsid w:val="00BC4A19"/>
    <w:rsid w:val="00BC4E6D"/>
    <w:rsid w:val="00BD0617"/>
    <w:rsid w:val="00BD2E9B"/>
    <w:rsid w:val="00BD3C68"/>
    <w:rsid w:val="00BD7800"/>
    <w:rsid w:val="00BD7FB2"/>
    <w:rsid w:val="00C00930"/>
    <w:rsid w:val="00C05D3B"/>
    <w:rsid w:val="00C060AD"/>
    <w:rsid w:val="00C11080"/>
    <w:rsid w:val="00C113BF"/>
    <w:rsid w:val="00C2176E"/>
    <w:rsid w:val="00C23430"/>
    <w:rsid w:val="00C26698"/>
    <w:rsid w:val="00C27D67"/>
    <w:rsid w:val="00C3687A"/>
    <w:rsid w:val="00C4565F"/>
    <w:rsid w:val="00C4631F"/>
    <w:rsid w:val="00C47CDE"/>
    <w:rsid w:val="00C50A9B"/>
    <w:rsid w:val="00C50E16"/>
    <w:rsid w:val="00C55258"/>
    <w:rsid w:val="00C63610"/>
    <w:rsid w:val="00C75C2E"/>
    <w:rsid w:val="00C77503"/>
    <w:rsid w:val="00C77FFC"/>
    <w:rsid w:val="00C82EEB"/>
    <w:rsid w:val="00C86AC9"/>
    <w:rsid w:val="00C971DC"/>
    <w:rsid w:val="00CA16B7"/>
    <w:rsid w:val="00CA62AE"/>
    <w:rsid w:val="00CB5B1A"/>
    <w:rsid w:val="00CB690F"/>
    <w:rsid w:val="00CC220B"/>
    <w:rsid w:val="00CC5C43"/>
    <w:rsid w:val="00CD02AE"/>
    <w:rsid w:val="00CD2A4F"/>
    <w:rsid w:val="00CE03CA"/>
    <w:rsid w:val="00CE22F1"/>
    <w:rsid w:val="00CE4831"/>
    <w:rsid w:val="00CE50F2"/>
    <w:rsid w:val="00CE6502"/>
    <w:rsid w:val="00CF2D16"/>
    <w:rsid w:val="00CF6B78"/>
    <w:rsid w:val="00CF7D3C"/>
    <w:rsid w:val="00D01F09"/>
    <w:rsid w:val="00D07F9A"/>
    <w:rsid w:val="00D147EB"/>
    <w:rsid w:val="00D22C42"/>
    <w:rsid w:val="00D24D0C"/>
    <w:rsid w:val="00D34667"/>
    <w:rsid w:val="00D401E1"/>
    <w:rsid w:val="00D408B4"/>
    <w:rsid w:val="00D51110"/>
    <w:rsid w:val="00D524C8"/>
    <w:rsid w:val="00D56983"/>
    <w:rsid w:val="00D70E24"/>
    <w:rsid w:val="00D72A90"/>
    <w:rsid w:val="00D72B61"/>
    <w:rsid w:val="00D911F7"/>
    <w:rsid w:val="00D957B4"/>
    <w:rsid w:val="00DA3D1D"/>
    <w:rsid w:val="00DB33EC"/>
    <w:rsid w:val="00DB4958"/>
    <w:rsid w:val="00DB6286"/>
    <w:rsid w:val="00DB645F"/>
    <w:rsid w:val="00DB76E9"/>
    <w:rsid w:val="00DC0A67"/>
    <w:rsid w:val="00DC1D5E"/>
    <w:rsid w:val="00DC5220"/>
    <w:rsid w:val="00DC6DBB"/>
    <w:rsid w:val="00DC7D01"/>
    <w:rsid w:val="00DD1E36"/>
    <w:rsid w:val="00DD2061"/>
    <w:rsid w:val="00DD612A"/>
    <w:rsid w:val="00DD6FB3"/>
    <w:rsid w:val="00DD7DAB"/>
    <w:rsid w:val="00DE3355"/>
    <w:rsid w:val="00DE5633"/>
    <w:rsid w:val="00DF0C60"/>
    <w:rsid w:val="00DF286E"/>
    <w:rsid w:val="00DF486F"/>
    <w:rsid w:val="00DF5B5B"/>
    <w:rsid w:val="00DF7619"/>
    <w:rsid w:val="00E042D8"/>
    <w:rsid w:val="00E07908"/>
    <w:rsid w:val="00E07EE7"/>
    <w:rsid w:val="00E1103B"/>
    <w:rsid w:val="00E15AD6"/>
    <w:rsid w:val="00E17B44"/>
    <w:rsid w:val="00E20F27"/>
    <w:rsid w:val="00E22443"/>
    <w:rsid w:val="00E26A5C"/>
    <w:rsid w:val="00E2719B"/>
    <w:rsid w:val="00E27FEA"/>
    <w:rsid w:val="00E4086F"/>
    <w:rsid w:val="00E43B3C"/>
    <w:rsid w:val="00E50188"/>
    <w:rsid w:val="00E50BB3"/>
    <w:rsid w:val="00E515CB"/>
    <w:rsid w:val="00E52260"/>
    <w:rsid w:val="00E62475"/>
    <w:rsid w:val="00E639B6"/>
    <w:rsid w:val="00E6434B"/>
    <w:rsid w:val="00E6463D"/>
    <w:rsid w:val="00E72E9B"/>
    <w:rsid w:val="00E80BD1"/>
    <w:rsid w:val="00E850C3"/>
    <w:rsid w:val="00E87DF2"/>
    <w:rsid w:val="00E9462E"/>
    <w:rsid w:val="00EA470E"/>
    <w:rsid w:val="00EA47A7"/>
    <w:rsid w:val="00EA57EB"/>
    <w:rsid w:val="00EB3226"/>
    <w:rsid w:val="00EB6822"/>
    <w:rsid w:val="00EC213A"/>
    <w:rsid w:val="00EC4783"/>
    <w:rsid w:val="00EC7744"/>
    <w:rsid w:val="00ED0DAD"/>
    <w:rsid w:val="00ED0F46"/>
    <w:rsid w:val="00ED2373"/>
    <w:rsid w:val="00EE3E8A"/>
    <w:rsid w:val="00EE7A53"/>
    <w:rsid w:val="00EF58B8"/>
    <w:rsid w:val="00EF6ECA"/>
    <w:rsid w:val="00EF7110"/>
    <w:rsid w:val="00F01C3D"/>
    <w:rsid w:val="00F024E1"/>
    <w:rsid w:val="00F06C10"/>
    <w:rsid w:val="00F1096F"/>
    <w:rsid w:val="00F12589"/>
    <w:rsid w:val="00F12595"/>
    <w:rsid w:val="00F134D9"/>
    <w:rsid w:val="00F1403D"/>
    <w:rsid w:val="00F1463F"/>
    <w:rsid w:val="00F21302"/>
    <w:rsid w:val="00F26B2C"/>
    <w:rsid w:val="00F321DE"/>
    <w:rsid w:val="00F33777"/>
    <w:rsid w:val="00F40648"/>
    <w:rsid w:val="00F47DA2"/>
    <w:rsid w:val="00F519FC"/>
    <w:rsid w:val="00F5411F"/>
    <w:rsid w:val="00F6239D"/>
    <w:rsid w:val="00F66774"/>
    <w:rsid w:val="00F715D2"/>
    <w:rsid w:val="00F7274F"/>
    <w:rsid w:val="00F74E84"/>
    <w:rsid w:val="00F76F1D"/>
    <w:rsid w:val="00F76FA8"/>
    <w:rsid w:val="00F826E3"/>
    <w:rsid w:val="00F83A91"/>
    <w:rsid w:val="00F93B2B"/>
    <w:rsid w:val="00F93F08"/>
    <w:rsid w:val="00F94CED"/>
    <w:rsid w:val="00F97537"/>
    <w:rsid w:val="00FA02BB"/>
    <w:rsid w:val="00FA2CEE"/>
    <w:rsid w:val="00FA318C"/>
    <w:rsid w:val="00FA6F47"/>
    <w:rsid w:val="00FB3699"/>
    <w:rsid w:val="00FB6F92"/>
    <w:rsid w:val="00FC026E"/>
    <w:rsid w:val="00FC5124"/>
    <w:rsid w:val="00FC55EE"/>
    <w:rsid w:val="00FC6366"/>
    <w:rsid w:val="00FD4731"/>
    <w:rsid w:val="00FD6768"/>
    <w:rsid w:val="00FF0AB0"/>
    <w:rsid w:val="00FF28AC"/>
    <w:rsid w:val="00FF7B0B"/>
    <w:rsid w:val="00FF7F62"/>
    <w:rsid w:val="058370A3"/>
    <w:rsid w:val="06925DE0"/>
    <w:rsid w:val="06A6CD96"/>
    <w:rsid w:val="085F5053"/>
    <w:rsid w:val="0935B7EB"/>
    <w:rsid w:val="0B3D5709"/>
    <w:rsid w:val="0B9AE7A2"/>
    <w:rsid w:val="0E758680"/>
    <w:rsid w:val="0F2B2604"/>
    <w:rsid w:val="10CFFC02"/>
    <w:rsid w:val="14121521"/>
    <w:rsid w:val="14CB10F2"/>
    <w:rsid w:val="1612800D"/>
    <w:rsid w:val="193CBCCF"/>
    <w:rsid w:val="19E9B191"/>
    <w:rsid w:val="20D9C3EF"/>
    <w:rsid w:val="22B42DB7"/>
    <w:rsid w:val="247F285B"/>
    <w:rsid w:val="2781147B"/>
    <w:rsid w:val="288F619B"/>
    <w:rsid w:val="2A7467A9"/>
    <w:rsid w:val="2B262060"/>
    <w:rsid w:val="2B69DB33"/>
    <w:rsid w:val="2C90C605"/>
    <w:rsid w:val="2EED6B76"/>
    <w:rsid w:val="2FBE37A0"/>
    <w:rsid w:val="3631517C"/>
    <w:rsid w:val="398D09C3"/>
    <w:rsid w:val="39F951B2"/>
    <w:rsid w:val="3A9201C0"/>
    <w:rsid w:val="3C97E7E0"/>
    <w:rsid w:val="3E21DA37"/>
    <w:rsid w:val="406F78B1"/>
    <w:rsid w:val="41CAB8BF"/>
    <w:rsid w:val="436438D9"/>
    <w:rsid w:val="45551CAA"/>
    <w:rsid w:val="45D7DA1A"/>
    <w:rsid w:val="470308A6"/>
    <w:rsid w:val="473FEB57"/>
    <w:rsid w:val="47D6DD3A"/>
    <w:rsid w:val="4AD134AE"/>
    <w:rsid w:val="4C5A6775"/>
    <w:rsid w:val="4C6D050F"/>
    <w:rsid w:val="4C774D5C"/>
    <w:rsid w:val="5173BEBC"/>
    <w:rsid w:val="51CB17A2"/>
    <w:rsid w:val="548A0CAF"/>
    <w:rsid w:val="56A7C700"/>
    <w:rsid w:val="5A291417"/>
    <w:rsid w:val="5A554B3E"/>
    <w:rsid w:val="5AA004FB"/>
    <w:rsid w:val="5B8381EC"/>
    <w:rsid w:val="5CA11693"/>
    <w:rsid w:val="5D5FB4F6"/>
    <w:rsid w:val="62556C66"/>
    <w:rsid w:val="63EFAB54"/>
    <w:rsid w:val="64B423B2"/>
    <w:rsid w:val="676F3849"/>
    <w:rsid w:val="68882A83"/>
    <w:rsid w:val="69B2BEFA"/>
    <w:rsid w:val="6DDCF0E2"/>
    <w:rsid w:val="6FDBA3A6"/>
    <w:rsid w:val="70C70BD5"/>
    <w:rsid w:val="710260D7"/>
    <w:rsid w:val="71AA0808"/>
    <w:rsid w:val="7200E976"/>
    <w:rsid w:val="74A9780E"/>
    <w:rsid w:val="75BF2892"/>
    <w:rsid w:val="7A043C0A"/>
    <w:rsid w:val="7B7FC13F"/>
    <w:rsid w:val="7C1541B9"/>
    <w:rsid w:val="7D567F9E"/>
    <w:rsid w:val="7E22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2220E2F"/>
  <w15:docId w15:val="{79C3C7BD-DB1D-4C43-A998-A075893C2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F5F4D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E41C8"/>
    <w:pPr>
      <w:keepNext/>
      <w:spacing w:before="240" w:after="120"/>
      <w:outlineLvl w:val="0"/>
    </w:pPr>
    <w:rPr>
      <w:rFonts w:cs="Arial"/>
      <w:bCs/>
      <w:color w:val="3F4A75"/>
      <w:kern w:val="28"/>
      <w:sz w:val="36"/>
      <w:szCs w:val="36"/>
    </w:rPr>
  </w:style>
  <w:style w:type="paragraph" w:styleId="Heading2">
    <w:name w:val="heading 2"/>
    <w:next w:val="Paragraphtext"/>
    <w:qFormat/>
    <w:rsid w:val="008376E2"/>
    <w:pPr>
      <w:keepNext/>
      <w:spacing w:before="240" w:after="60"/>
      <w:outlineLvl w:val="1"/>
    </w:pPr>
    <w:rPr>
      <w:rFonts w:ascii="Arial" w:hAnsi="Arial" w:cs="Arial"/>
      <w:bCs/>
      <w:iCs/>
      <w:color w:val="358189"/>
      <w:sz w:val="32"/>
      <w:szCs w:val="28"/>
      <w:lang w:eastAsia="en-US"/>
    </w:rPr>
  </w:style>
  <w:style w:type="paragraph" w:styleId="Heading3">
    <w:name w:val="heading 3"/>
    <w:next w:val="Normal"/>
    <w:qFormat/>
    <w:rsid w:val="003F5F4D"/>
    <w:pPr>
      <w:keepNext/>
      <w:spacing w:before="180" w:after="60"/>
      <w:outlineLvl w:val="2"/>
    </w:pPr>
    <w:rPr>
      <w:rFonts w:ascii="Arial" w:hAnsi="Arial" w:cs="Arial"/>
      <w:bCs/>
      <w:color w:val="358189"/>
      <w:sz w:val="28"/>
      <w:szCs w:val="26"/>
      <w:lang w:eastAsia="en-US"/>
    </w:rPr>
  </w:style>
  <w:style w:type="paragraph" w:styleId="Heading4">
    <w:name w:val="heading 4"/>
    <w:basedOn w:val="Normal"/>
    <w:next w:val="Normal"/>
    <w:qFormat/>
    <w:rsid w:val="002C38C4"/>
    <w:pPr>
      <w:keepNext/>
      <w:spacing w:before="240" w:after="60"/>
      <w:outlineLvl w:val="3"/>
    </w:pPr>
    <w:rPr>
      <w:b/>
      <w:bCs/>
      <w:i/>
      <w:color w:val="414141"/>
      <w:sz w:val="24"/>
      <w:szCs w:val="28"/>
    </w:rPr>
  </w:style>
  <w:style w:type="paragraph" w:styleId="Heading5">
    <w:name w:val="heading 5"/>
    <w:basedOn w:val="Normal"/>
    <w:next w:val="Normal"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1B14BD"/>
    <w:pPr>
      <w:spacing w:before="120" w:after="120"/>
    </w:pPr>
    <w:rPr>
      <w:rFonts w:cs="Arial"/>
      <w:color w:val="000000" w:themeColor="text1"/>
      <w:sz w:val="21"/>
      <w:szCs w:val="21"/>
    </w:rPr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5564FB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5564FB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8376E2"/>
    <w:pPr>
      <w:spacing w:before="480" w:after="120"/>
      <w:contextualSpacing/>
    </w:pPr>
    <w:rPr>
      <w:rFonts w:eastAsiaTheme="majorEastAsia" w:cstheme="majorBidi"/>
      <w:color w:val="3F4A7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8376E2"/>
    <w:rPr>
      <w:rFonts w:ascii="Arial" w:eastAsiaTheme="majorEastAsia" w:hAnsi="Arial" w:cstheme="majorBidi"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B53380"/>
    <w:pPr>
      <w:ind w:left="720"/>
    </w:pPr>
    <w:rPr>
      <w:rFonts w:ascii="Arial" w:hAnsi="Arial"/>
      <w:i/>
      <w:iCs/>
      <w:color w:val="000000" w:themeColor="text1"/>
      <w:sz w:val="21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B53380"/>
    <w:rPr>
      <w:rFonts w:ascii="Arial" w:hAnsi="Arial"/>
      <w:i/>
      <w:iCs/>
      <w:color w:val="000000" w:themeColor="text1"/>
      <w:sz w:val="21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570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1570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4"/>
      </w:numPr>
      <w:ind w:left="568" w:hanging="284"/>
    </w:pPr>
  </w:style>
  <w:style w:type="paragraph" w:styleId="ListNumber2">
    <w:name w:val="List Number 2"/>
    <w:basedOn w:val="ListBullet"/>
    <w:qFormat/>
    <w:rsid w:val="0048593C"/>
    <w:pPr>
      <w:numPr>
        <w:numId w:val="6"/>
      </w:numPr>
    </w:pPr>
  </w:style>
  <w:style w:type="paragraph" w:styleId="ListBullet">
    <w:name w:val="List Bullet"/>
    <w:basedOn w:val="Normal"/>
    <w:qFormat/>
    <w:rsid w:val="0048593C"/>
    <w:pPr>
      <w:numPr>
        <w:numId w:val="5"/>
      </w:numPr>
      <w:spacing w:before="60" w:after="60"/>
    </w:pPr>
    <w:rPr>
      <w:color w:val="000000" w:themeColor="text1"/>
      <w:sz w:val="21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1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3D535A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6B56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56BB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220E5F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20E5F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B16A51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DA3D1D"/>
    <w:pPr>
      <w:spacing w:before="120" w:after="120"/>
    </w:pPr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707F5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110478"/>
    <w:pPr>
      <w:numPr>
        <w:numId w:val="2"/>
      </w:numPr>
      <w:ind w:left="284" w:hanging="284"/>
    </w:pPr>
    <w:rPr>
      <w:szCs w:val="20"/>
    </w:rPr>
  </w:style>
  <w:style w:type="paragraph" w:customStyle="1" w:styleId="Tablelistnumber">
    <w:name w:val="Table list number"/>
    <w:basedOn w:val="TableText"/>
    <w:qFormat/>
    <w:rsid w:val="00DD2061"/>
    <w:pPr>
      <w:numPr>
        <w:numId w:val="3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B16A51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BB5860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177AD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177AD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Title"/>
    <w:qFormat/>
    <w:rsid w:val="00E87DF2"/>
    <w:pPr>
      <w:spacing w:after="240" w:line="400" w:lineRule="auto"/>
    </w:pPr>
    <w:rPr>
      <w:color w:val="000000" w:themeColor="text1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pPr>
      <w:spacing w:before="120" w:after="120"/>
    </w:pPr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character" w:styleId="PlaceholderText">
    <w:name w:val="Placeholder Text"/>
    <w:basedOn w:val="DefaultParagraphFont"/>
    <w:uiPriority w:val="99"/>
    <w:semiHidden/>
    <w:rsid w:val="00BD3C68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9E41C8"/>
    <w:rPr>
      <w:rFonts w:ascii="Arial" w:hAnsi="Arial" w:cs="Arial"/>
      <w:bCs/>
      <w:color w:val="3F4A75"/>
      <w:kern w:val="28"/>
      <w:sz w:val="36"/>
      <w:szCs w:val="36"/>
      <w:lang w:eastAsia="en-US"/>
    </w:rPr>
  </w:style>
  <w:style w:type="paragraph" w:customStyle="1" w:styleId="paragraph">
    <w:name w:val="paragraph"/>
    <w:basedOn w:val="Normal"/>
    <w:rsid w:val="001E26E0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character" w:customStyle="1" w:styleId="normaltextrun">
    <w:name w:val="normaltextrun"/>
    <w:basedOn w:val="DefaultParagraphFont"/>
    <w:rsid w:val="001E26E0"/>
  </w:style>
  <w:style w:type="character" w:customStyle="1" w:styleId="eop">
    <w:name w:val="eop"/>
    <w:basedOn w:val="DefaultParagraphFont"/>
    <w:rsid w:val="001E26E0"/>
  </w:style>
  <w:style w:type="character" w:customStyle="1" w:styleId="advancedproofingissue">
    <w:name w:val="advancedproofingissue"/>
    <w:basedOn w:val="DefaultParagraphFont"/>
    <w:rsid w:val="001E26E0"/>
  </w:style>
  <w:style w:type="character" w:customStyle="1" w:styleId="contextualspellingandgrammarerror">
    <w:name w:val="contextualspellingandgrammarerror"/>
    <w:basedOn w:val="DefaultParagraphFont"/>
    <w:rsid w:val="001E26E0"/>
  </w:style>
  <w:style w:type="paragraph" w:styleId="BalloonText">
    <w:name w:val="Balloon Text"/>
    <w:basedOn w:val="Normal"/>
    <w:link w:val="BalloonTextChar"/>
    <w:semiHidden/>
    <w:unhideWhenUsed/>
    <w:rsid w:val="00C368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3687A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semiHidden/>
    <w:unhideWhenUsed/>
    <w:rsid w:val="0089404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940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9404B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940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9404B"/>
    <w:rPr>
      <w:rFonts w:ascii="Arial" w:hAnsi="Arial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2669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C266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4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74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64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3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3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gri\AppData\Local\Hewlett-Packard\HP%20TRIM\TEMP\HPTRIM.2076\D19-1084095%20%20TEMPLATE%20Terms%20of%20Reference%20(ToR).DOTX" TargetMode="External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077CDBE4B4694FA79604431A628248" ma:contentTypeVersion="63" ma:contentTypeDescription="Create a new document." ma:contentTypeScope="" ma:versionID="293097d294377702e8ddd420016a1f17">
  <xsd:schema xmlns:xsd="http://www.w3.org/2001/XMLSchema" xmlns:xs="http://www.w3.org/2001/XMLSchema" xmlns:p="http://schemas.microsoft.com/office/2006/metadata/properties" xmlns:ns1="http://schemas.microsoft.com/sharepoint/v3" xmlns:ns2="d29d5f7a-be03-4e9c-abe5-c85ece0a2186" xmlns:ns3="7b0f5f5d-7db3-4d3b-b63b-ce18a6ecc538" targetNamespace="http://schemas.microsoft.com/office/2006/metadata/properties" ma:root="true" ma:fieldsID="3cc1bee3b317e60dba361a8b27e6418e" ns1:_="" ns2:_="" ns3:_="">
    <xsd:import namespace="http://schemas.microsoft.com/sharepoint/v3"/>
    <xsd:import namespace="d29d5f7a-be03-4e9c-abe5-c85ece0a2186"/>
    <xsd:import namespace="7b0f5f5d-7db3-4d3b-b63b-ce18a6ecc538"/>
    <xsd:element name="properties">
      <xsd:complexType>
        <xsd:sequence>
          <xsd:element name="documentManagement">
            <xsd:complexType>
              <xsd:all>
                <xsd:element ref="ns2:Intranet" minOccurs="0"/>
                <xsd:element ref="ns2:Last_x0020_reviewed"/>
                <xsd:element ref="ns2:Reference_x0020_no" minOccurs="0"/>
                <xsd:element ref="ns2:Sort_x0020_order" minOccurs="0"/>
                <xsd:element ref="ns2:i1d0747ae3af494ab286d151a7ae50ad" minOccurs="0"/>
                <xsd:element ref="ns2:fdb29d1fcbbc45bd938b0458f8e6eec1" minOccurs="0"/>
                <xsd:element ref="ns2:l5793240b3fe4d0982e2597a8e3ed364" minOccurs="0"/>
                <xsd:element ref="ns2:TaxCatchAll" minOccurs="0"/>
                <xsd:element ref="ns3:MediaServiceMetadata" minOccurs="0"/>
                <xsd:element ref="ns3:MediaServiceFastMetadata" minOccurs="0"/>
                <xsd:element ref="ns2:_dlc_DocId" minOccurs="0"/>
                <xsd:element ref="ns2:_dlc_DocIdUrl" minOccurs="0"/>
                <xsd:element ref="ns2:_dlc_DocIdPersistId" minOccurs="0"/>
                <xsd:element ref="ns3:MediaServiceAutoKeyPoints" minOccurs="0"/>
                <xsd:element ref="ns3:MediaServiceKeyPoints" minOccurs="0"/>
                <xsd:element ref="ns1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6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d5f7a-be03-4e9c-abe5-c85ece0a2186" elementFormDefault="qualified">
    <xsd:import namespace="http://schemas.microsoft.com/office/2006/documentManagement/types"/>
    <xsd:import namespace="http://schemas.microsoft.com/office/infopath/2007/PartnerControls"/>
    <xsd:element name="Intranet" ma:index="7" nillable="true" ma:displayName="Intranet" ma:default="1" ma:hidden="true" ma:internalName="Intranet" ma:readOnly="false">
      <xsd:simpleType>
        <xsd:restriction base="dms:Boolean"/>
      </xsd:simpleType>
    </xsd:element>
    <xsd:element name="Last_x0020_reviewed" ma:index="8" ma:displayName="Last reviewed" ma:default="[today]" ma:format="DateOnly" ma:internalName="Last_x0020_reviewed" ma:readOnly="false">
      <xsd:simpleType>
        <xsd:restriction base="dms:DateTime"/>
      </xsd:simpleType>
    </xsd:element>
    <xsd:element name="Reference_x0020_no" ma:index="9" nillable="true" ma:displayName="Reference no" ma:hidden="true" ma:internalName="Reference_x0020_no" ma:readOnly="false">
      <xsd:simpleType>
        <xsd:restriction base="dms:Text">
          <xsd:maxLength value="255"/>
        </xsd:restriction>
      </xsd:simpleType>
    </xsd:element>
    <xsd:element name="Sort_x0020_order" ma:index="10" nillable="true" ma:displayName="Sort order" ma:internalName="Sort_x0020_order">
      <xsd:simpleType>
        <xsd:restriction base="dms:Text">
          <xsd:maxLength value="255"/>
        </xsd:restriction>
      </xsd:simpleType>
    </xsd:element>
    <xsd:element name="i1d0747ae3af494ab286d151a7ae50ad" ma:index="11" ma:taxonomy="true" ma:internalName="i1d0747ae3af494ab286d151a7ae50ad" ma:taxonomyFieldName="Section" ma:displayName="Section" ma:readOnly="false" ma:default="27;#ITD OIS Protective Security SN|a110f21e-4f89-4d55-959d-b7b5f44219f8" ma:fieldId="{21d0747a-e3af-494a-b286-d151a7ae50ad}" ma:sspId="89927c38-8944-418e-ac9b-4d6e75543028" ma:termSetId="8ed8c9ea-7052-4c1d-a4d7-b9c10bffea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db29d1fcbbc45bd938b0458f8e6eec1" ma:index="12" ma:taxonomy="true" ma:internalName="fdb29d1fcbbc45bd938b0458f8e6eec1" ma:taxonomyFieldName="Content_x0020_types" ma:displayName="Information type" ma:readOnly="false" ma:default="7;#Document|4a540cb2-01e7-4be2-96f9-d9e7e1b556fd" ma:fieldId="{fdb29d1f-cbbc-45bd-938b-0458f8e6eec1}" ma:sspId="89927c38-8944-418e-ac9b-4d6e75543028" ma:termSetId="9c4e6da8-cca8-4ef3-87a9-3524c702ad3e" ma:anchorId="ababb3c8-605c-4190-9a94-e7220db2976d" ma:open="true" ma:isKeyword="false">
      <xsd:complexType>
        <xsd:sequence>
          <xsd:element ref="pc:Terms" minOccurs="0" maxOccurs="1"/>
        </xsd:sequence>
      </xsd:complexType>
    </xsd:element>
    <xsd:element name="l5793240b3fe4d0982e2597a8e3ed364" ma:index="13" ma:taxonomy="true" ma:internalName="l5793240b3fe4d0982e2597a8e3ed364" ma:taxonomyFieldName="Topics" ma:displayName="Keywords" ma:readOnly="false" ma:default="28;#Security and Workforce Integrity Assurance Committee|df750f2c-8360-4f70-a84a-3b9f2175ed1e" ma:fieldId="{55793240-b3fe-4d09-82e2-597a8e3ed364}" ma:taxonomyMulti="true" ma:sspId="89927c38-8944-418e-ac9b-4d6e75543028" ma:termSetId="9c4e6da8-cca8-4ef3-87a9-3524c702ad3e" ma:anchorId="99034dcf-6686-4bcf-ac70-fb6dfea5341c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9e7d3e7b-0434-42d9-bd8f-c91020441f9e}" ma:internalName="TaxCatchAll" ma:showField="CatchAllData" ma:web="d29d5f7a-be03-4e9c-abe5-c85ece0a21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f5f5d-7db3-4d3b-b63b-ce18a6ecc5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db29d1fcbbc45bd938b0458f8e6eec1 xmlns="d29d5f7a-be03-4e9c-abe5-c85ece0a2186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Terms of Reference</TermName>
          <TermId xmlns="http://schemas.microsoft.com/office/infopath/2007/PartnerControls">ff2d6dd3-bdc1-418f-b782-7199981e6020</TermId>
        </TermInfo>
      </Terms>
    </fdb29d1fcbbc45bd938b0458f8e6eec1>
    <TaxCatchAll xmlns="d29d5f7a-be03-4e9c-abe5-c85ece0a2186">
      <Value>20</Value>
      <Value>26</Value>
      <Value>24</Value>
    </TaxCatchAll>
    <Last_x0020_reviewed xmlns="d29d5f7a-be03-4e9c-abe5-c85ece0a2186">2022-10-16T13:00:00+00:00</Last_x0020_reviewed>
    <i1d0747ae3af494ab286d151a7ae50ad xmlns="d29d5f7a-be03-4e9c-abe5-c85ece0a2186">
      <Terms xmlns="http://schemas.microsoft.com/office/infopath/2007/PartnerControls">
        <TermInfo xmlns="http://schemas.microsoft.com/office/infopath/2007/PartnerControls">
          <TermName xmlns="http://schemas.microsoft.com/office/infopath/2007/PartnerControls">ITD PD Strategic Business Engagement SN</TermName>
          <TermId xmlns="http://schemas.microsoft.com/office/infopath/2007/PartnerControls">161f3556-b06a-41bd-a8c9-8666651ae17a</TermId>
        </TermInfo>
      </Terms>
    </i1d0747ae3af494ab286d151a7ae50ad>
    <l5793240b3fe4d0982e2597a8e3ed364 xmlns="d29d5f7a-be03-4e9c-abe5-c85ece0a2186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Corporate Operations Board</TermName>
          <TermId xmlns="http://schemas.microsoft.com/office/infopath/2007/PartnerControls">164b333f-90d4-4f2b-94cf-0b26e23ae1cd</TermId>
        </TermInfo>
      </Terms>
    </l5793240b3fe4d0982e2597a8e3ed364>
    <Sort_x0020_order xmlns="d29d5f7a-be03-4e9c-abe5-c85ece0a2186" xsi:nil="true"/>
    <Reference_x0020_no xmlns="d29d5f7a-be03-4e9c-abe5-c85ece0a2186" xsi:nil="true"/>
    <Intranet xmlns="d29d5f7a-be03-4e9c-abe5-c85ece0a2186">true</Intranet>
    <_dlc_DocId xmlns="d29d5f7a-be03-4e9c-abe5-c85ece0a2186">INTCOMMITTEE-1086281489-105</_dlc_DocId>
    <_dlc_DocIdUrl xmlns="d29d5f7a-be03-4e9c-abe5-c85ece0a2186">
      <Url>https://healthgov.sharepoint.com/sites/about-committees/_layouts/15/DocIdRedir.aspx?ID=INTCOMMITTEE-1086281489-105</Url>
      <Description>INTCOMMITTEE-1086281489-105</Description>
    </_dlc_DocIdUrl>
    <Comments xmlns="http://schemas.microsoft.com/sharepoint/v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0BA5CD-CF16-4530-A4B2-BE28573CBF7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FFD7D15-A0CF-4A57-9E61-31D1782FB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9d5f7a-be03-4e9c-abe5-c85ece0a2186"/>
    <ds:schemaRef ds:uri="7b0f5f5d-7db3-4d3b-b63b-ce18a6ecc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7A3417-A07B-483E-B9B1-4657D37E1B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  <ds:schemaRef ds:uri="d29d5f7a-be03-4e9c-abe5-c85ece0a2186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D19-1084095  TEMPLATE Terms of Reference (ToR).DOTX</Template>
  <TotalTime>1</TotalTime>
  <Pages>3</Pages>
  <Words>666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COB Terms of Reference</vt:lpstr>
    </vt:vector>
  </TitlesOfParts>
  <Company>Dept Health And Ageing</Company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COB Terms of Reference</dc:title>
  <dc:subject/>
  <dc:creator>Department of Health and Aged Care</dc:creator>
  <cp:keywords/>
  <cp:lastModifiedBy>HARTLEY, Ann</cp:lastModifiedBy>
  <cp:revision>3</cp:revision>
  <cp:lastPrinted>2022-07-25T19:43:00Z</cp:lastPrinted>
  <dcterms:created xsi:type="dcterms:W3CDTF">2022-11-04T05:15:00Z</dcterms:created>
  <dcterms:modified xsi:type="dcterms:W3CDTF">2022-11-04T05:15:00Z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170;#Style Guide|fae42d66-6622-4466-b060-a03a1a4f59f8</vt:lpwstr>
  </property>
  <property fmtid="{D5CDD505-2E9C-101B-9397-08002B2CF9AE}" pid="3" name="File Structure">
    <vt:lpwstr>169;#Style Guide|aa9bcad4-d3b7-4fe1-b475-a8e6573a6ad1</vt:lpwstr>
  </property>
  <property fmtid="{D5CDD505-2E9C-101B-9397-08002B2CF9AE}" pid="4" name="ContentTypeId">
    <vt:lpwstr>0x010100BA077CDBE4B4694FA79604431A628248</vt:lpwstr>
  </property>
  <property fmtid="{D5CDD505-2E9C-101B-9397-08002B2CF9AE}" pid="5" name="Section">
    <vt:lpwstr>24;#ITD PD Strategic Business Engagement SN|161f3556-b06a-41bd-a8c9-8666651ae17a</vt:lpwstr>
  </property>
  <property fmtid="{D5CDD505-2E9C-101B-9397-08002B2CF9AE}" pid="6" name="_dlc_DocIdItemGuid">
    <vt:lpwstr>8d979590-1566-4db5-bad2-dce99704f370</vt:lpwstr>
  </property>
  <property fmtid="{D5CDD505-2E9C-101B-9397-08002B2CF9AE}" pid="7" name="Content types">
    <vt:lpwstr>20;#Terms of Reference|ff2d6dd3-bdc1-418f-b782-7199981e6020</vt:lpwstr>
  </property>
  <property fmtid="{D5CDD505-2E9C-101B-9397-08002B2CF9AE}" pid="8" name="Topics">
    <vt:lpwstr>26;#Corporate Operations Board|164b333f-90d4-4f2b-94cf-0b26e23ae1cd</vt:lpwstr>
  </property>
</Properties>
</file>