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75FBC" w14:textId="5824121B" w:rsidR="00D83877" w:rsidRDefault="00966455" w:rsidP="002656D9">
      <w:pPr>
        <w:rPr>
          <w:rFonts w:cs="Arial"/>
          <w:noProof/>
        </w:rPr>
      </w:pPr>
      <w:r>
        <w:rPr>
          <w:rFonts w:cs="Arial"/>
          <w:b/>
          <w:noProof/>
        </w:rPr>
        <w:drawing>
          <wp:anchor distT="0" distB="0" distL="114300" distR="114300" simplePos="0" relativeHeight="251659270" behindDoc="1" locked="0" layoutInCell="1" allowOverlap="1" wp14:anchorId="5A183B35" wp14:editId="3D4A5518">
            <wp:simplePos x="0" y="0"/>
            <wp:positionH relativeFrom="column">
              <wp:posOffset>4181475</wp:posOffset>
            </wp:positionH>
            <wp:positionV relativeFrom="paragraph">
              <wp:posOffset>7979410</wp:posOffset>
            </wp:positionV>
            <wp:extent cx="1409700" cy="467360"/>
            <wp:effectExtent l="0" t="0" r="0" b="8890"/>
            <wp:wrapTight wrapText="bothSides">
              <wp:wrapPolygon edited="0">
                <wp:start x="0" y="0"/>
                <wp:lineTo x="0" y="21130"/>
                <wp:lineTo x="21308" y="21130"/>
                <wp:lineTo x="21308"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409700" cy="467360"/>
                    </a:xfrm>
                    <a:prstGeom prst="rect">
                      <a:avLst/>
                    </a:prstGeom>
                  </pic:spPr>
                </pic:pic>
              </a:graphicData>
            </a:graphic>
            <wp14:sizeRelH relativeFrom="page">
              <wp14:pctWidth>0</wp14:pctWidth>
            </wp14:sizeRelH>
            <wp14:sizeRelV relativeFrom="page">
              <wp14:pctHeight>0</wp14:pctHeight>
            </wp14:sizeRelV>
          </wp:anchor>
        </w:drawing>
      </w:r>
      <w:r w:rsidR="002656D9" w:rsidRPr="000F7CFD">
        <w:rPr>
          <w:rFonts w:cs="Arial"/>
          <w:b/>
          <w:noProof/>
        </w:rPr>
        <w:drawing>
          <wp:anchor distT="0" distB="0" distL="114300" distR="114300" simplePos="0" relativeHeight="251658243" behindDoc="1" locked="0" layoutInCell="1" allowOverlap="1" wp14:anchorId="0AD7002E" wp14:editId="270C91F5">
            <wp:simplePos x="0" y="0"/>
            <wp:positionH relativeFrom="column">
              <wp:posOffset>5664200</wp:posOffset>
            </wp:positionH>
            <wp:positionV relativeFrom="paragraph">
              <wp:posOffset>7936865</wp:posOffset>
            </wp:positionV>
            <wp:extent cx="612140" cy="557530"/>
            <wp:effectExtent l="0" t="0" r="0" b="0"/>
            <wp:wrapTight wrapText="bothSides">
              <wp:wrapPolygon edited="0">
                <wp:start x="0" y="0"/>
                <wp:lineTo x="0" y="20665"/>
                <wp:lineTo x="20838" y="20665"/>
                <wp:lineTo x="20838" y="0"/>
                <wp:lineTo x="0" y="0"/>
              </wp:wrapPolygon>
            </wp:wrapTight>
            <wp:docPr id="15" name="Picture 4">
              <a:extLst xmlns:a="http://schemas.openxmlformats.org/drawingml/2006/main">
                <a:ext uri="{FF2B5EF4-FFF2-40B4-BE49-F238E27FC236}">
                  <a16:creationId xmlns:a16="http://schemas.microsoft.com/office/drawing/2014/main" id="{94AFE48A-ED1F-4FE5-8FA0-83428E352BC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4">
                      <a:extLst>
                        <a:ext uri="{FF2B5EF4-FFF2-40B4-BE49-F238E27FC236}">
                          <a16:creationId xmlns:a16="http://schemas.microsoft.com/office/drawing/2014/main" id="{94AFE48A-ED1F-4FE5-8FA0-83428E352BCB}"/>
                        </a:ex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 cy="557530"/>
                    </a:xfrm>
                    <a:prstGeom prst="rect">
                      <a:avLst/>
                    </a:prstGeom>
                    <a:noFill/>
                  </pic:spPr>
                </pic:pic>
              </a:graphicData>
            </a:graphic>
            <wp14:sizeRelH relativeFrom="margin">
              <wp14:pctWidth>0</wp14:pctWidth>
            </wp14:sizeRelH>
            <wp14:sizeRelV relativeFrom="margin">
              <wp14:pctHeight>0</wp14:pctHeight>
            </wp14:sizeRelV>
          </wp:anchor>
        </w:drawing>
      </w:r>
      <w:r w:rsidR="002656D9" w:rsidRPr="00A539A0">
        <w:rPr>
          <w:rFonts w:cs="Arial"/>
          <w:b/>
          <w:noProof/>
        </w:rPr>
        <mc:AlternateContent>
          <mc:Choice Requires="wps">
            <w:drawing>
              <wp:anchor distT="45720" distB="45720" distL="114300" distR="114300" simplePos="0" relativeHeight="251658242" behindDoc="0" locked="0" layoutInCell="1" allowOverlap="1" wp14:anchorId="7EF740A8" wp14:editId="36AA4ED5">
                <wp:simplePos x="0" y="0"/>
                <wp:positionH relativeFrom="column">
                  <wp:posOffset>1990090</wp:posOffset>
                </wp:positionH>
                <wp:positionV relativeFrom="paragraph">
                  <wp:posOffset>7177405</wp:posOffset>
                </wp:positionV>
                <wp:extent cx="4460875"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1404620"/>
                        </a:xfrm>
                        <a:prstGeom prst="rect">
                          <a:avLst/>
                        </a:prstGeom>
                        <a:solidFill>
                          <a:srgbClr val="FFFFFF"/>
                        </a:solidFill>
                        <a:ln w="9525">
                          <a:noFill/>
                          <a:miter lim="800000"/>
                          <a:headEnd/>
                          <a:tailEnd/>
                        </a:ln>
                      </wps:spPr>
                      <wps:txbx>
                        <w:txbxContent>
                          <w:p w14:paraId="33FFE719" w14:textId="23F18333" w:rsidR="00FB2047" w:rsidRPr="003079F5" w:rsidRDefault="00FB2047" w:rsidP="003079F5">
                            <w:pPr>
                              <w:jc w:val="right"/>
                              <w:rPr>
                                <w:b/>
                                <w:bCs/>
                              </w:rPr>
                            </w:pPr>
                            <w:r w:rsidRPr="003079F5">
                              <w:rPr>
                                <w:b/>
                                <w:bCs/>
                              </w:rPr>
                              <w:t xml:space="preserve">Terri Janke and Company </w:t>
                            </w:r>
                          </w:p>
                          <w:p w14:paraId="328BC8F6" w14:textId="5C015000" w:rsidR="00966455" w:rsidRPr="00966455" w:rsidRDefault="00FB2047" w:rsidP="00966455">
                            <w:pPr>
                              <w:jc w:val="right"/>
                              <w:rPr>
                                <w:b/>
                                <w:bCs/>
                              </w:rPr>
                            </w:pPr>
                            <w:r w:rsidRPr="003079F5">
                              <w:rPr>
                                <w:b/>
                                <w:bCs/>
                              </w:rPr>
                              <w:t xml:space="preserve">Commissioned by the Department of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F740A8" id="_x0000_t202" coordsize="21600,21600" o:spt="202" path="m,l,21600r21600,l21600,xe">
                <v:stroke joinstyle="miter"/>
                <v:path gradientshapeok="t" o:connecttype="rect"/>
              </v:shapetype>
              <v:shape id="Text Box 2" o:spid="_x0000_s1026" type="#_x0000_t202" alt="&quot;&quot;" style="position:absolute;margin-left:156.7pt;margin-top:565.15pt;width:351.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" stroked="f">
                <v:textbox style="mso-fit-shape-to-text:t">
                  <w:txbxContent>
                    <w:p w14:paraId="33FFE719" w14:textId="23F18333" w:rsidR="00FB2047" w:rsidRPr="003079F5" w:rsidRDefault="00FB2047" w:rsidP="003079F5">
                      <w:pPr>
                        <w:jc w:val="right"/>
                        <w:rPr>
                          <w:b/>
                          <w:bCs/>
                        </w:rPr>
                      </w:pPr>
                      <w:r w:rsidRPr="003079F5">
                        <w:rPr>
                          <w:b/>
                          <w:bCs/>
                        </w:rPr>
                        <w:t xml:space="preserve">Terri Janke and Company </w:t>
                      </w:r>
                    </w:p>
                    <w:p w14:paraId="328BC8F6" w14:textId="5C015000" w:rsidR="00966455" w:rsidRPr="00966455" w:rsidRDefault="00FB2047" w:rsidP="00966455">
                      <w:pPr>
                        <w:jc w:val="right"/>
                        <w:rPr>
                          <w:b/>
                          <w:bCs/>
                        </w:rPr>
                      </w:pPr>
                      <w:r w:rsidRPr="003079F5">
                        <w:rPr>
                          <w:b/>
                          <w:bCs/>
                        </w:rPr>
                        <w:t xml:space="preserve">Commissioned by the Department of Health </w:t>
                      </w:r>
                    </w:p>
                  </w:txbxContent>
                </v:textbox>
                <w10:wrap type="square"/>
              </v:shape>
            </w:pict>
          </mc:Fallback>
        </mc:AlternateContent>
      </w:r>
      <w:r w:rsidR="002656D9">
        <w:rPr>
          <w:noProof/>
        </w:rPr>
        <mc:AlternateContent>
          <mc:Choice Requires="wpg">
            <w:drawing>
              <wp:anchor distT="0" distB="0" distL="114300" distR="114300" simplePos="0" relativeHeight="251658240" behindDoc="1" locked="0" layoutInCell="1" allowOverlap="1" wp14:anchorId="5C4BF88E" wp14:editId="6FCFF37D">
                <wp:simplePos x="0" y="0"/>
                <wp:positionH relativeFrom="margin">
                  <wp:posOffset>-441325</wp:posOffset>
                </wp:positionH>
                <wp:positionV relativeFrom="page">
                  <wp:posOffset>471805</wp:posOffset>
                </wp:positionV>
                <wp:extent cx="6858000" cy="706818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a:extLst>
                            <a:ext uri="{C183D7F6-B498-43B3-948B-1728B52AA6E4}">
                              <adec:decorative xmlns:adec="http://schemas.microsoft.com/office/drawing/2017/decorative" val="1"/>
                            </a:ext>
                          </a:extLst>
                        </wps:cNvPr>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392555"/>
                          </a:solidFill>
                          <a:ln>
                            <a:noFill/>
                          </a:ln>
                        </wps:spPr>
                        <wps:style>
                          <a:lnRef idx="0">
                            <a:scrgbClr r="0" g="0" b="0"/>
                          </a:lnRef>
                          <a:fillRef idx="1003">
                            <a:schemeClr val="dk2"/>
                          </a:fillRef>
                          <a:effectRef idx="0">
                            <a:scrgbClr r="0" g="0" b="0"/>
                          </a:effectRef>
                          <a:fontRef idx="major"/>
                        </wps:style>
                        <wps:txbx>
                          <w:txbxContent>
                            <w:p w14:paraId="4426C3DB" w14:textId="62396AD1" w:rsidR="00FB2047" w:rsidRPr="00A24315" w:rsidRDefault="003C7152">
                              <w:pPr>
                                <w:rPr>
                                  <w:rStyle w:val="TitleChar"/>
                                </w:rPr>
                              </w:pPr>
                              <w:sdt>
                                <w:sdtPr>
                                  <w:rPr>
                                    <w:rStyle w:val="TitleCha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70EE9" w:rsidRPr="00A24315">
                                    <w:rPr>
                                      <w:rStyle w:val="TitleChar"/>
                                    </w:rPr>
                                    <w:t xml:space="preserve">Genomics: The legal, </w:t>
                                  </w:r>
                                  <w:r w:rsidR="00956393" w:rsidRPr="00A24315">
                                    <w:rPr>
                                      <w:rStyle w:val="TitleChar"/>
                                    </w:rPr>
                                    <w:t>ethical</w:t>
                                  </w:r>
                                  <w:r w:rsidR="00F70EE9" w:rsidRPr="00A24315">
                                    <w:rPr>
                                      <w:rStyle w:val="TitleChar"/>
                                    </w:rPr>
                                    <w:t xml:space="preserve"> and social issues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C4BF88E" id="Group 125" o:spid="_x0000_s1027" alt="&quot;&quot;" style="position:absolute;margin-left:-34.75pt;margin-top:37.15pt;width:540pt;height:556.55pt;z-index:-251658240;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">
                <o:lock v:ext="edit" aspectratio="t"/>
                <v:shape id="Freeform 10" o:spid="_x0000_s1028" alt="&quot;&quot;"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" adj="-11796480,,5400" path="m,c,644,,644,,644v23,6,62,14,113,21c250,685,476,700,720,644v,-27,,-27,,-27c720,,720,,720,,,,,,,e" fillcolor="#392555" stroked="f">
                  <v:stroke joinstyle="miter"/>
                  <v:formulas/>
                  <v:path arrowok="t" o:connecttype="custom" o:connectlocs="0,0;0,4972126;872222,5134261;5557520,4972126;5557520,4763667;5557520,0;0,0" o:connectangles="0,0,0,0,0,0,0" textboxrect="0,0,720,700"/>
                  <v:textbox inset="1in,86.4pt,86.4pt,86.4pt">
                    <w:txbxContent>
                      <w:p w14:paraId="4426C3DB" w14:textId="62396AD1" w:rsidR="00FB2047" w:rsidRPr="00A24315" w:rsidRDefault="003C7152">
                        <w:pPr>
                          <w:rPr>
                            <w:rStyle w:val="TitleChar"/>
                          </w:rPr>
                        </w:pPr>
                        <w:sdt>
                          <w:sdtPr>
                            <w:rPr>
                              <w:rStyle w:val="TitleCha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70EE9" w:rsidRPr="00A24315">
                              <w:rPr>
                                <w:rStyle w:val="TitleChar"/>
                              </w:rPr>
                              <w:t xml:space="preserve">Genomics: The legal, </w:t>
                            </w:r>
                            <w:r w:rsidR="00956393" w:rsidRPr="00A24315">
                              <w:rPr>
                                <w:rStyle w:val="TitleChar"/>
                              </w:rPr>
                              <w:t>ethical</w:t>
                            </w:r>
                            <w:r w:rsidR="00F70EE9" w:rsidRPr="00A24315">
                              <w:rPr>
                                <w:rStyle w:val="TitleChar"/>
                              </w:rPr>
                              <w:t xml:space="preserve"> and social issues</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bookmarkStart w:id="0" w:name="_Toc36215502"/>
      <w:sdt>
        <w:sdtPr>
          <w:id w:val="1555433722"/>
          <w:docPartObj>
            <w:docPartGallery w:val="Cover Pages"/>
            <w:docPartUnique/>
          </w:docPartObj>
        </w:sdtPr>
        <w:sdtEndPr>
          <w:rPr>
            <w:rFonts w:cs="Arial"/>
            <w:b/>
            <w:noProof/>
          </w:rPr>
        </w:sdtEndPr>
        <w:sdtContent>
          <w:r w:rsidR="00D83877">
            <w:rPr>
              <w:noProof/>
            </w:rPr>
            <mc:AlternateContent>
              <mc:Choice Requires="wps">
                <w:drawing>
                  <wp:anchor distT="0" distB="0" distL="114300" distR="114300" simplePos="0" relativeHeight="251658241" behindDoc="0" locked="0" layoutInCell="1" allowOverlap="1" wp14:anchorId="1132448D" wp14:editId="3BC9B60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0" name="Rectangl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947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547D5814" w14:textId="0BF18BC5" w:rsidR="00FB2047" w:rsidRPr="003079F5" w:rsidRDefault="00FB2047">
                                    <w:pPr>
                                      <w:pStyle w:val="NoSpacing"/>
                                      <w:jc w:val="right"/>
                                      <w:rPr>
                                        <w:rFonts w:ascii="Arial" w:hAnsi="Arial" w:cs="Arial"/>
                                        <w:color w:val="FFFFFF" w:themeColor="background1"/>
                                        <w:sz w:val="24"/>
                                        <w:szCs w:val="24"/>
                                      </w:rPr>
                                    </w:pPr>
                                    <w:r w:rsidRPr="003079F5">
                                      <w:rPr>
                                        <w:rFonts w:ascii="Arial" w:hAnsi="Arial" w:cs="Arial"/>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132448D" id="Rectangle 130" o:spid="_x0000_s1030" alt="&quot;&quot;" style="position:absolute;margin-left:-4.4pt;margin-top:0;width:46.8pt;height:77.75pt;z-index:251658241;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" fillcolor="#947ebc" stroked="f" strokeweight="1pt">
                    <o:lock v:ext="edit" aspectratio="t"/>
                    <v:textbox inset="3.6pt,,3.6pt">
                      <w:txbxContent>
                        <w:sdt>
                          <w:sdtPr>
                            <w:rPr>
                              <w:rFonts w:ascii="Arial" w:hAnsi="Arial" w:cs="Arial"/>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547D5814" w14:textId="0BF18BC5" w:rsidR="00FB2047" w:rsidRPr="003079F5" w:rsidRDefault="00FB2047">
                              <w:pPr>
                                <w:pStyle w:val="NoSpacing"/>
                                <w:jc w:val="right"/>
                                <w:rPr>
                                  <w:rFonts w:ascii="Arial" w:hAnsi="Arial" w:cs="Arial"/>
                                  <w:color w:val="FFFFFF" w:themeColor="background1"/>
                                  <w:sz w:val="24"/>
                                  <w:szCs w:val="24"/>
                                </w:rPr>
                              </w:pPr>
                              <w:r w:rsidRPr="003079F5">
                                <w:rPr>
                                  <w:rFonts w:ascii="Arial" w:hAnsi="Arial" w:cs="Arial"/>
                                  <w:color w:val="FFFFFF" w:themeColor="background1"/>
                                  <w:sz w:val="24"/>
                                  <w:szCs w:val="24"/>
                                </w:rPr>
                                <w:t>2020</w:t>
                              </w:r>
                            </w:p>
                          </w:sdtContent>
                        </w:sdt>
                      </w:txbxContent>
                    </v:textbox>
                    <w10:wrap anchorx="margin" anchory="page"/>
                  </v:rect>
                </w:pict>
              </mc:Fallback>
            </mc:AlternateContent>
          </w:r>
          <w:r w:rsidR="00D83877">
            <w:rPr>
              <w:rFonts w:cs="Arial"/>
              <w:b/>
              <w:noProof/>
            </w:rPr>
            <w:br w:type="page"/>
          </w:r>
        </w:sdtContent>
      </w:sdt>
    </w:p>
    <w:p w14:paraId="47DEB095" w14:textId="5FC0022E" w:rsidR="005F3189" w:rsidRPr="00A24315" w:rsidRDefault="002E6F5B" w:rsidP="00A24315">
      <w:pPr>
        <w:rPr>
          <w:rStyle w:val="EndnoteText"/>
        </w:rPr>
      </w:pPr>
      <w:r w:rsidRPr="00A24315">
        <w:rPr>
          <w:rStyle w:val="EndnoteText"/>
        </w:rPr>
        <w:lastRenderedPageBreak/>
        <w:t>Indigenous Health Genomics</w:t>
      </w:r>
      <w:r w:rsidR="00276A29" w:rsidRPr="00A24315">
        <w:rPr>
          <w:rStyle w:val="EndnoteText"/>
        </w:rPr>
        <w:t xml:space="preserve">: </w:t>
      </w:r>
      <w:r w:rsidR="00285E7D" w:rsidRPr="00A24315">
        <w:rPr>
          <w:rStyle w:val="EndnoteText"/>
        </w:rPr>
        <w:t xml:space="preserve">The Legal, Ethical and Social </w:t>
      </w:r>
      <w:r w:rsidR="00276A29" w:rsidRPr="00A24315">
        <w:rPr>
          <w:rStyle w:val="EndnoteText"/>
        </w:rPr>
        <w:t>Issues</w:t>
      </w:r>
    </w:p>
    <w:p w14:paraId="53A67954" w14:textId="75915669" w:rsidR="005F3189" w:rsidRDefault="005F3189" w:rsidP="00CA612E">
      <w:r>
        <w:t xml:space="preserve">Written and researched by: </w:t>
      </w:r>
    </w:p>
    <w:p w14:paraId="63ACDFC6" w14:textId="4F00E83F" w:rsidR="005F3189" w:rsidRDefault="005F3189" w:rsidP="00CA612E">
      <w:r>
        <w:t xml:space="preserve">Laura Curtis and Patrick Goulding </w:t>
      </w:r>
      <w:r w:rsidR="00523A9A">
        <w:t xml:space="preserve">and </w:t>
      </w:r>
      <w:r w:rsidR="00A671CD">
        <w:t>Dr Terri Janke</w:t>
      </w:r>
    </w:p>
    <w:p w14:paraId="6954B629" w14:textId="75A2F1C7" w:rsidR="002D7AB5" w:rsidRPr="00A24315" w:rsidRDefault="00D24168" w:rsidP="00CA612E">
      <w:pPr>
        <w:rPr>
          <w:rStyle w:val="EndnoteText"/>
        </w:rPr>
      </w:pPr>
      <w:r w:rsidRPr="00A24315">
        <w:rPr>
          <w:rStyle w:val="EndnoteText"/>
        </w:rPr>
        <w:drawing>
          <wp:anchor distT="0" distB="0" distL="114300" distR="114300" simplePos="0" relativeHeight="251658245" behindDoc="0" locked="0" layoutInCell="1" allowOverlap="1" wp14:anchorId="115FB351" wp14:editId="44589C4F">
            <wp:simplePos x="0" y="0"/>
            <wp:positionH relativeFrom="column">
              <wp:posOffset>0</wp:posOffset>
            </wp:positionH>
            <wp:positionV relativeFrom="paragraph">
              <wp:posOffset>-5194</wp:posOffset>
            </wp:positionV>
            <wp:extent cx="586800" cy="540000"/>
            <wp:effectExtent l="0" t="0" r="3810" b="0"/>
            <wp:wrapSquare wrapText="bothSides"/>
            <wp:docPr id="17" name="Picture 4">
              <a:extLst xmlns:a="http://schemas.openxmlformats.org/drawingml/2006/main">
                <a:ext uri="{FF2B5EF4-FFF2-40B4-BE49-F238E27FC236}">
                  <a16:creationId xmlns:a16="http://schemas.microsoft.com/office/drawing/2014/main" id="{94AFE48A-ED1F-4FE5-8FA0-83428E352B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a:extLst>
                        <a:ext uri="{FF2B5EF4-FFF2-40B4-BE49-F238E27FC236}">
                          <a16:creationId xmlns:a16="http://schemas.microsoft.com/office/drawing/2014/main" id="{94AFE48A-ED1F-4FE5-8FA0-83428E352BCB}"/>
                        </a:ex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00" cy="540000"/>
                    </a:xfrm>
                    <a:prstGeom prst="rect">
                      <a:avLst/>
                    </a:prstGeom>
                    <a:noFill/>
                  </pic:spPr>
                </pic:pic>
              </a:graphicData>
            </a:graphic>
            <wp14:sizeRelH relativeFrom="page">
              <wp14:pctWidth>0</wp14:pctWidth>
            </wp14:sizeRelH>
            <wp14:sizeRelV relativeFrom="page">
              <wp14:pctHeight>0</wp14:pctHeight>
            </wp14:sizeRelV>
          </wp:anchor>
        </w:drawing>
      </w:r>
      <w:r w:rsidRPr="00A24315">
        <w:rPr>
          <w:rStyle w:val="EndnoteText"/>
        </w:rPr>
        <w:t xml:space="preserve">Terri Janke and Company Pty Ltd </w:t>
      </w:r>
    </w:p>
    <w:p w14:paraId="6CED028B" w14:textId="593FA605" w:rsidR="00D24168" w:rsidRDefault="00D24168" w:rsidP="00CA612E">
      <w:r>
        <w:t xml:space="preserve">Lawyers and Consultants </w:t>
      </w:r>
    </w:p>
    <w:p w14:paraId="79D0E40E" w14:textId="65B03852" w:rsidR="00D24168" w:rsidRDefault="006309FB" w:rsidP="00CA612E">
      <w:r>
        <w:t xml:space="preserve">Address: Suite 310/30-40 Harcourt Parade, Rosebery NSW 2018 Australia </w:t>
      </w:r>
    </w:p>
    <w:p w14:paraId="346D940E" w14:textId="491CD54F" w:rsidR="006309FB" w:rsidRDefault="006309FB" w:rsidP="00CA612E">
      <w:r>
        <w:t xml:space="preserve">Email: </w:t>
      </w:r>
      <w:hyperlink r:id="rId14" w:history="1">
        <w:r w:rsidR="003450CE" w:rsidRPr="00A7008D">
          <w:rPr>
            <w:rStyle w:val="Hyperlink"/>
            <w:b/>
            <w:sz w:val="20"/>
          </w:rPr>
          <w:t>tjc@terrijanke.com.au</w:t>
        </w:r>
      </w:hyperlink>
      <w:r w:rsidR="003450CE">
        <w:t xml:space="preserve"> </w:t>
      </w:r>
    </w:p>
    <w:p w14:paraId="238B6497" w14:textId="642094B9" w:rsidR="003450CE" w:rsidRDefault="003450CE" w:rsidP="00CA612E">
      <w:r>
        <w:t xml:space="preserve">Ph: (02) 9693 2577 </w:t>
      </w:r>
    </w:p>
    <w:p w14:paraId="62EC93E7" w14:textId="50F65A44" w:rsidR="00B90F51" w:rsidRDefault="003450CE" w:rsidP="00CA612E">
      <w:r>
        <w:t xml:space="preserve">Commissioned by the Commonwealth Department of Health </w:t>
      </w:r>
    </w:p>
    <w:p w14:paraId="6C58D34A" w14:textId="15F1D379" w:rsidR="005D3D15" w:rsidRDefault="00B90F51" w:rsidP="00CA612E">
      <w:r>
        <w:rPr>
          <w:rFonts w:cs="Arial"/>
        </w:rPr>
        <w:t>©</w:t>
      </w:r>
      <w:r>
        <w:t xml:space="preserve"> Terri Janke and Company Pty Ltd </w:t>
      </w:r>
    </w:p>
    <w:p w14:paraId="14CE3C99" w14:textId="5D608692" w:rsidR="005D3D15" w:rsidRPr="00A24315" w:rsidRDefault="005D3D15" w:rsidP="00CA612E">
      <w:pPr>
        <w:rPr>
          <w:rStyle w:val="EndnoteText"/>
        </w:rPr>
      </w:pPr>
      <w:r w:rsidRPr="00A24315">
        <w:rPr>
          <w:rStyle w:val="EndnoteText"/>
        </w:rPr>
        <w:t>WARNING</w:t>
      </w:r>
    </w:p>
    <w:p w14:paraId="72105AE4" w14:textId="3BB3C78E" w:rsidR="00055EE3" w:rsidRDefault="005D3D15" w:rsidP="00116AE0">
      <w:r>
        <w:t>Terri Janke and Company would like to advise readers that this paper may contain images or names of people</w:t>
      </w:r>
      <w:r w:rsidR="00055EE3">
        <w:t xml:space="preserve"> who have since passed away. </w:t>
      </w:r>
    </w:p>
    <w:p w14:paraId="4356E82B" w14:textId="5B7A87C3" w:rsidR="00055EE3" w:rsidRPr="00A24315" w:rsidRDefault="00055EE3" w:rsidP="00CA612E">
      <w:pPr>
        <w:rPr>
          <w:rStyle w:val="EndnoteText"/>
        </w:rPr>
      </w:pPr>
      <w:r w:rsidRPr="00A24315">
        <w:rPr>
          <w:rStyle w:val="EndnoteText"/>
        </w:rPr>
        <w:t xml:space="preserve">Important legal notice </w:t>
      </w:r>
    </w:p>
    <w:p w14:paraId="06B73AAE" w14:textId="5D3DAF13" w:rsidR="00055EE3" w:rsidRPr="003079F5" w:rsidRDefault="00055EE3" w:rsidP="00CA612E">
      <w:r>
        <w:t xml:space="preserve">The laws and policies referred to in this publication are current as at June 2020. Any reference to laws and policies are for general use only. You should not rely </w:t>
      </w:r>
      <w:r w:rsidR="003C13D2">
        <w:t xml:space="preserve">on this document for legal advice for a specific matter. </w:t>
      </w:r>
      <w:r w:rsidR="00023E83">
        <w:t>We recommend you obtain professional legal advice from a suitable</w:t>
      </w:r>
      <w:r w:rsidR="00E01A4D">
        <w:t xml:space="preserve">, qualified legal practitioner. </w:t>
      </w:r>
    </w:p>
    <w:p w14:paraId="7ECE9DAB" w14:textId="54975B47" w:rsidR="00CA612E" w:rsidRDefault="00CA612E">
      <w:pPr>
        <w:spacing w:after="160" w:line="259" w:lineRule="auto"/>
      </w:pPr>
      <w:r>
        <w:br w:type="page"/>
      </w:r>
    </w:p>
    <w:sdt>
      <w:sdtPr>
        <w:rPr>
          <w:rFonts w:ascii="Arial" w:eastAsiaTheme="minorHAnsi" w:hAnsi="Arial" w:cstheme="minorBidi"/>
          <w:color w:val="auto"/>
          <w:sz w:val="22"/>
          <w:szCs w:val="22"/>
          <w:lang w:val="en-AU"/>
        </w:rPr>
        <w:id w:val="-684970885"/>
        <w:docPartObj>
          <w:docPartGallery w:val="Table of Contents"/>
          <w:docPartUnique/>
        </w:docPartObj>
      </w:sdtPr>
      <w:sdtEndPr>
        <w:rPr>
          <w:b/>
          <w:bCs/>
          <w:noProof/>
        </w:rPr>
      </w:sdtEndPr>
      <w:sdtContent>
        <w:p w14:paraId="3A33A29F" w14:textId="45FBE542" w:rsidR="00E06EB4" w:rsidRPr="002B5F46" w:rsidRDefault="00E06EB4">
          <w:pPr>
            <w:pStyle w:val="TOCHeading"/>
            <w:rPr>
              <w:rFonts w:ascii="Arial" w:hAnsi="Arial" w:cs="Arial"/>
              <w:b/>
              <w:bCs/>
              <w:color w:val="000000" w:themeColor="text1"/>
            </w:rPr>
          </w:pPr>
          <w:r w:rsidRPr="002B5F46">
            <w:rPr>
              <w:rFonts w:ascii="Arial" w:hAnsi="Arial" w:cs="Arial"/>
              <w:b/>
              <w:bCs/>
              <w:color w:val="000000" w:themeColor="text1"/>
            </w:rPr>
            <w:t>Contents</w:t>
          </w:r>
        </w:p>
        <w:p w14:paraId="5D85C5B6" w14:textId="53970F86" w:rsidR="003C7152" w:rsidRDefault="00E06EB4">
          <w:pPr>
            <w:pStyle w:val="TOC1"/>
            <w:tabs>
              <w:tab w:val="left" w:pos="400"/>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118824284" w:history="1">
            <w:r w:rsidR="003C7152" w:rsidRPr="00C80991">
              <w:rPr>
                <w:rStyle w:val="Hyperlink"/>
                <w:noProof/>
              </w:rPr>
              <w:t>1</w:t>
            </w:r>
            <w:r w:rsidR="003C7152">
              <w:rPr>
                <w:rFonts w:asciiTheme="minorHAnsi" w:eastAsiaTheme="minorEastAsia" w:hAnsiTheme="minorHAnsi"/>
                <w:noProof/>
                <w:lang w:eastAsia="en-AU"/>
              </w:rPr>
              <w:tab/>
            </w:r>
            <w:r w:rsidR="003C7152" w:rsidRPr="00C80991">
              <w:rPr>
                <w:rStyle w:val="Hyperlink"/>
                <w:noProof/>
              </w:rPr>
              <w:t>Introduction</w:t>
            </w:r>
            <w:r w:rsidR="003C7152">
              <w:rPr>
                <w:noProof/>
                <w:webHidden/>
              </w:rPr>
              <w:tab/>
            </w:r>
            <w:r w:rsidR="003C7152">
              <w:rPr>
                <w:noProof/>
                <w:webHidden/>
              </w:rPr>
              <w:fldChar w:fldCharType="begin"/>
            </w:r>
            <w:r w:rsidR="003C7152">
              <w:rPr>
                <w:noProof/>
                <w:webHidden/>
              </w:rPr>
              <w:instrText xml:space="preserve"> PAGEREF _Toc118824284 \h </w:instrText>
            </w:r>
            <w:r w:rsidR="003C7152">
              <w:rPr>
                <w:noProof/>
                <w:webHidden/>
              </w:rPr>
            </w:r>
            <w:r w:rsidR="003C7152">
              <w:rPr>
                <w:noProof/>
                <w:webHidden/>
              </w:rPr>
              <w:fldChar w:fldCharType="separate"/>
            </w:r>
            <w:r w:rsidR="003C7152">
              <w:rPr>
                <w:noProof/>
                <w:webHidden/>
              </w:rPr>
              <w:t>7</w:t>
            </w:r>
            <w:r w:rsidR="003C7152">
              <w:rPr>
                <w:noProof/>
                <w:webHidden/>
              </w:rPr>
              <w:fldChar w:fldCharType="end"/>
            </w:r>
          </w:hyperlink>
        </w:p>
        <w:p w14:paraId="6FFEB3CD" w14:textId="78980DE3"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85" w:history="1">
            <w:r w:rsidRPr="00C80991">
              <w:rPr>
                <w:rStyle w:val="Hyperlink"/>
                <w:noProof/>
              </w:rPr>
              <w:t>1.1</w:t>
            </w:r>
            <w:r>
              <w:rPr>
                <w:rFonts w:asciiTheme="minorHAnsi" w:eastAsiaTheme="minorEastAsia" w:hAnsiTheme="minorHAnsi"/>
                <w:noProof/>
                <w:lang w:eastAsia="en-AU"/>
              </w:rPr>
              <w:tab/>
            </w:r>
            <w:r w:rsidRPr="00C80991">
              <w:rPr>
                <w:rStyle w:val="Hyperlink"/>
                <w:noProof/>
              </w:rPr>
              <w:t>About this report</w:t>
            </w:r>
            <w:r>
              <w:rPr>
                <w:noProof/>
                <w:webHidden/>
              </w:rPr>
              <w:tab/>
            </w:r>
            <w:r>
              <w:rPr>
                <w:noProof/>
                <w:webHidden/>
              </w:rPr>
              <w:fldChar w:fldCharType="begin"/>
            </w:r>
            <w:r>
              <w:rPr>
                <w:noProof/>
                <w:webHidden/>
              </w:rPr>
              <w:instrText xml:space="preserve"> PAGEREF _Toc118824285 \h </w:instrText>
            </w:r>
            <w:r>
              <w:rPr>
                <w:noProof/>
                <w:webHidden/>
              </w:rPr>
            </w:r>
            <w:r>
              <w:rPr>
                <w:noProof/>
                <w:webHidden/>
              </w:rPr>
              <w:fldChar w:fldCharType="separate"/>
            </w:r>
            <w:r>
              <w:rPr>
                <w:noProof/>
                <w:webHidden/>
              </w:rPr>
              <w:t>7</w:t>
            </w:r>
            <w:r>
              <w:rPr>
                <w:noProof/>
                <w:webHidden/>
              </w:rPr>
              <w:fldChar w:fldCharType="end"/>
            </w:r>
          </w:hyperlink>
        </w:p>
        <w:p w14:paraId="1944B3C4" w14:textId="17D9110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86" w:history="1">
            <w:r w:rsidRPr="00C80991">
              <w:rPr>
                <w:rStyle w:val="Hyperlink"/>
                <w:noProof/>
              </w:rPr>
              <w:t>1.2</w:t>
            </w:r>
            <w:r>
              <w:rPr>
                <w:rFonts w:asciiTheme="minorHAnsi" w:eastAsiaTheme="minorEastAsia" w:hAnsiTheme="minorHAnsi"/>
                <w:noProof/>
                <w:lang w:eastAsia="en-AU"/>
              </w:rPr>
              <w:tab/>
            </w:r>
            <w:r w:rsidRPr="00C80991">
              <w:rPr>
                <w:rStyle w:val="Hyperlink"/>
                <w:noProof/>
              </w:rPr>
              <w:t>Who is it for?</w:t>
            </w:r>
            <w:r>
              <w:rPr>
                <w:noProof/>
                <w:webHidden/>
              </w:rPr>
              <w:tab/>
            </w:r>
            <w:r>
              <w:rPr>
                <w:noProof/>
                <w:webHidden/>
              </w:rPr>
              <w:fldChar w:fldCharType="begin"/>
            </w:r>
            <w:r>
              <w:rPr>
                <w:noProof/>
                <w:webHidden/>
              </w:rPr>
              <w:instrText xml:space="preserve"> PAGEREF _Toc118824286 \h </w:instrText>
            </w:r>
            <w:r>
              <w:rPr>
                <w:noProof/>
                <w:webHidden/>
              </w:rPr>
            </w:r>
            <w:r>
              <w:rPr>
                <w:noProof/>
                <w:webHidden/>
              </w:rPr>
              <w:fldChar w:fldCharType="separate"/>
            </w:r>
            <w:r>
              <w:rPr>
                <w:noProof/>
                <w:webHidden/>
              </w:rPr>
              <w:t>7</w:t>
            </w:r>
            <w:r>
              <w:rPr>
                <w:noProof/>
                <w:webHidden/>
              </w:rPr>
              <w:fldChar w:fldCharType="end"/>
            </w:r>
          </w:hyperlink>
        </w:p>
        <w:p w14:paraId="7BB11614" w14:textId="3E60441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87" w:history="1">
            <w:r w:rsidRPr="00C80991">
              <w:rPr>
                <w:rStyle w:val="Hyperlink"/>
                <w:noProof/>
              </w:rPr>
              <w:t>1.3</w:t>
            </w:r>
            <w:r>
              <w:rPr>
                <w:rFonts w:asciiTheme="minorHAnsi" w:eastAsiaTheme="minorEastAsia" w:hAnsiTheme="minorHAnsi"/>
                <w:noProof/>
                <w:lang w:eastAsia="en-AU"/>
              </w:rPr>
              <w:tab/>
            </w:r>
            <w:r w:rsidRPr="00C80991">
              <w:rPr>
                <w:rStyle w:val="Hyperlink"/>
                <w:noProof/>
              </w:rPr>
              <w:t>How to read it?</w:t>
            </w:r>
            <w:r>
              <w:rPr>
                <w:noProof/>
                <w:webHidden/>
              </w:rPr>
              <w:tab/>
            </w:r>
            <w:r>
              <w:rPr>
                <w:noProof/>
                <w:webHidden/>
              </w:rPr>
              <w:fldChar w:fldCharType="begin"/>
            </w:r>
            <w:r>
              <w:rPr>
                <w:noProof/>
                <w:webHidden/>
              </w:rPr>
              <w:instrText xml:space="preserve"> PAGEREF _Toc118824287 \h </w:instrText>
            </w:r>
            <w:r>
              <w:rPr>
                <w:noProof/>
                <w:webHidden/>
              </w:rPr>
            </w:r>
            <w:r>
              <w:rPr>
                <w:noProof/>
                <w:webHidden/>
              </w:rPr>
              <w:fldChar w:fldCharType="separate"/>
            </w:r>
            <w:r>
              <w:rPr>
                <w:noProof/>
                <w:webHidden/>
              </w:rPr>
              <w:t>8</w:t>
            </w:r>
            <w:r>
              <w:rPr>
                <w:noProof/>
                <w:webHidden/>
              </w:rPr>
              <w:fldChar w:fldCharType="end"/>
            </w:r>
          </w:hyperlink>
        </w:p>
        <w:p w14:paraId="53A90017" w14:textId="4C810A2C"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88" w:history="1">
            <w:r w:rsidRPr="00C80991">
              <w:rPr>
                <w:rStyle w:val="Hyperlink"/>
                <w:noProof/>
              </w:rPr>
              <w:t>1.4</w:t>
            </w:r>
            <w:r>
              <w:rPr>
                <w:rFonts w:asciiTheme="minorHAnsi" w:eastAsiaTheme="minorEastAsia" w:hAnsiTheme="minorHAnsi"/>
                <w:noProof/>
                <w:lang w:eastAsia="en-AU"/>
              </w:rPr>
              <w:tab/>
            </w:r>
            <w:r w:rsidRPr="00C80991">
              <w:rPr>
                <w:rStyle w:val="Hyperlink"/>
                <w:noProof/>
              </w:rPr>
              <w:t>Terminology</w:t>
            </w:r>
            <w:r>
              <w:rPr>
                <w:noProof/>
                <w:webHidden/>
              </w:rPr>
              <w:tab/>
            </w:r>
            <w:r>
              <w:rPr>
                <w:noProof/>
                <w:webHidden/>
              </w:rPr>
              <w:fldChar w:fldCharType="begin"/>
            </w:r>
            <w:r>
              <w:rPr>
                <w:noProof/>
                <w:webHidden/>
              </w:rPr>
              <w:instrText xml:space="preserve"> PAGEREF _Toc118824288 \h </w:instrText>
            </w:r>
            <w:r>
              <w:rPr>
                <w:noProof/>
                <w:webHidden/>
              </w:rPr>
            </w:r>
            <w:r>
              <w:rPr>
                <w:noProof/>
                <w:webHidden/>
              </w:rPr>
              <w:fldChar w:fldCharType="separate"/>
            </w:r>
            <w:r>
              <w:rPr>
                <w:noProof/>
                <w:webHidden/>
              </w:rPr>
              <w:t>8</w:t>
            </w:r>
            <w:r>
              <w:rPr>
                <w:noProof/>
                <w:webHidden/>
              </w:rPr>
              <w:fldChar w:fldCharType="end"/>
            </w:r>
          </w:hyperlink>
        </w:p>
        <w:p w14:paraId="157551E4" w14:textId="7CF100FF"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89" w:history="1">
            <w:r w:rsidRPr="00C80991">
              <w:rPr>
                <w:rStyle w:val="Hyperlink"/>
                <w:noProof/>
              </w:rPr>
              <w:t>1.5</w:t>
            </w:r>
            <w:r>
              <w:rPr>
                <w:rFonts w:asciiTheme="minorHAnsi" w:eastAsiaTheme="minorEastAsia" w:hAnsiTheme="minorHAnsi"/>
                <w:noProof/>
                <w:lang w:eastAsia="en-AU"/>
              </w:rPr>
              <w:tab/>
            </w:r>
            <w:r w:rsidRPr="00C80991">
              <w:rPr>
                <w:rStyle w:val="Hyperlink"/>
                <w:noProof/>
              </w:rPr>
              <w:t>Glossary</w:t>
            </w:r>
            <w:r>
              <w:rPr>
                <w:noProof/>
                <w:webHidden/>
              </w:rPr>
              <w:tab/>
            </w:r>
            <w:r>
              <w:rPr>
                <w:noProof/>
                <w:webHidden/>
              </w:rPr>
              <w:fldChar w:fldCharType="begin"/>
            </w:r>
            <w:r>
              <w:rPr>
                <w:noProof/>
                <w:webHidden/>
              </w:rPr>
              <w:instrText xml:space="preserve"> PAGEREF _Toc118824289 \h </w:instrText>
            </w:r>
            <w:r>
              <w:rPr>
                <w:noProof/>
                <w:webHidden/>
              </w:rPr>
            </w:r>
            <w:r>
              <w:rPr>
                <w:noProof/>
                <w:webHidden/>
              </w:rPr>
              <w:fldChar w:fldCharType="separate"/>
            </w:r>
            <w:r>
              <w:rPr>
                <w:noProof/>
                <w:webHidden/>
              </w:rPr>
              <w:t>9</w:t>
            </w:r>
            <w:r>
              <w:rPr>
                <w:noProof/>
                <w:webHidden/>
              </w:rPr>
              <w:fldChar w:fldCharType="end"/>
            </w:r>
          </w:hyperlink>
        </w:p>
        <w:p w14:paraId="50D36202" w14:textId="73ECF222" w:rsidR="003C7152" w:rsidRDefault="003C7152">
          <w:pPr>
            <w:pStyle w:val="TOC3"/>
            <w:tabs>
              <w:tab w:val="right" w:leader="dot" w:pos="9016"/>
            </w:tabs>
            <w:rPr>
              <w:rFonts w:asciiTheme="minorHAnsi" w:eastAsiaTheme="minorEastAsia" w:hAnsiTheme="minorHAnsi"/>
              <w:noProof/>
              <w:lang w:eastAsia="en-AU"/>
            </w:rPr>
          </w:pPr>
          <w:hyperlink w:anchor="_Toc118824290" w:history="1">
            <w:r w:rsidRPr="00C80991">
              <w:rPr>
                <w:rStyle w:val="Hyperlink"/>
                <w:noProof/>
              </w:rPr>
              <w:t>Abbreviations</w:t>
            </w:r>
            <w:r>
              <w:rPr>
                <w:noProof/>
                <w:webHidden/>
              </w:rPr>
              <w:tab/>
            </w:r>
            <w:r>
              <w:rPr>
                <w:noProof/>
                <w:webHidden/>
              </w:rPr>
              <w:fldChar w:fldCharType="begin"/>
            </w:r>
            <w:r>
              <w:rPr>
                <w:noProof/>
                <w:webHidden/>
              </w:rPr>
              <w:instrText xml:space="preserve"> PAGEREF _Toc118824290 \h </w:instrText>
            </w:r>
            <w:r>
              <w:rPr>
                <w:noProof/>
                <w:webHidden/>
              </w:rPr>
            </w:r>
            <w:r>
              <w:rPr>
                <w:noProof/>
                <w:webHidden/>
              </w:rPr>
              <w:fldChar w:fldCharType="separate"/>
            </w:r>
            <w:r>
              <w:rPr>
                <w:noProof/>
                <w:webHidden/>
              </w:rPr>
              <w:t>9</w:t>
            </w:r>
            <w:r>
              <w:rPr>
                <w:noProof/>
                <w:webHidden/>
              </w:rPr>
              <w:fldChar w:fldCharType="end"/>
            </w:r>
          </w:hyperlink>
        </w:p>
        <w:p w14:paraId="5863B9D2" w14:textId="55046869" w:rsidR="003C7152" w:rsidRDefault="003C7152">
          <w:pPr>
            <w:pStyle w:val="TOC3"/>
            <w:tabs>
              <w:tab w:val="right" w:leader="dot" w:pos="9016"/>
            </w:tabs>
            <w:rPr>
              <w:rFonts w:asciiTheme="minorHAnsi" w:eastAsiaTheme="minorEastAsia" w:hAnsiTheme="minorHAnsi"/>
              <w:noProof/>
              <w:lang w:eastAsia="en-AU"/>
            </w:rPr>
          </w:pPr>
          <w:hyperlink w:anchor="_Toc118824291" w:history="1">
            <w:r w:rsidRPr="00C80991">
              <w:rPr>
                <w:rStyle w:val="Hyperlink"/>
                <w:noProof/>
              </w:rPr>
              <w:t>Terms</w:t>
            </w:r>
            <w:r>
              <w:rPr>
                <w:noProof/>
                <w:webHidden/>
              </w:rPr>
              <w:tab/>
            </w:r>
            <w:r>
              <w:rPr>
                <w:noProof/>
                <w:webHidden/>
              </w:rPr>
              <w:fldChar w:fldCharType="begin"/>
            </w:r>
            <w:r>
              <w:rPr>
                <w:noProof/>
                <w:webHidden/>
              </w:rPr>
              <w:instrText xml:space="preserve"> PAGEREF _Toc118824291 \h </w:instrText>
            </w:r>
            <w:r>
              <w:rPr>
                <w:noProof/>
                <w:webHidden/>
              </w:rPr>
            </w:r>
            <w:r>
              <w:rPr>
                <w:noProof/>
                <w:webHidden/>
              </w:rPr>
              <w:fldChar w:fldCharType="separate"/>
            </w:r>
            <w:r>
              <w:rPr>
                <w:noProof/>
                <w:webHidden/>
              </w:rPr>
              <w:t>9</w:t>
            </w:r>
            <w:r>
              <w:rPr>
                <w:noProof/>
                <w:webHidden/>
              </w:rPr>
              <w:fldChar w:fldCharType="end"/>
            </w:r>
          </w:hyperlink>
        </w:p>
        <w:p w14:paraId="04DC97FE" w14:textId="42D9043C"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92" w:history="1">
            <w:r w:rsidRPr="00C80991">
              <w:rPr>
                <w:rStyle w:val="Hyperlink"/>
                <w:noProof/>
              </w:rPr>
              <w:t>1.6</w:t>
            </w:r>
            <w:r>
              <w:rPr>
                <w:rFonts w:asciiTheme="minorHAnsi" w:eastAsiaTheme="minorEastAsia" w:hAnsiTheme="minorHAnsi"/>
                <w:noProof/>
                <w:lang w:eastAsia="en-AU"/>
              </w:rPr>
              <w:tab/>
            </w:r>
            <w:r w:rsidRPr="00C80991">
              <w:rPr>
                <w:rStyle w:val="Hyperlink"/>
                <w:noProof/>
              </w:rPr>
              <w:t>Detailed methodology and stakeholder consultation list</w:t>
            </w:r>
            <w:r>
              <w:rPr>
                <w:noProof/>
                <w:webHidden/>
              </w:rPr>
              <w:tab/>
            </w:r>
            <w:r>
              <w:rPr>
                <w:noProof/>
                <w:webHidden/>
              </w:rPr>
              <w:fldChar w:fldCharType="begin"/>
            </w:r>
            <w:r>
              <w:rPr>
                <w:noProof/>
                <w:webHidden/>
              </w:rPr>
              <w:instrText xml:space="preserve"> PAGEREF _Toc118824292 \h </w:instrText>
            </w:r>
            <w:r>
              <w:rPr>
                <w:noProof/>
                <w:webHidden/>
              </w:rPr>
            </w:r>
            <w:r>
              <w:rPr>
                <w:noProof/>
                <w:webHidden/>
              </w:rPr>
              <w:fldChar w:fldCharType="separate"/>
            </w:r>
            <w:r>
              <w:rPr>
                <w:noProof/>
                <w:webHidden/>
              </w:rPr>
              <w:t>12</w:t>
            </w:r>
            <w:r>
              <w:rPr>
                <w:noProof/>
                <w:webHidden/>
              </w:rPr>
              <w:fldChar w:fldCharType="end"/>
            </w:r>
          </w:hyperlink>
        </w:p>
        <w:p w14:paraId="1DBF9190" w14:textId="7C147FDE"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293" w:history="1">
            <w:r w:rsidRPr="00C80991">
              <w:rPr>
                <w:rStyle w:val="Hyperlink"/>
                <w:noProof/>
              </w:rPr>
              <w:t>2</w:t>
            </w:r>
            <w:r>
              <w:rPr>
                <w:rFonts w:asciiTheme="minorHAnsi" w:eastAsiaTheme="minorEastAsia" w:hAnsiTheme="minorHAnsi"/>
                <w:noProof/>
                <w:lang w:eastAsia="en-AU"/>
              </w:rPr>
              <w:tab/>
            </w:r>
            <w:r w:rsidRPr="00C80991">
              <w:rPr>
                <w:rStyle w:val="Hyperlink"/>
                <w:noProof/>
              </w:rPr>
              <w:t>Executive Summary</w:t>
            </w:r>
            <w:r>
              <w:rPr>
                <w:noProof/>
                <w:webHidden/>
              </w:rPr>
              <w:tab/>
            </w:r>
            <w:r>
              <w:rPr>
                <w:noProof/>
                <w:webHidden/>
              </w:rPr>
              <w:fldChar w:fldCharType="begin"/>
            </w:r>
            <w:r>
              <w:rPr>
                <w:noProof/>
                <w:webHidden/>
              </w:rPr>
              <w:instrText xml:space="preserve"> PAGEREF _Toc118824293 \h </w:instrText>
            </w:r>
            <w:r>
              <w:rPr>
                <w:noProof/>
                <w:webHidden/>
              </w:rPr>
            </w:r>
            <w:r>
              <w:rPr>
                <w:noProof/>
                <w:webHidden/>
              </w:rPr>
              <w:fldChar w:fldCharType="separate"/>
            </w:r>
            <w:r>
              <w:rPr>
                <w:noProof/>
                <w:webHidden/>
              </w:rPr>
              <w:t>15</w:t>
            </w:r>
            <w:r>
              <w:rPr>
                <w:noProof/>
                <w:webHidden/>
              </w:rPr>
              <w:fldChar w:fldCharType="end"/>
            </w:r>
          </w:hyperlink>
        </w:p>
        <w:p w14:paraId="5940142F" w14:textId="69FEF0C3"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294" w:history="1">
            <w:r w:rsidRPr="00C80991">
              <w:rPr>
                <w:rStyle w:val="Hyperlink"/>
                <w:noProof/>
              </w:rPr>
              <w:t>3</w:t>
            </w:r>
            <w:r>
              <w:rPr>
                <w:rFonts w:asciiTheme="minorHAnsi" w:eastAsiaTheme="minorEastAsia" w:hAnsiTheme="minorHAnsi"/>
                <w:noProof/>
                <w:lang w:eastAsia="en-AU"/>
              </w:rPr>
              <w:tab/>
            </w:r>
            <w:r w:rsidRPr="00C80991">
              <w:rPr>
                <w:rStyle w:val="Hyperlink"/>
                <w:noProof/>
              </w:rPr>
              <w:t>Context</w:t>
            </w:r>
            <w:r>
              <w:rPr>
                <w:noProof/>
                <w:webHidden/>
              </w:rPr>
              <w:tab/>
            </w:r>
            <w:r>
              <w:rPr>
                <w:noProof/>
                <w:webHidden/>
              </w:rPr>
              <w:fldChar w:fldCharType="begin"/>
            </w:r>
            <w:r>
              <w:rPr>
                <w:noProof/>
                <w:webHidden/>
              </w:rPr>
              <w:instrText xml:space="preserve"> PAGEREF _Toc118824294 \h </w:instrText>
            </w:r>
            <w:r>
              <w:rPr>
                <w:noProof/>
                <w:webHidden/>
              </w:rPr>
            </w:r>
            <w:r>
              <w:rPr>
                <w:noProof/>
                <w:webHidden/>
              </w:rPr>
              <w:fldChar w:fldCharType="separate"/>
            </w:r>
            <w:r>
              <w:rPr>
                <w:noProof/>
                <w:webHidden/>
              </w:rPr>
              <w:t>17</w:t>
            </w:r>
            <w:r>
              <w:rPr>
                <w:noProof/>
                <w:webHidden/>
              </w:rPr>
              <w:fldChar w:fldCharType="end"/>
            </w:r>
          </w:hyperlink>
        </w:p>
        <w:p w14:paraId="0A5324DF" w14:textId="79933831"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95" w:history="1">
            <w:r w:rsidRPr="00C80991">
              <w:rPr>
                <w:rStyle w:val="Hyperlink"/>
                <w:noProof/>
              </w:rPr>
              <w:t>3.1</w:t>
            </w:r>
            <w:r>
              <w:rPr>
                <w:rFonts w:asciiTheme="minorHAnsi" w:eastAsiaTheme="minorEastAsia" w:hAnsiTheme="minorHAnsi"/>
                <w:noProof/>
                <w:lang w:eastAsia="en-AU"/>
              </w:rPr>
              <w:tab/>
            </w:r>
            <w:r w:rsidRPr="00C80991">
              <w:rPr>
                <w:rStyle w:val="Hyperlink"/>
                <w:noProof/>
              </w:rPr>
              <w:t>Past projects</w:t>
            </w:r>
            <w:r>
              <w:rPr>
                <w:noProof/>
                <w:webHidden/>
              </w:rPr>
              <w:tab/>
            </w:r>
            <w:r>
              <w:rPr>
                <w:noProof/>
                <w:webHidden/>
              </w:rPr>
              <w:fldChar w:fldCharType="begin"/>
            </w:r>
            <w:r>
              <w:rPr>
                <w:noProof/>
                <w:webHidden/>
              </w:rPr>
              <w:instrText xml:space="preserve"> PAGEREF _Toc118824295 \h </w:instrText>
            </w:r>
            <w:r>
              <w:rPr>
                <w:noProof/>
                <w:webHidden/>
              </w:rPr>
            </w:r>
            <w:r>
              <w:rPr>
                <w:noProof/>
                <w:webHidden/>
              </w:rPr>
              <w:fldChar w:fldCharType="separate"/>
            </w:r>
            <w:r>
              <w:rPr>
                <w:noProof/>
                <w:webHidden/>
              </w:rPr>
              <w:t>17</w:t>
            </w:r>
            <w:r>
              <w:rPr>
                <w:noProof/>
                <w:webHidden/>
              </w:rPr>
              <w:fldChar w:fldCharType="end"/>
            </w:r>
          </w:hyperlink>
        </w:p>
        <w:p w14:paraId="32BA31AA" w14:textId="5C8DC99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296" w:history="1">
            <w:r w:rsidRPr="00C80991">
              <w:rPr>
                <w:rStyle w:val="Hyperlink"/>
                <w:noProof/>
              </w:rPr>
              <w:t>3.1.1</w:t>
            </w:r>
            <w:r>
              <w:rPr>
                <w:rFonts w:asciiTheme="minorHAnsi" w:eastAsiaTheme="minorEastAsia" w:hAnsiTheme="minorHAnsi"/>
                <w:noProof/>
                <w:lang w:eastAsia="en-AU"/>
              </w:rPr>
              <w:tab/>
            </w:r>
            <w:r w:rsidRPr="00C80991">
              <w:rPr>
                <w:rStyle w:val="Hyperlink"/>
                <w:noProof/>
              </w:rPr>
              <w:t>The Human Genome Diversity Project (HGDP) (the “Vampire Project”)</w:t>
            </w:r>
            <w:r>
              <w:rPr>
                <w:noProof/>
                <w:webHidden/>
              </w:rPr>
              <w:tab/>
            </w:r>
            <w:r>
              <w:rPr>
                <w:noProof/>
                <w:webHidden/>
              </w:rPr>
              <w:fldChar w:fldCharType="begin"/>
            </w:r>
            <w:r>
              <w:rPr>
                <w:noProof/>
                <w:webHidden/>
              </w:rPr>
              <w:instrText xml:space="preserve"> PAGEREF _Toc118824296 \h </w:instrText>
            </w:r>
            <w:r>
              <w:rPr>
                <w:noProof/>
                <w:webHidden/>
              </w:rPr>
            </w:r>
            <w:r>
              <w:rPr>
                <w:noProof/>
                <w:webHidden/>
              </w:rPr>
              <w:fldChar w:fldCharType="separate"/>
            </w:r>
            <w:r>
              <w:rPr>
                <w:noProof/>
                <w:webHidden/>
              </w:rPr>
              <w:t>17</w:t>
            </w:r>
            <w:r>
              <w:rPr>
                <w:noProof/>
                <w:webHidden/>
              </w:rPr>
              <w:fldChar w:fldCharType="end"/>
            </w:r>
          </w:hyperlink>
        </w:p>
        <w:p w14:paraId="2C101882" w14:textId="0283608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297" w:history="1">
            <w:r w:rsidRPr="00C80991">
              <w:rPr>
                <w:rStyle w:val="Hyperlink"/>
                <w:noProof/>
              </w:rPr>
              <w:t>3.1.2</w:t>
            </w:r>
            <w:r>
              <w:rPr>
                <w:rFonts w:asciiTheme="minorHAnsi" w:eastAsiaTheme="minorEastAsia" w:hAnsiTheme="minorHAnsi"/>
                <w:noProof/>
                <w:lang w:eastAsia="en-AU"/>
              </w:rPr>
              <w:tab/>
            </w:r>
            <w:r w:rsidRPr="00C80991">
              <w:rPr>
                <w:rStyle w:val="Hyperlink"/>
                <w:noProof/>
              </w:rPr>
              <w:t>The Genographic Project</w:t>
            </w:r>
            <w:r>
              <w:rPr>
                <w:noProof/>
                <w:webHidden/>
              </w:rPr>
              <w:tab/>
            </w:r>
            <w:r>
              <w:rPr>
                <w:noProof/>
                <w:webHidden/>
              </w:rPr>
              <w:fldChar w:fldCharType="begin"/>
            </w:r>
            <w:r>
              <w:rPr>
                <w:noProof/>
                <w:webHidden/>
              </w:rPr>
              <w:instrText xml:space="preserve"> PAGEREF _Toc118824297 \h </w:instrText>
            </w:r>
            <w:r>
              <w:rPr>
                <w:noProof/>
                <w:webHidden/>
              </w:rPr>
            </w:r>
            <w:r>
              <w:rPr>
                <w:noProof/>
                <w:webHidden/>
              </w:rPr>
              <w:fldChar w:fldCharType="separate"/>
            </w:r>
            <w:r>
              <w:rPr>
                <w:noProof/>
                <w:webHidden/>
              </w:rPr>
              <w:t>18</w:t>
            </w:r>
            <w:r>
              <w:rPr>
                <w:noProof/>
                <w:webHidden/>
              </w:rPr>
              <w:fldChar w:fldCharType="end"/>
            </w:r>
          </w:hyperlink>
        </w:p>
        <w:p w14:paraId="0088ED3A" w14:textId="4A6CE70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298" w:history="1">
            <w:r w:rsidRPr="00C80991">
              <w:rPr>
                <w:rStyle w:val="Hyperlink"/>
                <w:noProof/>
              </w:rPr>
              <w:t>3.2</w:t>
            </w:r>
            <w:r>
              <w:rPr>
                <w:rFonts w:asciiTheme="minorHAnsi" w:eastAsiaTheme="minorEastAsia" w:hAnsiTheme="minorHAnsi"/>
                <w:noProof/>
                <w:lang w:eastAsia="en-AU"/>
              </w:rPr>
              <w:tab/>
            </w:r>
            <w:r w:rsidRPr="00C80991">
              <w:rPr>
                <w:rStyle w:val="Hyperlink"/>
                <w:noProof/>
              </w:rPr>
              <w:t>The Co-design principle</w:t>
            </w:r>
            <w:r>
              <w:rPr>
                <w:noProof/>
                <w:webHidden/>
              </w:rPr>
              <w:tab/>
            </w:r>
            <w:r>
              <w:rPr>
                <w:noProof/>
                <w:webHidden/>
              </w:rPr>
              <w:fldChar w:fldCharType="begin"/>
            </w:r>
            <w:r>
              <w:rPr>
                <w:noProof/>
                <w:webHidden/>
              </w:rPr>
              <w:instrText xml:space="preserve"> PAGEREF _Toc118824298 \h </w:instrText>
            </w:r>
            <w:r>
              <w:rPr>
                <w:noProof/>
                <w:webHidden/>
              </w:rPr>
            </w:r>
            <w:r>
              <w:rPr>
                <w:noProof/>
                <w:webHidden/>
              </w:rPr>
              <w:fldChar w:fldCharType="separate"/>
            </w:r>
            <w:r>
              <w:rPr>
                <w:noProof/>
                <w:webHidden/>
              </w:rPr>
              <w:t>19</w:t>
            </w:r>
            <w:r>
              <w:rPr>
                <w:noProof/>
                <w:webHidden/>
              </w:rPr>
              <w:fldChar w:fldCharType="end"/>
            </w:r>
          </w:hyperlink>
        </w:p>
        <w:p w14:paraId="20016DD0" w14:textId="4D137EBE"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299" w:history="1">
            <w:r w:rsidRPr="00C80991">
              <w:rPr>
                <w:rStyle w:val="Hyperlink"/>
                <w:noProof/>
              </w:rPr>
              <w:t>4</w:t>
            </w:r>
            <w:r>
              <w:rPr>
                <w:rFonts w:asciiTheme="minorHAnsi" w:eastAsiaTheme="minorEastAsia" w:hAnsiTheme="minorHAnsi"/>
                <w:noProof/>
                <w:lang w:eastAsia="en-AU"/>
              </w:rPr>
              <w:tab/>
            </w:r>
            <w:r w:rsidRPr="00C80991">
              <w:rPr>
                <w:rStyle w:val="Hyperlink"/>
                <w:noProof/>
              </w:rPr>
              <w:t>What issues arise ethically, socially and culturally for Indigenous Genomics?</w:t>
            </w:r>
            <w:r>
              <w:rPr>
                <w:noProof/>
                <w:webHidden/>
              </w:rPr>
              <w:tab/>
            </w:r>
            <w:r>
              <w:rPr>
                <w:noProof/>
                <w:webHidden/>
              </w:rPr>
              <w:fldChar w:fldCharType="begin"/>
            </w:r>
            <w:r>
              <w:rPr>
                <w:noProof/>
                <w:webHidden/>
              </w:rPr>
              <w:instrText xml:space="preserve"> PAGEREF _Toc118824299 \h </w:instrText>
            </w:r>
            <w:r>
              <w:rPr>
                <w:noProof/>
                <w:webHidden/>
              </w:rPr>
            </w:r>
            <w:r>
              <w:rPr>
                <w:noProof/>
                <w:webHidden/>
              </w:rPr>
              <w:fldChar w:fldCharType="separate"/>
            </w:r>
            <w:r>
              <w:rPr>
                <w:noProof/>
                <w:webHidden/>
              </w:rPr>
              <w:t>20</w:t>
            </w:r>
            <w:r>
              <w:rPr>
                <w:noProof/>
                <w:webHidden/>
              </w:rPr>
              <w:fldChar w:fldCharType="end"/>
            </w:r>
          </w:hyperlink>
        </w:p>
        <w:p w14:paraId="71DE90B0" w14:textId="0ED77692"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00" w:history="1">
            <w:r w:rsidRPr="00C80991">
              <w:rPr>
                <w:rStyle w:val="Hyperlink"/>
                <w:noProof/>
              </w:rPr>
              <w:t>4.1</w:t>
            </w:r>
            <w:r>
              <w:rPr>
                <w:rFonts w:asciiTheme="minorHAnsi" w:eastAsiaTheme="minorEastAsia" w:hAnsiTheme="minorHAnsi"/>
                <w:noProof/>
                <w:lang w:eastAsia="en-AU"/>
              </w:rPr>
              <w:tab/>
            </w:r>
            <w:r w:rsidRPr="00C80991">
              <w:rPr>
                <w:rStyle w:val="Hyperlink"/>
                <w:noProof/>
              </w:rPr>
              <w:t>What makes Aboriginal and Torres Strait Islander genomics unique?</w:t>
            </w:r>
            <w:r>
              <w:rPr>
                <w:noProof/>
                <w:webHidden/>
              </w:rPr>
              <w:tab/>
            </w:r>
            <w:r>
              <w:rPr>
                <w:noProof/>
                <w:webHidden/>
              </w:rPr>
              <w:fldChar w:fldCharType="begin"/>
            </w:r>
            <w:r>
              <w:rPr>
                <w:noProof/>
                <w:webHidden/>
              </w:rPr>
              <w:instrText xml:space="preserve"> PAGEREF _Toc118824300 \h </w:instrText>
            </w:r>
            <w:r>
              <w:rPr>
                <w:noProof/>
                <w:webHidden/>
              </w:rPr>
            </w:r>
            <w:r>
              <w:rPr>
                <w:noProof/>
                <w:webHidden/>
              </w:rPr>
              <w:fldChar w:fldCharType="separate"/>
            </w:r>
            <w:r>
              <w:rPr>
                <w:noProof/>
                <w:webHidden/>
              </w:rPr>
              <w:t>22</w:t>
            </w:r>
            <w:r>
              <w:rPr>
                <w:noProof/>
                <w:webHidden/>
              </w:rPr>
              <w:fldChar w:fldCharType="end"/>
            </w:r>
          </w:hyperlink>
        </w:p>
        <w:p w14:paraId="0261AA43" w14:textId="2ED12EF2"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01" w:history="1">
            <w:r w:rsidRPr="00C80991">
              <w:rPr>
                <w:rStyle w:val="Hyperlink"/>
                <w:noProof/>
              </w:rPr>
              <w:t>4.2</w:t>
            </w:r>
            <w:r>
              <w:rPr>
                <w:rFonts w:asciiTheme="minorHAnsi" w:eastAsiaTheme="minorEastAsia" w:hAnsiTheme="minorHAnsi"/>
                <w:noProof/>
                <w:lang w:eastAsia="en-AU"/>
              </w:rPr>
              <w:tab/>
            </w:r>
            <w:r w:rsidRPr="00C80991">
              <w:rPr>
                <w:rStyle w:val="Hyperlink"/>
                <w:noProof/>
              </w:rPr>
              <w:t>What rights do Aboriginal and Torres Strait Islander peoples want over their genomic samples and data?</w:t>
            </w:r>
            <w:r>
              <w:rPr>
                <w:noProof/>
                <w:webHidden/>
              </w:rPr>
              <w:tab/>
            </w:r>
            <w:r>
              <w:rPr>
                <w:noProof/>
                <w:webHidden/>
              </w:rPr>
              <w:fldChar w:fldCharType="begin"/>
            </w:r>
            <w:r>
              <w:rPr>
                <w:noProof/>
                <w:webHidden/>
              </w:rPr>
              <w:instrText xml:space="preserve"> PAGEREF _Toc118824301 \h </w:instrText>
            </w:r>
            <w:r>
              <w:rPr>
                <w:noProof/>
                <w:webHidden/>
              </w:rPr>
            </w:r>
            <w:r>
              <w:rPr>
                <w:noProof/>
                <w:webHidden/>
              </w:rPr>
              <w:fldChar w:fldCharType="separate"/>
            </w:r>
            <w:r>
              <w:rPr>
                <w:noProof/>
                <w:webHidden/>
              </w:rPr>
              <w:t>24</w:t>
            </w:r>
            <w:r>
              <w:rPr>
                <w:noProof/>
                <w:webHidden/>
              </w:rPr>
              <w:fldChar w:fldCharType="end"/>
            </w:r>
          </w:hyperlink>
        </w:p>
        <w:p w14:paraId="77CD8103" w14:textId="2F4C854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02" w:history="1">
            <w:r w:rsidRPr="00C80991">
              <w:rPr>
                <w:rStyle w:val="Hyperlink"/>
                <w:noProof/>
              </w:rPr>
              <w:t>4.3</w:t>
            </w:r>
            <w:r>
              <w:rPr>
                <w:rFonts w:asciiTheme="minorHAnsi" w:eastAsiaTheme="minorEastAsia" w:hAnsiTheme="minorHAnsi"/>
                <w:noProof/>
                <w:lang w:eastAsia="en-AU"/>
              </w:rPr>
              <w:tab/>
            </w:r>
            <w:r w:rsidRPr="00C80991">
              <w:rPr>
                <w:rStyle w:val="Hyperlink"/>
                <w:noProof/>
              </w:rPr>
              <w:t>Access to health outcomes</w:t>
            </w:r>
            <w:r>
              <w:rPr>
                <w:noProof/>
                <w:webHidden/>
              </w:rPr>
              <w:tab/>
            </w:r>
            <w:r>
              <w:rPr>
                <w:noProof/>
                <w:webHidden/>
              </w:rPr>
              <w:fldChar w:fldCharType="begin"/>
            </w:r>
            <w:r>
              <w:rPr>
                <w:noProof/>
                <w:webHidden/>
              </w:rPr>
              <w:instrText xml:space="preserve"> PAGEREF _Toc118824302 \h </w:instrText>
            </w:r>
            <w:r>
              <w:rPr>
                <w:noProof/>
                <w:webHidden/>
              </w:rPr>
            </w:r>
            <w:r>
              <w:rPr>
                <w:noProof/>
                <w:webHidden/>
              </w:rPr>
              <w:fldChar w:fldCharType="separate"/>
            </w:r>
            <w:r>
              <w:rPr>
                <w:noProof/>
                <w:webHidden/>
              </w:rPr>
              <w:t>25</w:t>
            </w:r>
            <w:r>
              <w:rPr>
                <w:noProof/>
                <w:webHidden/>
              </w:rPr>
              <w:fldChar w:fldCharType="end"/>
            </w:r>
          </w:hyperlink>
        </w:p>
        <w:p w14:paraId="21DB4488" w14:textId="5D143CD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03" w:history="1">
            <w:r w:rsidRPr="00C80991">
              <w:rPr>
                <w:rStyle w:val="Hyperlink"/>
                <w:noProof/>
              </w:rPr>
              <w:t>4.4</w:t>
            </w:r>
            <w:r>
              <w:rPr>
                <w:rFonts w:asciiTheme="minorHAnsi" w:eastAsiaTheme="minorEastAsia" w:hAnsiTheme="minorHAnsi"/>
                <w:noProof/>
                <w:lang w:eastAsia="en-AU"/>
              </w:rPr>
              <w:tab/>
            </w:r>
            <w:r w:rsidRPr="00C80991">
              <w:rPr>
                <w:rStyle w:val="Hyperlink"/>
                <w:noProof/>
              </w:rPr>
              <w:t>Collection and use of information</w:t>
            </w:r>
            <w:r>
              <w:rPr>
                <w:noProof/>
                <w:webHidden/>
              </w:rPr>
              <w:tab/>
            </w:r>
            <w:r>
              <w:rPr>
                <w:noProof/>
                <w:webHidden/>
              </w:rPr>
              <w:fldChar w:fldCharType="begin"/>
            </w:r>
            <w:r>
              <w:rPr>
                <w:noProof/>
                <w:webHidden/>
              </w:rPr>
              <w:instrText xml:space="preserve"> PAGEREF _Toc118824303 \h </w:instrText>
            </w:r>
            <w:r>
              <w:rPr>
                <w:noProof/>
                <w:webHidden/>
              </w:rPr>
            </w:r>
            <w:r>
              <w:rPr>
                <w:noProof/>
                <w:webHidden/>
              </w:rPr>
              <w:fldChar w:fldCharType="separate"/>
            </w:r>
            <w:r>
              <w:rPr>
                <w:noProof/>
                <w:webHidden/>
              </w:rPr>
              <w:t>26</w:t>
            </w:r>
            <w:r>
              <w:rPr>
                <w:noProof/>
                <w:webHidden/>
              </w:rPr>
              <w:fldChar w:fldCharType="end"/>
            </w:r>
          </w:hyperlink>
        </w:p>
        <w:p w14:paraId="73E0EA4C" w14:textId="5A2A593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04" w:history="1">
            <w:r w:rsidRPr="00C80991">
              <w:rPr>
                <w:rStyle w:val="Hyperlink"/>
                <w:noProof/>
              </w:rPr>
              <w:t>4.4.1</w:t>
            </w:r>
            <w:r>
              <w:rPr>
                <w:rFonts w:asciiTheme="minorHAnsi" w:eastAsiaTheme="minorEastAsia" w:hAnsiTheme="minorHAnsi"/>
                <w:noProof/>
                <w:lang w:eastAsia="en-AU"/>
              </w:rPr>
              <w:tab/>
            </w:r>
            <w:r w:rsidRPr="00C80991">
              <w:rPr>
                <w:rStyle w:val="Hyperlink"/>
                <w:noProof/>
              </w:rPr>
              <w:t>Who needs to give consent?</w:t>
            </w:r>
            <w:r>
              <w:rPr>
                <w:noProof/>
                <w:webHidden/>
              </w:rPr>
              <w:tab/>
            </w:r>
            <w:r>
              <w:rPr>
                <w:noProof/>
                <w:webHidden/>
              </w:rPr>
              <w:fldChar w:fldCharType="begin"/>
            </w:r>
            <w:r>
              <w:rPr>
                <w:noProof/>
                <w:webHidden/>
              </w:rPr>
              <w:instrText xml:space="preserve"> PAGEREF _Toc118824304 \h </w:instrText>
            </w:r>
            <w:r>
              <w:rPr>
                <w:noProof/>
                <w:webHidden/>
              </w:rPr>
            </w:r>
            <w:r>
              <w:rPr>
                <w:noProof/>
                <w:webHidden/>
              </w:rPr>
              <w:fldChar w:fldCharType="separate"/>
            </w:r>
            <w:r>
              <w:rPr>
                <w:noProof/>
                <w:webHidden/>
              </w:rPr>
              <w:t>27</w:t>
            </w:r>
            <w:r>
              <w:rPr>
                <w:noProof/>
                <w:webHidden/>
              </w:rPr>
              <w:fldChar w:fldCharType="end"/>
            </w:r>
          </w:hyperlink>
        </w:p>
        <w:p w14:paraId="16895E19" w14:textId="6A6D77E4"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05" w:history="1">
            <w:r w:rsidRPr="00C80991">
              <w:rPr>
                <w:rStyle w:val="Hyperlink"/>
                <w:noProof/>
              </w:rPr>
              <w:t>4.4.2</w:t>
            </w:r>
            <w:r>
              <w:rPr>
                <w:rFonts w:asciiTheme="minorHAnsi" w:eastAsiaTheme="minorEastAsia" w:hAnsiTheme="minorHAnsi"/>
                <w:noProof/>
                <w:lang w:eastAsia="en-AU"/>
              </w:rPr>
              <w:tab/>
            </w:r>
            <w:r w:rsidRPr="00C80991">
              <w:rPr>
                <w:rStyle w:val="Hyperlink"/>
                <w:noProof/>
              </w:rPr>
              <w:t>What does the consent cover?</w:t>
            </w:r>
            <w:r>
              <w:rPr>
                <w:noProof/>
                <w:webHidden/>
              </w:rPr>
              <w:tab/>
            </w:r>
            <w:r>
              <w:rPr>
                <w:noProof/>
                <w:webHidden/>
              </w:rPr>
              <w:fldChar w:fldCharType="begin"/>
            </w:r>
            <w:r>
              <w:rPr>
                <w:noProof/>
                <w:webHidden/>
              </w:rPr>
              <w:instrText xml:space="preserve"> PAGEREF _Toc118824305 \h </w:instrText>
            </w:r>
            <w:r>
              <w:rPr>
                <w:noProof/>
                <w:webHidden/>
              </w:rPr>
            </w:r>
            <w:r>
              <w:rPr>
                <w:noProof/>
                <w:webHidden/>
              </w:rPr>
              <w:fldChar w:fldCharType="separate"/>
            </w:r>
            <w:r>
              <w:rPr>
                <w:noProof/>
                <w:webHidden/>
              </w:rPr>
              <w:t>27</w:t>
            </w:r>
            <w:r>
              <w:rPr>
                <w:noProof/>
                <w:webHidden/>
              </w:rPr>
              <w:fldChar w:fldCharType="end"/>
            </w:r>
          </w:hyperlink>
        </w:p>
        <w:p w14:paraId="2EEB9B8E" w14:textId="1C99A95E"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06" w:history="1">
            <w:r w:rsidRPr="00C80991">
              <w:rPr>
                <w:rStyle w:val="Hyperlink"/>
                <w:noProof/>
              </w:rPr>
              <w:t>4.4.3</w:t>
            </w:r>
            <w:r>
              <w:rPr>
                <w:rFonts w:asciiTheme="minorHAnsi" w:eastAsiaTheme="minorEastAsia" w:hAnsiTheme="minorHAnsi"/>
                <w:noProof/>
                <w:lang w:eastAsia="en-AU"/>
              </w:rPr>
              <w:tab/>
            </w:r>
            <w:r w:rsidRPr="00C80991">
              <w:rPr>
                <w:rStyle w:val="Hyperlink"/>
                <w:noProof/>
              </w:rPr>
              <w:t>How was the consent obtained and when?</w:t>
            </w:r>
            <w:r>
              <w:rPr>
                <w:noProof/>
                <w:webHidden/>
              </w:rPr>
              <w:tab/>
            </w:r>
            <w:r>
              <w:rPr>
                <w:noProof/>
                <w:webHidden/>
              </w:rPr>
              <w:fldChar w:fldCharType="begin"/>
            </w:r>
            <w:r>
              <w:rPr>
                <w:noProof/>
                <w:webHidden/>
              </w:rPr>
              <w:instrText xml:space="preserve"> PAGEREF _Toc118824306 \h </w:instrText>
            </w:r>
            <w:r>
              <w:rPr>
                <w:noProof/>
                <w:webHidden/>
              </w:rPr>
            </w:r>
            <w:r>
              <w:rPr>
                <w:noProof/>
                <w:webHidden/>
              </w:rPr>
              <w:fldChar w:fldCharType="separate"/>
            </w:r>
            <w:r>
              <w:rPr>
                <w:noProof/>
                <w:webHidden/>
              </w:rPr>
              <w:t>28</w:t>
            </w:r>
            <w:r>
              <w:rPr>
                <w:noProof/>
                <w:webHidden/>
              </w:rPr>
              <w:fldChar w:fldCharType="end"/>
            </w:r>
          </w:hyperlink>
        </w:p>
        <w:p w14:paraId="1FBB7273" w14:textId="1852D90C"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07" w:history="1">
            <w:r w:rsidRPr="00C80991">
              <w:rPr>
                <w:rStyle w:val="Hyperlink"/>
                <w:noProof/>
              </w:rPr>
              <w:t>4.5</w:t>
            </w:r>
            <w:r>
              <w:rPr>
                <w:rFonts w:asciiTheme="minorHAnsi" w:eastAsiaTheme="minorEastAsia" w:hAnsiTheme="minorHAnsi"/>
                <w:noProof/>
                <w:lang w:eastAsia="en-AU"/>
              </w:rPr>
              <w:tab/>
            </w:r>
            <w:r w:rsidRPr="00C80991">
              <w:rPr>
                <w:rStyle w:val="Hyperlink"/>
                <w:noProof/>
              </w:rPr>
              <w:t>Management of personal genomic information</w:t>
            </w:r>
            <w:r>
              <w:rPr>
                <w:noProof/>
                <w:webHidden/>
              </w:rPr>
              <w:tab/>
            </w:r>
            <w:r>
              <w:rPr>
                <w:noProof/>
                <w:webHidden/>
              </w:rPr>
              <w:fldChar w:fldCharType="begin"/>
            </w:r>
            <w:r>
              <w:rPr>
                <w:noProof/>
                <w:webHidden/>
              </w:rPr>
              <w:instrText xml:space="preserve"> PAGEREF _Toc118824307 \h </w:instrText>
            </w:r>
            <w:r>
              <w:rPr>
                <w:noProof/>
                <w:webHidden/>
              </w:rPr>
            </w:r>
            <w:r>
              <w:rPr>
                <w:noProof/>
                <w:webHidden/>
              </w:rPr>
              <w:fldChar w:fldCharType="separate"/>
            </w:r>
            <w:r>
              <w:rPr>
                <w:noProof/>
                <w:webHidden/>
              </w:rPr>
              <w:t>29</w:t>
            </w:r>
            <w:r>
              <w:rPr>
                <w:noProof/>
                <w:webHidden/>
              </w:rPr>
              <w:fldChar w:fldCharType="end"/>
            </w:r>
          </w:hyperlink>
        </w:p>
        <w:p w14:paraId="752273C6" w14:textId="17529BF3"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08" w:history="1">
            <w:r w:rsidRPr="00C80991">
              <w:rPr>
                <w:rStyle w:val="Hyperlink"/>
                <w:noProof/>
              </w:rPr>
              <w:t>4.6</w:t>
            </w:r>
            <w:r>
              <w:rPr>
                <w:rFonts w:asciiTheme="minorHAnsi" w:eastAsiaTheme="minorEastAsia" w:hAnsiTheme="minorHAnsi"/>
                <w:noProof/>
                <w:lang w:eastAsia="en-AU"/>
              </w:rPr>
              <w:tab/>
            </w:r>
            <w:r w:rsidRPr="00C80991">
              <w:rPr>
                <w:rStyle w:val="Hyperlink"/>
                <w:noProof/>
              </w:rPr>
              <w:t>Secondary uses &amp; incidental findings</w:t>
            </w:r>
            <w:r>
              <w:rPr>
                <w:noProof/>
                <w:webHidden/>
              </w:rPr>
              <w:tab/>
            </w:r>
            <w:r>
              <w:rPr>
                <w:noProof/>
                <w:webHidden/>
              </w:rPr>
              <w:fldChar w:fldCharType="begin"/>
            </w:r>
            <w:r>
              <w:rPr>
                <w:noProof/>
                <w:webHidden/>
              </w:rPr>
              <w:instrText xml:space="preserve"> PAGEREF _Toc118824308 \h </w:instrText>
            </w:r>
            <w:r>
              <w:rPr>
                <w:noProof/>
                <w:webHidden/>
              </w:rPr>
            </w:r>
            <w:r>
              <w:rPr>
                <w:noProof/>
                <w:webHidden/>
              </w:rPr>
              <w:fldChar w:fldCharType="separate"/>
            </w:r>
            <w:r>
              <w:rPr>
                <w:noProof/>
                <w:webHidden/>
              </w:rPr>
              <w:t>29</w:t>
            </w:r>
            <w:r>
              <w:rPr>
                <w:noProof/>
                <w:webHidden/>
              </w:rPr>
              <w:fldChar w:fldCharType="end"/>
            </w:r>
          </w:hyperlink>
        </w:p>
        <w:p w14:paraId="45C07681" w14:textId="3AB55773"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09" w:history="1">
            <w:r w:rsidRPr="00C80991">
              <w:rPr>
                <w:rStyle w:val="Hyperlink"/>
                <w:noProof/>
              </w:rPr>
              <w:t>4.7</w:t>
            </w:r>
            <w:r>
              <w:rPr>
                <w:rFonts w:asciiTheme="minorHAnsi" w:eastAsiaTheme="minorEastAsia" w:hAnsiTheme="minorHAnsi"/>
                <w:noProof/>
                <w:lang w:eastAsia="en-AU"/>
              </w:rPr>
              <w:tab/>
            </w:r>
            <w:r w:rsidRPr="00C80991">
              <w:rPr>
                <w:rStyle w:val="Hyperlink"/>
                <w:noProof/>
              </w:rPr>
              <w:t>Distinction between health-based research and population research</w:t>
            </w:r>
            <w:r>
              <w:rPr>
                <w:noProof/>
                <w:webHidden/>
              </w:rPr>
              <w:tab/>
            </w:r>
            <w:r>
              <w:rPr>
                <w:noProof/>
                <w:webHidden/>
              </w:rPr>
              <w:fldChar w:fldCharType="begin"/>
            </w:r>
            <w:r>
              <w:rPr>
                <w:noProof/>
                <w:webHidden/>
              </w:rPr>
              <w:instrText xml:space="preserve"> PAGEREF _Toc118824309 \h </w:instrText>
            </w:r>
            <w:r>
              <w:rPr>
                <w:noProof/>
                <w:webHidden/>
              </w:rPr>
            </w:r>
            <w:r>
              <w:rPr>
                <w:noProof/>
                <w:webHidden/>
              </w:rPr>
              <w:fldChar w:fldCharType="separate"/>
            </w:r>
            <w:r>
              <w:rPr>
                <w:noProof/>
                <w:webHidden/>
              </w:rPr>
              <w:t>30</w:t>
            </w:r>
            <w:r>
              <w:rPr>
                <w:noProof/>
                <w:webHidden/>
              </w:rPr>
              <w:fldChar w:fldCharType="end"/>
            </w:r>
          </w:hyperlink>
        </w:p>
        <w:p w14:paraId="038F0B35" w14:textId="22E6E98E"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10" w:history="1">
            <w:r w:rsidRPr="00C80991">
              <w:rPr>
                <w:rStyle w:val="Hyperlink"/>
                <w:noProof/>
              </w:rPr>
              <w:t>4.8</w:t>
            </w:r>
            <w:r>
              <w:rPr>
                <w:rFonts w:asciiTheme="minorHAnsi" w:eastAsiaTheme="minorEastAsia" w:hAnsiTheme="minorHAnsi"/>
                <w:noProof/>
                <w:lang w:eastAsia="en-AU"/>
              </w:rPr>
              <w:tab/>
            </w:r>
            <w:r w:rsidRPr="00C80991">
              <w:rPr>
                <w:rStyle w:val="Hyperlink"/>
                <w:noProof/>
              </w:rPr>
              <w:t>Cultural security for Aboriginal and Torres Strait Islander Researchers</w:t>
            </w:r>
            <w:r>
              <w:rPr>
                <w:noProof/>
                <w:webHidden/>
              </w:rPr>
              <w:tab/>
            </w:r>
            <w:r>
              <w:rPr>
                <w:noProof/>
                <w:webHidden/>
              </w:rPr>
              <w:fldChar w:fldCharType="begin"/>
            </w:r>
            <w:r>
              <w:rPr>
                <w:noProof/>
                <w:webHidden/>
              </w:rPr>
              <w:instrText xml:space="preserve"> PAGEREF _Toc118824310 \h </w:instrText>
            </w:r>
            <w:r>
              <w:rPr>
                <w:noProof/>
                <w:webHidden/>
              </w:rPr>
            </w:r>
            <w:r>
              <w:rPr>
                <w:noProof/>
                <w:webHidden/>
              </w:rPr>
              <w:fldChar w:fldCharType="separate"/>
            </w:r>
            <w:r>
              <w:rPr>
                <w:noProof/>
                <w:webHidden/>
              </w:rPr>
              <w:t>30</w:t>
            </w:r>
            <w:r>
              <w:rPr>
                <w:noProof/>
                <w:webHidden/>
              </w:rPr>
              <w:fldChar w:fldCharType="end"/>
            </w:r>
          </w:hyperlink>
        </w:p>
        <w:p w14:paraId="21ADA9A7" w14:textId="503080F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11" w:history="1">
            <w:r w:rsidRPr="00C80991">
              <w:rPr>
                <w:rStyle w:val="Hyperlink"/>
                <w:noProof/>
              </w:rPr>
              <w:t>4.9</w:t>
            </w:r>
            <w:r>
              <w:rPr>
                <w:rFonts w:asciiTheme="minorHAnsi" w:eastAsiaTheme="minorEastAsia" w:hAnsiTheme="minorHAnsi"/>
                <w:noProof/>
                <w:lang w:eastAsia="en-AU"/>
              </w:rPr>
              <w:tab/>
            </w:r>
            <w:r w:rsidRPr="00C80991">
              <w:rPr>
                <w:rStyle w:val="Hyperlink"/>
                <w:noProof/>
              </w:rPr>
              <w:t>University research integrity and ethics protocols &amp; funding bodies expectations</w:t>
            </w:r>
            <w:r>
              <w:rPr>
                <w:noProof/>
                <w:webHidden/>
              </w:rPr>
              <w:tab/>
            </w:r>
            <w:r>
              <w:rPr>
                <w:noProof/>
                <w:webHidden/>
              </w:rPr>
              <w:fldChar w:fldCharType="begin"/>
            </w:r>
            <w:r>
              <w:rPr>
                <w:noProof/>
                <w:webHidden/>
              </w:rPr>
              <w:instrText xml:space="preserve"> PAGEREF _Toc118824311 \h </w:instrText>
            </w:r>
            <w:r>
              <w:rPr>
                <w:noProof/>
                <w:webHidden/>
              </w:rPr>
            </w:r>
            <w:r>
              <w:rPr>
                <w:noProof/>
                <w:webHidden/>
              </w:rPr>
              <w:fldChar w:fldCharType="separate"/>
            </w:r>
            <w:r>
              <w:rPr>
                <w:noProof/>
                <w:webHidden/>
              </w:rPr>
              <w:t>30</w:t>
            </w:r>
            <w:r>
              <w:rPr>
                <w:noProof/>
                <w:webHidden/>
              </w:rPr>
              <w:fldChar w:fldCharType="end"/>
            </w:r>
          </w:hyperlink>
        </w:p>
        <w:p w14:paraId="1E522464" w14:textId="4C69773B"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12" w:history="1">
            <w:r w:rsidRPr="00C80991">
              <w:rPr>
                <w:rStyle w:val="Hyperlink"/>
                <w:noProof/>
              </w:rPr>
              <w:t>4.10</w:t>
            </w:r>
            <w:r>
              <w:rPr>
                <w:rFonts w:asciiTheme="minorHAnsi" w:eastAsiaTheme="minorEastAsia" w:hAnsiTheme="minorHAnsi"/>
                <w:noProof/>
                <w:lang w:eastAsia="en-AU"/>
              </w:rPr>
              <w:tab/>
            </w:r>
            <w:r w:rsidRPr="00C80991">
              <w:rPr>
                <w:rStyle w:val="Hyperlink"/>
                <w:noProof/>
              </w:rPr>
              <w:t>Data Management Infrastructure &amp; Data Sovereignty</w:t>
            </w:r>
            <w:r>
              <w:rPr>
                <w:noProof/>
                <w:webHidden/>
              </w:rPr>
              <w:tab/>
            </w:r>
            <w:r>
              <w:rPr>
                <w:noProof/>
                <w:webHidden/>
              </w:rPr>
              <w:fldChar w:fldCharType="begin"/>
            </w:r>
            <w:r>
              <w:rPr>
                <w:noProof/>
                <w:webHidden/>
              </w:rPr>
              <w:instrText xml:space="preserve"> PAGEREF _Toc118824312 \h </w:instrText>
            </w:r>
            <w:r>
              <w:rPr>
                <w:noProof/>
                <w:webHidden/>
              </w:rPr>
            </w:r>
            <w:r>
              <w:rPr>
                <w:noProof/>
                <w:webHidden/>
              </w:rPr>
              <w:fldChar w:fldCharType="separate"/>
            </w:r>
            <w:r>
              <w:rPr>
                <w:noProof/>
                <w:webHidden/>
              </w:rPr>
              <w:t>31</w:t>
            </w:r>
            <w:r>
              <w:rPr>
                <w:noProof/>
                <w:webHidden/>
              </w:rPr>
              <w:fldChar w:fldCharType="end"/>
            </w:r>
          </w:hyperlink>
        </w:p>
        <w:p w14:paraId="504AD70F" w14:textId="44428738"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13" w:history="1">
            <w:r w:rsidRPr="00C80991">
              <w:rPr>
                <w:rStyle w:val="Hyperlink"/>
                <w:noProof/>
              </w:rPr>
              <w:t>4.11</w:t>
            </w:r>
            <w:r>
              <w:rPr>
                <w:rFonts w:asciiTheme="minorHAnsi" w:eastAsiaTheme="minorEastAsia" w:hAnsiTheme="minorHAnsi"/>
                <w:noProof/>
                <w:lang w:eastAsia="en-AU"/>
              </w:rPr>
              <w:tab/>
            </w:r>
            <w:r w:rsidRPr="00C80991">
              <w:rPr>
                <w:rStyle w:val="Hyperlink"/>
                <w:noProof/>
              </w:rPr>
              <w:t>Legal ambiguity &amp; uncertainty</w:t>
            </w:r>
            <w:r>
              <w:rPr>
                <w:noProof/>
                <w:webHidden/>
              </w:rPr>
              <w:tab/>
            </w:r>
            <w:r>
              <w:rPr>
                <w:noProof/>
                <w:webHidden/>
              </w:rPr>
              <w:fldChar w:fldCharType="begin"/>
            </w:r>
            <w:r>
              <w:rPr>
                <w:noProof/>
                <w:webHidden/>
              </w:rPr>
              <w:instrText xml:space="preserve"> PAGEREF _Toc118824313 \h </w:instrText>
            </w:r>
            <w:r>
              <w:rPr>
                <w:noProof/>
                <w:webHidden/>
              </w:rPr>
            </w:r>
            <w:r>
              <w:rPr>
                <w:noProof/>
                <w:webHidden/>
              </w:rPr>
              <w:fldChar w:fldCharType="separate"/>
            </w:r>
            <w:r>
              <w:rPr>
                <w:noProof/>
                <w:webHidden/>
              </w:rPr>
              <w:t>32</w:t>
            </w:r>
            <w:r>
              <w:rPr>
                <w:noProof/>
                <w:webHidden/>
              </w:rPr>
              <w:fldChar w:fldCharType="end"/>
            </w:r>
          </w:hyperlink>
        </w:p>
        <w:p w14:paraId="62294645" w14:textId="621A6C3B"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14" w:history="1">
            <w:r w:rsidRPr="00C80991">
              <w:rPr>
                <w:rStyle w:val="Hyperlink"/>
                <w:noProof/>
              </w:rPr>
              <w:t>4.12</w:t>
            </w:r>
            <w:r>
              <w:rPr>
                <w:rFonts w:asciiTheme="minorHAnsi" w:eastAsiaTheme="minorEastAsia" w:hAnsiTheme="minorHAnsi"/>
                <w:noProof/>
                <w:lang w:eastAsia="en-AU"/>
              </w:rPr>
              <w:tab/>
            </w:r>
            <w:r w:rsidRPr="00C80991">
              <w:rPr>
                <w:rStyle w:val="Hyperlink"/>
                <w:noProof/>
              </w:rPr>
              <w:t>Emerging Issues</w:t>
            </w:r>
            <w:r>
              <w:rPr>
                <w:noProof/>
                <w:webHidden/>
              </w:rPr>
              <w:tab/>
            </w:r>
            <w:r>
              <w:rPr>
                <w:noProof/>
                <w:webHidden/>
              </w:rPr>
              <w:fldChar w:fldCharType="begin"/>
            </w:r>
            <w:r>
              <w:rPr>
                <w:noProof/>
                <w:webHidden/>
              </w:rPr>
              <w:instrText xml:space="preserve"> PAGEREF _Toc118824314 \h </w:instrText>
            </w:r>
            <w:r>
              <w:rPr>
                <w:noProof/>
                <w:webHidden/>
              </w:rPr>
            </w:r>
            <w:r>
              <w:rPr>
                <w:noProof/>
                <w:webHidden/>
              </w:rPr>
              <w:fldChar w:fldCharType="separate"/>
            </w:r>
            <w:r>
              <w:rPr>
                <w:noProof/>
                <w:webHidden/>
              </w:rPr>
              <w:t>33</w:t>
            </w:r>
            <w:r>
              <w:rPr>
                <w:noProof/>
                <w:webHidden/>
              </w:rPr>
              <w:fldChar w:fldCharType="end"/>
            </w:r>
          </w:hyperlink>
        </w:p>
        <w:p w14:paraId="6479AD84" w14:textId="5C93CA61"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315" w:history="1">
            <w:r w:rsidRPr="00C80991">
              <w:rPr>
                <w:rStyle w:val="Hyperlink"/>
                <w:noProof/>
              </w:rPr>
              <w:t>5</w:t>
            </w:r>
            <w:r>
              <w:rPr>
                <w:rFonts w:asciiTheme="minorHAnsi" w:eastAsiaTheme="minorEastAsia" w:hAnsiTheme="minorHAnsi"/>
                <w:noProof/>
                <w:lang w:eastAsia="en-AU"/>
              </w:rPr>
              <w:tab/>
            </w:r>
            <w:r w:rsidRPr="00C80991">
              <w:rPr>
                <w:rStyle w:val="Hyperlink"/>
                <w:noProof/>
              </w:rPr>
              <w:t>What are the legal issues?</w:t>
            </w:r>
            <w:r>
              <w:rPr>
                <w:noProof/>
                <w:webHidden/>
              </w:rPr>
              <w:tab/>
            </w:r>
            <w:r>
              <w:rPr>
                <w:noProof/>
                <w:webHidden/>
              </w:rPr>
              <w:fldChar w:fldCharType="begin"/>
            </w:r>
            <w:r>
              <w:rPr>
                <w:noProof/>
                <w:webHidden/>
              </w:rPr>
              <w:instrText xml:space="preserve"> PAGEREF _Toc118824315 \h </w:instrText>
            </w:r>
            <w:r>
              <w:rPr>
                <w:noProof/>
                <w:webHidden/>
              </w:rPr>
            </w:r>
            <w:r>
              <w:rPr>
                <w:noProof/>
                <w:webHidden/>
              </w:rPr>
              <w:fldChar w:fldCharType="separate"/>
            </w:r>
            <w:r>
              <w:rPr>
                <w:noProof/>
                <w:webHidden/>
              </w:rPr>
              <w:t>34</w:t>
            </w:r>
            <w:r>
              <w:rPr>
                <w:noProof/>
                <w:webHidden/>
              </w:rPr>
              <w:fldChar w:fldCharType="end"/>
            </w:r>
          </w:hyperlink>
        </w:p>
        <w:p w14:paraId="2B0282BC" w14:textId="72622FD3"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16" w:history="1">
            <w:r w:rsidRPr="00C80991">
              <w:rPr>
                <w:rStyle w:val="Hyperlink"/>
                <w:noProof/>
              </w:rPr>
              <w:t>5.1</w:t>
            </w:r>
            <w:r>
              <w:rPr>
                <w:rFonts w:asciiTheme="minorHAnsi" w:eastAsiaTheme="minorEastAsia" w:hAnsiTheme="minorHAnsi"/>
                <w:noProof/>
                <w:lang w:eastAsia="en-AU"/>
              </w:rPr>
              <w:tab/>
            </w:r>
            <w:r w:rsidRPr="00C80991">
              <w:rPr>
                <w:rStyle w:val="Hyperlink"/>
                <w:noProof/>
              </w:rPr>
              <w:t>Does copyright law protect genomic information?</w:t>
            </w:r>
            <w:r>
              <w:rPr>
                <w:noProof/>
                <w:webHidden/>
              </w:rPr>
              <w:tab/>
            </w:r>
            <w:r>
              <w:rPr>
                <w:noProof/>
                <w:webHidden/>
              </w:rPr>
              <w:fldChar w:fldCharType="begin"/>
            </w:r>
            <w:r>
              <w:rPr>
                <w:noProof/>
                <w:webHidden/>
              </w:rPr>
              <w:instrText xml:space="preserve"> PAGEREF _Toc118824316 \h </w:instrText>
            </w:r>
            <w:r>
              <w:rPr>
                <w:noProof/>
                <w:webHidden/>
              </w:rPr>
            </w:r>
            <w:r>
              <w:rPr>
                <w:noProof/>
                <w:webHidden/>
              </w:rPr>
              <w:fldChar w:fldCharType="separate"/>
            </w:r>
            <w:r>
              <w:rPr>
                <w:noProof/>
                <w:webHidden/>
              </w:rPr>
              <w:t>35</w:t>
            </w:r>
            <w:r>
              <w:rPr>
                <w:noProof/>
                <w:webHidden/>
              </w:rPr>
              <w:fldChar w:fldCharType="end"/>
            </w:r>
          </w:hyperlink>
        </w:p>
        <w:p w14:paraId="1A5E41B6" w14:textId="2F337820"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17" w:history="1">
            <w:r w:rsidRPr="00C80991">
              <w:rPr>
                <w:rStyle w:val="Hyperlink"/>
                <w:noProof/>
              </w:rPr>
              <w:t>5.1.1</w:t>
            </w:r>
            <w:r>
              <w:rPr>
                <w:rFonts w:asciiTheme="minorHAnsi" w:eastAsiaTheme="minorEastAsia" w:hAnsiTheme="minorHAnsi"/>
                <w:noProof/>
                <w:lang w:eastAsia="en-AU"/>
              </w:rPr>
              <w:tab/>
            </w:r>
            <w:r w:rsidRPr="00C80991">
              <w:rPr>
                <w:rStyle w:val="Hyperlink"/>
                <w:noProof/>
              </w:rPr>
              <w:t>Copyright and ownership of medical records – clinical setting</w:t>
            </w:r>
            <w:r>
              <w:rPr>
                <w:noProof/>
                <w:webHidden/>
              </w:rPr>
              <w:tab/>
            </w:r>
            <w:r>
              <w:rPr>
                <w:noProof/>
                <w:webHidden/>
              </w:rPr>
              <w:fldChar w:fldCharType="begin"/>
            </w:r>
            <w:r>
              <w:rPr>
                <w:noProof/>
                <w:webHidden/>
              </w:rPr>
              <w:instrText xml:space="preserve"> PAGEREF _Toc118824317 \h </w:instrText>
            </w:r>
            <w:r>
              <w:rPr>
                <w:noProof/>
                <w:webHidden/>
              </w:rPr>
            </w:r>
            <w:r>
              <w:rPr>
                <w:noProof/>
                <w:webHidden/>
              </w:rPr>
              <w:fldChar w:fldCharType="separate"/>
            </w:r>
            <w:r>
              <w:rPr>
                <w:noProof/>
                <w:webHidden/>
              </w:rPr>
              <w:t>36</w:t>
            </w:r>
            <w:r>
              <w:rPr>
                <w:noProof/>
                <w:webHidden/>
              </w:rPr>
              <w:fldChar w:fldCharType="end"/>
            </w:r>
          </w:hyperlink>
        </w:p>
        <w:p w14:paraId="2D0BADAC" w14:textId="41EF724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18" w:history="1">
            <w:r w:rsidRPr="00C80991">
              <w:rPr>
                <w:rStyle w:val="Hyperlink"/>
                <w:noProof/>
              </w:rPr>
              <w:t>5.1.2</w:t>
            </w:r>
            <w:r>
              <w:rPr>
                <w:rFonts w:asciiTheme="minorHAnsi" w:eastAsiaTheme="minorEastAsia" w:hAnsiTheme="minorHAnsi"/>
                <w:noProof/>
                <w:lang w:eastAsia="en-AU"/>
              </w:rPr>
              <w:tab/>
            </w:r>
            <w:r w:rsidRPr="00C80991">
              <w:rPr>
                <w:rStyle w:val="Hyperlink"/>
                <w:noProof/>
              </w:rPr>
              <w:t>Copyright in Research: Genomic Studies and Publications</w:t>
            </w:r>
            <w:r>
              <w:rPr>
                <w:noProof/>
                <w:webHidden/>
              </w:rPr>
              <w:tab/>
            </w:r>
            <w:r>
              <w:rPr>
                <w:noProof/>
                <w:webHidden/>
              </w:rPr>
              <w:fldChar w:fldCharType="begin"/>
            </w:r>
            <w:r>
              <w:rPr>
                <w:noProof/>
                <w:webHidden/>
              </w:rPr>
              <w:instrText xml:space="preserve"> PAGEREF _Toc118824318 \h </w:instrText>
            </w:r>
            <w:r>
              <w:rPr>
                <w:noProof/>
                <w:webHidden/>
              </w:rPr>
            </w:r>
            <w:r>
              <w:rPr>
                <w:noProof/>
                <w:webHidden/>
              </w:rPr>
              <w:fldChar w:fldCharType="separate"/>
            </w:r>
            <w:r>
              <w:rPr>
                <w:noProof/>
                <w:webHidden/>
              </w:rPr>
              <w:t>36</w:t>
            </w:r>
            <w:r>
              <w:rPr>
                <w:noProof/>
                <w:webHidden/>
              </w:rPr>
              <w:fldChar w:fldCharType="end"/>
            </w:r>
          </w:hyperlink>
        </w:p>
        <w:p w14:paraId="34126F0F" w14:textId="62F9C284"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19" w:history="1">
            <w:r w:rsidRPr="00C80991">
              <w:rPr>
                <w:rStyle w:val="Hyperlink"/>
                <w:noProof/>
              </w:rPr>
              <w:t>5.1.3</w:t>
            </w:r>
            <w:r>
              <w:rPr>
                <w:rFonts w:asciiTheme="minorHAnsi" w:eastAsiaTheme="minorEastAsia" w:hAnsiTheme="minorHAnsi"/>
                <w:noProof/>
                <w:lang w:eastAsia="en-AU"/>
              </w:rPr>
              <w:tab/>
            </w:r>
            <w:r w:rsidRPr="00C80991">
              <w:rPr>
                <w:rStyle w:val="Hyperlink"/>
                <w:noProof/>
              </w:rPr>
              <w:t>Copyright protection in film and sound recordings</w:t>
            </w:r>
            <w:r>
              <w:rPr>
                <w:noProof/>
                <w:webHidden/>
              </w:rPr>
              <w:tab/>
            </w:r>
            <w:r>
              <w:rPr>
                <w:noProof/>
                <w:webHidden/>
              </w:rPr>
              <w:fldChar w:fldCharType="begin"/>
            </w:r>
            <w:r>
              <w:rPr>
                <w:noProof/>
                <w:webHidden/>
              </w:rPr>
              <w:instrText xml:space="preserve"> PAGEREF _Toc118824319 \h </w:instrText>
            </w:r>
            <w:r>
              <w:rPr>
                <w:noProof/>
                <w:webHidden/>
              </w:rPr>
            </w:r>
            <w:r>
              <w:rPr>
                <w:noProof/>
                <w:webHidden/>
              </w:rPr>
              <w:fldChar w:fldCharType="separate"/>
            </w:r>
            <w:r>
              <w:rPr>
                <w:noProof/>
                <w:webHidden/>
              </w:rPr>
              <w:t>36</w:t>
            </w:r>
            <w:r>
              <w:rPr>
                <w:noProof/>
                <w:webHidden/>
              </w:rPr>
              <w:fldChar w:fldCharType="end"/>
            </w:r>
          </w:hyperlink>
        </w:p>
        <w:p w14:paraId="423B688B" w14:textId="67558586"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0" w:history="1">
            <w:r w:rsidRPr="00C80991">
              <w:rPr>
                <w:rStyle w:val="Hyperlink"/>
                <w:noProof/>
              </w:rPr>
              <w:t>5.1.4</w:t>
            </w:r>
            <w:r>
              <w:rPr>
                <w:rFonts w:asciiTheme="minorHAnsi" w:eastAsiaTheme="minorEastAsia" w:hAnsiTheme="minorHAnsi"/>
                <w:noProof/>
                <w:lang w:eastAsia="en-AU"/>
              </w:rPr>
              <w:tab/>
            </w:r>
            <w:r w:rsidRPr="00C80991">
              <w:rPr>
                <w:rStyle w:val="Hyperlink"/>
                <w:noProof/>
              </w:rPr>
              <w:t>Copyright in the Genome Sequencing - is DNA subject to copyright?</w:t>
            </w:r>
            <w:r>
              <w:rPr>
                <w:noProof/>
                <w:webHidden/>
              </w:rPr>
              <w:tab/>
            </w:r>
            <w:r>
              <w:rPr>
                <w:noProof/>
                <w:webHidden/>
              </w:rPr>
              <w:fldChar w:fldCharType="begin"/>
            </w:r>
            <w:r>
              <w:rPr>
                <w:noProof/>
                <w:webHidden/>
              </w:rPr>
              <w:instrText xml:space="preserve"> PAGEREF _Toc118824320 \h </w:instrText>
            </w:r>
            <w:r>
              <w:rPr>
                <w:noProof/>
                <w:webHidden/>
              </w:rPr>
            </w:r>
            <w:r>
              <w:rPr>
                <w:noProof/>
                <w:webHidden/>
              </w:rPr>
              <w:fldChar w:fldCharType="separate"/>
            </w:r>
            <w:r>
              <w:rPr>
                <w:noProof/>
                <w:webHidden/>
              </w:rPr>
              <w:t>38</w:t>
            </w:r>
            <w:r>
              <w:rPr>
                <w:noProof/>
                <w:webHidden/>
              </w:rPr>
              <w:fldChar w:fldCharType="end"/>
            </w:r>
          </w:hyperlink>
        </w:p>
        <w:p w14:paraId="7C266B05" w14:textId="17CD504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1" w:history="1">
            <w:r w:rsidRPr="00C80991">
              <w:rPr>
                <w:rStyle w:val="Hyperlink"/>
                <w:noProof/>
              </w:rPr>
              <w:t>5.1.5</w:t>
            </w:r>
            <w:r>
              <w:rPr>
                <w:rFonts w:asciiTheme="minorHAnsi" w:eastAsiaTheme="minorEastAsia" w:hAnsiTheme="minorHAnsi"/>
                <w:noProof/>
                <w:lang w:eastAsia="en-AU"/>
              </w:rPr>
              <w:tab/>
            </w:r>
            <w:r w:rsidRPr="00C80991">
              <w:rPr>
                <w:rStyle w:val="Hyperlink"/>
                <w:noProof/>
              </w:rPr>
              <w:t>Databases and copyright</w:t>
            </w:r>
            <w:r>
              <w:rPr>
                <w:noProof/>
                <w:webHidden/>
              </w:rPr>
              <w:tab/>
            </w:r>
            <w:r>
              <w:rPr>
                <w:noProof/>
                <w:webHidden/>
              </w:rPr>
              <w:fldChar w:fldCharType="begin"/>
            </w:r>
            <w:r>
              <w:rPr>
                <w:noProof/>
                <w:webHidden/>
              </w:rPr>
              <w:instrText xml:space="preserve"> PAGEREF _Toc118824321 \h </w:instrText>
            </w:r>
            <w:r>
              <w:rPr>
                <w:noProof/>
                <w:webHidden/>
              </w:rPr>
            </w:r>
            <w:r>
              <w:rPr>
                <w:noProof/>
                <w:webHidden/>
              </w:rPr>
              <w:fldChar w:fldCharType="separate"/>
            </w:r>
            <w:r>
              <w:rPr>
                <w:noProof/>
                <w:webHidden/>
              </w:rPr>
              <w:t>39</w:t>
            </w:r>
            <w:r>
              <w:rPr>
                <w:noProof/>
                <w:webHidden/>
              </w:rPr>
              <w:fldChar w:fldCharType="end"/>
            </w:r>
          </w:hyperlink>
        </w:p>
        <w:p w14:paraId="68E48671" w14:textId="4C3D08E6"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2" w:history="1">
            <w:r w:rsidRPr="00C80991">
              <w:rPr>
                <w:rStyle w:val="Hyperlink"/>
                <w:noProof/>
              </w:rPr>
              <w:t>5.1.6</w:t>
            </w:r>
            <w:r>
              <w:rPr>
                <w:rFonts w:asciiTheme="minorHAnsi" w:eastAsiaTheme="minorEastAsia" w:hAnsiTheme="minorHAnsi"/>
                <w:noProof/>
                <w:lang w:eastAsia="en-AU"/>
              </w:rPr>
              <w:tab/>
            </w:r>
            <w:r w:rsidRPr="00C80991">
              <w:rPr>
                <w:rStyle w:val="Hyperlink"/>
                <w:noProof/>
              </w:rPr>
              <w:t>Exceptions for the use of copyright material</w:t>
            </w:r>
            <w:r>
              <w:rPr>
                <w:noProof/>
                <w:webHidden/>
              </w:rPr>
              <w:tab/>
            </w:r>
            <w:r>
              <w:rPr>
                <w:noProof/>
                <w:webHidden/>
              </w:rPr>
              <w:fldChar w:fldCharType="begin"/>
            </w:r>
            <w:r>
              <w:rPr>
                <w:noProof/>
                <w:webHidden/>
              </w:rPr>
              <w:instrText xml:space="preserve"> PAGEREF _Toc118824322 \h </w:instrText>
            </w:r>
            <w:r>
              <w:rPr>
                <w:noProof/>
                <w:webHidden/>
              </w:rPr>
            </w:r>
            <w:r>
              <w:rPr>
                <w:noProof/>
                <w:webHidden/>
              </w:rPr>
              <w:fldChar w:fldCharType="separate"/>
            </w:r>
            <w:r>
              <w:rPr>
                <w:noProof/>
                <w:webHidden/>
              </w:rPr>
              <w:t>39</w:t>
            </w:r>
            <w:r>
              <w:rPr>
                <w:noProof/>
                <w:webHidden/>
              </w:rPr>
              <w:fldChar w:fldCharType="end"/>
            </w:r>
          </w:hyperlink>
        </w:p>
        <w:p w14:paraId="22067EFC" w14:textId="454E2AF4"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3" w:history="1">
            <w:r w:rsidRPr="00C80991">
              <w:rPr>
                <w:rStyle w:val="Hyperlink"/>
                <w:noProof/>
              </w:rPr>
              <w:t>5.1.7</w:t>
            </w:r>
            <w:r>
              <w:rPr>
                <w:rFonts w:asciiTheme="minorHAnsi" w:eastAsiaTheme="minorEastAsia" w:hAnsiTheme="minorHAnsi"/>
                <w:noProof/>
                <w:lang w:eastAsia="en-AU"/>
              </w:rPr>
              <w:tab/>
            </w:r>
            <w:r w:rsidRPr="00C80991">
              <w:rPr>
                <w:rStyle w:val="Hyperlink"/>
                <w:noProof/>
              </w:rPr>
              <w:t>Summary</w:t>
            </w:r>
            <w:r>
              <w:rPr>
                <w:noProof/>
                <w:webHidden/>
              </w:rPr>
              <w:tab/>
            </w:r>
            <w:r>
              <w:rPr>
                <w:noProof/>
                <w:webHidden/>
              </w:rPr>
              <w:fldChar w:fldCharType="begin"/>
            </w:r>
            <w:r>
              <w:rPr>
                <w:noProof/>
                <w:webHidden/>
              </w:rPr>
              <w:instrText xml:space="preserve"> PAGEREF _Toc118824323 \h </w:instrText>
            </w:r>
            <w:r>
              <w:rPr>
                <w:noProof/>
                <w:webHidden/>
              </w:rPr>
            </w:r>
            <w:r>
              <w:rPr>
                <w:noProof/>
                <w:webHidden/>
              </w:rPr>
              <w:fldChar w:fldCharType="separate"/>
            </w:r>
            <w:r>
              <w:rPr>
                <w:noProof/>
                <w:webHidden/>
              </w:rPr>
              <w:t>40</w:t>
            </w:r>
            <w:r>
              <w:rPr>
                <w:noProof/>
                <w:webHidden/>
              </w:rPr>
              <w:fldChar w:fldCharType="end"/>
            </w:r>
          </w:hyperlink>
        </w:p>
        <w:p w14:paraId="6E424C88" w14:textId="333119D4"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24" w:history="1">
            <w:r w:rsidRPr="00C80991">
              <w:rPr>
                <w:rStyle w:val="Hyperlink"/>
                <w:noProof/>
              </w:rPr>
              <w:t>5.2</w:t>
            </w:r>
            <w:r>
              <w:rPr>
                <w:rFonts w:asciiTheme="minorHAnsi" w:eastAsiaTheme="minorEastAsia" w:hAnsiTheme="minorHAnsi"/>
                <w:noProof/>
                <w:lang w:eastAsia="en-AU"/>
              </w:rPr>
              <w:tab/>
            </w:r>
            <w:r w:rsidRPr="00C80991">
              <w:rPr>
                <w:rStyle w:val="Hyperlink"/>
                <w:noProof/>
              </w:rPr>
              <w:t>Privacy and Personal Information</w:t>
            </w:r>
            <w:r>
              <w:rPr>
                <w:noProof/>
                <w:webHidden/>
              </w:rPr>
              <w:tab/>
            </w:r>
            <w:r>
              <w:rPr>
                <w:noProof/>
                <w:webHidden/>
              </w:rPr>
              <w:fldChar w:fldCharType="begin"/>
            </w:r>
            <w:r>
              <w:rPr>
                <w:noProof/>
                <w:webHidden/>
              </w:rPr>
              <w:instrText xml:space="preserve"> PAGEREF _Toc118824324 \h </w:instrText>
            </w:r>
            <w:r>
              <w:rPr>
                <w:noProof/>
                <w:webHidden/>
              </w:rPr>
            </w:r>
            <w:r>
              <w:rPr>
                <w:noProof/>
                <w:webHidden/>
              </w:rPr>
              <w:fldChar w:fldCharType="separate"/>
            </w:r>
            <w:r>
              <w:rPr>
                <w:noProof/>
                <w:webHidden/>
              </w:rPr>
              <w:t>40</w:t>
            </w:r>
            <w:r>
              <w:rPr>
                <w:noProof/>
                <w:webHidden/>
              </w:rPr>
              <w:fldChar w:fldCharType="end"/>
            </w:r>
          </w:hyperlink>
        </w:p>
        <w:p w14:paraId="007EE616" w14:textId="7CA05D1F"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5" w:history="1">
            <w:r w:rsidRPr="00C80991">
              <w:rPr>
                <w:rStyle w:val="Hyperlink"/>
                <w:noProof/>
              </w:rPr>
              <w:t>5.2.1</w:t>
            </w:r>
            <w:r>
              <w:rPr>
                <w:rFonts w:asciiTheme="minorHAnsi" w:eastAsiaTheme="minorEastAsia" w:hAnsiTheme="minorHAnsi"/>
                <w:noProof/>
                <w:lang w:eastAsia="en-AU"/>
              </w:rPr>
              <w:tab/>
            </w:r>
            <w:r w:rsidRPr="00C80991">
              <w:rPr>
                <w:rStyle w:val="Hyperlink"/>
                <w:noProof/>
              </w:rPr>
              <w:t>Australian Privacy Law and Aboriginal and Torres Strait Islander Health Related Information</w:t>
            </w:r>
            <w:r>
              <w:rPr>
                <w:noProof/>
                <w:webHidden/>
              </w:rPr>
              <w:tab/>
            </w:r>
            <w:r>
              <w:rPr>
                <w:noProof/>
                <w:webHidden/>
              </w:rPr>
              <w:fldChar w:fldCharType="begin"/>
            </w:r>
            <w:r>
              <w:rPr>
                <w:noProof/>
                <w:webHidden/>
              </w:rPr>
              <w:instrText xml:space="preserve"> PAGEREF _Toc118824325 \h </w:instrText>
            </w:r>
            <w:r>
              <w:rPr>
                <w:noProof/>
                <w:webHidden/>
              </w:rPr>
            </w:r>
            <w:r>
              <w:rPr>
                <w:noProof/>
                <w:webHidden/>
              </w:rPr>
              <w:fldChar w:fldCharType="separate"/>
            </w:r>
            <w:r>
              <w:rPr>
                <w:noProof/>
                <w:webHidden/>
              </w:rPr>
              <w:t>40</w:t>
            </w:r>
            <w:r>
              <w:rPr>
                <w:noProof/>
                <w:webHidden/>
              </w:rPr>
              <w:fldChar w:fldCharType="end"/>
            </w:r>
          </w:hyperlink>
        </w:p>
        <w:p w14:paraId="1F4D8407" w14:textId="71341CE0"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6" w:history="1">
            <w:r w:rsidRPr="00C80991">
              <w:rPr>
                <w:rStyle w:val="Hyperlink"/>
                <w:noProof/>
              </w:rPr>
              <w:t>5.2.2</w:t>
            </w:r>
            <w:r>
              <w:rPr>
                <w:rFonts w:asciiTheme="minorHAnsi" w:eastAsiaTheme="minorEastAsia" w:hAnsiTheme="minorHAnsi"/>
                <w:noProof/>
                <w:lang w:eastAsia="en-AU"/>
              </w:rPr>
              <w:tab/>
            </w:r>
            <w:r w:rsidRPr="00C80991">
              <w:rPr>
                <w:rStyle w:val="Hyperlink"/>
                <w:noProof/>
              </w:rPr>
              <w:t>Where does genomic information fit in the Privacy framework?</w:t>
            </w:r>
            <w:r>
              <w:rPr>
                <w:noProof/>
                <w:webHidden/>
              </w:rPr>
              <w:tab/>
            </w:r>
            <w:r>
              <w:rPr>
                <w:noProof/>
                <w:webHidden/>
              </w:rPr>
              <w:fldChar w:fldCharType="begin"/>
            </w:r>
            <w:r>
              <w:rPr>
                <w:noProof/>
                <w:webHidden/>
              </w:rPr>
              <w:instrText xml:space="preserve"> PAGEREF _Toc118824326 \h </w:instrText>
            </w:r>
            <w:r>
              <w:rPr>
                <w:noProof/>
                <w:webHidden/>
              </w:rPr>
            </w:r>
            <w:r>
              <w:rPr>
                <w:noProof/>
                <w:webHidden/>
              </w:rPr>
              <w:fldChar w:fldCharType="separate"/>
            </w:r>
            <w:r>
              <w:rPr>
                <w:noProof/>
                <w:webHidden/>
              </w:rPr>
              <w:t>41</w:t>
            </w:r>
            <w:r>
              <w:rPr>
                <w:noProof/>
                <w:webHidden/>
              </w:rPr>
              <w:fldChar w:fldCharType="end"/>
            </w:r>
          </w:hyperlink>
        </w:p>
        <w:p w14:paraId="7BCED68F" w14:textId="0242888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7" w:history="1">
            <w:r w:rsidRPr="00C80991">
              <w:rPr>
                <w:rStyle w:val="Hyperlink"/>
                <w:noProof/>
              </w:rPr>
              <w:t>5.2.3</w:t>
            </w:r>
            <w:r>
              <w:rPr>
                <w:rFonts w:asciiTheme="minorHAnsi" w:eastAsiaTheme="minorEastAsia" w:hAnsiTheme="minorHAnsi"/>
                <w:noProof/>
                <w:lang w:eastAsia="en-AU"/>
              </w:rPr>
              <w:tab/>
            </w:r>
            <w:r w:rsidRPr="00C80991">
              <w:rPr>
                <w:rStyle w:val="Hyperlink"/>
                <w:noProof/>
              </w:rPr>
              <w:t>When is genomic information not protected by the Privacy Act?</w:t>
            </w:r>
            <w:r>
              <w:rPr>
                <w:noProof/>
                <w:webHidden/>
              </w:rPr>
              <w:tab/>
            </w:r>
            <w:r>
              <w:rPr>
                <w:noProof/>
                <w:webHidden/>
              </w:rPr>
              <w:fldChar w:fldCharType="begin"/>
            </w:r>
            <w:r>
              <w:rPr>
                <w:noProof/>
                <w:webHidden/>
              </w:rPr>
              <w:instrText xml:space="preserve"> PAGEREF _Toc118824327 \h </w:instrText>
            </w:r>
            <w:r>
              <w:rPr>
                <w:noProof/>
                <w:webHidden/>
              </w:rPr>
            </w:r>
            <w:r>
              <w:rPr>
                <w:noProof/>
                <w:webHidden/>
              </w:rPr>
              <w:fldChar w:fldCharType="separate"/>
            </w:r>
            <w:r>
              <w:rPr>
                <w:noProof/>
                <w:webHidden/>
              </w:rPr>
              <w:t>43</w:t>
            </w:r>
            <w:r>
              <w:rPr>
                <w:noProof/>
                <w:webHidden/>
              </w:rPr>
              <w:fldChar w:fldCharType="end"/>
            </w:r>
          </w:hyperlink>
        </w:p>
        <w:p w14:paraId="490A255F" w14:textId="4B4F2EC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8" w:history="1">
            <w:r w:rsidRPr="00C80991">
              <w:rPr>
                <w:rStyle w:val="Hyperlink"/>
                <w:noProof/>
              </w:rPr>
              <w:t>5.2.4</w:t>
            </w:r>
            <w:r>
              <w:rPr>
                <w:rFonts w:asciiTheme="minorHAnsi" w:eastAsiaTheme="minorEastAsia" w:hAnsiTheme="minorHAnsi"/>
                <w:noProof/>
                <w:lang w:eastAsia="en-AU"/>
              </w:rPr>
              <w:tab/>
            </w:r>
            <w:r w:rsidRPr="00C80991">
              <w:rPr>
                <w:rStyle w:val="Hyperlink"/>
                <w:noProof/>
              </w:rPr>
              <w:t>Permitted Health Situations for the non-Consensual use of Health Information</w:t>
            </w:r>
            <w:r>
              <w:rPr>
                <w:noProof/>
                <w:webHidden/>
              </w:rPr>
              <w:tab/>
            </w:r>
            <w:r>
              <w:rPr>
                <w:noProof/>
                <w:webHidden/>
              </w:rPr>
              <w:fldChar w:fldCharType="begin"/>
            </w:r>
            <w:r>
              <w:rPr>
                <w:noProof/>
                <w:webHidden/>
              </w:rPr>
              <w:instrText xml:space="preserve"> PAGEREF _Toc118824328 \h </w:instrText>
            </w:r>
            <w:r>
              <w:rPr>
                <w:noProof/>
                <w:webHidden/>
              </w:rPr>
            </w:r>
            <w:r>
              <w:rPr>
                <w:noProof/>
                <w:webHidden/>
              </w:rPr>
              <w:fldChar w:fldCharType="separate"/>
            </w:r>
            <w:r>
              <w:rPr>
                <w:noProof/>
                <w:webHidden/>
              </w:rPr>
              <w:t>43</w:t>
            </w:r>
            <w:r>
              <w:rPr>
                <w:noProof/>
                <w:webHidden/>
              </w:rPr>
              <w:fldChar w:fldCharType="end"/>
            </w:r>
          </w:hyperlink>
        </w:p>
        <w:p w14:paraId="254881A8" w14:textId="200F10AB"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29" w:history="1">
            <w:r w:rsidRPr="00C80991">
              <w:rPr>
                <w:rStyle w:val="Hyperlink"/>
                <w:noProof/>
              </w:rPr>
              <w:t>5.2.5</w:t>
            </w:r>
            <w:r>
              <w:rPr>
                <w:rFonts w:asciiTheme="minorHAnsi" w:eastAsiaTheme="minorEastAsia" w:hAnsiTheme="minorHAnsi"/>
                <w:noProof/>
                <w:lang w:eastAsia="en-AU"/>
              </w:rPr>
              <w:tab/>
            </w:r>
            <w:r w:rsidRPr="00C80991">
              <w:rPr>
                <w:rStyle w:val="Hyperlink"/>
                <w:noProof/>
              </w:rPr>
              <w:t>Does the Privacy Act apply overseas?</w:t>
            </w:r>
            <w:r>
              <w:rPr>
                <w:noProof/>
                <w:webHidden/>
              </w:rPr>
              <w:tab/>
            </w:r>
            <w:r>
              <w:rPr>
                <w:noProof/>
                <w:webHidden/>
              </w:rPr>
              <w:fldChar w:fldCharType="begin"/>
            </w:r>
            <w:r>
              <w:rPr>
                <w:noProof/>
                <w:webHidden/>
              </w:rPr>
              <w:instrText xml:space="preserve"> PAGEREF _Toc118824329 \h </w:instrText>
            </w:r>
            <w:r>
              <w:rPr>
                <w:noProof/>
                <w:webHidden/>
              </w:rPr>
            </w:r>
            <w:r>
              <w:rPr>
                <w:noProof/>
                <w:webHidden/>
              </w:rPr>
              <w:fldChar w:fldCharType="separate"/>
            </w:r>
            <w:r>
              <w:rPr>
                <w:noProof/>
                <w:webHidden/>
              </w:rPr>
              <w:t>47</w:t>
            </w:r>
            <w:r>
              <w:rPr>
                <w:noProof/>
                <w:webHidden/>
              </w:rPr>
              <w:fldChar w:fldCharType="end"/>
            </w:r>
          </w:hyperlink>
        </w:p>
        <w:p w14:paraId="69A2E332" w14:textId="77CA242E"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0" w:history="1">
            <w:r w:rsidRPr="00C80991">
              <w:rPr>
                <w:rStyle w:val="Hyperlink"/>
                <w:noProof/>
              </w:rPr>
              <w:t>5.2.6</w:t>
            </w:r>
            <w:r>
              <w:rPr>
                <w:rFonts w:asciiTheme="minorHAnsi" w:eastAsiaTheme="minorEastAsia" w:hAnsiTheme="minorHAnsi"/>
                <w:noProof/>
                <w:lang w:eastAsia="en-AU"/>
              </w:rPr>
              <w:tab/>
            </w:r>
            <w:r w:rsidRPr="00C80991">
              <w:rPr>
                <w:rStyle w:val="Hyperlink"/>
                <w:noProof/>
              </w:rPr>
              <w:t>Concluding Comments</w:t>
            </w:r>
            <w:r>
              <w:rPr>
                <w:noProof/>
                <w:webHidden/>
              </w:rPr>
              <w:tab/>
            </w:r>
            <w:r>
              <w:rPr>
                <w:noProof/>
                <w:webHidden/>
              </w:rPr>
              <w:fldChar w:fldCharType="begin"/>
            </w:r>
            <w:r>
              <w:rPr>
                <w:noProof/>
                <w:webHidden/>
              </w:rPr>
              <w:instrText xml:space="preserve"> PAGEREF _Toc118824330 \h </w:instrText>
            </w:r>
            <w:r>
              <w:rPr>
                <w:noProof/>
                <w:webHidden/>
              </w:rPr>
            </w:r>
            <w:r>
              <w:rPr>
                <w:noProof/>
                <w:webHidden/>
              </w:rPr>
              <w:fldChar w:fldCharType="separate"/>
            </w:r>
            <w:r>
              <w:rPr>
                <w:noProof/>
                <w:webHidden/>
              </w:rPr>
              <w:t>47</w:t>
            </w:r>
            <w:r>
              <w:rPr>
                <w:noProof/>
                <w:webHidden/>
              </w:rPr>
              <w:fldChar w:fldCharType="end"/>
            </w:r>
          </w:hyperlink>
        </w:p>
        <w:p w14:paraId="28F2D4D9" w14:textId="6E4560E6"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31" w:history="1">
            <w:r w:rsidRPr="00C80991">
              <w:rPr>
                <w:rStyle w:val="Hyperlink"/>
                <w:noProof/>
              </w:rPr>
              <w:t>5.3</w:t>
            </w:r>
            <w:r>
              <w:rPr>
                <w:rFonts w:asciiTheme="minorHAnsi" w:eastAsiaTheme="minorEastAsia" w:hAnsiTheme="minorHAnsi"/>
                <w:noProof/>
                <w:lang w:eastAsia="en-AU"/>
              </w:rPr>
              <w:tab/>
            </w:r>
            <w:r w:rsidRPr="00C80991">
              <w:rPr>
                <w:rStyle w:val="Hyperlink"/>
                <w:noProof/>
              </w:rPr>
              <w:t>The Rights of Patients in a Clinical Setting</w:t>
            </w:r>
            <w:r>
              <w:rPr>
                <w:noProof/>
                <w:webHidden/>
              </w:rPr>
              <w:tab/>
            </w:r>
            <w:r>
              <w:rPr>
                <w:noProof/>
                <w:webHidden/>
              </w:rPr>
              <w:fldChar w:fldCharType="begin"/>
            </w:r>
            <w:r>
              <w:rPr>
                <w:noProof/>
                <w:webHidden/>
              </w:rPr>
              <w:instrText xml:space="preserve"> PAGEREF _Toc118824331 \h </w:instrText>
            </w:r>
            <w:r>
              <w:rPr>
                <w:noProof/>
                <w:webHidden/>
              </w:rPr>
            </w:r>
            <w:r>
              <w:rPr>
                <w:noProof/>
                <w:webHidden/>
              </w:rPr>
              <w:fldChar w:fldCharType="separate"/>
            </w:r>
            <w:r>
              <w:rPr>
                <w:noProof/>
                <w:webHidden/>
              </w:rPr>
              <w:t>48</w:t>
            </w:r>
            <w:r>
              <w:rPr>
                <w:noProof/>
                <w:webHidden/>
              </w:rPr>
              <w:fldChar w:fldCharType="end"/>
            </w:r>
          </w:hyperlink>
        </w:p>
        <w:p w14:paraId="06DC60F4" w14:textId="58F582A1"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2" w:history="1">
            <w:r w:rsidRPr="00C80991">
              <w:rPr>
                <w:rStyle w:val="Hyperlink"/>
                <w:rFonts w:cs="Arial"/>
                <w:noProof/>
              </w:rPr>
              <w:t>5.3.1</w:t>
            </w:r>
            <w:r>
              <w:rPr>
                <w:rFonts w:asciiTheme="minorHAnsi" w:eastAsiaTheme="minorEastAsia" w:hAnsiTheme="minorHAnsi"/>
                <w:noProof/>
                <w:lang w:eastAsia="en-AU"/>
              </w:rPr>
              <w:tab/>
            </w:r>
            <w:r w:rsidRPr="00C80991">
              <w:rPr>
                <w:rStyle w:val="Hyperlink"/>
                <w:noProof/>
              </w:rPr>
              <w:t>Substantive Rights</w:t>
            </w:r>
            <w:r>
              <w:rPr>
                <w:noProof/>
                <w:webHidden/>
              </w:rPr>
              <w:tab/>
            </w:r>
            <w:r>
              <w:rPr>
                <w:noProof/>
                <w:webHidden/>
              </w:rPr>
              <w:fldChar w:fldCharType="begin"/>
            </w:r>
            <w:r>
              <w:rPr>
                <w:noProof/>
                <w:webHidden/>
              </w:rPr>
              <w:instrText xml:space="preserve"> PAGEREF _Toc118824332 \h </w:instrText>
            </w:r>
            <w:r>
              <w:rPr>
                <w:noProof/>
                <w:webHidden/>
              </w:rPr>
            </w:r>
            <w:r>
              <w:rPr>
                <w:noProof/>
                <w:webHidden/>
              </w:rPr>
              <w:fldChar w:fldCharType="separate"/>
            </w:r>
            <w:r>
              <w:rPr>
                <w:noProof/>
                <w:webHidden/>
              </w:rPr>
              <w:t>48</w:t>
            </w:r>
            <w:r>
              <w:rPr>
                <w:noProof/>
                <w:webHidden/>
              </w:rPr>
              <w:fldChar w:fldCharType="end"/>
            </w:r>
          </w:hyperlink>
        </w:p>
        <w:p w14:paraId="4F801521" w14:textId="44A7D3C5"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3" w:history="1">
            <w:r w:rsidRPr="00C80991">
              <w:rPr>
                <w:rStyle w:val="Hyperlink"/>
                <w:rFonts w:cs="Arial"/>
                <w:noProof/>
              </w:rPr>
              <w:t>5.3.2</w:t>
            </w:r>
            <w:r>
              <w:rPr>
                <w:rFonts w:asciiTheme="minorHAnsi" w:eastAsiaTheme="minorEastAsia" w:hAnsiTheme="minorHAnsi"/>
                <w:noProof/>
                <w:lang w:eastAsia="en-AU"/>
              </w:rPr>
              <w:tab/>
            </w:r>
            <w:r w:rsidRPr="00C80991">
              <w:rPr>
                <w:rStyle w:val="Hyperlink"/>
                <w:noProof/>
              </w:rPr>
              <w:t>Procedural Rights</w:t>
            </w:r>
            <w:r>
              <w:rPr>
                <w:noProof/>
                <w:webHidden/>
              </w:rPr>
              <w:tab/>
            </w:r>
            <w:r>
              <w:rPr>
                <w:noProof/>
                <w:webHidden/>
              </w:rPr>
              <w:fldChar w:fldCharType="begin"/>
            </w:r>
            <w:r>
              <w:rPr>
                <w:noProof/>
                <w:webHidden/>
              </w:rPr>
              <w:instrText xml:space="preserve"> PAGEREF _Toc118824333 \h </w:instrText>
            </w:r>
            <w:r>
              <w:rPr>
                <w:noProof/>
                <w:webHidden/>
              </w:rPr>
            </w:r>
            <w:r>
              <w:rPr>
                <w:noProof/>
                <w:webHidden/>
              </w:rPr>
              <w:fldChar w:fldCharType="separate"/>
            </w:r>
            <w:r>
              <w:rPr>
                <w:noProof/>
                <w:webHidden/>
              </w:rPr>
              <w:t>55</w:t>
            </w:r>
            <w:r>
              <w:rPr>
                <w:noProof/>
                <w:webHidden/>
              </w:rPr>
              <w:fldChar w:fldCharType="end"/>
            </w:r>
          </w:hyperlink>
        </w:p>
        <w:p w14:paraId="7FB77E6F" w14:textId="63FAAF5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4" w:history="1">
            <w:r w:rsidRPr="00C80991">
              <w:rPr>
                <w:rStyle w:val="Hyperlink"/>
                <w:noProof/>
              </w:rPr>
              <w:t>5.3.3</w:t>
            </w:r>
            <w:r>
              <w:rPr>
                <w:rFonts w:asciiTheme="minorHAnsi" w:eastAsiaTheme="minorEastAsia" w:hAnsiTheme="minorHAnsi"/>
                <w:noProof/>
                <w:lang w:eastAsia="en-AU"/>
              </w:rPr>
              <w:tab/>
            </w:r>
            <w:r w:rsidRPr="00C80991">
              <w:rPr>
                <w:rStyle w:val="Hyperlink"/>
                <w:noProof/>
              </w:rPr>
              <w:t>Conclusion</w:t>
            </w:r>
            <w:r>
              <w:rPr>
                <w:noProof/>
                <w:webHidden/>
              </w:rPr>
              <w:tab/>
            </w:r>
            <w:r>
              <w:rPr>
                <w:noProof/>
                <w:webHidden/>
              </w:rPr>
              <w:fldChar w:fldCharType="begin"/>
            </w:r>
            <w:r>
              <w:rPr>
                <w:noProof/>
                <w:webHidden/>
              </w:rPr>
              <w:instrText xml:space="preserve"> PAGEREF _Toc118824334 \h </w:instrText>
            </w:r>
            <w:r>
              <w:rPr>
                <w:noProof/>
                <w:webHidden/>
              </w:rPr>
            </w:r>
            <w:r>
              <w:rPr>
                <w:noProof/>
                <w:webHidden/>
              </w:rPr>
              <w:fldChar w:fldCharType="separate"/>
            </w:r>
            <w:r>
              <w:rPr>
                <w:noProof/>
                <w:webHidden/>
              </w:rPr>
              <w:t>56</w:t>
            </w:r>
            <w:r>
              <w:rPr>
                <w:noProof/>
                <w:webHidden/>
              </w:rPr>
              <w:fldChar w:fldCharType="end"/>
            </w:r>
          </w:hyperlink>
        </w:p>
        <w:p w14:paraId="3D7A544C" w14:textId="44DF758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35" w:history="1">
            <w:r w:rsidRPr="00C80991">
              <w:rPr>
                <w:rStyle w:val="Hyperlink"/>
                <w:noProof/>
              </w:rPr>
              <w:t>5.4</w:t>
            </w:r>
            <w:r>
              <w:rPr>
                <w:rFonts w:asciiTheme="minorHAnsi" w:eastAsiaTheme="minorEastAsia" w:hAnsiTheme="minorHAnsi"/>
                <w:noProof/>
                <w:lang w:eastAsia="en-AU"/>
              </w:rPr>
              <w:tab/>
            </w:r>
            <w:r w:rsidRPr="00C80991">
              <w:rPr>
                <w:rStyle w:val="Hyperlink"/>
                <w:noProof/>
              </w:rPr>
              <w:t>IP and Commercialisation – Patents Act</w:t>
            </w:r>
            <w:r>
              <w:rPr>
                <w:noProof/>
                <w:webHidden/>
              </w:rPr>
              <w:tab/>
            </w:r>
            <w:r>
              <w:rPr>
                <w:noProof/>
                <w:webHidden/>
              </w:rPr>
              <w:fldChar w:fldCharType="begin"/>
            </w:r>
            <w:r>
              <w:rPr>
                <w:noProof/>
                <w:webHidden/>
              </w:rPr>
              <w:instrText xml:space="preserve"> PAGEREF _Toc118824335 \h </w:instrText>
            </w:r>
            <w:r>
              <w:rPr>
                <w:noProof/>
                <w:webHidden/>
              </w:rPr>
            </w:r>
            <w:r>
              <w:rPr>
                <w:noProof/>
                <w:webHidden/>
              </w:rPr>
              <w:fldChar w:fldCharType="separate"/>
            </w:r>
            <w:r>
              <w:rPr>
                <w:noProof/>
                <w:webHidden/>
              </w:rPr>
              <w:t>56</w:t>
            </w:r>
            <w:r>
              <w:rPr>
                <w:noProof/>
                <w:webHidden/>
              </w:rPr>
              <w:fldChar w:fldCharType="end"/>
            </w:r>
          </w:hyperlink>
        </w:p>
        <w:p w14:paraId="1900B7B6" w14:textId="1389A98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6" w:history="1">
            <w:r w:rsidRPr="00C80991">
              <w:rPr>
                <w:rStyle w:val="Hyperlink"/>
                <w:noProof/>
              </w:rPr>
              <w:t>5.4.1</w:t>
            </w:r>
            <w:r>
              <w:rPr>
                <w:rFonts w:asciiTheme="minorHAnsi" w:eastAsiaTheme="minorEastAsia" w:hAnsiTheme="minorHAnsi"/>
                <w:noProof/>
                <w:lang w:eastAsia="en-AU"/>
              </w:rPr>
              <w:tab/>
            </w:r>
            <w:r w:rsidRPr="00C80991">
              <w:rPr>
                <w:rStyle w:val="Hyperlink"/>
                <w:noProof/>
              </w:rPr>
              <w:t>Patents in Australia</w:t>
            </w:r>
            <w:r>
              <w:rPr>
                <w:noProof/>
                <w:webHidden/>
              </w:rPr>
              <w:tab/>
            </w:r>
            <w:r>
              <w:rPr>
                <w:noProof/>
                <w:webHidden/>
              </w:rPr>
              <w:fldChar w:fldCharType="begin"/>
            </w:r>
            <w:r>
              <w:rPr>
                <w:noProof/>
                <w:webHidden/>
              </w:rPr>
              <w:instrText xml:space="preserve"> PAGEREF _Toc118824336 \h </w:instrText>
            </w:r>
            <w:r>
              <w:rPr>
                <w:noProof/>
                <w:webHidden/>
              </w:rPr>
            </w:r>
            <w:r>
              <w:rPr>
                <w:noProof/>
                <w:webHidden/>
              </w:rPr>
              <w:fldChar w:fldCharType="separate"/>
            </w:r>
            <w:r>
              <w:rPr>
                <w:noProof/>
                <w:webHidden/>
              </w:rPr>
              <w:t>57</w:t>
            </w:r>
            <w:r>
              <w:rPr>
                <w:noProof/>
                <w:webHidden/>
              </w:rPr>
              <w:fldChar w:fldCharType="end"/>
            </w:r>
          </w:hyperlink>
        </w:p>
        <w:p w14:paraId="4B947B43" w14:textId="17C1254F"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7" w:history="1">
            <w:r w:rsidRPr="00C80991">
              <w:rPr>
                <w:rStyle w:val="Hyperlink"/>
                <w:noProof/>
              </w:rPr>
              <w:t>5.4.2</w:t>
            </w:r>
            <w:r>
              <w:rPr>
                <w:rFonts w:asciiTheme="minorHAnsi" w:eastAsiaTheme="minorEastAsia" w:hAnsiTheme="minorHAnsi"/>
                <w:noProof/>
                <w:lang w:eastAsia="en-AU"/>
              </w:rPr>
              <w:tab/>
            </w:r>
            <w:r w:rsidRPr="00C80991">
              <w:rPr>
                <w:rStyle w:val="Hyperlink"/>
                <w:noProof/>
              </w:rPr>
              <w:t>Where does Australia stand with gene patenting?</w:t>
            </w:r>
            <w:r>
              <w:rPr>
                <w:noProof/>
                <w:webHidden/>
              </w:rPr>
              <w:tab/>
            </w:r>
            <w:r>
              <w:rPr>
                <w:noProof/>
                <w:webHidden/>
              </w:rPr>
              <w:fldChar w:fldCharType="begin"/>
            </w:r>
            <w:r>
              <w:rPr>
                <w:noProof/>
                <w:webHidden/>
              </w:rPr>
              <w:instrText xml:space="preserve"> PAGEREF _Toc118824337 \h </w:instrText>
            </w:r>
            <w:r>
              <w:rPr>
                <w:noProof/>
                <w:webHidden/>
              </w:rPr>
            </w:r>
            <w:r>
              <w:rPr>
                <w:noProof/>
                <w:webHidden/>
              </w:rPr>
              <w:fldChar w:fldCharType="separate"/>
            </w:r>
            <w:r>
              <w:rPr>
                <w:noProof/>
                <w:webHidden/>
              </w:rPr>
              <w:t>59</w:t>
            </w:r>
            <w:r>
              <w:rPr>
                <w:noProof/>
                <w:webHidden/>
              </w:rPr>
              <w:fldChar w:fldCharType="end"/>
            </w:r>
          </w:hyperlink>
        </w:p>
        <w:p w14:paraId="1A499162" w14:textId="31C295E2"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8" w:history="1">
            <w:r w:rsidRPr="00C80991">
              <w:rPr>
                <w:rStyle w:val="Hyperlink"/>
                <w:noProof/>
              </w:rPr>
              <w:t>5.4.3</w:t>
            </w:r>
            <w:r>
              <w:rPr>
                <w:rFonts w:asciiTheme="minorHAnsi" w:eastAsiaTheme="minorEastAsia" w:hAnsiTheme="minorHAnsi"/>
                <w:noProof/>
                <w:lang w:eastAsia="en-AU"/>
              </w:rPr>
              <w:tab/>
            </w:r>
            <w:r w:rsidRPr="00C80991">
              <w:rPr>
                <w:rStyle w:val="Hyperlink"/>
                <w:noProof/>
              </w:rPr>
              <w:t>Patents over diagnostic methods</w:t>
            </w:r>
            <w:r>
              <w:rPr>
                <w:noProof/>
                <w:webHidden/>
              </w:rPr>
              <w:tab/>
            </w:r>
            <w:r>
              <w:rPr>
                <w:noProof/>
                <w:webHidden/>
              </w:rPr>
              <w:fldChar w:fldCharType="begin"/>
            </w:r>
            <w:r>
              <w:rPr>
                <w:noProof/>
                <w:webHidden/>
              </w:rPr>
              <w:instrText xml:space="preserve"> PAGEREF _Toc118824338 \h </w:instrText>
            </w:r>
            <w:r>
              <w:rPr>
                <w:noProof/>
                <w:webHidden/>
              </w:rPr>
            </w:r>
            <w:r>
              <w:rPr>
                <w:noProof/>
                <w:webHidden/>
              </w:rPr>
              <w:fldChar w:fldCharType="separate"/>
            </w:r>
            <w:r>
              <w:rPr>
                <w:noProof/>
                <w:webHidden/>
              </w:rPr>
              <w:t>60</w:t>
            </w:r>
            <w:r>
              <w:rPr>
                <w:noProof/>
                <w:webHidden/>
              </w:rPr>
              <w:fldChar w:fldCharType="end"/>
            </w:r>
          </w:hyperlink>
        </w:p>
        <w:p w14:paraId="135B207D" w14:textId="26D2C42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39" w:history="1">
            <w:r w:rsidRPr="00C80991">
              <w:rPr>
                <w:rStyle w:val="Hyperlink"/>
                <w:noProof/>
              </w:rPr>
              <w:t>5.4.4</w:t>
            </w:r>
            <w:r>
              <w:rPr>
                <w:rFonts w:asciiTheme="minorHAnsi" w:eastAsiaTheme="minorEastAsia" w:hAnsiTheme="minorHAnsi"/>
                <w:noProof/>
                <w:lang w:eastAsia="en-AU"/>
              </w:rPr>
              <w:tab/>
            </w:r>
            <w:r w:rsidRPr="00C80991">
              <w:rPr>
                <w:rStyle w:val="Hyperlink"/>
                <w:noProof/>
              </w:rPr>
              <w:t>Patents and Morality Debates</w:t>
            </w:r>
            <w:r>
              <w:rPr>
                <w:noProof/>
                <w:webHidden/>
              </w:rPr>
              <w:tab/>
            </w:r>
            <w:r>
              <w:rPr>
                <w:noProof/>
                <w:webHidden/>
              </w:rPr>
              <w:fldChar w:fldCharType="begin"/>
            </w:r>
            <w:r>
              <w:rPr>
                <w:noProof/>
                <w:webHidden/>
              </w:rPr>
              <w:instrText xml:space="preserve"> PAGEREF _Toc118824339 \h </w:instrText>
            </w:r>
            <w:r>
              <w:rPr>
                <w:noProof/>
                <w:webHidden/>
              </w:rPr>
            </w:r>
            <w:r>
              <w:rPr>
                <w:noProof/>
                <w:webHidden/>
              </w:rPr>
              <w:fldChar w:fldCharType="separate"/>
            </w:r>
            <w:r>
              <w:rPr>
                <w:noProof/>
                <w:webHidden/>
              </w:rPr>
              <w:t>61</w:t>
            </w:r>
            <w:r>
              <w:rPr>
                <w:noProof/>
                <w:webHidden/>
              </w:rPr>
              <w:fldChar w:fldCharType="end"/>
            </w:r>
          </w:hyperlink>
        </w:p>
        <w:p w14:paraId="29FA249E" w14:textId="66E25C52"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0" w:history="1">
            <w:r w:rsidRPr="00C80991">
              <w:rPr>
                <w:rStyle w:val="Hyperlink"/>
                <w:noProof/>
              </w:rPr>
              <w:t>5.4.5</w:t>
            </w:r>
            <w:r>
              <w:rPr>
                <w:rFonts w:asciiTheme="minorHAnsi" w:eastAsiaTheme="minorEastAsia" w:hAnsiTheme="minorHAnsi"/>
                <w:noProof/>
                <w:lang w:eastAsia="en-AU"/>
              </w:rPr>
              <w:tab/>
            </w:r>
            <w:r w:rsidRPr="00C80991">
              <w:rPr>
                <w:rStyle w:val="Hyperlink"/>
                <w:noProof/>
              </w:rPr>
              <w:t>Patents over existing Aboriginal and Torres Strait Islander knowledge systems and practices</w:t>
            </w:r>
            <w:r>
              <w:rPr>
                <w:noProof/>
                <w:webHidden/>
              </w:rPr>
              <w:tab/>
            </w:r>
            <w:r>
              <w:rPr>
                <w:noProof/>
                <w:webHidden/>
              </w:rPr>
              <w:fldChar w:fldCharType="begin"/>
            </w:r>
            <w:r>
              <w:rPr>
                <w:noProof/>
                <w:webHidden/>
              </w:rPr>
              <w:instrText xml:space="preserve"> PAGEREF _Toc118824340 \h </w:instrText>
            </w:r>
            <w:r>
              <w:rPr>
                <w:noProof/>
                <w:webHidden/>
              </w:rPr>
            </w:r>
            <w:r>
              <w:rPr>
                <w:noProof/>
                <w:webHidden/>
              </w:rPr>
              <w:fldChar w:fldCharType="separate"/>
            </w:r>
            <w:r>
              <w:rPr>
                <w:noProof/>
                <w:webHidden/>
              </w:rPr>
              <w:t>61</w:t>
            </w:r>
            <w:r>
              <w:rPr>
                <w:noProof/>
                <w:webHidden/>
              </w:rPr>
              <w:fldChar w:fldCharType="end"/>
            </w:r>
          </w:hyperlink>
        </w:p>
        <w:p w14:paraId="7C5B86A1" w14:textId="1D1D8580"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1" w:history="1">
            <w:r w:rsidRPr="00C80991">
              <w:rPr>
                <w:rStyle w:val="Hyperlink"/>
                <w:noProof/>
              </w:rPr>
              <w:t>5.4.6</w:t>
            </w:r>
            <w:r>
              <w:rPr>
                <w:rFonts w:asciiTheme="minorHAnsi" w:eastAsiaTheme="minorEastAsia" w:hAnsiTheme="minorHAnsi"/>
                <w:noProof/>
                <w:lang w:eastAsia="en-AU"/>
              </w:rPr>
              <w:tab/>
            </w:r>
            <w:r w:rsidRPr="00C80991">
              <w:rPr>
                <w:rStyle w:val="Hyperlink"/>
                <w:noProof/>
              </w:rPr>
              <w:t>International Examples</w:t>
            </w:r>
            <w:r>
              <w:rPr>
                <w:noProof/>
                <w:webHidden/>
              </w:rPr>
              <w:tab/>
            </w:r>
            <w:r>
              <w:rPr>
                <w:noProof/>
                <w:webHidden/>
              </w:rPr>
              <w:fldChar w:fldCharType="begin"/>
            </w:r>
            <w:r>
              <w:rPr>
                <w:noProof/>
                <w:webHidden/>
              </w:rPr>
              <w:instrText xml:space="preserve"> PAGEREF _Toc118824341 \h </w:instrText>
            </w:r>
            <w:r>
              <w:rPr>
                <w:noProof/>
                <w:webHidden/>
              </w:rPr>
            </w:r>
            <w:r>
              <w:rPr>
                <w:noProof/>
                <w:webHidden/>
              </w:rPr>
              <w:fldChar w:fldCharType="separate"/>
            </w:r>
            <w:r>
              <w:rPr>
                <w:noProof/>
                <w:webHidden/>
              </w:rPr>
              <w:t>62</w:t>
            </w:r>
            <w:r>
              <w:rPr>
                <w:noProof/>
                <w:webHidden/>
              </w:rPr>
              <w:fldChar w:fldCharType="end"/>
            </w:r>
          </w:hyperlink>
        </w:p>
        <w:p w14:paraId="5E48C865" w14:textId="4C7D0AA2"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2" w:history="1">
            <w:r w:rsidRPr="00C80991">
              <w:rPr>
                <w:rStyle w:val="Hyperlink"/>
                <w:noProof/>
              </w:rPr>
              <w:t>5.4.7</w:t>
            </w:r>
            <w:r>
              <w:rPr>
                <w:rFonts w:asciiTheme="minorHAnsi" w:eastAsiaTheme="minorEastAsia" w:hAnsiTheme="minorHAnsi"/>
                <w:noProof/>
                <w:lang w:eastAsia="en-AU"/>
              </w:rPr>
              <w:tab/>
            </w:r>
            <w:r w:rsidRPr="00C80991">
              <w:rPr>
                <w:rStyle w:val="Hyperlink"/>
                <w:noProof/>
              </w:rPr>
              <w:t>Conclusion</w:t>
            </w:r>
            <w:r>
              <w:rPr>
                <w:noProof/>
                <w:webHidden/>
              </w:rPr>
              <w:tab/>
            </w:r>
            <w:r>
              <w:rPr>
                <w:noProof/>
                <w:webHidden/>
              </w:rPr>
              <w:fldChar w:fldCharType="begin"/>
            </w:r>
            <w:r>
              <w:rPr>
                <w:noProof/>
                <w:webHidden/>
              </w:rPr>
              <w:instrText xml:space="preserve"> PAGEREF _Toc118824342 \h </w:instrText>
            </w:r>
            <w:r>
              <w:rPr>
                <w:noProof/>
                <w:webHidden/>
              </w:rPr>
            </w:r>
            <w:r>
              <w:rPr>
                <w:noProof/>
                <w:webHidden/>
              </w:rPr>
              <w:fldChar w:fldCharType="separate"/>
            </w:r>
            <w:r>
              <w:rPr>
                <w:noProof/>
                <w:webHidden/>
              </w:rPr>
              <w:t>62</w:t>
            </w:r>
            <w:r>
              <w:rPr>
                <w:noProof/>
                <w:webHidden/>
              </w:rPr>
              <w:fldChar w:fldCharType="end"/>
            </w:r>
          </w:hyperlink>
        </w:p>
        <w:p w14:paraId="293CB8EA" w14:textId="43F1B5B8"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43" w:history="1">
            <w:r w:rsidRPr="00C80991">
              <w:rPr>
                <w:rStyle w:val="Hyperlink"/>
                <w:noProof/>
              </w:rPr>
              <w:t>5.5</w:t>
            </w:r>
            <w:r>
              <w:rPr>
                <w:rFonts w:asciiTheme="minorHAnsi" w:eastAsiaTheme="minorEastAsia" w:hAnsiTheme="minorHAnsi"/>
                <w:noProof/>
                <w:lang w:eastAsia="en-AU"/>
              </w:rPr>
              <w:tab/>
            </w:r>
            <w:r w:rsidRPr="00C80991">
              <w:rPr>
                <w:rStyle w:val="Hyperlink"/>
                <w:noProof/>
              </w:rPr>
              <w:t>Consumer law and consumption of health services</w:t>
            </w:r>
            <w:r>
              <w:rPr>
                <w:noProof/>
                <w:webHidden/>
              </w:rPr>
              <w:tab/>
            </w:r>
            <w:r>
              <w:rPr>
                <w:noProof/>
                <w:webHidden/>
              </w:rPr>
              <w:fldChar w:fldCharType="begin"/>
            </w:r>
            <w:r>
              <w:rPr>
                <w:noProof/>
                <w:webHidden/>
              </w:rPr>
              <w:instrText xml:space="preserve"> PAGEREF _Toc118824343 \h </w:instrText>
            </w:r>
            <w:r>
              <w:rPr>
                <w:noProof/>
                <w:webHidden/>
              </w:rPr>
            </w:r>
            <w:r>
              <w:rPr>
                <w:noProof/>
                <w:webHidden/>
              </w:rPr>
              <w:fldChar w:fldCharType="separate"/>
            </w:r>
            <w:r>
              <w:rPr>
                <w:noProof/>
                <w:webHidden/>
              </w:rPr>
              <w:t>63</w:t>
            </w:r>
            <w:r>
              <w:rPr>
                <w:noProof/>
                <w:webHidden/>
              </w:rPr>
              <w:fldChar w:fldCharType="end"/>
            </w:r>
          </w:hyperlink>
        </w:p>
        <w:p w14:paraId="198EA3E7" w14:textId="3B1D758F"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4" w:history="1">
            <w:r w:rsidRPr="00C80991">
              <w:rPr>
                <w:rStyle w:val="Hyperlink"/>
                <w:noProof/>
              </w:rPr>
              <w:t>5.5.1</w:t>
            </w:r>
            <w:r>
              <w:rPr>
                <w:rFonts w:asciiTheme="minorHAnsi" w:eastAsiaTheme="minorEastAsia" w:hAnsiTheme="minorHAnsi"/>
                <w:noProof/>
                <w:lang w:eastAsia="en-AU"/>
              </w:rPr>
              <w:tab/>
            </w:r>
            <w:r w:rsidRPr="00C80991">
              <w:rPr>
                <w:rStyle w:val="Hyperlink"/>
                <w:noProof/>
              </w:rPr>
              <w:t>Misleading or deceptive conduct or representations</w:t>
            </w:r>
            <w:r>
              <w:rPr>
                <w:noProof/>
                <w:webHidden/>
              </w:rPr>
              <w:tab/>
            </w:r>
            <w:r>
              <w:rPr>
                <w:noProof/>
                <w:webHidden/>
              </w:rPr>
              <w:fldChar w:fldCharType="begin"/>
            </w:r>
            <w:r>
              <w:rPr>
                <w:noProof/>
                <w:webHidden/>
              </w:rPr>
              <w:instrText xml:space="preserve"> PAGEREF _Toc118824344 \h </w:instrText>
            </w:r>
            <w:r>
              <w:rPr>
                <w:noProof/>
                <w:webHidden/>
              </w:rPr>
            </w:r>
            <w:r>
              <w:rPr>
                <w:noProof/>
                <w:webHidden/>
              </w:rPr>
              <w:fldChar w:fldCharType="separate"/>
            </w:r>
            <w:r>
              <w:rPr>
                <w:noProof/>
                <w:webHidden/>
              </w:rPr>
              <w:t>63</w:t>
            </w:r>
            <w:r>
              <w:rPr>
                <w:noProof/>
                <w:webHidden/>
              </w:rPr>
              <w:fldChar w:fldCharType="end"/>
            </w:r>
          </w:hyperlink>
        </w:p>
        <w:p w14:paraId="1032A5EB" w14:textId="79D44390"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5" w:history="1">
            <w:r w:rsidRPr="00C80991">
              <w:rPr>
                <w:rStyle w:val="Hyperlink"/>
                <w:noProof/>
              </w:rPr>
              <w:t>5.5.2</w:t>
            </w:r>
            <w:r>
              <w:rPr>
                <w:rFonts w:asciiTheme="minorHAnsi" w:eastAsiaTheme="minorEastAsia" w:hAnsiTheme="minorHAnsi"/>
                <w:noProof/>
                <w:lang w:eastAsia="en-AU"/>
              </w:rPr>
              <w:tab/>
            </w:r>
            <w:r w:rsidRPr="00C80991">
              <w:rPr>
                <w:rStyle w:val="Hyperlink"/>
                <w:noProof/>
              </w:rPr>
              <w:t>Unconscionable Conduct</w:t>
            </w:r>
            <w:r>
              <w:rPr>
                <w:noProof/>
                <w:webHidden/>
              </w:rPr>
              <w:tab/>
            </w:r>
            <w:r>
              <w:rPr>
                <w:noProof/>
                <w:webHidden/>
              </w:rPr>
              <w:fldChar w:fldCharType="begin"/>
            </w:r>
            <w:r>
              <w:rPr>
                <w:noProof/>
                <w:webHidden/>
              </w:rPr>
              <w:instrText xml:space="preserve"> PAGEREF _Toc118824345 \h </w:instrText>
            </w:r>
            <w:r>
              <w:rPr>
                <w:noProof/>
                <w:webHidden/>
              </w:rPr>
            </w:r>
            <w:r>
              <w:rPr>
                <w:noProof/>
                <w:webHidden/>
              </w:rPr>
              <w:fldChar w:fldCharType="separate"/>
            </w:r>
            <w:r>
              <w:rPr>
                <w:noProof/>
                <w:webHidden/>
              </w:rPr>
              <w:t>63</w:t>
            </w:r>
            <w:r>
              <w:rPr>
                <w:noProof/>
                <w:webHidden/>
              </w:rPr>
              <w:fldChar w:fldCharType="end"/>
            </w:r>
          </w:hyperlink>
        </w:p>
        <w:p w14:paraId="0213E96A" w14:textId="083D51F2"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6" w:history="1">
            <w:r w:rsidRPr="00C80991">
              <w:rPr>
                <w:rStyle w:val="Hyperlink"/>
                <w:noProof/>
              </w:rPr>
              <w:t>5.5.3</w:t>
            </w:r>
            <w:r>
              <w:rPr>
                <w:rFonts w:asciiTheme="minorHAnsi" w:eastAsiaTheme="minorEastAsia" w:hAnsiTheme="minorHAnsi"/>
                <w:noProof/>
                <w:lang w:eastAsia="en-AU"/>
              </w:rPr>
              <w:tab/>
            </w:r>
            <w:r w:rsidRPr="00C80991">
              <w:rPr>
                <w:rStyle w:val="Hyperlink"/>
                <w:noProof/>
              </w:rPr>
              <w:t>State and territory consumer protections</w:t>
            </w:r>
            <w:r>
              <w:rPr>
                <w:noProof/>
                <w:webHidden/>
              </w:rPr>
              <w:tab/>
            </w:r>
            <w:r>
              <w:rPr>
                <w:noProof/>
                <w:webHidden/>
              </w:rPr>
              <w:fldChar w:fldCharType="begin"/>
            </w:r>
            <w:r>
              <w:rPr>
                <w:noProof/>
                <w:webHidden/>
              </w:rPr>
              <w:instrText xml:space="preserve"> PAGEREF _Toc118824346 \h </w:instrText>
            </w:r>
            <w:r>
              <w:rPr>
                <w:noProof/>
                <w:webHidden/>
              </w:rPr>
            </w:r>
            <w:r>
              <w:rPr>
                <w:noProof/>
                <w:webHidden/>
              </w:rPr>
              <w:fldChar w:fldCharType="separate"/>
            </w:r>
            <w:r>
              <w:rPr>
                <w:noProof/>
                <w:webHidden/>
              </w:rPr>
              <w:t>64</w:t>
            </w:r>
            <w:r>
              <w:rPr>
                <w:noProof/>
                <w:webHidden/>
              </w:rPr>
              <w:fldChar w:fldCharType="end"/>
            </w:r>
          </w:hyperlink>
        </w:p>
        <w:p w14:paraId="50EE2E18" w14:textId="5ECE990B"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47" w:history="1">
            <w:r w:rsidRPr="00C80991">
              <w:rPr>
                <w:rStyle w:val="Hyperlink"/>
                <w:noProof/>
              </w:rPr>
              <w:t>5.6</w:t>
            </w:r>
            <w:r>
              <w:rPr>
                <w:rFonts w:asciiTheme="minorHAnsi" w:eastAsiaTheme="minorEastAsia" w:hAnsiTheme="minorHAnsi"/>
                <w:noProof/>
                <w:lang w:eastAsia="en-AU"/>
              </w:rPr>
              <w:tab/>
            </w:r>
            <w:r w:rsidRPr="00C80991">
              <w:rPr>
                <w:rStyle w:val="Hyperlink"/>
                <w:noProof/>
              </w:rPr>
              <w:t>Who controls access to existing genetic material?</w:t>
            </w:r>
            <w:r>
              <w:rPr>
                <w:noProof/>
                <w:webHidden/>
              </w:rPr>
              <w:tab/>
            </w:r>
            <w:r>
              <w:rPr>
                <w:noProof/>
                <w:webHidden/>
              </w:rPr>
              <w:fldChar w:fldCharType="begin"/>
            </w:r>
            <w:r>
              <w:rPr>
                <w:noProof/>
                <w:webHidden/>
              </w:rPr>
              <w:instrText xml:space="preserve"> PAGEREF _Toc118824347 \h </w:instrText>
            </w:r>
            <w:r>
              <w:rPr>
                <w:noProof/>
                <w:webHidden/>
              </w:rPr>
            </w:r>
            <w:r>
              <w:rPr>
                <w:noProof/>
                <w:webHidden/>
              </w:rPr>
              <w:fldChar w:fldCharType="separate"/>
            </w:r>
            <w:r>
              <w:rPr>
                <w:noProof/>
                <w:webHidden/>
              </w:rPr>
              <w:t>65</w:t>
            </w:r>
            <w:r>
              <w:rPr>
                <w:noProof/>
                <w:webHidden/>
              </w:rPr>
              <w:fldChar w:fldCharType="end"/>
            </w:r>
          </w:hyperlink>
        </w:p>
        <w:p w14:paraId="5C6B3D77" w14:textId="2A4F4B01"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8" w:history="1">
            <w:r w:rsidRPr="00C80991">
              <w:rPr>
                <w:rStyle w:val="Hyperlink"/>
                <w:noProof/>
              </w:rPr>
              <w:t>5.6.1</w:t>
            </w:r>
            <w:r>
              <w:rPr>
                <w:rFonts w:asciiTheme="minorHAnsi" w:eastAsiaTheme="minorEastAsia" w:hAnsiTheme="minorHAnsi"/>
                <w:noProof/>
                <w:lang w:eastAsia="en-AU"/>
              </w:rPr>
              <w:tab/>
            </w:r>
            <w:r w:rsidRPr="00C80991">
              <w:rPr>
                <w:rStyle w:val="Hyperlink"/>
                <w:noProof/>
              </w:rPr>
              <w:t>Access of law enforcement to data</w:t>
            </w:r>
            <w:r>
              <w:rPr>
                <w:noProof/>
                <w:webHidden/>
              </w:rPr>
              <w:tab/>
            </w:r>
            <w:r>
              <w:rPr>
                <w:noProof/>
                <w:webHidden/>
              </w:rPr>
              <w:fldChar w:fldCharType="begin"/>
            </w:r>
            <w:r>
              <w:rPr>
                <w:noProof/>
                <w:webHidden/>
              </w:rPr>
              <w:instrText xml:space="preserve"> PAGEREF _Toc118824348 \h </w:instrText>
            </w:r>
            <w:r>
              <w:rPr>
                <w:noProof/>
                <w:webHidden/>
              </w:rPr>
            </w:r>
            <w:r>
              <w:rPr>
                <w:noProof/>
                <w:webHidden/>
              </w:rPr>
              <w:fldChar w:fldCharType="separate"/>
            </w:r>
            <w:r>
              <w:rPr>
                <w:noProof/>
                <w:webHidden/>
              </w:rPr>
              <w:t>66</w:t>
            </w:r>
            <w:r>
              <w:rPr>
                <w:noProof/>
                <w:webHidden/>
              </w:rPr>
              <w:fldChar w:fldCharType="end"/>
            </w:r>
          </w:hyperlink>
        </w:p>
        <w:p w14:paraId="1921DA8B" w14:textId="7F16559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49" w:history="1">
            <w:r w:rsidRPr="00C80991">
              <w:rPr>
                <w:rStyle w:val="Hyperlink"/>
                <w:noProof/>
              </w:rPr>
              <w:t>5.6.2</w:t>
            </w:r>
            <w:r>
              <w:rPr>
                <w:rFonts w:asciiTheme="minorHAnsi" w:eastAsiaTheme="minorEastAsia" w:hAnsiTheme="minorHAnsi"/>
                <w:noProof/>
                <w:lang w:eastAsia="en-AU"/>
              </w:rPr>
              <w:tab/>
            </w:r>
            <w:r w:rsidRPr="00C80991">
              <w:rPr>
                <w:rStyle w:val="Hyperlink"/>
                <w:noProof/>
              </w:rPr>
              <w:t>Can researchers access Aboriginal and Torres Strait Islander samples in museum collections?</w:t>
            </w:r>
            <w:r>
              <w:rPr>
                <w:noProof/>
                <w:webHidden/>
              </w:rPr>
              <w:tab/>
            </w:r>
            <w:r>
              <w:rPr>
                <w:noProof/>
                <w:webHidden/>
              </w:rPr>
              <w:fldChar w:fldCharType="begin"/>
            </w:r>
            <w:r>
              <w:rPr>
                <w:noProof/>
                <w:webHidden/>
              </w:rPr>
              <w:instrText xml:space="preserve"> PAGEREF _Toc118824349 \h </w:instrText>
            </w:r>
            <w:r>
              <w:rPr>
                <w:noProof/>
                <w:webHidden/>
              </w:rPr>
            </w:r>
            <w:r>
              <w:rPr>
                <w:noProof/>
                <w:webHidden/>
              </w:rPr>
              <w:fldChar w:fldCharType="separate"/>
            </w:r>
            <w:r>
              <w:rPr>
                <w:noProof/>
                <w:webHidden/>
              </w:rPr>
              <w:t>67</w:t>
            </w:r>
            <w:r>
              <w:rPr>
                <w:noProof/>
                <w:webHidden/>
              </w:rPr>
              <w:fldChar w:fldCharType="end"/>
            </w:r>
          </w:hyperlink>
        </w:p>
        <w:p w14:paraId="42C9D7F1" w14:textId="6392B052"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50" w:history="1">
            <w:r w:rsidRPr="00C80991">
              <w:rPr>
                <w:rStyle w:val="Hyperlink"/>
                <w:noProof/>
              </w:rPr>
              <w:t>5.7</w:t>
            </w:r>
            <w:r>
              <w:rPr>
                <w:rFonts w:asciiTheme="minorHAnsi" w:eastAsiaTheme="minorEastAsia" w:hAnsiTheme="minorHAnsi"/>
                <w:noProof/>
                <w:lang w:eastAsia="en-AU"/>
              </w:rPr>
              <w:tab/>
            </w:r>
            <w:r w:rsidRPr="00C80991">
              <w:rPr>
                <w:rStyle w:val="Hyperlink"/>
                <w:noProof/>
              </w:rPr>
              <w:t>Health records laws</w:t>
            </w:r>
            <w:r>
              <w:rPr>
                <w:noProof/>
                <w:webHidden/>
              </w:rPr>
              <w:tab/>
            </w:r>
            <w:r>
              <w:rPr>
                <w:noProof/>
                <w:webHidden/>
              </w:rPr>
              <w:fldChar w:fldCharType="begin"/>
            </w:r>
            <w:r>
              <w:rPr>
                <w:noProof/>
                <w:webHidden/>
              </w:rPr>
              <w:instrText xml:space="preserve"> PAGEREF _Toc118824350 \h </w:instrText>
            </w:r>
            <w:r>
              <w:rPr>
                <w:noProof/>
                <w:webHidden/>
              </w:rPr>
            </w:r>
            <w:r>
              <w:rPr>
                <w:noProof/>
                <w:webHidden/>
              </w:rPr>
              <w:fldChar w:fldCharType="separate"/>
            </w:r>
            <w:r>
              <w:rPr>
                <w:noProof/>
                <w:webHidden/>
              </w:rPr>
              <w:t>74</w:t>
            </w:r>
            <w:r>
              <w:rPr>
                <w:noProof/>
                <w:webHidden/>
              </w:rPr>
              <w:fldChar w:fldCharType="end"/>
            </w:r>
          </w:hyperlink>
        </w:p>
        <w:p w14:paraId="546E2366" w14:textId="72C6AEFB"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51" w:history="1">
            <w:r w:rsidRPr="00C80991">
              <w:rPr>
                <w:rStyle w:val="Hyperlink"/>
                <w:noProof/>
              </w:rPr>
              <w:t>5.8</w:t>
            </w:r>
            <w:r>
              <w:rPr>
                <w:rFonts w:asciiTheme="minorHAnsi" w:eastAsiaTheme="minorEastAsia" w:hAnsiTheme="minorHAnsi"/>
                <w:noProof/>
                <w:lang w:eastAsia="en-AU"/>
              </w:rPr>
              <w:tab/>
            </w:r>
            <w:r w:rsidRPr="00C80991">
              <w:rPr>
                <w:rStyle w:val="Hyperlink"/>
                <w:noProof/>
              </w:rPr>
              <w:t>Managing research agreements</w:t>
            </w:r>
            <w:r>
              <w:rPr>
                <w:noProof/>
                <w:webHidden/>
              </w:rPr>
              <w:tab/>
            </w:r>
            <w:r>
              <w:rPr>
                <w:noProof/>
                <w:webHidden/>
              </w:rPr>
              <w:fldChar w:fldCharType="begin"/>
            </w:r>
            <w:r>
              <w:rPr>
                <w:noProof/>
                <w:webHidden/>
              </w:rPr>
              <w:instrText xml:space="preserve"> PAGEREF _Toc118824351 \h </w:instrText>
            </w:r>
            <w:r>
              <w:rPr>
                <w:noProof/>
                <w:webHidden/>
              </w:rPr>
            </w:r>
            <w:r>
              <w:rPr>
                <w:noProof/>
                <w:webHidden/>
              </w:rPr>
              <w:fldChar w:fldCharType="separate"/>
            </w:r>
            <w:r>
              <w:rPr>
                <w:noProof/>
                <w:webHidden/>
              </w:rPr>
              <w:t>75</w:t>
            </w:r>
            <w:r>
              <w:rPr>
                <w:noProof/>
                <w:webHidden/>
              </w:rPr>
              <w:fldChar w:fldCharType="end"/>
            </w:r>
          </w:hyperlink>
        </w:p>
        <w:p w14:paraId="2050DAA5" w14:textId="74515083"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52" w:history="1">
            <w:r w:rsidRPr="00C80991">
              <w:rPr>
                <w:rStyle w:val="Hyperlink"/>
                <w:noProof/>
              </w:rPr>
              <w:t>5.9</w:t>
            </w:r>
            <w:r>
              <w:rPr>
                <w:rFonts w:asciiTheme="minorHAnsi" w:eastAsiaTheme="minorEastAsia" w:hAnsiTheme="minorHAnsi"/>
                <w:noProof/>
                <w:lang w:eastAsia="en-AU"/>
              </w:rPr>
              <w:tab/>
            </w:r>
            <w:r w:rsidRPr="00C80991">
              <w:rPr>
                <w:rStyle w:val="Hyperlink"/>
                <w:noProof/>
              </w:rPr>
              <w:t>Documenting consents</w:t>
            </w:r>
            <w:r>
              <w:rPr>
                <w:noProof/>
                <w:webHidden/>
              </w:rPr>
              <w:tab/>
            </w:r>
            <w:r>
              <w:rPr>
                <w:noProof/>
                <w:webHidden/>
              </w:rPr>
              <w:fldChar w:fldCharType="begin"/>
            </w:r>
            <w:r>
              <w:rPr>
                <w:noProof/>
                <w:webHidden/>
              </w:rPr>
              <w:instrText xml:space="preserve"> PAGEREF _Toc118824352 \h </w:instrText>
            </w:r>
            <w:r>
              <w:rPr>
                <w:noProof/>
                <w:webHidden/>
              </w:rPr>
            </w:r>
            <w:r>
              <w:rPr>
                <w:noProof/>
                <w:webHidden/>
              </w:rPr>
              <w:fldChar w:fldCharType="separate"/>
            </w:r>
            <w:r>
              <w:rPr>
                <w:noProof/>
                <w:webHidden/>
              </w:rPr>
              <w:t>78</w:t>
            </w:r>
            <w:r>
              <w:rPr>
                <w:noProof/>
                <w:webHidden/>
              </w:rPr>
              <w:fldChar w:fldCharType="end"/>
            </w:r>
          </w:hyperlink>
        </w:p>
        <w:p w14:paraId="58E0B692" w14:textId="525BBFDB"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53" w:history="1">
            <w:r w:rsidRPr="00C80991">
              <w:rPr>
                <w:rStyle w:val="Hyperlink"/>
                <w:noProof/>
              </w:rPr>
              <w:t>5.9.1</w:t>
            </w:r>
            <w:r>
              <w:rPr>
                <w:rFonts w:asciiTheme="minorHAnsi" w:eastAsiaTheme="minorEastAsia" w:hAnsiTheme="minorHAnsi"/>
                <w:noProof/>
                <w:lang w:eastAsia="en-AU"/>
              </w:rPr>
              <w:tab/>
            </w:r>
            <w:r w:rsidRPr="00C80991">
              <w:rPr>
                <w:rStyle w:val="Hyperlink"/>
                <w:noProof/>
              </w:rPr>
              <w:t>Documenting consents in the doctor/patient relationship</w:t>
            </w:r>
            <w:r>
              <w:rPr>
                <w:noProof/>
                <w:webHidden/>
              </w:rPr>
              <w:tab/>
            </w:r>
            <w:r>
              <w:rPr>
                <w:noProof/>
                <w:webHidden/>
              </w:rPr>
              <w:fldChar w:fldCharType="begin"/>
            </w:r>
            <w:r>
              <w:rPr>
                <w:noProof/>
                <w:webHidden/>
              </w:rPr>
              <w:instrText xml:space="preserve"> PAGEREF _Toc118824353 \h </w:instrText>
            </w:r>
            <w:r>
              <w:rPr>
                <w:noProof/>
                <w:webHidden/>
              </w:rPr>
            </w:r>
            <w:r>
              <w:rPr>
                <w:noProof/>
                <w:webHidden/>
              </w:rPr>
              <w:fldChar w:fldCharType="separate"/>
            </w:r>
            <w:r>
              <w:rPr>
                <w:noProof/>
                <w:webHidden/>
              </w:rPr>
              <w:t>78</w:t>
            </w:r>
            <w:r>
              <w:rPr>
                <w:noProof/>
                <w:webHidden/>
              </w:rPr>
              <w:fldChar w:fldCharType="end"/>
            </w:r>
          </w:hyperlink>
        </w:p>
        <w:p w14:paraId="3FC8D595" w14:textId="3BB884F8"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54" w:history="1">
            <w:r w:rsidRPr="00C80991">
              <w:rPr>
                <w:rStyle w:val="Hyperlink"/>
                <w:noProof/>
              </w:rPr>
              <w:t>5.9.2</w:t>
            </w:r>
            <w:r>
              <w:rPr>
                <w:rFonts w:asciiTheme="minorHAnsi" w:eastAsiaTheme="minorEastAsia" w:hAnsiTheme="minorHAnsi"/>
                <w:noProof/>
                <w:lang w:eastAsia="en-AU"/>
              </w:rPr>
              <w:tab/>
            </w:r>
            <w:r w:rsidRPr="00C80991">
              <w:rPr>
                <w:rStyle w:val="Hyperlink"/>
                <w:noProof/>
              </w:rPr>
              <w:t>Documenting consents when samples are obtained from existing collections</w:t>
            </w:r>
            <w:r>
              <w:rPr>
                <w:noProof/>
                <w:webHidden/>
              </w:rPr>
              <w:tab/>
            </w:r>
            <w:r>
              <w:rPr>
                <w:noProof/>
                <w:webHidden/>
              </w:rPr>
              <w:fldChar w:fldCharType="begin"/>
            </w:r>
            <w:r>
              <w:rPr>
                <w:noProof/>
                <w:webHidden/>
              </w:rPr>
              <w:instrText xml:space="preserve"> PAGEREF _Toc118824354 \h </w:instrText>
            </w:r>
            <w:r>
              <w:rPr>
                <w:noProof/>
                <w:webHidden/>
              </w:rPr>
            </w:r>
            <w:r>
              <w:rPr>
                <w:noProof/>
                <w:webHidden/>
              </w:rPr>
              <w:fldChar w:fldCharType="separate"/>
            </w:r>
            <w:r>
              <w:rPr>
                <w:noProof/>
                <w:webHidden/>
              </w:rPr>
              <w:t>79</w:t>
            </w:r>
            <w:r>
              <w:rPr>
                <w:noProof/>
                <w:webHidden/>
              </w:rPr>
              <w:fldChar w:fldCharType="end"/>
            </w:r>
          </w:hyperlink>
        </w:p>
        <w:p w14:paraId="16B6871A" w14:textId="4570C5E5"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55" w:history="1">
            <w:r w:rsidRPr="00C80991">
              <w:rPr>
                <w:rStyle w:val="Hyperlink"/>
                <w:noProof/>
              </w:rPr>
              <w:t>5.9.3</w:t>
            </w:r>
            <w:r>
              <w:rPr>
                <w:rFonts w:asciiTheme="minorHAnsi" w:eastAsiaTheme="minorEastAsia" w:hAnsiTheme="minorHAnsi"/>
                <w:noProof/>
                <w:lang w:eastAsia="en-AU"/>
              </w:rPr>
              <w:tab/>
            </w:r>
            <w:r w:rsidRPr="00C80991">
              <w:rPr>
                <w:rStyle w:val="Hyperlink"/>
                <w:noProof/>
              </w:rPr>
              <w:t>Documenting consents when samples are obtained by private companies</w:t>
            </w:r>
            <w:r>
              <w:rPr>
                <w:noProof/>
                <w:webHidden/>
              </w:rPr>
              <w:tab/>
            </w:r>
            <w:r>
              <w:rPr>
                <w:noProof/>
                <w:webHidden/>
              </w:rPr>
              <w:fldChar w:fldCharType="begin"/>
            </w:r>
            <w:r>
              <w:rPr>
                <w:noProof/>
                <w:webHidden/>
              </w:rPr>
              <w:instrText xml:space="preserve"> PAGEREF _Toc118824355 \h </w:instrText>
            </w:r>
            <w:r>
              <w:rPr>
                <w:noProof/>
                <w:webHidden/>
              </w:rPr>
            </w:r>
            <w:r>
              <w:rPr>
                <w:noProof/>
                <w:webHidden/>
              </w:rPr>
              <w:fldChar w:fldCharType="separate"/>
            </w:r>
            <w:r>
              <w:rPr>
                <w:noProof/>
                <w:webHidden/>
              </w:rPr>
              <w:t>79</w:t>
            </w:r>
            <w:r>
              <w:rPr>
                <w:noProof/>
                <w:webHidden/>
              </w:rPr>
              <w:fldChar w:fldCharType="end"/>
            </w:r>
          </w:hyperlink>
        </w:p>
        <w:p w14:paraId="7369BF58" w14:textId="2290879B"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56" w:history="1">
            <w:r w:rsidRPr="00C80991">
              <w:rPr>
                <w:rStyle w:val="Hyperlink"/>
                <w:noProof/>
              </w:rPr>
              <w:t>5.10</w:t>
            </w:r>
            <w:r>
              <w:rPr>
                <w:rFonts w:asciiTheme="minorHAnsi" w:eastAsiaTheme="minorEastAsia" w:hAnsiTheme="minorHAnsi"/>
                <w:noProof/>
                <w:lang w:eastAsia="en-AU"/>
              </w:rPr>
              <w:tab/>
            </w:r>
            <w:r w:rsidRPr="00C80991">
              <w:rPr>
                <w:rStyle w:val="Hyperlink"/>
                <w:noProof/>
              </w:rPr>
              <w:t>Right of access to medical benefits &amp; health outcomes</w:t>
            </w:r>
            <w:r>
              <w:rPr>
                <w:noProof/>
                <w:webHidden/>
              </w:rPr>
              <w:tab/>
            </w:r>
            <w:r>
              <w:rPr>
                <w:noProof/>
                <w:webHidden/>
              </w:rPr>
              <w:fldChar w:fldCharType="begin"/>
            </w:r>
            <w:r>
              <w:rPr>
                <w:noProof/>
                <w:webHidden/>
              </w:rPr>
              <w:instrText xml:space="preserve"> PAGEREF _Toc118824356 \h </w:instrText>
            </w:r>
            <w:r>
              <w:rPr>
                <w:noProof/>
                <w:webHidden/>
              </w:rPr>
            </w:r>
            <w:r>
              <w:rPr>
                <w:noProof/>
                <w:webHidden/>
              </w:rPr>
              <w:fldChar w:fldCharType="separate"/>
            </w:r>
            <w:r>
              <w:rPr>
                <w:noProof/>
                <w:webHidden/>
              </w:rPr>
              <w:t>79</w:t>
            </w:r>
            <w:r>
              <w:rPr>
                <w:noProof/>
                <w:webHidden/>
              </w:rPr>
              <w:fldChar w:fldCharType="end"/>
            </w:r>
          </w:hyperlink>
        </w:p>
        <w:p w14:paraId="3ADE7713" w14:textId="6C95F606"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57" w:history="1">
            <w:r w:rsidRPr="00C80991">
              <w:rPr>
                <w:rStyle w:val="Hyperlink"/>
                <w:noProof/>
              </w:rPr>
              <w:t>5.10.1</w:t>
            </w:r>
            <w:r>
              <w:rPr>
                <w:rFonts w:asciiTheme="minorHAnsi" w:eastAsiaTheme="minorEastAsia" w:hAnsiTheme="minorHAnsi"/>
                <w:noProof/>
                <w:lang w:eastAsia="en-AU"/>
              </w:rPr>
              <w:tab/>
            </w:r>
            <w:r w:rsidRPr="00C80991">
              <w:rPr>
                <w:rStyle w:val="Hyperlink"/>
                <w:noProof/>
              </w:rPr>
              <w:t>Australian Human Rights Acts</w:t>
            </w:r>
            <w:r>
              <w:rPr>
                <w:noProof/>
                <w:webHidden/>
              </w:rPr>
              <w:tab/>
            </w:r>
            <w:r>
              <w:rPr>
                <w:noProof/>
                <w:webHidden/>
              </w:rPr>
              <w:fldChar w:fldCharType="begin"/>
            </w:r>
            <w:r>
              <w:rPr>
                <w:noProof/>
                <w:webHidden/>
              </w:rPr>
              <w:instrText xml:space="preserve"> PAGEREF _Toc118824357 \h </w:instrText>
            </w:r>
            <w:r>
              <w:rPr>
                <w:noProof/>
                <w:webHidden/>
              </w:rPr>
            </w:r>
            <w:r>
              <w:rPr>
                <w:noProof/>
                <w:webHidden/>
              </w:rPr>
              <w:fldChar w:fldCharType="separate"/>
            </w:r>
            <w:r>
              <w:rPr>
                <w:noProof/>
                <w:webHidden/>
              </w:rPr>
              <w:t>82</w:t>
            </w:r>
            <w:r>
              <w:rPr>
                <w:noProof/>
                <w:webHidden/>
              </w:rPr>
              <w:fldChar w:fldCharType="end"/>
            </w:r>
          </w:hyperlink>
        </w:p>
        <w:p w14:paraId="038AE128" w14:textId="7F8828B5"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58" w:history="1">
            <w:r w:rsidRPr="00C80991">
              <w:rPr>
                <w:rStyle w:val="Hyperlink"/>
                <w:noProof/>
              </w:rPr>
              <w:t>5.11</w:t>
            </w:r>
            <w:r>
              <w:rPr>
                <w:rFonts w:asciiTheme="minorHAnsi" w:eastAsiaTheme="minorEastAsia" w:hAnsiTheme="minorHAnsi"/>
                <w:noProof/>
                <w:lang w:eastAsia="en-AU"/>
              </w:rPr>
              <w:tab/>
            </w:r>
            <w:r w:rsidRPr="00C80991">
              <w:rPr>
                <w:rStyle w:val="Hyperlink"/>
                <w:noProof/>
              </w:rPr>
              <w:t>Biobanks and genomic data storage areas</w:t>
            </w:r>
            <w:r>
              <w:rPr>
                <w:noProof/>
                <w:webHidden/>
              </w:rPr>
              <w:tab/>
            </w:r>
            <w:r>
              <w:rPr>
                <w:noProof/>
                <w:webHidden/>
              </w:rPr>
              <w:fldChar w:fldCharType="begin"/>
            </w:r>
            <w:r>
              <w:rPr>
                <w:noProof/>
                <w:webHidden/>
              </w:rPr>
              <w:instrText xml:space="preserve"> PAGEREF _Toc118824358 \h </w:instrText>
            </w:r>
            <w:r>
              <w:rPr>
                <w:noProof/>
                <w:webHidden/>
              </w:rPr>
            </w:r>
            <w:r>
              <w:rPr>
                <w:noProof/>
                <w:webHidden/>
              </w:rPr>
              <w:fldChar w:fldCharType="separate"/>
            </w:r>
            <w:r>
              <w:rPr>
                <w:noProof/>
                <w:webHidden/>
              </w:rPr>
              <w:t>82</w:t>
            </w:r>
            <w:r>
              <w:rPr>
                <w:noProof/>
                <w:webHidden/>
              </w:rPr>
              <w:fldChar w:fldCharType="end"/>
            </w:r>
          </w:hyperlink>
        </w:p>
        <w:p w14:paraId="01EC796D" w14:textId="59B9626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59" w:history="1">
            <w:r w:rsidRPr="00C80991">
              <w:rPr>
                <w:rStyle w:val="Hyperlink"/>
                <w:noProof/>
              </w:rPr>
              <w:t>5.11.1</w:t>
            </w:r>
            <w:r>
              <w:rPr>
                <w:rFonts w:asciiTheme="minorHAnsi" w:eastAsiaTheme="minorEastAsia" w:hAnsiTheme="minorHAnsi"/>
                <w:noProof/>
                <w:lang w:eastAsia="en-AU"/>
              </w:rPr>
              <w:tab/>
            </w:r>
            <w:r w:rsidRPr="00C80991">
              <w:rPr>
                <w:rStyle w:val="Hyperlink"/>
                <w:noProof/>
              </w:rPr>
              <w:t>Legal and policy framework</w:t>
            </w:r>
            <w:r>
              <w:rPr>
                <w:noProof/>
                <w:webHidden/>
              </w:rPr>
              <w:tab/>
            </w:r>
            <w:r>
              <w:rPr>
                <w:noProof/>
                <w:webHidden/>
              </w:rPr>
              <w:fldChar w:fldCharType="begin"/>
            </w:r>
            <w:r>
              <w:rPr>
                <w:noProof/>
                <w:webHidden/>
              </w:rPr>
              <w:instrText xml:space="preserve"> PAGEREF _Toc118824359 \h </w:instrText>
            </w:r>
            <w:r>
              <w:rPr>
                <w:noProof/>
                <w:webHidden/>
              </w:rPr>
            </w:r>
            <w:r>
              <w:rPr>
                <w:noProof/>
                <w:webHidden/>
              </w:rPr>
              <w:fldChar w:fldCharType="separate"/>
            </w:r>
            <w:r>
              <w:rPr>
                <w:noProof/>
                <w:webHidden/>
              </w:rPr>
              <w:t>83</w:t>
            </w:r>
            <w:r>
              <w:rPr>
                <w:noProof/>
                <w:webHidden/>
              </w:rPr>
              <w:fldChar w:fldCharType="end"/>
            </w:r>
          </w:hyperlink>
        </w:p>
        <w:p w14:paraId="67FAFF6C" w14:textId="6F05EF19"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360" w:history="1">
            <w:r w:rsidRPr="00C80991">
              <w:rPr>
                <w:rStyle w:val="Hyperlink"/>
                <w:noProof/>
              </w:rPr>
              <w:t>6</w:t>
            </w:r>
            <w:r>
              <w:rPr>
                <w:rFonts w:asciiTheme="minorHAnsi" w:eastAsiaTheme="minorEastAsia" w:hAnsiTheme="minorHAnsi"/>
                <w:noProof/>
                <w:lang w:eastAsia="en-AU"/>
              </w:rPr>
              <w:tab/>
            </w:r>
            <w:r w:rsidRPr="00C80991">
              <w:rPr>
                <w:rStyle w:val="Hyperlink"/>
                <w:noProof/>
              </w:rPr>
              <w:t>Gap Analysis: Impact of the law on social and cultural issues</w:t>
            </w:r>
            <w:r>
              <w:rPr>
                <w:noProof/>
                <w:webHidden/>
              </w:rPr>
              <w:tab/>
            </w:r>
            <w:r>
              <w:rPr>
                <w:noProof/>
                <w:webHidden/>
              </w:rPr>
              <w:fldChar w:fldCharType="begin"/>
            </w:r>
            <w:r>
              <w:rPr>
                <w:noProof/>
                <w:webHidden/>
              </w:rPr>
              <w:instrText xml:space="preserve"> PAGEREF _Toc118824360 \h </w:instrText>
            </w:r>
            <w:r>
              <w:rPr>
                <w:noProof/>
                <w:webHidden/>
              </w:rPr>
            </w:r>
            <w:r>
              <w:rPr>
                <w:noProof/>
                <w:webHidden/>
              </w:rPr>
              <w:fldChar w:fldCharType="separate"/>
            </w:r>
            <w:r>
              <w:rPr>
                <w:noProof/>
                <w:webHidden/>
              </w:rPr>
              <w:t>85</w:t>
            </w:r>
            <w:r>
              <w:rPr>
                <w:noProof/>
                <w:webHidden/>
              </w:rPr>
              <w:fldChar w:fldCharType="end"/>
            </w:r>
          </w:hyperlink>
        </w:p>
        <w:p w14:paraId="2325AE40" w14:textId="4D0A494B"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61" w:history="1">
            <w:r w:rsidRPr="00C80991">
              <w:rPr>
                <w:rStyle w:val="Hyperlink"/>
                <w:noProof/>
              </w:rPr>
              <w:t>6.1</w:t>
            </w:r>
            <w:r>
              <w:rPr>
                <w:rFonts w:asciiTheme="minorHAnsi" w:eastAsiaTheme="minorEastAsia" w:hAnsiTheme="minorHAnsi"/>
                <w:noProof/>
                <w:lang w:eastAsia="en-AU"/>
              </w:rPr>
              <w:tab/>
            </w:r>
            <w:r w:rsidRPr="00C80991">
              <w:rPr>
                <w:rStyle w:val="Hyperlink"/>
                <w:noProof/>
              </w:rPr>
              <w:t>Do Aboriginal and Torres Strait Islander people own their genes?</w:t>
            </w:r>
            <w:r>
              <w:rPr>
                <w:noProof/>
                <w:webHidden/>
              </w:rPr>
              <w:tab/>
            </w:r>
            <w:r>
              <w:rPr>
                <w:noProof/>
                <w:webHidden/>
              </w:rPr>
              <w:fldChar w:fldCharType="begin"/>
            </w:r>
            <w:r>
              <w:rPr>
                <w:noProof/>
                <w:webHidden/>
              </w:rPr>
              <w:instrText xml:space="preserve"> PAGEREF _Toc118824361 \h </w:instrText>
            </w:r>
            <w:r>
              <w:rPr>
                <w:noProof/>
                <w:webHidden/>
              </w:rPr>
            </w:r>
            <w:r>
              <w:rPr>
                <w:noProof/>
                <w:webHidden/>
              </w:rPr>
              <w:fldChar w:fldCharType="separate"/>
            </w:r>
            <w:r>
              <w:rPr>
                <w:noProof/>
                <w:webHidden/>
              </w:rPr>
              <w:t>85</w:t>
            </w:r>
            <w:r>
              <w:rPr>
                <w:noProof/>
                <w:webHidden/>
              </w:rPr>
              <w:fldChar w:fldCharType="end"/>
            </w:r>
          </w:hyperlink>
        </w:p>
        <w:p w14:paraId="779A99D3" w14:textId="7D8C4D5F"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62" w:history="1">
            <w:r w:rsidRPr="00C80991">
              <w:rPr>
                <w:rStyle w:val="Hyperlink"/>
                <w:noProof/>
              </w:rPr>
              <w:t>6.2</w:t>
            </w:r>
            <w:r>
              <w:rPr>
                <w:rFonts w:asciiTheme="minorHAnsi" w:eastAsiaTheme="minorEastAsia" w:hAnsiTheme="minorHAnsi"/>
                <w:noProof/>
                <w:lang w:eastAsia="en-AU"/>
              </w:rPr>
              <w:tab/>
            </w:r>
            <w:r w:rsidRPr="00C80991">
              <w:rPr>
                <w:rStyle w:val="Hyperlink"/>
                <w:noProof/>
              </w:rPr>
              <w:t>Do the privacy laws that regulate accessing and sharing genomic data provide enough protection for Indigenous genomics?</w:t>
            </w:r>
            <w:r>
              <w:rPr>
                <w:noProof/>
                <w:webHidden/>
              </w:rPr>
              <w:tab/>
            </w:r>
            <w:r>
              <w:rPr>
                <w:noProof/>
                <w:webHidden/>
              </w:rPr>
              <w:fldChar w:fldCharType="begin"/>
            </w:r>
            <w:r>
              <w:rPr>
                <w:noProof/>
                <w:webHidden/>
              </w:rPr>
              <w:instrText xml:space="preserve"> PAGEREF _Toc118824362 \h </w:instrText>
            </w:r>
            <w:r>
              <w:rPr>
                <w:noProof/>
                <w:webHidden/>
              </w:rPr>
            </w:r>
            <w:r>
              <w:rPr>
                <w:noProof/>
                <w:webHidden/>
              </w:rPr>
              <w:fldChar w:fldCharType="separate"/>
            </w:r>
            <w:r>
              <w:rPr>
                <w:noProof/>
                <w:webHidden/>
              </w:rPr>
              <w:t>85</w:t>
            </w:r>
            <w:r>
              <w:rPr>
                <w:noProof/>
                <w:webHidden/>
              </w:rPr>
              <w:fldChar w:fldCharType="end"/>
            </w:r>
          </w:hyperlink>
        </w:p>
        <w:p w14:paraId="010C25EC" w14:textId="1E9001F4"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63" w:history="1">
            <w:r w:rsidRPr="00C80991">
              <w:rPr>
                <w:rStyle w:val="Hyperlink"/>
                <w:noProof/>
              </w:rPr>
              <w:t>6.3</w:t>
            </w:r>
            <w:r>
              <w:rPr>
                <w:rFonts w:asciiTheme="minorHAnsi" w:eastAsiaTheme="minorEastAsia" w:hAnsiTheme="minorHAnsi"/>
                <w:noProof/>
                <w:lang w:eastAsia="en-AU"/>
              </w:rPr>
              <w:tab/>
            </w:r>
            <w:r w:rsidRPr="00C80991">
              <w:rPr>
                <w:rStyle w:val="Hyperlink"/>
                <w:noProof/>
              </w:rPr>
              <w:t>Are Aboriginal and Torres Strait Islander people getting fair access to health outcomes?</w:t>
            </w:r>
            <w:r>
              <w:rPr>
                <w:noProof/>
                <w:webHidden/>
              </w:rPr>
              <w:tab/>
            </w:r>
            <w:r>
              <w:rPr>
                <w:noProof/>
                <w:webHidden/>
              </w:rPr>
              <w:fldChar w:fldCharType="begin"/>
            </w:r>
            <w:r>
              <w:rPr>
                <w:noProof/>
                <w:webHidden/>
              </w:rPr>
              <w:instrText xml:space="preserve"> PAGEREF _Toc118824363 \h </w:instrText>
            </w:r>
            <w:r>
              <w:rPr>
                <w:noProof/>
                <w:webHidden/>
              </w:rPr>
            </w:r>
            <w:r>
              <w:rPr>
                <w:noProof/>
                <w:webHidden/>
              </w:rPr>
              <w:fldChar w:fldCharType="separate"/>
            </w:r>
            <w:r>
              <w:rPr>
                <w:noProof/>
                <w:webHidden/>
              </w:rPr>
              <w:t>86</w:t>
            </w:r>
            <w:r>
              <w:rPr>
                <w:noProof/>
                <w:webHidden/>
              </w:rPr>
              <w:fldChar w:fldCharType="end"/>
            </w:r>
          </w:hyperlink>
        </w:p>
        <w:p w14:paraId="4A17825C" w14:textId="10ACCA09"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64" w:history="1">
            <w:r w:rsidRPr="00C80991">
              <w:rPr>
                <w:rStyle w:val="Hyperlink"/>
                <w:noProof/>
              </w:rPr>
              <w:t>6.4</w:t>
            </w:r>
            <w:r>
              <w:rPr>
                <w:rFonts w:asciiTheme="minorHAnsi" w:eastAsiaTheme="minorEastAsia" w:hAnsiTheme="minorHAnsi"/>
                <w:noProof/>
                <w:lang w:eastAsia="en-AU"/>
              </w:rPr>
              <w:tab/>
            </w:r>
            <w:r w:rsidRPr="00C80991">
              <w:rPr>
                <w:rStyle w:val="Hyperlink"/>
                <w:noProof/>
              </w:rPr>
              <w:t>Does the law promote (or impede) Aboriginal and Torres Strait Islander co-design and management of genomic projects?</w:t>
            </w:r>
            <w:r>
              <w:rPr>
                <w:noProof/>
                <w:webHidden/>
              </w:rPr>
              <w:tab/>
            </w:r>
            <w:r>
              <w:rPr>
                <w:noProof/>
                <w:webHidden/>
              </w:rPr>
              <w:fldChar w:fldCharType="begin"/>
            </w:r>
            <w:r>
              <w:rPr>
                <w:noProof/>
                <w:webHidden/>
              </w:rPr>
              <w:instrText xml:space="preserve"> PAGEREF _Toc118824364 \h </w:instrText>
            </w:r>
            <w:r>
              <w:rPr>
                <w:noProof/>
                <w:webHidden/>
              </w:rPr>
            </w:r>
            <w:r>
              <w:rPr>
                <w:noProof/>
                <w:webHidden/>
              </w:rPr>
              <w:fldChar w:fldCharType="separate"/>
            </w:r>
            <w:r>
              <w:rPr>
                <w:noProof/>
                <w:webHidden/>
              </w:rPr>
              <w:t>87</w:t>
            </w:r>
            <w:r>
              <w:rPr>
                <w:noProof/>
                <w:webHidden/>
              </w:rPr>
              <w:fldChar w:fldCharType="end"/>
            </w:r>
          </w:hyperlink>
        </w:p>
        <w:p w14:paraId="02F0E309" w14:textId="30D5E6A3"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65" w:history="1">
            <w:r w:rsidRPr="00C80991">
              <w:rPr>
                <w:rStyle w:val="Hyperlink"/>
                <w:noProof/>
              </w:rPr>
              <w:t>6.5</w:t>
            </w:r>
            <w:r>
              <w:rPr>
                <w:rFonts w:asciiTheme="minorHAnsi" w:eastAsiaTheme="minorEastAsia" w:hAnsiTheme="minorHAnsi"/>
                <w:noProof/>
                <w:lang w:eastAsia="en-AU"/>
              </w:rPr>
              <w:tab/>
            </w:r>
            <w:r w:rsidRPr="00C80991">
              <w:rPr>
                <w:rStyle w:val="Hyperlink"/>
                <w:noProof/>
              </w:rPr>
              <w:t>How is community consultation impacted?</w:t>
            </w:r>
            <w:r>
              <w:rPr>
                <w:noProof/>
                <w:webHidden/>
              </w:rPr>
              <w:tab/>
            </w:r>
            <w:r>
              <w:rPr>
                <w:noProof/>
                <w:webHidden/>
              </w:rPr>
              <w:fldChar w:fldCharType="begin"/>
            </w:r>
            <w:r>
              <w:rPr>
                <w:noProof/>
                <w:webHidden/>
              </w:rPr>
              <w:instrText xml:space="preserve"> PAGEREF _Toc118824365 \h </w:instrText>
            </w:r>
            <w:r>
              <w:rPr>
                <w:noProof/>
                <w:webHidden/>
              </w:rPr>
            </w:r>
            <w:r>
              <w:rPr>
                <w:noProof/>
                <w:webHidden/>
              </w:rPr>
              <w:fldChar w:fldCharType="separate"/>
            </w:r>
            <w:r>
              <w:rPr>
                <w:noProof/>
                <w:webHidden/>
              </w:rPr>
              <w:t>87</w:t>
            </w:r>
            <w:r>
              <w:rPr>
                <w:noProof/>
                <w:webHidden/>
              </w:rPr>
              <w:fldChar w:fldCharType="end"/>
            </w:r>
          </w:hyperlink>
        </w:p>
        <w:p w14:paraId="6E428684" w14:textId="647EB800"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66" w:history="1">
            <w:r w:rsidRPr="00C80991">
              <w:rPr>
                <w:rStyle w:val="Hyperlink"/>
                <w:noProof/>
              </w:rPr>
              <w:t>6.6</w:t>
            </w:r>
            <w:r>
              <w:rPr>
                <w:rFonts w:asciiTheme="minorHAnsi" w:eastAsiaTheme="minorEastAsia" w:hAnsiTheme="minorHAnsi"/>
                <w:noProof/>
                <w:lang w:eastAsia="en-AU"/>
              </w:rPr>
              <w:tab/>
            </w:r>
            <w:r w:rsidRPr="00C80991">
              <w:rPr>
                <w:rStyle w:val="Hyperlink"/>
                <w:noProof/>
              </w:rPr>
              <w:t>Is the legal standard for consent enough to meet ethical and cultural needs?</w:t>
            </w:r>
            <w:r>
              <w:rPr>
                <w:noProof/>
                <w:webHidden/>
              </w:rPr>
              <w:tab/>
            </w:r>
            <w:r>
              <w:rPr>
                <w:noProof/>
                <w:webHidden/>
              </w:rPr>
              <w:fldChar w:fldCharType="begin"/>
            </w:r>
            <w:r>
              <w:rPr>
                <w:noProof/>
                <w:webHidden/>
              </w:rPr>
              <w:instrText xml:space="preserve"> PAGEREF _Toc118824366 \h </w:instrText>
            </w:r>
            <w:r>
              <w:rPr>
                <w:noProof/>
                <w:webHidden/>
              </w:rPr>
            </w:r>
            <w:r>
              <w:rPr>
                <w:noProof/>
                <w:webHidden/>
              </w:rPr>
              <w:fldChar w:fldCharType="separate"/>
            </w:r>
            <w:r>
              <w:rPr>
                <w:noProof/>
                <w:webHidden/>
              </w:rPr>
              <w:t>88</w:t>
            </w:r>
            <w:r>
              <w:rPr>
                <w:noProof/>
                <w:webHidden/>
              </w:rPr>
              <w:fldChar w:fldCharType="end"/>
            </w:r>
          </w:hyperlink>
        </w:p>
        <w:p w14:paraId="092F6348" w14:textId="2656D516"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367" w:history="1">
            <w:r w:rsidRPr="00C80991">
              <w:rPr>
                <w:rStyle w:val="Hyperlink"/>
                <w:noProof/>
              </w:rPr>
              <w:t>7</w:t>
            </w:r>
            <w:r>
              <w:rPr>
                <w:rFonts w:asciiTheme="minorHAnsi" w:eastAsiaTheme="minorEastAsia" w:hAnsiTheme="minorHAnsi"/>
                <w:noProof/>
                <w:lang w:eastAsia="en-AU"/>
              </w:rPr>
              <w:tab/>
            </w:r>
            <w:r w:rsidRPr="00C80991">
              <w:rPr>
                <w:rStyle w:val="Hyperlink"/>
                <w:noProof/>
              </w:rPr>
              <w:t>Policy</w:t>
            </w:r>
            <w:r>
              <w:rPr>
                <w:noProof/>
                <w:webHidden/>
              </w:rPr>
              <w:tab/>
            </w:r>
            <w:r>
              <w:rPr>
                <w:noProof/>
                <w:webHidden/>
              </w:rPr>
              <w:fldChar w:fldCharType="begin"/>
            </w:r>
            <w:r>
              <w:rPr>
                <w:noProof/>
                <w:webHidden/>
              </w:rPr>
              <w:instrText xml:space="preserve"> PAGEREF _Toc118824367 \h </w:instrText>
            </w:r>
            <w:r>
              <w:rPr>
                <w:noProof/>
                <w:webHidden/>
              </w:rPr>
            </w:r>
            <w:r>
              <w:rPr>
                <w:noProof/>
                <w:webHidden/>
              </w:rPr>
              <w:fldChar w:fldCharType="separate"/>
            </w:r>
            <w:r>
              <w:rPr>
                <w:noProof/>
                <w:webHidden/>
              </w:rPr>
              <w:t>88</w:t>
            </w:r>
            <w:r>
              <w:rPr>
                <w:noProof/>
                <w:webHidden/>
              </w:rPr>
              <w:fldChar w:fldCharType="end"/>
            </w:r>
          </w:hyperlink>
        </w:p>
        <w:p w14:paraId="7A0065CB" w14:textId="0FDC01A2"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68" w:history="1">
            <w:r w:rsidRPr="00C80991">
              <w:rPr>
                <w:rStyle w:val="Hyperlink"/>
                <w:noProof/>
              </w:rPr>
              <w:t>7.1</w:t>
            </w:r>
            <w:r>
              <w:rPr>
                <w:rFonts w:asciiTheme="minorHAnsi" w:eastAsiaTheme="minorEastAsia" w:hAnsiTheme="minorHAnsi"/>
                <w:noProof/>
                <w:lang w:eastAsia="en-AU"/>
              </w:rPr>
              <w:tab/>
            </w:r>
            <w:r w:rsidRPr="00C80991">
              <w:rPr>
                <w:rStyle w:val="Hyperlink"/>
                <w:i/>
                <w:noProof/>
              </w:rPr>
              <w:t>National Statement on Ethical Conduct in Human Research</w:t>
            </w:r>
            <w:r w:rsidRPr="00C80991">
              <w:rPr>
                <w:rStyle w:val="Hyperlink"/>
                <w:noProof/>
              </w:rPr>
              <w:t xml:space="preserve"> (2007, updated 2018), National Health and Medical Research Council (NHMRC)</w:t>
            </w:r>
            <w:r>
              <w:rPr>
                <w:noProof/>
                <w:webHidden/>
              </w:rPr>
              <w:tab/>
            </w:r>
            <w:r>
              <w:rPr>
                <w:noProof/>
                <w:webHidden/>
              </w:rPr>
              <w:fldChar w:fldCharType="begin"/>
            </w:r>
            <w:r>
              <w:rPr>
                <w:noProof/>
                <w:webHidden/>
              </w:rPr>
              <w:instrText xml:space="preserve"> PAGEREF _Toc118824368 \h </w:instrText>
            </w:r>
            <w:r>
              <w:rPr>
                <w:noProof/>
                <w:webHidden/>
              </w:rPr>
            </w:r>
            <w:r>
              <w:rPr>
                <w:noProof/>
                <w:webHidden/>
              </w:rPr>
              <w:fldChar w:fldCharType="separate"/>
            </w:r>
            <w:r>
              <w:rPr>
                <w:noProof/>
                <w:webHidden/>
              </w:rPr>
              <w:t>89</w:t>
            </w:r>
            <w:r>
              <w:rPr>
                <w:noProof/>
                <w:webHidden/>
              </w:rPr>
              <w:fldChar w:fldCharType="end"/>
            </w:r>
          </w:hyperlink>
        </w:p>
        <w:p w14:paraId="7C4E1620" w14:textId="69C88BE7"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69" w:history="1">
            <w:r w:rsidRPr="00C80991">
              <w:rPr>
                <w:rStyle w:val="Hyperlink"/>
                <w:noProof/>
              </w:rPr>
              <w:t>7.1.1</w:t>
            </w:r>
            <w:r>
              <w:rPr>
                <w:rFonts w:asciiTheme="minorHAnsi" w:eastAsiaTheme="minorEastAsia" w:hAnsiTheme="minorHAnsi"/>
                <w:noProof/>
                <w:lang w:eastAsia="en-AU"/>
              </w:rPr>
              <w:tab/>
            </w:r>
            <w:r w:rsidRPr="00C80991">
              <w:rPr>
                <w:rStyle w:val="Hyperlink"/>
                <w:noProof/>
              </w:rPr>
              <w:t>What is it?</w:t>
            </w:r>
            <w:r>
              <w:rPr>
                <w:noProof/>
                <w:webHidden/>
              </w:rPr>
              <w:tab/>
            </w:r>
            <w:r>
              <w:rPr>
                <w:noProof/>
                <w:webHidden/>
              </w:rPr>
              <w:fldChar w:fldCharType="begin"/>
            </w:r>
            <w:r>
              <w:rPr>
                <w:noProof/>
                <w:webHidden/>
              </w:rPr>
              <w:instrText xml:space="preserve"> PAGEREF _Toc118824369 \h </w:instrText>
            </w:r>
            <w:r>
              <w:rPr>
                <w:noProof/>
                <w:webHidden/>
              </w:rPr>
            </w:r>
            <w:r>
              <w:rPr>
                <w:noProof/>
                <w:webHidden/>
              </w:rPr>
              <w:fldChar w:fldCharType="separate"/>
            </w:r>
            <w:r>
              <w:rPr>
                <w:noProof/>
                <w:webHidden/>
              </w:rPr>
              <w:t>89</w:t>
            </w:r>
            <w:r>
              <w:rPr>
                <w:noProof/>
                <w:webHidden/>
              </w:rPr>
              <w:fldChar w:fldCharType="end"/>
            </w:r>
          </w:hyperlink>
        </w:p>
        <w:p w14:paraId="5AB3D3B7" w14:textId="586B810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0" w:history="1">
            <w:r w:rsidRPr="00C80991">
              <w:rPr>
                <w:rStyle w:val="Hyperlink"/>
                <w:noProof/>
              </w:rPr>
              <w:t>7.1.2</w:t>
            </w:r>
            <w:r>
              <w:rPr>
                <w:rFonts w:asciiTheme="minorHAnsi" w:eastAsiaTheme="minorEastAsia" w:hAnsiTheme="minorHAnsi"/>
                <w:noProof/>
                <w:lang w:eastAsia="en-AU"/>
              </w:rPr>
              <w:tab/>
            </w:r>
            <w:r w:rsidRPr="00C80991">
              <w:rPr>
                <w:rStyle w:val="Hyperlink"/>
                <w:noProof/>
              </w:rPr>
              <w:t>Who does it apply to?</w:t>
            </w:r>
            <w:r>
              <w:rPr>
                <w:noProof/>
                <w:webHidden/>
              </w:rPr>
              <w:tab/>
            </w:r>
            <w:r>
              <w:rPr>
                <w:noProof/>
                <w:webHidden/>
              </w:rPr>
              <w:fldChar w:fldCharType="begin"/>
            </w:r>
            <w:r>
              <w:rPr>
                <w:noProof/>
                <w:webHidden/>
              </w:rPr>
              <w:instrText xml:space="preserve"> PAGEREF _Toc118824370 \h </w:instrText>
            </w:r>
            <w:r>
              <w:rPr>
                <w:noProof/>
                <w:webHidden/>
              </w:rPr>
            </w:r>
            <w:r>
              <w:rPr>
                <w:noProof/>
                <w:webHidden/>
              </w:rPr>
              <w:fldChar w:fldCharType="separate"/>
            </w:r>
            <w:r>
              <w:rPr>
                <w:noProof/>
                <w:webHidden/>
              </w:rPr>
              <w:t>89</w:t>
            </w:r>
            <w:r>
              <w:rPr>
                <w:noProof/>
                <w:webHidden/>
              </w:rPr>
              <w:fldChar w:fldCharType="end"/>
            </w:r>
          </w:hyperlink>
        </w:p>
        <w:p w14:paraId="3FCE0AB1" w14:textId="7A9B341B"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1" w:history="1">
            <w:r w:rsidRPr="00C80991">
              <w:rPr>
                <w:rStyle w:val="Hyperlink"/>
                <w:noProof/>
              </w:rPr>
              <w:t>7.1.3</w:t>
            </w:r>
            <w:r>
              <w:rPr>
                <w:rFonts w:asciiTheme="minorHAnsi" w:eastAsiaTheme="minorEastAsia" w:hAnsiTheme="minorHAnsi"/>
                <w:noProof/>
                <w:lang w:eastAsia="en-AU"/>
              </w:rPr>
              <w:tab/>
            </w:r>
            <w:r w:rsidRPr="00C80991">
              <w:rPr>
                <w:rStyle w:val="Hyperlink"/>
                <w:noProof/>
              </w:rPr>
              <w:t>Overview of provisions</w:t>
            </w:r>
            <w:r>
              <w:rPr>
                <w:noProof/>
                <w:webHidden/>
              </w:rPr>
              <w:tab/>
            </w:r>
            <w:r>
              <w:rPr>
                <w:noProof/>
                <w:webHidden/>
              </w:rPr>
              <w:fldChar w:fldCharType="begin"/>
            </w:r>
            <w:r>
              <w:rPr>
                <w:noProof/>
                <w:webHidden/>
              </w:rPr>
              <w:instrText xml:space="preserve"> PAGEREF _Toc118824371 \h </w:instrText>
            </w:r>
            <w:r>
              <w:rPr>
                <w:noProof/>
                <w:webHidden/>
              </w:rPr>
            </w:r>
            <w:r>
              <w:rPr>
                <w:noProof/>
                <w:webHidden/>
              </w:rPr>
              <w:fldChar w:fldCharType="separate"/>
            </w:r>
            <w:r>
              <w:rPr>
                <w:noProof/>
                <w:webHidden/>
              </w:rPr>
              <w:t>90</w:t>
            </w:r>
            <w:r>
              <w:rPr>
                <w:noProof/>
                <w:webHidden/>
              </w:rPr>
              <w:fldChar w:fldCharType="end"/>
            </w:r>
          </w:hyperlink>
        </w:p>
        <w:p w14:paraId="5E7D01C3" w14:textId="46FA9BBF"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72" w:history="1">
            <w:r w:rsidRPr="00C80991">
              <w:rPr>
                <w:rStyle w:val="Hyperlink"/>
                <w:noProof/>
              </w:rPr>
              <w:t>7.2</w:t>
            </w:r>
            <w:r>
              <w:rPr>
                <w:rFonts w:asciiTheme="minorHAnsi" w:eastAsiaTheme="minorEastAsia" w:hAnsiTheme="minorHAnsi"/>
                <w:noProof/>
                <w:lang w:eastAsia="en-AU"/>
              </w:rPr>
              <w:tab/>
            </w:r>
            <w:r w:rsidRPr="00C80991">
              <w:rPr>
                <w:rStyle w:val="Hyperlink"/>
                <w:i/>
                <w:noProof/>
              </w:rPr>
              <w:t>Ethical Conduct in Research with Aboriginal and Torres Strait Islander Peoples and Communities: Guidelines for Researchers and Stakeholders</w:t>
            </w:r>
            <w:r w:rsidRPr="00C80991">
              <w:rPr>
                <w:rStyle w:val="Hyperlink"/>
                <w:noProof/>
              </w:rPr>
              <w:t>, National Health and Medical Research Council (NHMRC)</w:t>
            </w:r>
            <w:r>
              <w:rPr>
                <w:noProof/>
                <w:webHidden/>
              </w:rPr>
              <w:tab/>
            </w:r>
            <w:r>
              <w:rPr>
                <w:noProof/>
                <w:webHidden/>
              </w:rPr>
              <w:fldChar w:fldCharType="begin"/>
            </w:r>
            <w:r>
              <w:rPr>
                <w:noProof/>
                <w:webHidden/>
              </w:rPr>
              <w:instrText xml:space="preserve"> PAGEREF _Toc118824372 \h </w:instrText>
            </w:r>
            <w:r>
              <w:rPr>
                <w:noProof/>
                <w:webHidden/>
              </w:rPr>
            </w:r>
            <w:r>
              <w:rPr>
                <w:noProof/>
                <w:webHidden/>
              </w:rPr>
              <w:fldChar w:fldCharType="separate"/>
            </w:r>
            <w:r>
              <w:rPr>
                <w:noProof/>
                <w:webHidden/>
              </w:rPr>
              <w:t>90</w:t>
            </w:r>
            <w:r>
              <w:rPr>
                <w:noProof/>
                <w:webHidden/>
              </w:rPr>
              <w:fldChar w:fldCharType="end"/>
            </w:r>
          </w:hyperlink>
        </w:p>
        <w:p w14:paraId="7CB99165" w14:textId="50EF51A2"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3" w:history="1">
            <w:r w:rsidRPr="00C80991">
              <w:rPr>
                <w:rStyle w:val="Hyperlink"/>
                <w:noProof/>
              </w:rPr>
              <w:t>7.2.1</w:t>
            </w:r>
            <w:r>
              <w:rPr>
                <w:rFonts w:asciiTheme="minorHAnsi" w:eastAsiaTheme="minorEastAsia" w:hAnsiTheme="minorHAnsi"/>
                <w:noProof/>
                <w:lang w:eastAsia="en-AU"/>
              </w:rPr>
              <w:tab/>
            </w:r>
            <w:r w:rsidRPr="00C80991">
              <w:rPr>
                <w:rStyle w:val="Hyperlink"/>
                <w:noProof/>
              </w:rPr>
              <w:t>What is it?</w:t>
            </w:r>
            <w:r>
              <w:rPr>
                <w:noProof/>
                <w:webHidden/>
              </w:rPr>
              <w:tab/>
            </w:r>
            <w:r>
              <w:rPr>
                <w:noProof/>
                <w:webHidden/>
              </w:rPr>
              <w:fldChar w:fldCharType="begin"/>
            </w:r>
            <w:r>
              <w:rPr>
                <w:noProof/>
                <w:webHidden/>
              </w:rPr>
              <w:instrText xml:space="preserve"> PAGEREF _Toc118824373 \h </w:instrText>
            </w:r>
            <w:r>
              <w:rPr>
                <w:noProof/>
                <w:webHidden/>
              </w:rPr>
            </w:r>
            <w:r>
              <w:rPr>
                <w:noProof/>
                <w:webHidden/>
              </w:rPr>
              <w:fldChar w:fldCharType="separate"/>
            </w:r>
            <w:r>
              <w:rPr>
                <w:noProof/>
                <w:webHidden/>
              </w:rPr>
              <w:t>90</w:t>
            </w:r>
            <w:r>
              <w:rPr>
                <w:noProof/>
                <w:webHidden/>
              </w:rPr>
              <w:fldChar w:fldCharType="end"/>
            </w:r>
          </w:hyperlink>
        </w:p>
        <w:p w14:paraId="760BBDAF" w14:textId="4ED27D3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4" w:history="1">
            <w:r w:rsidRPr="00C80991">
              <w:rPr>
                <w:rStyle w:val="Hyperlink"/>
                <w:noProof/>
              </w:rPr>
              <w:t>7.2.2</w:t>
            </w:r>
            <w:r>
              <w:rPr>
                <w:rFonts w:asciiTheme="minorHAnsi" w:eastAsiaTheme="minorEastAsia" w:hAnsiTheme="minorHAnsi"/>
                <w:noProof/>
                <w:lang w:eastAsia="en-AU"/>
              </w:rPr>
              <w:tab/>
            </w:r>
            <w:r w:rsidRPr="00C80991">
              <w:rPr>
                <w:rStyle w:val="Hyperlink"/>
                <w:noProof/>
              </w:rPr>
              <w:t>Who does it apply to?</w:t>
            </w:r>
            <w:r>
              <w:rPr>
                <w:noProof/>
                <w:webHidden/>
              </w:rPr>
              <w:tab/>
            </w:r>
            <w:r>
              <w:rPr>
                <w:noProof/>
                <w:webHidden/>
              </w:rPr>
              <w:fldChar w:fldCharType="begin"/>
            </w:r>
            <w:r>
              <w:rPr>
                <w:noProof/>
                <w:webHidden/>
              </w:rPr>
              <w:instrText xml:space="preserve"> PAGEREF _Toc118824374 \h </w:instrText>
            </w:r>
            <w:r>
              <w:rPr>
                <w:noProof/>
                <w:webHidden/>
              </w:rPr>
            </w:r>
            <w:r>
              <w:rPr>
                <w:noProof/>
                <w:webHidden/>
              </w:rPr>
              <w:fldChar w:fldCharType="separate"/>
            </w:r>
            <w:r>
              <w:rPr>
                <w:noProof/>
                <w:webHidden/>
              </w:rPr>
              <w:t>91</w:t>
            </w:r>
            <w:r>
              <w:rPr>
                <w:noProof/>
                <w:webHidden/>
              </w:rPr>
              <w:fldChar w:fldCharType="end"/>
            </w:r>
          </w:hyperlink>
        </w:p>
        <w:p w14:paraId="3B78D54A" w14:textId="1E064DC9"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5" w:history="1">
            <w:r w:rsidRPr="00C80991">
              <w:rPr>
                <w:rStyle w:val="Hyperlink"/>
                <w:noProof/>
              </w:rPr>
              <w:t>7.2.3</w:t>
            </w:r>
            <w:r>
              <w:rPr>
                <w:rFonts w:asciiTheme="minorHAnsi" w:eastAsiaTheme="minorEastAsia" w:hAnsiTheme="minorHAnsi"/>
                <w:noProof/>
                <w:lang w:eastAsia="en-AU"/>
              </w:rPr>
              <w:tab/>
            </w:r>
            <w:r w:rsidRPr="00C80991">
              <w:rPr>
                <w:rStyle w:val="Hyperlink"/>
                <w:noProof/>
              </w:rPr>
              <w:t>Overview of provisions</w:t>
            </w:r>
            <w:r>
              <w:rPr>
                <w:noProof/>
                <w:webHidden/>
              </w:rPr>
              <w:tab/>
            </w:r>
            <w:r>
              <w:rPr>
                <w:noProof/>
                <w:webHidden/>
              </w:rPr>
              <w:fldChar w:fldCharType="begin"/>
            </w:r>
            <w:r>
              <w:rPr>
                <w:noProof/>
                <w:webHidden/>
              </w:rPr>
              <w:instrText xml:space="preserve"> PAGEREF _Toc118824375 \h </w:instrText>
            </w:r>
            <w:r>
              <w:rPr>
                <w:noProof/>
                <w:webHidden/>
              </w:rPr>
            </w:r>
            <w:r>
              <w:rPr>
                <w:noProof/>
                <w:webHidden/>
              </w:rPr>
              <w:fldChar w:fldCharType="separate"/>
            </w:r>
            <w:r>
              <w:rPr>
                <w:noProof/>
                <w:webHidden/>
              </w:rPr>
              <w:t>91</w:t>
            </w:r>
            <w:r>
              <w:rPr>
                <w:noProof/>
                <w:webHidden/>
              </w:rPr>
              <w:fldChar w:fldCharType="end"/>
            </w:r>
          </w:hyperlink>
        </w:p>
        <w:p w14:paraId="259B5552" w14:textId="3C34B606"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76" w:history="1">
            <w:r w:rsidRPr="00C80991">
              <w:rPr>
                <w:rStyle w:val="Hyperlink"/>
                <w:noProof/>
              </w:rPr>
              <w:t>7.3</w:t>
            </w:r>
            <w:r>
              <w:rPr>
                <w:rFonts w:asciiTheme="minorHAnsi" w:eastAsiaTheme="minorEastAsia" w:hAnsiTheme="minorHAnsi"/>
                <w:noProof/>
                <w:lang w:eastAsia="en-AU"/>
              </w:rPr>
              <w:tab/>
            </w:r>
            <w:r w:rsidRPr="00C80991">
              <w:rPr>
                <w:rStyle w:val="Hyperlink"/>
                <w:i/>
                <w:noProof/>
              </w:rPr>
              <w:t>Keeping Research on Track II,</w:t>
            </w:r>
            <w:r w:rsidRPr="00C80991">
              <w:rPr>
                <w:rStyle w:val="Hyperlink"/>
                <w:noProof/>
              </w:rPr>
              <w:t xml:space="preserve"> National Health and Medical Research Council (NHMRC)</w:t>
            </w:r>
            <w:r>
              <w:rPr>
                <w:noProof/>
                <w:webHidden/>
              </w:rPr>
              <w:tab/>
            </w:r>
            <w:r>
              <w:rPr>
                <w:noProof/>
                <w:webHidden/>
              </w:rPr>
              <w:fldChar w:fldCharType="begin"/>
            </w:r>
            <w:r>
              <w:rPr>
                <w:noProof/>
                <w:webHidden/>
              </w:rPr>
              <w:instrText xml:space="preserve"> PAGEREF _Toc118824376 \h </w:instrText>
            </w:r>
            <w:r>
              <w:rPr>
                <w:noProof/>
                <w:webHidden/>
              </w:rPr>
            </w:r>
            <w:r>
              <w:rPr>
                <w:noProof/>
                <w:webHidden/>
              </w:rPr>
              <w:fldChar w:fldCharType="separate"/>
            </w:r>
            <w:r>
              <w:rPr>
                <w:noProof/>
                <w:webHidden/>
              </w:rPr>
              <w:t>92</w:t>
            </w:r>
            <w:r>
              <w:rPr>
                <w:noProof/>
                <w:webHidden/>
              </w:rPr>
              <w:fldChar w:fldCharType="end"/>
            </w:r>
          </w:hyperlink>
        </w:p>
        <w:p w14:paraId="5324F1AC" w14:textId="2320A8BF"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7" w:history="1">
            <w:r w:rsidRPr="00C80991">
              <w:rPr>
                <w:rStyle w:val="Hyperlink"/>
                <w:noProof/>
              </w:rPr>
              <w:t>7.3.1</w:t>
            </w:r>
            <w:r>
              <w:rPr>
                <w:rFonts w:asciiTheme="minorHAnsi" w:eastAsiaTheme="minorEastAsia" w:hAnsiTheme="minorHAnsi"/>
                <w:noProof/>
                <w:lang w:eastAsia="en-AU"/>
              </w:rPr>
              <w:tab/>
            </w:r>
            <w:r w:rsidRPr="00C80991">
              <w:rPr>
                <w:rStyle w:val="Hyperlink"/>
                <w:noProof/>
              </w:rPr>
              <w:t>What is it?</w:t>
            </w:r>
            <w:r>
              <w:rPr>
                <w:noProof/>
                <w:webHidden/>
              </w:rPr>
              <w:tab/>
            </w:r>
            <w:r>
              <w:rPr>
                <w:noProof/>
                <w:webHidden/>
              </w:rPr>
              <w:fldChar w:fldCharType="begin"/>
            </w:r>
            <w:r>
              <w:rPr>
                <w:noProof/>
                <w:webHidden/>
              </w:rPr>
              <w:instrText xml:space="preserve"> PAGEREF _Toc118824377 \h </w:instrText>
            </w:r>
            <w:r>
              <w:rPr>
                <w:noProof/>
                <w:webHidden/>
              </w:rPr>
            </w:r>
            <w:r>
              <w:rPr>
                <w:noProof/>
                <w:webHidden/>
              </w:rPr>
              <w:fldChar w:fldCharType="separate"/>
            </w:r>
            <w:r>
              <w:rPr>
                <w:noProof/>
                <w:webHidden/>
              </w:rPr>
              <w:t>92</w:t>
            </w:r>
            <w:r>
              <w:rPr>
                <w:noProof/>
                <w:webHidden/>
              </w:rPr>
              <w:fldChar w:fldCharType="end"/>
            </w:r>
          </w:hyperlink>
        </w:p>
        <w:p w14:paraId="4B5826E1" w14:textId="3AA6C59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8" w:history="1">
            <w:r w:rsidRPr="00C80991">
              <w:rPr>
                <w:rStyle w:val="Hyperlink"/>
                <w:noProof/>
              </w:rPr>
              <w:t>7.3.2</w:t>
            </w:r>
            <w:r>
              <w:rPr>
                <w:rFonts w:asciiTheme="minorHAnsi" w:eastAsiaTheme="minorEastAsia" w:hAnsiTheme="minorHAnsi"/>
                <w:noProof/>
                <w:lang w:eastAsia="en-AU"/>
              </w:rPr>
              <w:tab/>
            </w:r>
            <w:r w:rsidRPr="00C80991">
              <w:rPr>
                <w:rStyle w:val="Hyperlink"/>
                <w:noProof/>
              </w:rPr>
              <w:t>Who does it apply to?</w:t>
            </w:r>
            <w:r>
              <w:rPr>
                <w:noProof/>
                <w:webHidden/>
              </w:rPr>
              <w:tab/>
            </w:r>
            <w:r>
              <w:rPr>
                <w:noProof/>
                <w:webHidden/>
              </w:rPr>
              <w:fldChar w:fldCharType="begin"/>
            </w:r>
            <w:r>
              <w:rPr>
                <w:noProof/>
                <w:webHidden/>
              </w:rPr>
              <w:instrText xml:space="preserve"> PAGEREF _Toc118824378 \h </w:instrText>
            </w:r>
            <w:r>
              <w:rPr>
                <w:noProof/>
                <w:webHidden/>
              </w:rPr>
            </w:r>
            <w:r>
              <w:rPr>
                <w:noProof/>
                <w:webHidden/>
              </w:rPr>
              <w:fldChar w:fldCharType="separate"/>
            </w:r>
            <w:r>
              <w:rPr>
                <w:noProof/>
                <w:webHidden/>
              </w:rPr>
              <w:t>92</w:t>
            </w:r>
            <w:r>
              <w:rPr>
                <w:noProof/>
                <w:webHidden/>
              </w:rPr>
              <w:fldChar w:fldCharType="end"/>
            </w:r>
          </w:hyperlink>
        </w:p>
        <w:p w14:paraId="0FD865F3" w14:textId="1C0A1C7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79" w:history="1">
            <w:r w:rsidRPr="00C80991">
              <w:rPr>
                <w:rStyle w:val="Hyperlink"/>
                <w:noProof/>
              </w:rPr>
              <w:t>7.3.3</w:t>
            </w:r>
            <w:r>
              <w:rPr>
                <w:rFonts w:asciiTheme="minorHAnsi" w:eastAsiaTheme="minorEastAsia" w:hAnsiTheme="minorHAnsi"/>
                <w:noProof/>
                <w:lang w:eastAsia="en-AU"/>
              </w:rPr>
              <w:tab/>
            </w:r>
            <w:r w:rsidRPr="00C80991">
              <w:rPr>
                <w:rStyle w:val="Hyperlink"/>
                <w:noProof/>
              </w:rPr>
              <w:t>Overview of provisions</w:t>
            </w:r>
            <w:r>
              <w:rPr>
                <w:noProof/>
                <w:webHidden/>
              </w:rPr>
              <w:tab/>
            </w:r>
            <w:r>
              <w:rPr>
                <w:noProof/>
                <w:webHidden/>
              </w:rPr>
              <w:fldChar w:fldCharType="begin"/>
            </w:r>
            <w:r>
              <w:rPr>
                <w:noProof/>
                <w:webHidden/>
              </w:rPr>
              <w:instrText xml:space="preserve"> PAGEREF _Toc118824379 \h </w:instrText>
            </w:r>
            <w:r>
              <w:rPr>
                <w:noProof/>
                <w:webHidden/>
              </w:rPr>
            </w:r>
            <w:r>
              <w:rPr>
                <w:noProof/>
                <w:webHidden/>
              </w:rPr>
              <w:fldChar w:fldCharType="separate"/>
            </w:r>
            <w:r>
              <w:rPr>
                <w:noProof/>
                <w:webHidden/>
              </w:rPr>
              <w:t>92</w:t>
            </w:r>
            <w:r>
              <w:rPr>
                <w:noProof/>
                <w:webHidden/>
              </w:rPr>
              <w:fldChar w:fldCharType="end"/>
            </w:r>
          </w:hyperlink>
        </w:p>
        <w:p w14:paraId="7BCBD771" w14:textId="578A33BD"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80" w:history="1">
            <w:r w:rsidRPr="00C80991">
              <w:rPr>
                <w:rStyle w:val="Hyperlink"/>
                <w:noProof/>
              </w:rPr>
              <w:t>7.4</w:t>
            </w:r>
            <w:r>
              <w:rPr>
                <w:rFonts w:asciiTheme="minorHAnsi" w:eastAsiaTheme="minorEastAsia" w:hAnsiTheme="minorHAnsi"/>
                <w:noProof/>
                <w:lang w:eastAsia="en-AU"/>
              </w:rPr>
              <w:tab/>
            </w:r>
            <w:r w:rsidRPr="00C80991">
              <w:rPr>
                <w:rStyle w:val="Hyperlink"/>
                <w:i/>
                <w:noProof/>
              </w:rPr>
              <w:t>Road Map 3: A strategic framework for improving Aboriginal and Torres Strait Islander health through research</w:t>
            </w:r>
            <w:r w:rsidRPr="00C80991">
              <w:rPr>
                <w:rStyle w:val="Hyperlink"/>
                <w:noProof/>
              </w:rPr>
              <w:t>, National Health and Medical Research Council (NHMRC)</w:t>
            </w:r>
            <w:r>
              <w:rPr>
                <w:noProof/>
                <w:webHidden/>
              </w:rPr>
              <w:tab/>
            </w:r>
            <w:r>
              <w:rPr>
                <w:noProof/>
                <w:webHidden/>
              </w:rPr>
              <w:fldChar w:fldCharType="begin"/>
            </w:r>
            <w:r>
              <w:rPr>
                <w:noProof/>
                <w:webHidden/>
              </w:rPr>
              <w:instrText xml:space="preserve"> PAGEREF _Toc118824380 \h </w:instrText>
            </w:r>
            <w:r>
              <w:rPr>
                <w:noProof/>
                <w:webHidden/>
              </w:rPr>
            </w:r>
            <w:r>
              <w:rPr>
                <w:noProof/>
                <w:webHidden/>
              </w:rPr>
              <w:fldChar w:fldCharType="separate"/>
            </w:r>
            <w:r>
              <w:rPr>
                <w:noProof/>
                <w:webHidden/>
              </w:rPr>
              <w:t>93</w:t>
            </w:r>
            <w:r>
              <w:rPr>
                <w:noProof/>
                <w:webHidden/>
              </w:rPr>
              <w:fldChar w:fldCharType="end"/>
            </w:r>
          </w:hyperlink>
        </w:p>
        <w:p w14:paraId="561504C8" w14:textId="138ADE33"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81" w:history="1">
            <w:r w:rsidRPr="00C80991">
              <w:rPr>
                <w:rStyle w:val="Hyperlink"/>
                <w:noProof/>
              </w:rPr>
              <w:t>7.4.1</w:t>
            </w:r>
            <w:r>
              <w:rPr>
                <w:rFonts w:asciiTheme="minorHAnsi" w:eastAsiaTheme="minorEastAsia" w:hAnsiTheme="minorHAnsi"/>
                <w:noProof/>
                <w:lang w:eastAsia="en-AU"/>
              </w:rPr>
              <w:tab/>
            </w:r>
            <w:r w:rsidRPr="00C80991">
              <w:rPr>
                <w:rStyle w:val="Hyperlink"/>
                <w:noProof/>
              </w:rPr>
              <w:t>What is it?</w:t>
            </w:r>
            <w:r>
              <w:rPr>
                <w:noProof/>
                <w:webHidden/>
              </w:rPr>
              <w:tab/>
            </w:r>
            <w:r>
              <w:rPr>
                <w:noProof/>
                <w:webHidden/>
              </w:rPr>
              <w:fldChar w:fldCharType="begin"/>
            </w:r>
            <w:r>
              <w:rPr>
                <w:noProof/>
                <w:webHidden/>
              </w:rPr>
              <w:instrText xml:space="preserve"> PAGEREF _Toc118824381 \h </w:instrText>
            </w:r>
            <w:r>
              <w:rPr>
                <w:noProof/>
                <w:webHidden/>
              </w:rPr>
            </w:r>
            <w:r>
              <w:rPr>
                <w:noProof/>
                <w:webHidden/>
              </w:rPr>
              <w:fldChar w:fldCharType="separate"/>
            </w:r>
            <w:r>
              <w:rPr>
                <w:noProof/>
                <w:webHidden/>
              </w:rPr>
              <w:t>93</w:t>
            </w:r>
            <w:r>
              <w:rPr>
                <w:noProof/>
                <w:webHidden/>
              </w:rPr>
              <w:fldChar w:fldCharType="end"/>
            </w:r>
          </w:hyperlink>
        </w:p>
        <w:p w14:paraId="7F655ADF" w14:textId="5BA5986B"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82" w:history="1">
            <w:r w:rsidRPr="00C80991">
              <w:rPr>
                <w:rStyle w:val="Hyperlink"/>
                <w:noProof/>
              </w:rPr>
              <w:t>7.4.2</w:t>
            </w:r>
            <w:r>
              <w:rPr>
                <w:rFonts w:asciiTheme="minorHAnsi" w:eastAsiaTheme="minorEastAsia" w:hAnsiTheme="minorHAnsi"/>
                <w:noProof/>
                <w:lang w:eastAsia="en-AU"/>
              </w:rPr>
              <w:tab/>
            </w:r>
            <w:r w:rsidRPr="00C80991">
              <w:rPr>
                <w:rStyle w:val="Hyperlink"/>
                <w:noProof/>
              </w:rPr>
              <w:t>Who does it apply to?</w:t>
            </w:r>
            <w:r>
              <w:rPr>
                <w:noProof/>
                <w:webHidden/>
              </w:rPr>
              <w:tab/>
            </w:r>
            <w:r>
              <w:rPr>
                <w:noProof/>
                <w:webHidden/>
              </w:rPr>
              <w:fldChar w:fldCharType="begin"/>
            </w:r>
            <w:r>
              <w:rPr>
                <w:noProof/>
                <w:webHidden/>
              </w:rPr>
              <w:instrText xml:space="preserve"> PAGEREF _Toc118824382 \h </w:instrText>
            </w:r>
            <w:r>
              <w:rPr>
                <w:noProof/>
                <w:webHidden/>
              </w:rPr>
            </w:r>
            <w:r>
              <w:rPr>
                <w:noProof/>
                <w:webHidden/>
              </w:rPr>
              <w:fldChar w:fldCharType="separate"/>
            </w:r>
            <w:r>
              <w:rPr>
                <w:noProof/>
                <w:webHidden/>
              </w:rPr>
              <w:t>93</w:t>
            </w:r>
            <w:r>
              <w:rPr>
                <w:noProof/>
                <w:webHidden/>
              </w:rPr>
              <w:fldChar w:fldCharType="end"/>
            </w:r>
          </w:hyperlink>
        </w:p>
        <w:p w14:paraId="6E5C24A1" w14:textId="03A416F8"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83" w:history="1">
            <w:r w:rsidRPr="00C80991">
              <w:rPr>
                <w:rStyle w:val="Hyperlink"/>
                <w:noProof/>
              </w:rPr>
              <w:t>7.4.3</w:t>
            </w:r>
            <w:r>
              <w:rPr>
                <w:rFonts w:asciiTheme="minorHAnsi" w:eastAsiaTheme="minorEastAsia" w:hAnsiTheme="minorHAnsi"/>
                <w:noProof/>
                <w:lang w:eastAsia="en-AU"/>
              </w:rPr>
              <w:tab/>
            </w:r>
            <w:r w:rsidRPr="00C80991">
              <w:rPr>
                <w:rStyle w:val="Hyperlink"/>
                <w:noProof/>
              </w:rPr>
              <w:t>Overview of provisions</w:t>
            </w:r>
            <w:r>
              <w:rPr>
                <w:noProof/>
                <w:webHidden/>
              </w:rPr>
              <w:tab/>
            </w:r>
            <w:r>
              <w:rPr>
                <w:noProof/>
                <w:webHidden/>
              </w:rPr>
              <w:fldChar w:fldCharType="begin"/>
            </w:r>
            <w:r>
              <w:rPr>
                <w:noProof/>
                <w:webHidden/>
              </w:rPr>
              <w:instrText xml:space="preserve"> PAGEREF _Toc118824383 \h </w:instrText>
            </w:r>
            <w:r>
              <w:rPr>
                <w:noProof/>
                <w:webHidden/>
              </w:rPr>
            </w:r>
            <w:r>
              <w:rPr>
                <w:noProof/>
                <w:webHidden/>
              </w:rPr>
              <w:fldChar w:fldCharType="separate"/>
            </w:r>
            <w:r>
              <w:rPr>
                <w:noProof/>
                <w:webHidden/>
              </w:rPr>
              <w:t>93</w:t>
            </w:r>
            <w:r>
              <w:rPr>
                <w:noProof/>
                <w:webHidden/>
              </w:rPr>
              <w:fldChar w:fldCharType="end"/>
            </w:r>
          </w:hyperlink>
        </w:p>
        <w:p w14:paraId="5FF62BFF" w14:textId="532E9C2A"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84" w:history="1">
            <w:r w:rsidRPr="00C80991">
              <w:rPr>
                <w:rStyle w:val="Hyperlink"/>
                <w:noProof/>
              </w:rPr>
              <w:t>7.5</w:t>
            </w:r>
            <w:r>
              <w:rPr>
                <w:rFonts w:asciiTheme="minorHAnsi" w:eastAsiaTheme="minorEastAsia" w:hAnsiTheme="minorHAnsi"/>
                <w:noProof/>
                <w:lang w:eastAsia="en-AU"/>
              </w:rPr>
              <w:tab/>
            </w:r>
            <w:r w:rsidRPr="00C80991">
              <w:rPr>
                <w:rStyle w:val="Hyperlink"/>
                <w:i/>
                <w:noProof/>
              </w:rPr>
              <w:t>Guidelines for Ethical Research in Australian Indigenous Studies (GERAIS)</w:t>
            </w:r>
            <w:r w:rsidRPr="00C80991">
              <w:rPr>
                <w:rStyle w:val="Hyperlink"/>
                <w:noProof/>
              </w:rPr>
              <w:t>, Australian Aboriginal Institute of Aboriginal and Torres Strait Islander Studies</w:t>
            </w:r>
            <w:r>
              <w:rPr>
                <w:noProof/>
                <w:webHidden/>
              </w:rPr>
              <w:tab/>
            </w:r>
            <w:r>
              <w:rPr>
                <w:noProof/>
                <w:webHidden/>
              </w:rPr>
              <w:fldChar w:fldCharType="begin"/>
            </w:r>
            <w:r>
              <w:rPr>
                <w:noProof/>
                <w:webHidden/>
              </w:rPr>
              <w:instrText xml:space="preserve"> PAGEREF _Toc118824384 \h </w:instrText>
            </w:r>
            <w:r>
              <w:rPr>
                <w:noProof/>
                <w:webHidden/>
              </w:rPr>
            </w:r>
            <w:r>
              <w:rPr>
                <w:noProof/>
                <w:webHidden/>
              </w:rPr>
              <w:fldChar w:fldCharType="separate"/>
            </w:r>
            <w:r>
              <w:rPr>
                <w:noProof/>
                <w:webHidden/>
              </w:rPr>
              <w:t>93</w:t>
            </w:r>
            <w:r>
              <w:rPr>
                <w:noProof/>
                <w:webHidden/>
              </w:rPr>
              <w:fldChar w:fldCharType="end"/>
            </w:r>
          </w:hyperlink>
        </w:p>
        <w:p w14:paraId="0202CB0E" w14:textId="7693CF0C"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85" w:history="1">
            <w:r w:rsidRPr="00C80991">
              <w:rPr>
                <w:rStyle w:val="Hyperlink"/>
                <w:noProof/>
              </w:rPr>
              <w:t>7.5.1</w:t>
            </w:r>
            <w:r>
              <w:rPr>
                <w:rFonts w:asciiTheme="minorHAnsi" w:eastAsiaTheme="minorEastAsia" w:hAnsiTheme="minorHAnsi"/>
                <w:noProof/>
                <w:lang w:eastAsia="en-AU"/>
              </w:rPr>
              <w:tab/>
            </w:r>
            <w:r w:rsidRPr="00C80991">
              <w:rPr>
                <w:rStyle w:val="Hyperlink"/>
                <w:noProof/>
              </w:rPr>
              <w:t>What is it?</w:t>
            </w:r>
            <w:r>
              <w:rPr>
                <w:noProof/>
                <w:webHidden/>
              </w:rPr>
              <w:tab/>
            </w:r>
            <w:r>
              <w:rPr>
                <w:noProof/>
                <w:webHidden/>
              </w:rPr>
              <w:fldChar w:fldCharType="begin"/>
            </w:r>
            <w:r>
              <w:rPr>
                <w:noProof/>
                <w:webHidden/>
              </w:rPr>
              <w:instrText xml:space="preserve"> PAGEREF _Toc118824385 \h </w:instrText>
            </w:r>
            <w:r>
              <w:rPr>
                <w:noProof/>
                <w:webHidden/>
              </w:rPr>
            </w:r>
            <w:r>
              <w:rPr>
                <w:noProof/>
                <w:webHidden/>
              </w:rPr>
              <w:fldChar w:fldCharType="separate"/>
            </w:r>
            <w:r>
              <w:rPr>
                <w:noProof/>
                <w:webHidden/>
              </w:rPr>
              <w:t>93</w:t>
            </w:r>
            <w:r>
              <w:rPr>
                <w:noProof/>
                <w:webHidden/>
              </w:rPr>
              <w:fldChar w:fldCharType="end"/>
            </w:r>
          </w:hyperlink>
        </w:p>
        <w:p w14:paraId="40347D67" w14:textId="1DED87F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86" w:history="1">
            <w:r w:rsidRPr="00C80991">
              <w:rPr>
                <w:rStyle w:val="Hyperlink"/>
                <w:noProof/>
              </w:rPr>
              <w:t>7.5.2</w:t>
            </w:r>
            <w:r>
              <w:rPr>
                <w:rFonts w:asciiTheme="minorHAnsi" w:eastAsiaTheme="minorEastAsia" w:hAnsiTheme="minorHAnsi"/>
                <w:noProof/>
                <w:lang w:eastAsia="en-AU"/>
              </w:rPr>
              <w:tab/>
            </w:r>
            <w:r w:rsidRPr="00C80991">
              <w:rPr>
                <w:rStyle w:val="Hyperlink"/>
                <w:noProof/>
              </w:rPr>
              <w:t>Who does it apply to?</w:t>
            </w:r>
            <w:r>
              <w:rPr>
                <w:noProof/>
                <w:webHidden/>
              </w:rPr>
              <w:tab/>
            </w:r>
            <w:r>
              <w:rPr>
                <w:noProof/>
                <w:webHidden/>
              </w:rPr>
              <w:fldChar w:fldCharType="begin"/>
            </w:r>
            <w:r>
              <w:rPr>
                <w:noProof/>
                <w:webHidden/>
              </w:rPr>
              <w:instrText xml:space="preserve"> PAGEREF _Toc118824386 \h </w:instrText>
            </w:r>
            <w:r>
              <w:rPr>
                <w:noProof/>
                <w:webHidden/>
              </w:rPr>
            </w:r>
            <w:r>
              <w:rPr>
                <w:noProof/>
                <w:webHidden/>
              </w:rPr>
              <w:fldChar w:fldCharType="separate"/>
            </w:r>
            <w:r>
              <w:rPr>
                <w:noProof/>
                <w:webHidden/>
              </w:rPr>
              <w:t>94</w:t>
            </w:r>
            <w:r>
              <w:rPr>
                <w:noProof/>
                <w:webHidden/>
              </w:rPr>
              <w:fldChar w:fldCharType="end"/>
            </w:r>
          </w:hyperlink>
        </w:p>
        <w:p w14:paraId="38BB9D6E" w14:textId="7A29C7F2"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87" w:history="1">
            <w:r w:rsidRPr="00C80991">
              <w:rPr>
                <w:rStyle w:val="Hyperlink"/>
                <w:noProof/>
              </w:rPr>
              <w:t>7.5.3</w:t>
            </w:r>
            <w:r>
              <w:rPr>
                <w:rFonts w:asciiTheme="minorHAnsi" w:eastAsiaTheme="minorEastAsia" w:hAnsiTheme="minorHAnsi"/>
                <w:noProof/>
                <w:lang w:eastAsia="en-AU"/>
              </w:rPr>
              <w:tab/>
            </w:r>
            <w:r w:rsidRPr="00C80991">
              <w:rPr>
                <w:rStyle w:val="Hyperlink"/>
                <w:noProof/>
              </w:rPr>
              <w:t>Overview of provisions</w:t>
            </w:r>
            <w:r>
              <w:rPr>
                <w:noProof/>
                <w:webHidden/>
              </w:rPr>
              <w:tab/>
            </w:r>
            <w:r>
              <w:rPr>
                <w:noProof/>
                <w:webHidden/>
              </w:rPr>
              <w:fldChar w:fldCharType="begin"/>
            </w:r>
            <w:r>
              <w:rPr>
                <w:noProof/>
                <w:webHidden/>
              </w:rPr>
              <w:instrText xml:space="preserve"> PAGEREF _Toc118824387 \h </w:instrText>
            </w:r>
            <w:r>
              <w:rPr>
                <w:noProof/>
                <w:webHidden/>
              </w:rPr>
            </w:r>
            <w:r>
              <w:rPr>
                <w:noProof/>
                <w:webHidden/>
              </w:rPr>
              <w:fldChar w:fldCharType="separate"/>
            </w:r>
            <w:r>
              <w:rPr>
                <w:noProof/>
                <w:webHidden/>
              </w:rPr>
              <w:t>94</w:t>
            </w:r>
            <w:r>
              <w:rPr>
                <w:noProof/>
                <w:webHidden/>
              </w:rPr>
              <w:fldChar w:fldCharType="end"/>
            </w:r>
          </w:hyperlink>
        </w:p>
        <w:p w14:paraId="10935A9B" w14:textId="79F47581"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88" w:history="1">
            <w:r w:rsidRPr="00C80991">
              <w:rPr>
                <w:rStyle w:val="Hyperlink"/>
                <w:noProof/>
              </w:rPr>
              <w:t>7.6</w:t>
            </w:r>
            <w:r>
              <w:rPr>
                <w:rFonts w:asciiTheme="minorHAnsi" w:eastAsiaTheme="minorEastAsia" w:hAnsiTheme="minorHAnsi"/>
                <w:noProof/>
                <w:lang w:eastAsia="en-AU"/>
              </w:rPr>
              <w:tab/>
            </w:r>
            <w:r w:rsidRPr="00C80991">
              <w:rPr>
                <w:rStyle w:val="Hyperlink"/>
                <w:noProof/>
              </w:rPr>
              <w:t>Genomics Partnerships, QIMR Berghofer</w:t>
            </w:r>
            <w:r>
              <w:rPr>
                <w:noProof/>
                <w:webHidden/>
              </w:rPr>
              <w:tab/>
            </w:r>
            <w:r>
              <w:rPr>
                <w:noProof/>
                <w:webHidden/>
              </w:rPr>
              <w:fldChar w:fldCharType="begin"/>
            </w:r>
            <w:r>
              <w:rPr>
                <w:noProof/>
                <w:webHidden/>
              </w:rPr>
              <w:instrText xml:space="preserve"> PAGEREF _Toc118824388 \h </w:instrText>
            </w:r>
            <w:r>
              <w:rPr>
                <w:noProof/>
                <w:webHidden/>
              </w:rPr>
            </w:r>
            <w:r>
              <w:rPr>
                <w:noProof/>
                <w:webHidden/>
              </w:rPr>
              <w:fldChar w:fldCharType="separate"/>
            </w:r>
            <w:r>
              <w:rPr>
                <w:noProof/>
                <w:webHidden/>
              </w:rPr>
              <w:t>94</w:t>
            </w:r>
            <w:r>
              <w:rPr>
                <w:noProof/>
                <w:webHidden/>
              </w:rPr>
              <w:fldChar w:fldCharType="end"/>
            </w:r>
          </w:hyperlink>
        </w:p>
        <w:p w14:paraId="0007B764" w14:textId="5C959EBD"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89" w:history="1">
            <w:r w:rsidRPr="00C80991">
              <w:rPr>
                <w:rStyle w:val="Hyperlink"/>
                <w:noProof/>
              </w:rPr>
              <w:t>7.7</w:t>
            </w:r>
            <w:r>
              <w:rPr>
                <w:rFonts w:asciiTheme="minorHAnsi" w:eastAsiaTheme="minorEastAsia" w:hAnsiTheme="minorHAnsi"/>
                <w:noProof/>
                <w:lang w:eastAsia="en-AU"/>
              </w:rPr>
              <w:tab/>
            </w:r>
            <w:r w:rsidRPr="00C80991">
              <w:rPr>
                <w:rStyle w:val="Hyperlink"/>
                <w:noProof/>
              </w:rPr>
              <w:t>Central Australian Academic Health Science Network</w:t>
            </w:r>
            <w:r>
              <w:rPr>
                <w:noProof/>
                <w:webHidden/>
              </w:rPr>
              <w:tab/>
            </w:r>
            <w:r>
              <w:rPr>
                <w:noProof/>
                <w:webHidden/>
              </w:rPr>
              <w:fldChar w:fldCharType="begin"/>
            </w:r>
            <w:r>
              <w:rPr>
                <w:noProof/>
                <w:webHidden/>
              </w:rPr>
              <w:instrText xml:space="preserve"> PAGEREF _Toc118824389 \h </w:instrText>
            </w:r>
            <w:r>
              <w:rPr>
                <w:noProof/>
                <w:webHidden/>
              </w:rPr>
            </w:r>
            <w:r>
              <w:rPr>
                <w:noProof/>
                <w:webHidden/>
              </w:rPr>
              <w:fldChar w:fldCharType="separate"/>
            </w:r>
            <w:r>
              <w:rPr>
                <w:noProof/>
                <w:webHidden/>
              </w:rPr>
              <w:t>95</w:t>
            </w:r>
            <w:r>
              <w:rPr>
                <w:noProof/>
                <w:webHidden/>
              </w:rPr>
              <w:fldChar w:fldCharType="end"/>
            </w:r>
          </w:hyperlink>
        </w:p>
        <w:p w14:paraId="43132AF4" w14:textId="70C1E07D"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90" w:history="1">
            <w:r w:rsidRPr="00C80991">
              <w:rPr>
                <w:rStyle w:val="Hyperlink"/>
                <w:noProof/>
              </w:rPr>
              <w:t>7.8</w:t>
            </w:r>
            <w:r>
              <w:rPr>
                <w:rFonts w:asciiTheme="minorHAnsi" w:eastAsiaTheme="minorEastAsia" w:hAnsiTheme="minorHAnsi"/>
                <w:noProof/>
                <w:lang w:eastAsia="en-AU"/>
              </w:rPr>
              <w:tab/>
            </w:r>
            <w:r w:rsidRPr="00C80991">
              <w:rPr>
                <w:rStyle w:val="Hyperlink"/>
                <w:noProof/>
              </w:rPr>
              <w:t>Kimberley Land Council Policies</w:t>
            </w:r>
            <w:r>
              <w:rPr>
                <w:noProof/>
                <w:webHidden/>
              </w:rPr>
              <w:tab/>
            </w:r>
            <w:r>
              <w:rPr>
                <w:noProof/>
                <w:webHidden/>
              </w:rPr>
              <w:fldChar w:fldCharType="begin"/>
            </w:r>
            <w:r>
              <w:rPr>
                <w:noProof/>
                <w:webHidden/>
              </w:rPr>
              <w:instrText xml:space="preserve"> PAGEREF _Toc118824390 \h </w:instrText>
            </w:r>
            <w:r>
              <w:rPr>
                <w:noProof/>
                <w:webHidden/>
              </w:rPr>
            </w:r>
            <w:r>
              <w:rPr>
                <w:noProof/>
                <w:webHidden/>
              </w:rPr>
              <w:fldChar w:fldCharType="separate"/>
            </w:r>
            <w:r>
              <w:rPr>
                <w:noProof/>
                <w:webHidden/>
              </w:rPr>
              <w:t>95</w:t>
            </w:r>
            <w:r>
              <w:rPr>
                <w:noProof/>
                <w:webHidden/>
              </w:rPr>
              <w:fldChar w:fldCharType="end"/>
            </w:r>
          </w:hyperlink>
        </w:p>
        <w:p w14:paraId="5163B240" w14:textId="44BEA339"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91" w:history="1">
            <w:r w:rsidRPr="00C80991">
              <w:rPr>
                <w:rStyle w:val="Hyperlink"/>
                <w:i/>
                <w:noProof/>
              </w:rPr>
              <w:t>7.9</w:t>
            </w:r>
            <w:r>
              <w:rPr>
                <w:rFonts w:asciiTheme="minorHAnsi" w:eastAsiaTheme="minorEastAsia" w:hAnsiTheme="minorHAnsi"/>
                <w:noProof/>
                <w:lang w:eastAsia="en-AU"/>
              </w:rPr>
              <w:tab/>
            </w:r>
            <w:r w:rsidRPr="00C80991">
              <w:rPr>
                <w:rStyle w:val="Hyperlink"/>
                <w:i/>
                <w:noProof/>
              </w:rPr>
              <w:t>Strengths and Limitations of a Guidelines Approach</w:t>
            </w:r>
            <w:r>
              <w:rPr>
                <w:noProof/>
                <w:webHidden/>
              </w:rPr>
              <w:tab/>
            </w:r>
            <w:r>
              <w:rPr>
                <w:noProof/>
                <w:webHidden/>
              </w:rPr>
              <w:fldChar w:fldCharType="begin"/>
            </w:r>
            <w:r>
              <w:rPr>
                <w:noProof/>
                <w:webHidden/>
              </w:rPr>
              <w:instrText xml:space="preserve"> PAGEREF _Toc118824391 \h </w:instrText>
            </w:r>
            <w:r>
              <w:rPr>
                <w:noProof/>
                <w:webHidden/>
              </w:rPr>
            </w:r>
            <w:r>
              <w:rPr>
                <w:noProof/>
                <w:webHidden/>
              </w:rPr>
              <w:fldChar w:fldCharType="separate"/>
            </w:r>
            <w:r>
              <w:rPr>
                <w:noProof/>
                <w:webHidden/>
              </w:rPr>
              <w:t>95</w:t>
            </w:r>
            <w:r>
              <w:rPr>
                <w:noProof/>
                <w:webHidden/>
              </w:rPr>
              <w:fldChar w:fldCharType="end"/>
            </w:r>
          </w:hyperlink>
        </w:p>
        <w:p w14:paraId="78BA2008" w14:textId="013BDDA2"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92" w:history="1">
            <w:r w:rsidRPr="00C80991">
              <w:rPr>
                <w:rStyle w:val="Hyperlink"/>
                <w:noProof/>
              </w:rPr>
              <w:t>7.9.1</w:t>
            </w:r>
            <w:r>
              <w:rPr>
                <w:rFonts w:asciiTheme="minorHAnsi" w:eastAsiaTheme="minorEastAsia" w:hAnsiTheme="minorHAnsi"/>
                <w:noProof/>
                <w:lang w:eastAsia="en-AU"/>
              </w:rPr>
              <w:tab/>
            </w:r>
            <w:r w:rsidRPr="00C80991">
              <w:rPr>
                <w:rStyle w:val="Hyperlink"/>
                <w:noProof/>
              </w:rPr>
              <w:t>National Statement</w:t>
            </w:r>
            <w:r>
              <w:rPr>
                <w:noProof/>
                <w:webHidden/>
              </w:rPr>
              <w:tab/>
            </w:r>
            <w:r>
              <w:rPr>
                <w:noProof/>
                <w:webHidden/>
              </w:rPr>
              <w:fldChar w:fldCharType="begin"/>
            </w:r>
            <w:r>
              <w:rPr>
                <w:noProof/>
                <w:webHidden/>
              </w:rPr>
              <w:instrText xml:space="preserve"> PAGEREF _Toc118824392 \h </w:instrText>
            </w:r>
            <w:r>
              <w:rPr>
                <w:noProof/>
                <w:webHidden/>
              </w:rPr>
            </w:r>
            <w:r>
              <w:rPr>
                <w:noProof/>
                <w:webHidden/>
              </w:rPr>
              <w:fldChar w:fldCharType="separate"/>
            </w:r>
            <w:r>
              <w:rPr>
                <w:noProof/>
                <w:webHidden/>
              </w:rPr>
              <w:t>95</w:t>
            </w:r>
            <w:r>
              <w:rPr>
                <w:noProof/>
                <w:webHidden/>
              </w:rPr>
              <w:fldChar w:fldCharType="end"/>
            </w:r>
          </w:hyperlink>
        </w:p>
        <w:p w14:paraId="176BCA7F" w14:textId="12770DD3"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393" w:history="1">
            <w:r w:rsidRPr="00C80991">
              <w:rPr>
                <w:rStyle w:val="Hyperlink"/>
                <w:noProof/>
              </w:rPr>
              <w:t>8</w:t>
            </w:r>
            <w:r>
              <w:rPr>
                <w:rFonts w:asciiTheme="minorHAnsi" w:eastAsiaTheme="minorEastAsia" w:hAnsiTheme="minorHAnsi"/>
                <w:noProof/>
                <w:lang w:eastAsia="en-AU"/>
              </w:rPr>
              <w:tab/>
            </w:r>
            <w:r w:rsidRPr="00C80991">
              <w:rPr>
                <w:rStyle w:val="Hyperlink"/>
                <w:noProof/>
              </w:rPr>
              <w:t>Best practice models: leading practices in Indigenous genomics</w:t>
            </w:r>
            <w:r>
              <w:rPr>
                <w:noProof/>
                <w:webHidden/>
              </w:rPr>
              <w:tab/>
            </w:r>
            <w:r>
              <w:rPr>
                <w:noProof/>
                <w:webHidden/>
              </w:rPr>
              <w:fldChar w:fldCharType="begin"/>
            </w:r>
            <w:r>
              <w:rPr>
                <w:noProof/>
                <w:webHidden/>
              </w:rPr>
              <w:instrText xml:space="preserve"> PAGEREF _Toc118824393 \h </w:instrText>
            </w:r>
            <w:r>
              <w:rPr>
                <w:noProof/>
                <w:webHidden/>
              </w:rPr>
            </w:r>
            <w:r>
              <w:rPr>
                <w:noProof/>
                <w:webHidden/>
              </w:rPr>
              <w:fldChar w:fldCharType="separate"/>
            </w:r>
            <w:r>
              <w:rPr>
                <w:noProof/>
                <w:webHidden/>
              </w:rPr>
              <w:t>96</w:t>
            </w:r>
            <w:r>
              <w:rPr>
                <w:noProof/>
                <w:webHidden/>
              </w:rPr>
              <w:fldChar w:fldCharType="end"/>
            </w:r>
          </w:hyperlink>
        </w:p>
        <w:p w14:paraId="1D4419B8" w14:textId="69A83174"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94" w:history="1">
            <w:r w:rsidRPr="00C80991">
              <w:rPr>
                <w:rStyle w:val="Hyperlink"/>
                <w:noProof/>
              </w:rPr>
              <w:t>8.1</w:t>
            </w:r>
            <w:r>
              <w:rPr>
                <w:rFonts w:asciiTheme="minorHAnsi" w:eastAsiaTheme="minorEastAsia" w:hAnsiTheme="minorHAnsi"/>
                <w:noProof/>
                <w:lang w:eastAsia="en-AU"/>
              </w:rPr>
              <w:tab/>
            </w:r>
            <w:r w:rsidRPr="00C80991">
              <w:rPr>
                <w:rStyle w:val="Hyperlink"/>
                <w:noProof/>
              </w:rPr>
              <w:t>Case studies</w:t>
            </w:r>
            <w:r>
              <w:rPr>
                <w:noProof/>
                <w:webHidden/>
              </w:rPr>
              <w:tab/>
            </w:r>
            <w:r>
              <w:rPr>
                <w:noProof/>
                <w:webHidden/>
              </w:rPr>
              <w:fldChar w:fldCharType="begin"/>
            </w:r>
            <w:r>
              <w:rPr>
                <w:noProof/>
                <w:webHidden/>
              </w:rPr>
              <w:instrText xml:space="preserve"> PAGEREF _Toc118824394 \h </w:instrText>
            </w:r>
            <w:r>
              <w:rPr>
                <w:noProof/>
                <w:webHidden/>
              </w:rPr>
            </w:r>
            <w:r>
              <w:rPr>
                <w:noProof/>
                <w:webHidden/>
              </w:rPr>
              <w:fldChar w:fldCharType="separate"/>
            </w:r>
            <w:r>
              <w:rPr>
                <w:noProof/>
                <w:webHidden/>
              </w:rPr>
              <w:t>96</w:t>
            </w:r>
            <w:r>
              <w:rPr>
                <w:noProof/>
                <w:webHidden/>
              </w:rPr>
              <w:fldChar w:fldCharType="end"/>
            </w:r>
          </w:hyperlink>
        </w:p>
        <w:p w14:paraId="589B686E" w14:textId="21013760"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95" w:history="1">
            <w:r w:rsidRPr="00C80991">
              <w:rPr>
                <w:rStyle w:val="Hyperlink"/>
                <w:noProof/>
              </w:rPr>
              <w:t>8.1.1</w:t>
            </w:r>
            <w:r>
              <w:rPr>
                <w:rFonts w:asciiTheme="minorHAnsi" w:eastAsiaTheme="minorEastAsia" w:hAnsiTheme="minorHAnsi"/>
                <w:noProof/>
                <w:lang w:eastAsia="en-AU"/>
              </w:rPr>
              <w:tab/>
            </w:r>
            <w:r w:rsidRPr="00C80991">
              <w:rPr>
                <w:rStyle w:val="Hyperlink"/>
                <w:noProof/>
              </w:rPr>
              <w:t>The Ochre Plan</w:t>
            </w:r>
            <w:r>
              <w:rPr>
                <w:noProof/>
                <w:webHidden/>
              </w:rPr>
              <w:tab/>
            </w:r>
            <w:r>
              <w:rPr>
                <w:noProof/>
                <w:webHidden/>
              </w:rPr>
              <w:fldChar w:fldCharType="begin"/>
            </w:r>
            <w:r>
              <w:rPr>
                <w:noProof/>
                <w:webHidden/>
              </w:rPr>
              <w:instrText xml:space="preserve"> PAGEREF _Toc118824395 \h </w:instrText>
            </w:r>
            <w:r>
              <w:rPr>
                <w:noProof/>
                <w:webHidden/>
              </w:rPr>
            </w:r>
            <w:r>
              <w:rPr>
                <w:noProof/>
                <w:webHidden/>
              </w:rPr>
              <w:fldChar w:fldCharType="separate"/>
            </w:r>
            <w:r>
              <w:rPr>
                <w:noProof/>
                <w:webHidden/>
              </w:rPr>
              <w:t>96</w:t>
            </w:r>
            <w:r>
              <w:rPr>
                <w:noProof/>
                <w:webHidden/>
              </w:rPr>
              <w:fldChar w:fldCharType="end"/>
            </w:r>
          </w:hyperlink>
        </w:p>
        <w:p w14:paraId="5D0233D4" w14:textId="3801C49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396" w:history="1">
            <w:r w:rsidRPr="00C80991">
              <w:rPr>
                <w:rStyle w:val="Hyperlink"/>
                <w:noProof/>
              </w:rPr>
              <w:t>8.1.2</w:t>
            </w:r>
            <w:r>
              <w:rPr>
                <w:rFonts w:asciiTheme="minorHAnsi" w:eastAsiaTheme="minorEastAsia" w:hAnsiTheme="minorHAnsi"/>
                <w:noProof/>
                <w:lang w:eastAsia="en-AU"/>
              </w:rPr>
              <w:tab/>
            </w:r>
            <w:r w:rsidRPr="00C80991">
              <w:rPr>
                <w:rStyle w:val="Hyperlink"/>
                <w:noProof/>
              </w:rPr>
              <w:t>Footprints in Time – The Longitudinal Study of Indigenous Children</w:t>
            </w:r>
            <w:r>
              <w:rPr>
                <w:noProof/>
                <w:webHidden/>
              </w:rPr>
              <w:tab/>
            </w:r>
            <w:r>
              <w:rPr>
                <w:noProof/>
                <w:webHidden/>
              </w:rPr>
              <w:fldChar w:fldCharType="begin"/>
            </w:r>
            <w:r>
              <w:rPr>
                <w:noProof/>
                <w:webHidden/>
              </w:rPr>
              <w:instrText xml:space="preserve"> PAGEREF _Toc118824396 \h </w:instrText>
            </w:r>
            <w:r>
              <w:rPr>
                <w:noProof/>
                <w:webHidden/>
              </w:rPr>
            </w:r>
            <w:r>
              <w:rPr>
                <w:noProof/>
                <w:webHidden/>
              </w:rPr>
              <w:fldChar w:fldCharType="separate"/>
            </w:r>
            <w:r>
              <w:rPr>
                <w:noProof/>
                <w:webHidden/>
              </w:rPr>
              <w:t>96</w:t>
            </w:r>
            <w:r>
              <w:rPr>
                <w:noProof/>
                <w:webHidden/>
              </w:rPr>
              <w:fldChar w:fldCharType="end"/>
            </w:r>
          </w:hyperlink>
        </w:p>
        <w:p w14:paraId="388B2D20" w14:textId="3FAB482A"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97" w:history="1">
            <w:r w:rsidRPr="00C80991">
              <w:rPr>
                <w:rStyle w:val="Hyperlink"/>
                <w:noProof/>
              </w:rPr>
              <w:t>8.2</w:t>
            </w:r>
            <w:r>
              <w:rPr>
                <w:rFonts w:asciiTheme="minorHAnsi" w:eastAsiaTheme="minorEastAsia" w:hAnsiTheme="minorHAnsi"/>
                <w:noProof/>
                <w:lang w:eastAsia="en-AU"/>
              </w:rPr>
              <w:tab/>
            </w:r>
            <w:r w:rsidRPr="00C80991">
              <w:rPr>
                <w:rStyle w:val="Hyperlink"/>
                <w:noProof/>
              </w:rPr>
              <w:t>Best practice and project planning</w:t>
            </w:r>
            <w:r>
              <w:rPr>
                <w:noProof/>
                <w:webHidden/>
              </w:rPr>
              <w:tab/>
            </w:r>
            <w:r>
              <w:rPr>
                <w:noProof/>
                <w:webHidden/>
              </w:rPr>
              <w:fldChar w:fldCharType="begin"/>
            </w:r>
            <w:r>
              <w:rPr>
                <w:noProof/>
                <w:webHidden/>
              </w:rPr>
              <w:instrText xml:space="preserve"> PAGEREF _Toc118824397 \h </w:instrText>
            </w:r>
            <w:r>
              <w:rPr>
                <w:noProof/>
                <w:webHidden/>
              </w:rPr>
            </w:r>
            <w:r>
              <w:rPr>
                <w:noProof/>
                <w:webHidden/>
              </w:rPr>
              <w:fldChar w:fldCharType="separate"/>
            </w:r>
            <w:r>
              <w:rPr>
                <w:noProof/>
                <w:webHidden/>
              </w:rPr>
              <w:t>97</w:t>
            </w:r>
            <w:r>
              <w:rPr>
                <w:noProof/>
                <w:webHidden/>
              </w:rPr>
              <w:fldChar w:fldCharType="end"/>
            </w:r>
          </w:hyperlink>
        </w:p>
        <w:p w14:paraId="4E4EE7AF" w14:textId="0B545B24" w:rsidR="003C7152" w:rsidRDefault="003C7152">
          <w:pPr>
            <w:pStyle w:val="TOC1"/>
            <w:tabs>
              <w:tab w:val="left" w:pos="400"/>
              <w:tab w:val="right" w:leader="dot" w:pos="9016"/>
            </w:tabs>
            <w:rPr>
              <w:rFonts w:asciiTheme="minorHAnsi" w:eastAsiaTheme="minorEastAsia" w:hAnsiTheme="minorHAnsi"/>
              <w:noProof/>
              <w:lang w:eastAsia="en-AU"/>
            </w:rPr>
          </w:pPr>
          <w:hyperlink w:anchor="_Toc118824398" w:history="1">
            <w:r w:rsidRPr="00C80991">
              <w:rPr>
                <w:rStyle w:val="Hyperlink"/>
                <w:noProof/>
              </w:rPr>
              <w:t>9</w:t>
            </w:r>
            <w:r>
              <w:rPr>
                <w:rFonts w:asciiTheme="minorHAnsi" w:eastAsiaTheme="minorEastAsia" w:hAnsiTheme="minorHAnsi"/>
                <w:noProof/>
                <w:lang w:eastAsia="en-AU"/>
              </w:rPr>
              <w:tab/>
            </w:r>
            <w:r w:rsidRPr="00C80991">
              <w:rPr>
                <w:rStyle w:val="Hyperlink"/>
                <w:noProof/>
              </w:rPr>
              <w:t>International Indigenous Health Genomics</w:t>
            </w:r>
            <w:r>
              <w:rPr>
                <w:noProof/>
                <w:webHidden/>
              </w:rPr>
              <w:tab/>
            </w:r>
            <w:r>
              <w:rPr>
                <w:noProof/>
                <w:webHidden/>
              </w:rPr>
              <w:fldChar w:fldCharType="begin"/>
            </w:r>
            <w:r>
              <w:rPr>
                <w:noProof/>
                <w:webHidden/>
              </w:rPr>
              <w:instrText xml:space="preserve"> PAGEREF _Toc118824398 \h </w:instrText>
            </w:r>
            <w:r>
              <w:rPr>
                <w:noProof/>
                <w:webHidden/>
              </w:rPr>
            </w:r>
            <w:r>
              <w:rPr>
                <w:noProof/>
                <w:webHidden/>
              </w:rPr>
              <w:fldChar w:fldCharType="separate"/>
            </w:r>
            <w:r>
              <w:rPr>
                <w:noProof/>
                <w:webHidden/>
              </w:rPr>
              <w:t>99</w:t>
            </w:r>
            <w:r>
              <w:rPr>
                <w:noProof/>
                <w:webHidden/>
              </w:rPr>
              <w:fldChar w:fldCharType="end"/>
            </w:r>
          </w:hyperlink>
        </w:p>
        <w:p w14:paraId="441B1438" w14:textId="4B904D35"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399" w:history="1">
            <w:r w:rsidRPr="00C80991">
              <w:rPr>
                <w:rStyle w:val="Hyperlink"/>
                <w:noProof/>
              </w:rPr>
              <w:t>9.1</w:t>
            </w:r>
            <w:r>
              <w:rPr>
                <w:rFonts w:asciiTheme="minorHAnsi" w:eastAsiaTheme="minorEastAsia" w:hAnsiTheme="minorHAnsi"/>
                <w:noProof/>
                <w:lang w:eastAsia="en-AU"/>
              </w:rPr>
              <w:tab/>
            </w:r>
            <w:r w:rsidRPr="00C80991">
              <w:rPr>
                <w:rStyle w:val="Hyperlink"/>
                <w:noProof/>
              </w:rPr>
              <w:t>What are the international law instruments that give guidance for Australian law and policy on Indigenous genomics?</w:t>
            </w:r>
            <w:r>
              <w:rPr>
                <w:noProof/>
                <w:webHidden/>
              </w:rPr>
              <w:tab/>
            </w:r>
            <w:r>
              <w:rPr>
                <w:noProof/>
                <w:webHidden/>
              </w:rPr>
              <w:fldChar w:fldCharType="begin"/>
            </w:r>
            <w:r>
              <w:rPr>
                <w:noProof/>
                <w:webHidden/>
              </w:rPr>
              <w:instrText xml:space="preserve"> PAGEREF _Toc118824399 \h </w:instrText>
            </w:r>
            <w:r>
              <w:rPr>
                <w:noProof/>
                <w:webHidden/>
              </w:rPr>
            </w:r>
            <w:r>
              <w:rPr>
                <w:noProof/>
                <w:webHidden/>
              </w:rPr>
              <w:fldChar w:fldCharType="separate"/>
            </w:r>
            <w:r>
              <w:rPr>
                <w:noProof/>
                <w:webHidden/>
              </w:rPr>
              <w:t>99</w:t>
            </w:r>
            <w:r>
              <w:rPr>
                <w:noProof/>
                <w:webHidden/>
              </w:rPr>
              <w:fldChar w:fldCharType="end"/>
            </w:r>
          </w:hyperlink>
        </w:p>
        <w:p w14:paraId="5DE3748B" w14:textId="32D79954"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0" w:history="1">
            <w:r w:rsidRPr="00C80991">
              <w:rPr>
                <w:rStyle w:val="Hyperlink"/>
                <w:noProof/>
              </w:rPr>
              <w:t>9.1.1</w:t>
            </w:r>
            <w:r>
              <w:rPr>
                <w:rFonts w:asciiTheme="minorHAnsi" w:eastAsiaTheme="minorEastAsia" w:hAnsiTheme="minorHAnsi"/>
                <w:noProof/>
                <w:lang w:eastAsia="en-AU"/>
              </w:rPr>
              <w:tab/>
            </w:r>
            <w:r w:rsidRPr="00C80991">
              <w:rPr>
                <w:rStyle w:val="Hyperlink"/>
                <w:noProof/>
              </w:rPr>
              <w:t>United Nations Declaration on the Rights of Indigenous Peoples (UNDRIP)</w:t>
            </w:r>
            <w:r>
              <w:rPr>
                <w:noProof/>
                <w:webHidden/>
              </w:rPr>
              <w:tab/>
            </w:r>
            <w:r>
              <w:rPr>
                <w:noProof/>
                <w:webHidden/>
              </w:rPr>
              <w:fldChar w:fldCharType="begin"/>
            </w:r>
            <w:r>
              <w:rPr>
                <w:noProof/>
                <w:webHidden/>
              </w:rPr>
              <w:instrText xml:space="preserve"> PAGEREF _Toc118824400 \h </w:instrText>
            </w:r>
            <w:r>
              <w:rPr>
                <w:noProof/>
                <w:webHidden/>
              </w:rPr>
            </w:r>
            <w:r>
              <w:rPr>
                <w:noProof/>
                <w:webHidden/>
              </w:rPr>
              <w:fldChar w:fldCharType="separate"/>
            </w:r>
            <w:r>
              <w:rPr>
                <w:noProof/>
                <w:webHidden/>
              </w:rPr>
              <w:t>99</w:t>
            </w:r>
            <w:r>
              <w:rPr>
                <w:noProof/>
                <w:webHidden/>
              </w:rPr>
              <w:fldChar w:fldCharType="end"/>
            </w:r>
          </w:hyperlink>
        </w:p>
        <w:p w14:paraId="79FAEE48" w14:textId="732D32CF"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1" w:history="1">
            <w:r w:rsidRPr="00C80991">
              <w:rPr>
                <w:rStyle w:val="Hyperlink"/>
                <w:noProof/>
              </w:rPr>
              <w:t>9.1.2</w:t>
            </w:r>
            <w:r>
              <w:rPr>
                <w:rFonts w:asciiTheme="minorHAnsi" w:eastAsiaTheme="minorEastAsia" w:hAnsiTheme="minorHAnsi"/>
                <w:noProof/>
                <w:lang w:eastAsia="en-AU"/>
              </w:rPr>
              <w:tab/>
            </w:r>
            <w:r w:rsidRPr="00C80991">
              <w:rPr>
                <w:rStyle w:val="Hyperlink"/>
                <w:noProof/>
              </w:rPr>
              <w:t>Universal Declaration on the Human Genome and Human Rights</w:t>
            </w:r>
            <w:r>
              <w:rPr>
                <w:noProof/>
                <w:webHidden/>
              </w:rPr>
              <w:tab/>
            </w:r>
            <w:r>
              <w:rPr>
                <w:noProof/>
                <w:webHidden/>
              </w:rPr>
              <w:fldChar w:fldCharType="begin"/>
            </w:r>
            <w:r>
              <w:rPr>
                <w:noProof/>
                <w:webHidden/>
              </w:rPr>
              <w:instrText xml:space="preserve"> PAGEREF _Toc118824401 \h </w:instrText>
            </w:r>
            <w:r>
              <w:rPr>
                <w:noProof/>
                <w:webHidden/>
              </w:rPr>
            </w:r>
            <w:r>
              <w:rPr>
                <w:noProof/>
                <w:webHidden/>
              </w:rPr>
              <w:fldChar w:fldCharType="separate"/>
            </w:r>
            <w:r>
              <w:rPr>
                <w:noProof/>
                <w:webHidden/>
              </w:rPr>
              <w:t>100</w:t>
            </w:r>
            <w:r>
              <w:rPr>
                <w:noProof/>
                <w:webHidden/>
              </w:rPr>
              <w:fldChar w:fldCharType="end"/>
            </w:r>
          </w:hyperlink>
        </w:p>
        <w:p w14:paraId="2A942EAD" w14:textId="1B3F51CE"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2" w:history="1">
            <w:r w:rsidRPr="00C80991">
              <w:rPr>
                <w:rStyle w:val="Hyperlink"/>
                <w:noProof/>
              </w:rPr>
              <w:t>9.1.3</w:t>
            </w:r>
            <w:r>
              <w:rPr>
                <w:rFonts w:asciiTheme="minorHAnsi" w:eastAsiaTheme="minorEastAsia" w:hAnsiTheme="minorHAnsi"/>
                <w:noProof/>
                <w:lang w:eastAsia="en-AU"/>
              </w:rPr>
              <w:tab/>
            </w:r>
            <w:r w:rsidRPr="00C80991">
              <w:rPr>
                <w:rStyle w:val="Hyperlink"/>
                <w:noProof/>
              </w:rPr>
              <w:t>International Declaration on Human Genetic Data</w:t>
            </w:r>
            <w:r>
              <w:rPr>
                <w:noProof/>
                <w:webHidden/>
              </w:rPr>
              <w:tab/>
            </w:r>
            <w:r>
              <w:rPr>
                <w:noProof/>
                <w:webHidden/>
              </w:rPr>
              <w:fldChar w:fldCharType="begin"/>
            </w:r>
            <w:r>
              <w:rPr>
                <w:noProof/>
                <w:webHidden/>
              </w:rPr>
              <w:instrText xml:space="preserve"> PAGEREF _Toc118824402 \h </w:instrText>
            </w:r>
            <w:r>
              <w:rPr>
                <w:noProof/>
                <w:webHidden/>
              </w:rPr>
            </w:r>
            <w:r>
              <w:rPr>
                <w:noProof/>
                <w:webHidden/>
              </w:rPr>
              <w:fldChar w:fldCharType="separate"/>
            </w:r>
            <w:r>
              <w:rPr>
                <w:noProof/>
                <w:webHidden/>
              </w:rPr>
              <w:t>100</w:t>
            </w:r>
            <w:r>
              <w:rPr>
                <w:noProof/>
                <w:webHidden/>
              </w:rPr>
              <w:fldChar w:fldCharType="end"/>
            </w:r>
          </w:hyperlink>
        </w:p>
        <w:p w14:paraId="11CF79B1" w14:textId="74EAC621"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3" w:history="1">
            <w:r w:rsidRPr="00C80991">
              <w:rPr>
                <w:rStyle w:val="Hyperlink"/>
                <w:noProof/>
              </w:rPr>
              <w:t>9.1.4</w:t>
            </w:r>
            <w:r>
              <w:rPr>
                <w:rFonts w:asciiTheme="minorHAnsi" w:eastAsiaTheme="minorEastAsia" w:hAnsiTheme="minorHAnsi"/>
                <w:noProof/>
                <w:lang w:eastAsia="en-AU"/>
              </w:rPr>
              <w:tab/>
            </w:r>
            <w:r w:rsidRPr="00C80991">
              <w:rPr>
                <w:rStyle w:val="Hyperlink"/>
                <w:noProof/>
              </w:rPr>
              <w:t>Universal Declaration on Bioethics and Human Rights</w:t>
            </w:r>
            <w:r>
              <w:rPr>
                <w:noProof/>
                <w:webHidden/>
              </w:rPr>
              <w:tab/>
            </w:r>
            <w:r>
              <w:rPr>
                <w:noProof/>
                <w:webHidden/>
              </w:rPr>
              <w:fldChar w:fldCharType="begin"/>
            </w:r>
            <w:r>
              <w:rPr>
                <w:noProof/>
                <w:webHidden/>
              </w:rPr>
              <w:instrText xml:space="preserve"> PAGEREF _Toc118824403 \h </w:instrText>
            </w:r>
            <w:r>
              <w:rPr>
                <w:noProof/>
                <w:webHidden/>
              </w:rPr>
            </w:r>
            <w:r>
              <w:rPr>
                <w:noProof/>
                <w:webHidden/>
              </w:rPr>
              <w:fldChar w:fldCharType="separate"/>
            </w:r>
            <w:r>
              <w:rPr>
                <w:noProof/>
                <w:webHidden/>
              </w:rPr>
              <w:t>101</w:t>
            </w:r>
            <w:r>
              <w:rPr>
                <w:noProof/>
                <w:webHidden/>
              </w:rPr>
              <w:fldChar w:fldCharType="end"/>
            </w:r>
          </w:hyperlink>
        </w:p>
        <w:p w14:paraId="5F7C42C8" w14:textId="449D4306"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404" w:history="1">
            <w:r w:rsidRPr="00C80991">
              <w:rPr>
                <w:rStyle w:val="Hyperlink"/>
                <w:noProof/>
              </w:rPr>
              <w:t>9.2</w:t>
            </w:r>
            <w:r>
              <w:rPr>
                <w:rFonts w:asciiTheme="minorHAnsi" w:eastAsiaTheme="minorEastAsia" w:hAnsiTheme="minorHAnsi"/>
                <w:noProof/>
                <w:lang w:eastAsia="en-AU"/>
              </w:rPr>
              <w:tab/>
            </w:r>
            <w:r w:rsidRPr="00C80991">
              <w:rPr>
                <w:rStyle w:val="Hyperlink"/>
                <w:noProof/>
              </w:rPr>
              <w:t>What case law in other jurisdictions?</w:t>
            </w:r>
            <w:r>
              <w:rPr>
                <w:noProof/>
                <w:webHidden/>
              </w:rPr>
              <w:tab/>
            </w:r>
            <w:r>
              <w:rPr>
                <w:noProof/>
                <w:webHidden/>
              </w:rPr>
              <w:fldChar w:fldCharType="begin"/>
            </w:r>
            <w:r>
              <w:rPr>
                <w:noProof/>
                <w:webHidden/>
              </w:rPr>
              <w:instrText xml:space="preserve"> PAGEREF _Toc118824404 \h </w:instrText>
            </w:r>
            <w:r>
              <w:rPr>
                <w:noProof/>
                <w:webHidden/>
              </w:rPr>
            </w:r>
            <w:r>
              <w:rPr>
                <w:noProof/>
                <w:webHidden/>
              </w:rPr>
              <w:fldChar w:fldCharType="separate"/>
            </w:r>
            <w:r>
              <w:rPr>
                <w:noProof/>
                <w:webHidden/>
              </w:rPr>
              <w:t>101</w:t>
            </w:r>
            <w:r>
              <w:rPr>
                <w:noProof/>
                <w:webHidden/>
              </w:rPr>
              <w:fldChar w:fldCharType="end"/>
            </w:r>
          </w:hyperlink>
        </w:p>
        <w:p w14:paraId="3D1AD76F" w14:textId="50506ED0"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5" w:history="1">
            <w:r w:rsidRPr="00C80991">
              <w:rPr>
                <w:rStyle w:val="Hyperlink"/>
                <w:noProof/>
              </w:rPr>
              <w:t>9.2.1</w:t>
            </w:r>
            <w:r>
              <w:rPr>
                <w:rFonts w:asciiTheme="minorHAnsi" w:eastAsiaTheme="minorEastAsia" w:hAnsiTheme="minorHAnsi"/>
                <w:noProof/>
                <w:lang w:eastAsia="en-AU"/>
              </w:rPr>
              <w:tab/>
            </w:r>
            <w:r w:rsidRPr="00C80991">
              <w:rPr>
                <w:rStyle w:val="Hyperlink"/>
                <w:noProof/>
              </w:rPr>
              <w:t>Moore v Regents of the University of California (1990)</w:t>
            </w:r>
            <w:r>
              <w:rPr>
                <w:noProof/>
                <w:webHidden/>
              </w:rPr>
              <w:tab/>
            </w:r>
            <w:r>
              <w:rPr>
                <w:noProof/>
                <w:webHidden/>
              </w:rPr>
              <w:fldChar w:fldCharType="begin"/>
            </w:r>
            <w:r>
              <w:rPr>
                <w:noProof/>
                <w:webHidden/>
              </w:rPr>
              <w:instrText xml:space="preserve"> PAGEREF _Toc118824405 \h </w:instrText>
            </w:r>
            <w:r>
              <w:rPr>
                <w:noProof/>
                <w:webHidden/>
              </w:rPr>
            </w:r>
            <w:r>
              <w:rPr>
                <w:noProof/>
                <w:webHidden/>
              </w:rPr>
              <w:fldChar w:fldCharType="separate"/>
            </w:r>
            <w:r>
              <w:rPr>
                <w:noProof/>
                <w:webHidden/>
              </w:rPr>
              <w:t>102</w:t>
            </w:r>
            <w:r>
              <w:rPr>
                <w:noProof/>
                <w:webHidden/>
              </w:rPr>
              <w:fldChar w:fldCharType="end"/>
            </w:r>
          </w:hyperlink>
        </w:p>
        <w:p w14:paraId="49C7A2ED" w14:textId="572190DC"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6" w:history="1">
            <w:r w:rsidRPr="00C80991">
              <w:rPr>
                <w:rStyle w:val="Hyperlink"/>
                <w:noProof/>
              </w:rPr>
              <w:t>9.2.2</w:t>
            </w:r>
            <w:r>
              <w:rPr>
                <w:rFonts w:asciiTheme="minorHAnsi" w:eastAsiaTheme="minorEastAsia" w:hAnsiTheme="minorHAnsi"/>
                <w:noProof/>
                <w:lang w:eastAsia="en-AU"/>
              </w:rPr>
              <w:tab/>
            </w:r>
            <w:r w:rsidRPr="00C80991">
              <w:rPr>
                <w:rStyle w:val="Hyperlink"/>
                <w:noProof/>
              </w:rPr>
              <w:t>The OncoMouse case</w:t>
            </w:r>
            <w:r>
              <w:rPr>
                <w:noProof/>
                <w:webHidden/>
              </w:rPr>
              <w:tab/>
            </w:r>
            <w:r>
              <w:rPr>
                <w:noProof/>
                <w:webHidden/>
              </w:rPr>
              <w:fldChar w:fldCharType="begin"/>
            </w:r>
            <w:r>
              <w:rPr>
                <w:noProof/>
                <w:webHidden/>
              </w:rPr>
              <w:instrText xml:space="preserve"> PAGEREF _Toc118824406 \h </w:instrText>
            </w:r>
            <w:r>
              <w:rPr>
                <w:noProof/>
                <w:webHidden/>
              </w:rPr>
            </w:r>
            <w:r>
              <w:rPr>
                <w:noProof/>
                <w:webHidden/>
              </w:rPr>
              <w:fldChar w:fldCharType="separate"/>
            </w:r>
            <w:r>
              <w:rPr>
                <w:noProof/>
                <w:webHidden/>
              </w:rPr>
              <w:t>102</w:t>
            </w:r>
            <w:r>
              <w:rPr>
                <w:noProof/>
                <w:webHidden/>
              </w:rPr>
              <w:fldChar w:fldCharType="end"/>
            </w:r>
          </w:hyperlink>
        </w:p>
        <w:p w14:paraId="0AC243A1" w14:textId="568EDC09"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7" w:history="1">
            <w:r w:rsidRPr="00C80991">
              <w:rPr>
                <w:rStyle w:val="Hyperlink"/>
                <w:noProof/>
              </w:rPr>
              <w:t>9.2.3</w:t>
            </w:r>
            <w:r>
              <w:rPr>
                <w:rFonts w:asciiTheme="minorHAnsi" w:eastAsiaTheme="minorEastAsia" w:hAnsiTheme="minorHAnsi"/>
                <w:noProof/>
                <w:lang w:eastAsia="en-AU"/>
              </w:rPr>
              <w:tab/>
            </w:r>
            <w:r w:rsidRPr="00C80991">
              <w:rPr>
                <w:rStyle w:val="Hyperlink"/>
                <w:noProof/>
              </w:rPr>
              <w:t>Henrietta Lacks Immortal Cells</w:t>
            </w:r>
            <w:r>
              <w:rPr>
                <w:noProof/>
                <w:webHidden/>
              </w:rPr>
              <w:tab/>
            </w:r>
            <w:r>
              <w:rPr>
                <w:noProof/>
                <w:webHidden/>
              </w:rPr>
              <w:fldChar w:fldCharType="begin"/>
            </w:r>
            <w:r>
              <w:rPr>
                <w:noProof/>
                <w:webHidden/>
              </w:rPr>
              <w:instrText xml:space="preserve"> PAGEREF _Toc118824407 \h </w:instrText>
            </w:r>
            <w:r>
              <w:rPr>
                <w:noProof/>
                <w:webHidden/>
              </w:rPr>
            </w:r>
            <w:r>
              <w:rPr>
                <w:noProof/>
                <w:webHidden/>
              </w:rPr>
              <w:fldChar w:fldCharType="separate"/>
            </w:r>
            <w:r>
              <w:rPr>
                <w:noProof/>
                <w:webHidden/>
              </w:rPr>
              <w:t>103</w:t>
            </w:r>
            <w:r>
              <w:rPr>
                <w:noProof/>
                <w:webHidden/>
              </w:rPr>
              <w:fldChar w:fldCharType="end"/>
            </w:r>
          </w:hyperlink>
        </w:p>
        <w:p w14:paraId="59A92FAF" w14:textId="0CC1E19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8" w:history="1">
            <w:r w:rsidRPr="00C80991">
              <w:rPr>
                <w:rStyle w:val="Hyperlink"/>
                <w:noProof/>
              </w:rPr>
              <w:t>9.2.4</w:t>
            </w:r>
            <w:r>
              <w:rPr>
                <w:rFonts w:asciiTheme="minorHAnsi" w:eastAsiaTheme="minorEastAsia" w:hAnsiTheme="minorHAnsi"/>
                <w:noProof/>
                <w:lang w:eastAsia="en-AU"/>
              </w:rPr>
              <w:tab/>
            </w:r>
            <w:r w:rsidRPr="00C80991">
              <w:rPr>
                <w:rStyle w:val="Hyperlink"/>
                <w:noProof/>
              </w:rPr>
              <w:t>Myriad Genetics US</w:t>
            </w:r>
            <w:r>
              <w:rPr>
                <w:noProof/>
                <w:webHidden/>
              </w:rPr>
              <w:tab/>
            </w:r>
            <w:r>
              <w:rPr>
                <w:noProof/>
                <w:webHidden/>
              </w:rPr>
              <w:fldChar w:fldCharType="begin"/>
            </w:r>
            <w:r>
              <w:rPr>
                <w:noProof/>
                <w:webHidden/>
              </w:rPr>
              <w:instrText xml:space="preserve"> PAGEREF _Toc118824408 \h </w:instrText>
            </w:r>
            <w:r>
              <w:rPr>
                <w:noProof/>
                <w:webHidden/>
              </w:rPr>
            </w:r>
            <w:r>
              <w:rPr>
                <w:noProof/>
                <w:webHidden/>
              </w:rPr>
              <w:fldChar w:fldCharType="separate"/>
            </w:r>
            <w:r>
              <w:rPr>
                <w:noProof/>
                <w:webHidden/>
              </w:rPr>
              <w:t>104</w:t>
            </w:r>
            <w:r>
              <w:rPr>
                <w:noProof/>
                <w:webHidden/>
              </w:rPr>
              <w:fldChar w:fldCharType="end"/>
            </w:r>
          </w:hyperlink>
        </w:p>
        <w:p w14:paraId="4A972F41" w14:textId="15447B5A"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09" w:history="1">
            <w:r w:rsidRPr="00C80991">
              <w:rPr>
                <w:rStyle w:val="Hyperlink"/>
                <w:noProof/>
              </w:rPr>
              <w:t>9.2.5</w:t>
            </w:r>
            <w:r>
              <w:rPr>
                <w:rFonts w:asciiTheme="minorHAnsi" w:eastAsiaTheme="minorEastAsia" w:hAnsiTheme="minorHAnsi"/>
                <w:noProof/>
                <w:lang w:eastAsia="en-AU"/>
              </w:rPr>
              <w:tab/>
            </w:r>
            <w:r w:rsidRPr="00C80991">
              <w:rPr>
                <w:rStyle w:val="Hyperlink"/>
                <w:noProof/>
              </w:rPr>
              <w:t>Havasupai Tribe v Arizona Board of Regents</w:t>
            </w:r>
            <w:r>
              <w:rPr>
                <w:noProof/>
                <w:webHidden/>
              </w:rPr>
              <w:tab/>
            </w:r>
            <w:r>
              <w:rPr>
                <w:noProof/>
                <w:webHidden/>
              </w:rPr>
              <w:fldChar w:fldCharType="begin"/>
            </w:r>
            <w:r>
              <w:rPr>
                <w:noProof/>
                <w:webHidden/>
              </w:rPr>
              <w:instrText xml:space="preserve"> PAGEREF _Toc118824409 \h </w:instrText>
            </w:r>
            <w:r>
              <w:rPr>
                <w:noProof/>
                <w:webHidden/>
              </w:rPr>
            </w:r>
            <w:r>
              <w:rPr>
                <w:noProof/>
                <w:webHidden/>
              </w:rPr>
              <w:fldChar w:fldCharType="separate"/>
            </w:r>
            <w:r>
              <w:rPr>
                <w:noProof/>
                <w:webHidden/>
              </w:rPr>
              <w:t>104</w:t>
            </w:r>
            <w:r>
              <w:rPr>
                <w:noProof/>
                <w:webHidden/>
              </w:rPr>
              <w:fldChar w:fldCharType="end"/>
            </w:r>
          </w:hyperlink>
        </w:p>
        <w:p w14:paraId="24FCB2EC" w14:textId="4AF8F535" w:rsidR="003C7152" w:rsidRDefault="003C7152">
          <w:pPr>
            <w:pStyle w:val="TOC2"/>
            <w:tabs>
              <w:tab w:val="left" w:pos="880"/>
              <w:tab w:val="right" w:leader="dot" w:pos="9016"/>
            </w:tabs>
            <w:rPr>
              <w:rFonts w:asciiTheme="minorHAnsi" w:eastAsiaTheme="minorEastAsia" w:hAnsiTheme="minorHAnsi"/>
              <w:noProof/>
              <w:lang w:eastAsia="en-AU"/>
            </w:rPr>
          </w:pPr>
          <w:hyperlink w:anchor="_Toc118824410" w:history="1">
            <w:r w:rsidRPr="00C80991">
              <w:rPr>
                <w:rStyle w:val="Hyperlink"/>
                <w:noProof/>
              </w:rPr>
              <w:t>9.3</w:t>
            </w:r>
            <w:r>
              <w:rPr>
                <w:rFonts w:asciiTheme="minorHAnsi" w:eastAsiaTheme="minorEastAsia" w:hAnsiTheme="minorHAnsi"/>
                <w:noProof/>
                <w:lang w:eastAsia="en-AU"/>
              </w:rPr>
              <w:tab/>
            </w:r>
            <w:r w:rsidRPr="00C80991">
              <w:rPr>
                <w:rStyle w:val="Hyperlink"/>
                <w:noProof/>
              </w:rPr>
              <w:t>What International examples are there of best practice research methodologies?</w:t>
            </w:r>
            <w:r>
              <w:rPr>
                <w:noProof/>
                <w:webHidden/>
              </w:rPr>
              <w:tab/>
            </w:r>
            <w:r>
              <w:rPr>
                <w:noProof/>
                <w:webHidden/>
              </w:rPr>
              <w:fldChar w:fldCharType="begin"/>
            </w:r>
            <w:r>
              <w:rPr>
                <w:noProof/>
                <w:webHidden/>
              </w:rPr>
              <w:instrText xml:space="preserve"> PAGEREF _Toc118824410 \h </w:instrText>
            </w:r>
            <w:r>
              <w:rPr>
                <w:noProof/>
                <w:webHidden/>
              </w:rPr>
            </w:r>
            <w:r>
              <w:rPr>
                <w:noProof/>
                <w:webHidden/>
              </w:rPr>
              <w:fldChar w:fldCharType="separate"/>
            </w:r>
            <w:r>
              <w:rPr>
                <w:noProof/>
                <w:webHidden/>
              </w:rPr>
              <w:t>107</w:t>
            </w:r>
            <w:r>
              <w:rPr>
                <w:noProof/>
                <w:webHidden/>
              </w:rPr>
              <w:fldChar w:fldCharType="end"/>
            </w:r>
          </w:hyperlink>
        </w:p>
        <w:p w14:paraId="0D68C734" w14:textId="48DC15F6"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11" w:history="1">
            <w:r w:rsidRPr="00C80991">
              <w:rPr>
                <w:rStyle w:val="Hyperlink"/>
                <w:noProof/>
              </w:rPr>
              <w:t>9.3.1</w:t>
            </w:r>
            <w:r>
              <w:rPr>
                <w:rFonts w:asciiTheme="minorHAnsi" w:eastAsiaTheme="minorEastAsia" w:hAnsiTheme="minorHAnsi"/>
                <w:noProof/>
                <w:lang w:eastAsia="en-AU"/>
              </w:rPr>
              <w:tab/>
            </w:r>
            <w:r w:rsidRPr="00C80991">
              <w:rPr>
                <w:rStyle w:val="Hyperlink"/>
                <w:noProof/>
              </w:rPr>
              <w:t>The Slim Initiative for Genomic Medicine in the Americas (SIGMA)</w:t>
            </w:r>
            <w:r>
              <w:rPr>
                <w:noProof/>
                <w:webHidden/>
              </w:rPr>
              <w:tab/>
            </w:r>
            <w:r>
              <w:rPr>
                <w:noProof/>
                <w:webHidden/>
              </w:rPr>
              <w:fldChar w:fldCharType="begin"/>
            </w:r>
            <w:r>
              <w:rPr>
                <w:noProof/>
                <w:webHidden/>
              </w:rPr>
              <w:instrText xml:space="preserve"> PAGEREF _Toc118824411 \h </w:instrText>
            </w:r>
            <w:r>
              <w:rPr>
                <w:noProof/>
                <w:webHidden/>
              </w:rPr>
            </w:r>
            <w:r>
              <w:rPr>
                <w:noProof/>
                <w:webHidden/>
              </w:rPr>
              <w:fldChar w:fldCharType="separate"/>
            </w:r>
            <w:r>
              <w:rPr>
                <w:noProof/>
                <w:webHidden/>
              </w:rPr>
              <w:t>107</w:t>
            </w:r>
            <w:r>
              <w:rPr>
                <w:noProof/>
                <w:webHidden/>
              </w:rPr>
              <w:fldChar w:fldCharType="end"/>
            </w:r>
          </w:hyperlink>
        </w:p>
        <w:p w14:paraId="07AEC39A" w14:textId="64A43B6D"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12" w:history="1">
            <w:r w:rsidRPr="00C80991">
              <w:rPr>
                <w:rStyle w:val="Hyperlink"/>
                <w:noProof/>
              </w:rPr>
              <w:t>9.3.2</w:t>
            </w:r>
            <w:r>
              <w:rPr>
                <w:rFonts w:asciiTheme="minorHAnsi" w:eastAsiaTheme="minorEastAsia" w:hAnsiTheme="minorHAnsi"/>
                <w:noProof/>
                <w:lang w:eastAsia="en-AU"/>
              </w:rPr>
              <w:tab/>
            </w:r>
            <w:r w:rsidRPr="00C80991">
              <w:rPr>
                <w:rStyle w:val="Hyperlink"/>
                <w:noProof/>
              </w:rPr>
              <w:t>Welcome Trust/NIH Human Heredity &amp; Health in Africa (H3Africa) project (&gt;$50M)</w:t>
            </w:r>
            <w:r>
              <w:rPr>
                <w:noProof/>
                <w:webHidden/>
              </w:rPr>
              <w:tab/>
            </w:r>
            <w:r>
              <w:rPr>
                <w:noProof/>
                <w:webHidden/>
              </w:rPr>
              <w:fldChar w:fldCharType="begin"/>
            </w:r>
            <w:r>
              <w:rPr>
                <w:noProof/>
                <w:webHidden/>
              </w:rPr>
              <w:instrText xml:space="preserve"> PAGEREF _Toc118824412 \h </w:instrText>
            </w:r>
            <w:r>
              <w:rPr>
                <w:noProof/>
                <w:webHidden/>
              </w:rPr>
            </w:r>
            <w:r>
              <w:rPr>
                <w:noProof/>
                <w:webHidden/>
              </w:rPr>
              <w:fldChar w:fldCharType="separate"/>
            </w:r>
            <w:r>
              <w:rPr>
                <w:noProof/>
                <w:webHidden/>
              </w:rPr>
              <w:t>107</w:t>
            </w:r>
            <w:r>
              <w:rPr>
                <w:noProof/>
                <w:webHidden/>
              </w:rPr>
              <w:fldChar w:fldCharType="end"/>
            </w:r>
          </w:hyperlink>
        </w:p>
        <w:p w14:paraId="569296C7" w14:textId="7A9D67AF" w:rsidR="003C7152" w:rsidRDefault="003C7152">
          <w:pPr>
            <w:pStyle w:val="TOC3"/>
            <w:tabs>
              <w:tab w:val="left" w:pos="1320"/>
              <w:tab w:val="right" w:leader="dot" w:pos="9016"/>
            </w:tabs>
            <w:rPr>
              <w:rFonts w:asciiTheme="minorHAnsi" w:eastAsiaTheme="minorEastAsia" w:hAnsiTheme="minorHAnsi"/>
              <w:noProof/>
              <w:lang w:eastAsia="en-AU"/>
            </w:rPr>
          </w:pPr>
          <w:hyperlink w:anchor="_Toc118824413" w:history="1">
            <w:r w:rsidRPr="00C80991">
              <w:rPr>
                <w:rStyle w:val="Hyperlink"/>
                <w:noProof/>
              </w:rPr>
              <w:t>9.3.3</w:t>
            </w:r>
            <w:r>
              <w:rPr>
                <w:rFonts w:asciiTheme="minorHAnsi" w:eastAsiaTheme="minorEastAsia" w:hAnsiTheme="minorHAnsi"/>
                <w:noProof/>
                <w:lang w:eastAsia="en-AU"/>
              </w:rPr>
              <w:tab/>
            </w:r>
            <w:r w:rsidRPr="00C80991">
              <w:rPr>
                <w:rStyle w:val="Hyperlink"/>
                <w:noProof/>
              </w:rPr>
              <w:t>Te Mata Ira: Guidelines for Genomic Research with Māori</w:t>
            </w:r>
            <w:r>
              <w:rPr>
                <w:noProof/>
                <w:webHidden/>
              </w:rPr>
              <w:tab/>
            </w:r>
            <w:r>
              <w:rPr>
                <w:noProof/>
                <w:webHidden/>
              </w:rPr>
              <w:fldChar w:fldCharType="begin"/>
            </w:r>
            <w:r>
              <w:rPr>
                <w:noProof/>
                <w:webHidden/>
              </w:rPr>
              <w:instrText xml:space="preserve"> PAGEREF _Toc118824413 \h </w:instrText>
            </w:r>
            <w:r>
              <w:rPr>
                <w:noProof/>
                <w:webHidden/>
              </w:rPr>
            </w:r>
            <w:r>
              <w:rPr>
                <w:noProof/>
                <w:webHidden/>
              </w:rPr>
              <w:fldChar w:fldCharType="separate"/>
            </w:r>
            <w:r>
              <w:rPr>
                <w:noProof/>
                <w:webHidden/>
              </w:rPr>
              <w:t>108</w:t>
            </w:r>
            <w:r>
              <w:rPr>
                <w:noProof/>
                <w:webHidden/>
              </w:rPr>
              <w:fldChar w:fldCharType="end"/>
            </w:r>
          </w:hyperlink>
        </w:p>
        <w:p w14:paraId="50AF3419" w14:textId="10B2A37B" w:rsidR="003C7152" w:rsidRDefault="003C7152">
          <w:pPr>
            <w:pStyle w:val="TOC1"/>
            <w:tabs>
              <w:tab w:val="left" w:pos="660"/>
              <w:tab w:val="right" w:leader="dot" w:pos="9016"/>
            </w:tabs>
            <w:rPr>
              <w:rFonts w:asciiTheme="minorHAnsi" w:eastAsiaTheme="minorEastAsia" w:hAnsiTheme="minorHAnsi"/>
              <w:noProof/>
              <w:lang w:eastAsia="en-AU"/>
            </w:rPr>
          </w:pPr>
          <w:hyperlink w:anchor="_Toc118824414" w:history="1">
            <w:r w:rsidRPr="00C80991">
              <w:rPr>
                <w:rStyle w:val="Hyperlink"/>
                <w:noProof/>
              </w:rPr>
              <w:t>10</w:t>
            </w:r>
            <w:r>
              <w:rPr>
                <w:rFonts w:asciiTheme="minorHAnsi" w:eastAsiaTheme="minorEastAsia" w:hAnsiTheme="minorHAnsi"/>
                <w:noProof/>
                <w:lang w:eastAsia="en-AU"/>
              </w:rPr>
              <w:tab/>
            </w:r>
            <w:r w:rsidRPr="00C80991">
              <w:rPr>
                <w:rStyle w:val="Hyperlink"/>
                <w:noProof/>
              </w:rPr>
              <w:t>Conclusion: Opportunities for improvement</w:t>
            </w:r>
            <w:r>
              <w:rPr>
                <w:noProof/>
                <w:webHidden/>
              </w:rPr>
              <w:tab/>
            </w:r>
            <w:r>
              <w:rPr>
                <w:noProof/>
                <w:webHidden/>
              </w:rPr>
              <w:fldChar w:fldCharType="begin"/>
            </w:r>
            <w:r>
              <w:rPr>
                <w:noProof/>
                <w:webHidden/>
              </w:rPr>
              <w:instrText xml:space="preserve"> PAGEREF _Toc118824414 \h </w:instrText>
            </w:r>
            <w:r>
              <w:rPr>
                <w:noProof/>
                <w:webHidden/>
              </w:rPr>
            </w:r>
            <w:r>
              <w:rPr>
                <w:noProof/>
                <w:webHidden/>
              </w:rPr>
              <w:fldChar w:fldCharType="separate"/>
            </w:r>
            <w:r>
              <w:rPr>
                <w:noProof/>
                <w:webHidden/>
              </w:rPr>
              <w:t>110</w:t>
            </w:r>
            <w:r>
              <w:rPr>
                <w:noProof/>
                <w:webHidden/>
              </w:rPr>
              <w:fldChar w:fldCharType="end"/>
            </w:r>
          </w:hyperlink>
        </w:p>
        <w:p w14:paraId="6C6E7AD2" w14:textId="119ACA04" w:rsidR="003C7152" w:rsidRDefault="003C7152">
          <w:pPr>
            <w:pStyle w:val="TOC1"/>
            <w:tabs>
              <w:tab w:val="left" w:pos="660"/>
              <w:tab w:val="right" w:leader="dot" w:pos="9016"/>
            </w:tabs>
            <w:rPr>
              <w:rFonts w:asciiTheme="minorHAnsi" w:eastAsiaTheme="minorEastAsia" w:hAnsiTheme="minorHAnsi"/>
              <w:noProof/>
              <w:lang w:eastAsia="en-AU"/>
            </w:rPr>
          </w:pPr>
          <w:hyperlink w:anchor="_Toc118824415" w:history="1">
            <w:r w:rsidRPr="00C80991">
              <w:rPr>
                <w:rStyle w:val="Hyperlink"/>
                <w:noProof/>
              </w:rPr>
              <w:t>11</w:t>
            </w:r>
            <w:r>
              <w:rPr>
                <w:rFonts w:asciiTheme="minorHAnsi" w:eastAsiaTheme="minorEastAsia" w:hAnsiTheme="minorHAnsi"/>
                <w:noProof/>
                <w:lang w:eastAsia="en-AU"/>
              </w:rPr>
              <w:tab/>
            </w:r>
            <w:r w:rsidRPr="00C80991">
              <w:rPr>
                <w:rStyle w:val="Hyperlink"/>
                <w:noProof/>
              </w:rPr>
              <w:t>References</w:t>
            </w:r>
            <w:r>
              <w:rPr>
                <w:noProof/>
                <w:webHidden/>
              </w:rPr>
              <w:tab/>
            </w:r>
            <w:r>
              <w:rPr>
                <w:noProof/>
                <w:webHidden/>
              </w:rPr>
              <w:fldChar w:fldCharType="begin"/>
            </w:r>
            <w:r>
              <w:rPr>
                <w:noProof/>
                <w:webHidden/>
              </w:rPr>
              <w:instrText xml:space="preserve"> PAGEREF _Toc118824415 \h </w:instrText>
            </w:r>
            <w:r>
              <w:rPr>
                <w:noProof/>
                <w:webHidden/>
              </w:rPr>
            </w:r>
            <w:r>
              <w:rPr>
                <w:noProof/>
                <w:webHidden/>
              </w:rPr>
              <w:fldChar w:fldCharType="separate"/>
            </w:r>
            <w:r>
              <w:rPr>
                <w:noProof/>
                <w:webHidden/>
              </w:rPr>
              <w:t>114</w:t>
            </w:r>
            <w:r>
              <w:rPr>
                <w:noProof/>
                <w:webHidden/>
              </w:rPr>
              <w:fldChar w:fldCharType="end"/>
            </w:r>
          </w:hyperlink>
        </w:p>
        <w:p w14:paraId="656ABF07" w14:textId="695A12CC" w:rsidR="003C7152" w:rsidRDefault="003C7152">
          <w:pPr>
            <w:pStyle w:val="TOC2"/>
            <w:tabs>
              <w:tab w:val="right" w:leader="dot" w:pos="9016"/>
            </w:tabs>
            <w:rPr>
              <w:rFonts w:asciiTheme="minorHAnsi" w:eastAsiaTheme="minorEastAsia" w:hAnsiTheme="minorHAnsi"/>
              <w:noProof/>
              <w:lang w:eastAsia="en-AU"/>
            </w:rPr>
          </w:pPr>
          <w:hyperlink w:anchor="_Toc118824416" w:history="1">
            <w:r w:rsidRPr="00C80991">
              <w:rPr>
                <w:rStyle w:val="Hyperlink"/>
                <w:noProof/>
              </w:rPr>
              <w:t>A Articles/Books/Reports</w:t>
            </w:r>
            <w:r>
              <w:rPr>
                <w:noProof/>
                <w:webHidden/>
              </w:rPr>
              <w:tab/>
            </w:r>
            <w:r>
              <w:rPr>
                <w:noProof/>
                <w:webHidden/>
              </w:rPr>
              <w:fldChar w:fldCharType="begin"/>
            </w:r>
            <w:r>
              <w:rPr>
                <w:noProof/>
                <w:webHidden/>
              </w:rPr>
              <w:instrText xml:space="preserve"> PAGEREF _Toc118824416 \h </w:instrText>
            </w:r>
            <w:r>
              <w:rPr>
                <w:noProof/>
                <w:webHidden/>
              </w:rPr>
            </w:r>
            <w:r>
              <w:rPr>
                <w:noProof/>
                <w:webHidden/>
              </w:rPr>
              <w:fldChar w:fldCharType="separate"/>
            </w:r>
            <w:r>
              <w:rPr>
                <w:noProof/>
                <w:webHidden/>
              </w:rPr>
              <w:t>114</w:t>
            </w:r>
            <w:r>
              <w:rPr>
                <w:noProof/>
                <w:webHidden/>
              </w:rPr>
              <w:fldChar w:fldCharType="end"/>
            </w:r>
          </w:hyperlink>
        </w:p>
        <w:p w14:paraId="4B2F4962" w14:textId="1899E065" w:rsidR="003C7152" w:rsidRDefault="003C7152">
          <w:pPr>
            <w:pStyle w:val="TOC2"/>
            <w:tabs>
              <w:tab w:val="right" w:leader="dot" w:pos="9016"/>
            </w:tabs>
            <w:rPr>
              <w:rFonts w:asciiTheme="minorHAnsi" w:eastAsiaTheme="minorEastAsia" w:hAnsiTheme="minorHAnsi"/>
              <w:noProof/>
              <w:lang w:eastAsia="en-AU"/>
            </w:rPr>
          </w:pPr>
          <w:hyperlink w:anchor="_Toc118824417" w:history="1">
            <w:r w:rsidRPr="00C80991">
              <w:rPr>
                <w:rStyle w:val="Hyperlink"/>
                <w:noProof/>
              </w:rPr>
              <w:t>B Cases</w:t>
            </w:r>
            <w:r>
              <w:rPr>
                <w:noProof/>
                <w:webHidden/>
              </w:rPr>
              <w:tab/>
            </w:r>
            <w:r>
              <w:rPr>
                <w:noProof/>
                <w:webHidden/>
              </w:rPr>
              <w:fldChar w:fldCharType="begin"/>
            </w:r>
            <w:r>
              <w:rPr>
                <w:noProof/>
                <w:webHidden/>
              </w:rPr>
              <w:instrText xml:space="preserve"> PAGEREF _Toc118824417 \h </w:instrText>
            </w:r>
            <w:r>
              <w:rPr>
                <w:noProof/>
                <w:webHidden/>
              </w:rPr>
            </w:r>
            <w:r>
              <w:rPr>
                <w:noProof/>
                <w:webHidden/>
              </w:rPr>
              <w:fldChar w:fldCharType="separate"/>
            </w:r>
            <w:r>
              <w:rPr>
                <w:noProof/>
                <w:webHidden/>
              </w:rPr>
              <w:t>115</w:t>
            </w:r>
            <w:r>
              <w:rPr>
                <w:noProof/>
                <w:webHidden/>
              </w:rPr>
              <w:fldChar w:fldCharType="end"/>
            </w:r>
          </w:hyperlink>
        </w:p>
        <w:p w14:paraId="701F0645" w14:textId="3BFD90FD" w:rsidR="003C7152" w:rsidRDefault="003C7152">
          <w:pPr>
            <w:pStyle w:val="TOC2"/>
            <w:tabs>
              <w:tab w:val="right" w:leader="dot" w:pos="9016"/>
            </w:tabs>
            <w:rPr>
              <w:rFonts w:asciiTheme="minorHAnsi" w:eastAsiaTheme="minorEastAsia" w:hAnsiTheme="minorHAnsi"/>
              <w:noProof/>
              <w:lang w:eastAsia="en-AU"/>
            </w:rPr>
          </w:pPr>
          <w:hyperlink w:anchor="_Toc118824418" w:history="1">
            <w:r w:rsidRPr="00C80991">
              <w:rPr>
                <w:rStyle w:val="Hyperlink"/>
                <w:noProof/>
              </w:rPr>
              <w:t>C Legislation</w:t>
            </w:r>
            <w:r>
              <w:rPr>
                <w:noProof/>
                <w:webHidden/>
              </w:rPr>
              <w:tab/>
            </w:r>
            <w:r>
              <w:rPr>
                <w:noProof/>
                <w:webHidden/>
              </w:rPr>
              <w:fldChar w:fldCharType="begin"/>
            </w:r>
            <w:r>
              <w:rPr>
                <w:noProof/>
                <w:webHidden/>
              </w:rPr>
              <w:instrText xml:space="preserve"> PAGEREF _Toc118824418 \h </w:instrText>
            </w:r>
            <w:r>
              <w:rPr>
                <w:noProof/>
                <w:webHidden/>
              </w:rPr>
            </w:r>
            <w:r>
              <w:rPr>
                <w:noProof/>
                <w:webHidden/>
              </w:rPr>
              <w:fldChar w:fldCharType="separate"/>
            </w:r>
            <w:r>
              <w:rPr>
                <w:noProof/>
                <w:webHidden/>
              </w:rPr>
              <w:t>117</w:t>
            </w:r>
            <w:r>
              <w:rPr>
                <w:noProof/>
                <w:webHidden/>
              </w:rPr>
              <w:fldChar w:fldCharType="end"/>
            </w:r>
          </w:hyperlink>
        </w:p>
        <w:p w14:paraId="714084D1" w14:textId="3E084D3B" w:rsidR="003C7152" w:rsidRDefault="003C7152">
          <w:pPr>
            <w:pStyle w:val="TOC2"/>
            <w:tabs>
              <w:tab w:val="right" w:leader="dot" w:pos="9016"/>
            </w:tabs>
            <w:rPr>
              <w:rFonts w:asciiTheme="minorHAnsi" w:eastAsiaTheme="minorEastAsia" w:hAnsiTheme="minorHAnsi"/>
              <w:noProof/>
              <w:lang w:eastAsia="en-AU"/>
            </w:rPr>
          </w:pPr>
          <w:hyperlink w:anchor="_Toc118824419" w:history="1">
            <w:r w:rsidRPr="00C80991">
              <w:rPr>
                <w:rStyle w:val="Hyperlink"/>
                <w:noProof/>
              </w:rPr>
              <w:t>D Treaties</w:t>
            </w:r>
            <w:r>
              <w:rPr>
                <w:noProof/>
                <w:webHidden/>
              </w:rPr>
              <w:tab/>
            </w:r>
            <w:r>
              <w:rPr>
                <w:noProof/>
                <w:webHidden/>
              </w:rPr>
              <w:fldChar w:fldCharType="begin"/>
            </w:r>
            <w:r>
              <w:rPr>
                <w:noProof/>
                <w:webHidden/>
              </w:rPr>
              <w:instrText xml:space="preserve"> PAGEREF _Toc118824419 \h </w:instrText>
            </w:r>
            <w:r>
              <w:rPr>
                <w:noProof/>
                <w:webHidden/>
              </w:rPr>
            </w:r>
            <w:r>
              <w:rPr>
                <w:noProof/>
                <w:webHidden/>
              </w:rPr>
              <w:fldChar w:fldCharType="separate"/>
            </w:r>
            <w:r>
              <w:rPr>
                <w:noProof/>
                <w:webHidden/>
              </w:rPr>
              <w:t>118</w:t>
            </w:r>
            <w:r>
              <w:rPr>
                <w:noProof/>
                <w:webHidden/>
              </w:rPr>
              <w:fldChar w:fldCharType="end"/>
            </w:r>
          </w:hyperlink>
        </w:p>
        <w:p w14:paraId="53343A97" w14:textId="4B100653" w:rsidR="003C7152" w:rsidRDefault="003C7152">
          <w:pPr>
            <w:pStyle w:val="TOC2"/>
            <w:tabs>
              <w:tab w:val="right" w:leader="dot" w:pos="9016"/>
            </w:tabs>
            <w:rPr>
              <w:rFonts w:asciiTheme="minorHAnsi" w:eastAsiaTheme="minorEastAsia" w:hAnsiTheme="minorHAnsi"/>
              <w:noProof/>
              <w:lang w:eastAsia="en-AU"/>
            </w:rPr>
          </w:pPr>
          <w:hyperlink w:anchor="_Toc118824420" w:history="1">
            <w:r w:rsidRPr="00C80991">
              <w:rPr>
                <w:rStyle w:val="Hyperlink"/>
                <w:noProof/>
              </w:rPr>
              <w:t>E Internet Materials</w:t>
            </w:r>
            <w:r>
              <w:rPr>
                <w:noProof/>
                <w:webHidden/>
              </w:rPr>
              <w:tab/>
            </w:r>
            <w:r>
              <w:rPr>
                <w:noProof/>
                <w:webHidden/>
              </w:rPr>
              <w:fldChar w:fldCharType="begin"/>
            </w:r>
            <w:r>
              <w:rPr>
                <w:noProof/>
                <w:webHidden/>
              </w:rPr>
              <w:instrText xml:space="preserve"> PAGEREF _Toc118824420 \h </w:instrText>
            </w:r>
            <w:r>
              <w:rPr>
                <w:noProof/>
                <w:webHidden/>
              </w:rPr>
            </w:r>
            <w:r>
              <w:rPr>
                <w:noProof/>
                <w:webHidden/>
              </w:rPr>
              <w:fldChar w:fldCharType="separate"/>
            </w:r>
            <w:r>
              <w:rPr>
                <w:noProof/>
                <w:webHidden/>
              </w:rPr>
              <w:t>118</w:t>
            </w:r>
            <w:r>
              <w:rPr>
                <w:noProof/>
                <w:webHidden/>
              </w:rPr>
              <w:fldChar w:fldCharType="end"/>
            </w:r>
          </w:hyperlink>
        </w:p>
        <w:p w14:paraId="15B885A7" w14:textId="610E29CA" w:rsidR="003C7152" w:rsidRDefault="003C7152">
          <w:pPr>
            <w:pStyle w:val="TOC2"/>
            <w:tabs>
              <w:tab w:val="right" w:leader="dot" w:pos="9016"/>
            </w:tabs>
            <w:rPr>
              <w:rFonts w:asciiTheme="minorHAnsi" w:eastAsiaTheme="minorEastAsia" w:hAnsiTheme="minorHAnsi"/>
              <w:noProof/>
              <w:lang w:eastAsia="en-AU"/>
            </w:rPr>
          </w:pPr>
          <w:hyperlink w:anchor="_Toc118824421" w:history="1">
            <w:r w:rsidRPr="00C80991">
              <w:rPr>
                <w:rStyle w:val="Hyperlink"/>
                <w:noProof/>
              </w:rPr>
              <w:t xml:space="preserve">F Guidelines and </w:t>
            </w:r>
            <w:r w:rsidRPr="00C80991">
              <w:rPr>
                <w:rStyle w:val="Hyperlink"/>
                <w:iCs/>
                <w:noProof/>
              </w:rPr>
              <w:t>Codes of Conduct</w:t>
            </w:r>
            <w:r>
              <w:rPr>
                <w:noProof/>
                <w:webHidden/>
              </w:rPr>
              <w:tab/>
            </w:r>
            <w:r>
              <w:rPr>
                <w:noProof/>
                <w:webHidden/>
              </w:rPr>
              <w:fldChar w:fldCharType="begin"/>
            </w:r>
            <w:r>
              <w:rPr>
                <w:noProof/>
                <w:webHidden/>
              </w:rPr>
              <w:instrText xml:space="preserve"> PAGEREF _Toc118824421 \h </w:instrText>
            </w:r>
            <w:r>
              <w:rPr>
                <w:noProof/>
                <w:webHidden/>
              </w:rPr>
            </w:r>
            <w:r>
              <w:rPr>
                <w:noProof/>
                <w:webHidden/>
              </w:rPr>
              <w:fldChar w:fldCharType="separate"/>
            </w:r>
            <w:r>
              <w:rPr>
                <w:noProof/>
                <w:webHidden/>
              </w:rPr>
              <w:t>120</w:t>
            </w:r>
            <w:r>
              <w:rPr>
                <w:noProof/>
                <w:webHidden/>
              </w:rPr>
              <w:fldChar w:fldCharType="end"/>
            </w:r>
          </w:hyperlink>
        </w:p>
        <w:p w14:paraId="62EC267E" w14:textId="557C279E" w:rsidR="003C7152" w:rsidRDefault="003C7152">
          <w:pPr>
            <w:pStyle w:val="TOC2"/>
            <w:tabs>
              <w:tab w:val="right" w:leader="dot" w:pos="9016"/>
            </w:tabs>
            <w:rPr>
              <w:rFonts w:asciiTheme="minorHAnsi" w:eastAsiaTheme="minorEastAsia" w:hAnsiTheme="minorHAnsi"/>
              <w:noProof/>
              <w:lang w:eastAsia="en-AU"/>
            </w:rPr>
          </w:pPr>
          <w:hyperlink w:anchor="_Toc118824422" w:history="1">
            <w:r w:rsidRPr="00C80991">
              <w:rPr>
                <w:rStyle w:val="Hyperlink"/>
                <w:noProof/>
              </w:rPr>
              <w:t>G International Legal Instruments and Sources</w:t>
            </w:r>
            <w:r>
              <w:rPr>
                <w:noProof/>
                <w:webHidden/>
              </w:rPr>
              <w:tab/>
            </w:r>
            <w:r>
              <w:rPr>
                <w:noProof/>
                <w:webHidden/>
              </w:rPr>
              <w:fldChar w:fldCharType="begin"/>
            </w:r>
            <w:r>
              <w:rPr>
                <w:noProof/>
                <w:webHidden/>
              </w:rPr>
              <w:instrText xml:space="preserve"> PAGEREF _Toc118824422 \h </w:instrText>
            </w:r>
            <w:r>
              <w:rPr>
                <w:noProof/>
                <w:webHidden/>
              </w:rPr>
            </w:r>
            <w:r>
              <w:rPr>
                <w:noProof/>
                <w:webHidden/>
              </w:rPr>
              <w:fldChar w:fldCharType="separate"/>
            </w:r>
            <w:r>
              <w:rPr>
                <w:noProof/>
                <w:webHidden/>
              </w:rPr>
              <w:t>120</w:t>
            </w:r>
            <w:r>
              <w:rPr>
                <w:noProof/>
                <w:webHidden/>
              </w:rPr>
              <w:fldChar w:fldCharType="end"/>
            </w:r>
          </w:hyperlink>
        </w:p>
        <w:p w14:paraId="188D8CE9" w14:textId="47EBEFD2" w:rsidR="003C7152" w:rsidRDefault="003C7152">
          <w:pPr>
            <w:pStyle w:val="TOC2"/>
            <w:tabs>
              <w:tab w:val="right" w:leader="dot" w:pos="9016"/>
            </w:tabs>
            <w:rPr>
              <w:rFonts w:asciiTheme="minorHAnsi" w:eastAsiaTheme="minorEastAsia" w:hAnsiTheme="minorHAnsi"/>
              <w:noProof/>
              <w:lang w:eastAsia="en-AU"/>
            </w:rPr>
          </w:pPr>
          <w:hyperlink w:anchor="_Toc118824423" w:history="1">
            <w:r w:rsidRPr="00C80991">
              <w:rPr>
                <w:rStyle w:val="Hyperlink"/>
                <w:noProof/>
              </w:rPr>
              <w:t>H Other</w:t>
            </w:r>
            <w:r>
              <w:rPr>
                <w:noProof/>
                <w:webHidden/>
              </w:rPr>
              <w:tab/>
            </w:r>
            <w:r>
              <w:rPr>
                <w:noProof/>
                <w:webHidden/>
              </w:rPr>
              <w:fldChar w:fldCharType="begin"/>
            </w:r>
            <w:r>
              <w:rPr>
                <w:noProof/>
                <w:webHidden/>
              </w:rPr>
              <w:instrText xml:space="preserve"> PAGEREF _Toc118824423 \h </w:instrText>
            </w:r>
            <w:r>
              <w:rPr>
                <w:noProof/>
                <w:webHidden/>
              </w:rPr>
            </w:r>
            <w:r>
              <w:rPr>
                <w:noProof/>
                <w:webHidden/>
              </w:rPr>
              <w:fldChar w:fldCharType="separate"/>
            </w:r>
            <w:r>
              <w:rPr>
                <w:noProof/>
                <w:webHidden/>
              </w:rPr>
              <w:t>121</w:t>
            </w:r>
            <w:r>
              <w:rPr>
                <w:noProof/>
                <w:webHidden/>
              </w:rPr>
              <w:fldChar w:fldCharType="end"/>
            </w:r>
          </w:hyperlink>
        </w:p>
        <w:p w14:paraId="69F27D7C" w14:textId="09639805" w:rsidR="00E06EB4" w:rsidRDefault="00E06EB4">
          <w:r>
            <w:rPr>
              <w:b/>
              <w:bCs/>
              <w:noProof/>
            </w:rPr>
            <w:fldChar w:fldCharType="end"/>
          </w:r>
        </w:p>
      </w:sdtContent>
    </w:sdt>
    <w:p w14:paraId="090D2217" w14:textId="1BD0F754" w:rsidR="00094828" w:rsidRPr="008E5C92" w:rsidRDefault="00094828" w:rsidP="00FF0989">
      <w:pPr>
        <w:pStyle w:val="Heading1"/>
        <w:pageBreakBefore/>
        <w:rPr>
          <w:lang w:val="en-AU"/>
        </w:rPr>
      </w:pPr>
      <w:bookmarkStart w:id="1" w:name="_Toc118824284"/>
      <w:r w:rsidRPr="008E5C92">
        <w:rPr>
          <w:lang w:val="en-AU"/>
        </w:rPr>
        <w:lastRenderedPageBreak/>
        <w:t>Introduction</w:t>
      </w:r>
      <w:bookmarkEnd w:id="1"/>
    </w:p>
    <w:p w14:paraId="2D41A797" w14:textId="17732426" w:rsidR="00094828" w:rsidRPr="008E5C92" w:rsidRDefault="00094828" w:rsidP="00AC73DF">
      <w:pPr>
        <w:pStyle w:val="Heading2"/>
        <w:rPr>
          <w:lang w:val="en-AU"/>
        </w:rPr>
      </w:pPr>
      <w:bookmarkStart w:id="2" w:name="_Toc118824285"/>
      <w:r w:rsidRPr="008E5C92">
        <w:rPr>
          <w:lang w:val="en-AU"/>
        </w:rPr>
        <w:t>About this report</w:t>
      </w:r>
      <w:bookmarkEnd w:id="2"/>
      <w:r w:rsidR="00AB53F2">
        <w:rPr>
          <w:lang w:val="en-AU"/>
        </w:rPr>
        <w:t xml:space="preserve"> </w:t>
      </w:r>
    </w:p>
    <w:p w14:paraId="5C98B8AB" w14:textId="6C5CC24B" w:rsidR="0045096D" w:rsidRDefault="0045096D" w:rsidP="00A24315">
      <w:r>
        <w:t xml:space="preserve">The Department of Health </w:t>
      </w:r>
      <w:r w:rsidR="00594F1B">
        <w:t xml:space="preserve">(the Department) </w:t>
      </w:r>
      <w:r>
        <w:t>has commissioned Terri Janke and Company</w:t>
      </w:r>
      <w:r w:rsidR="00791244">
        <w:t xml:space="preserve"> to prepare this issues paper </w:t>
      </w:r>
      <w:r w:rsidR="002D54E9">
        <w:t xml:space="preserve">on the </w:t>
      </w:r>
      <w:r w:rsidR="00900D37">
        <w:t xml:space="preserve">legal, ethical and social issues </w:t>
      </w:r>
      <w:r w:rsidR="004C7762">
        <w:t xml:space="preserve">relevant to </w:t>
      </w:r>
      <w:r w:rsidR="007A4BA4">
        <w:t xml:space="preserve">the collection and use of </w:t>
      </w:r>
      <w:r w:rsidR="004C7762">
        <w:t xml:space="preserve">Indigenous </w:t>
      </w:r>
      <w:r w:rsidR="009A572C">
        <w:t>h</w:t>
      </w:r>
      <w:r w:rsidR="004C7762">
        <w:t xml:space="preserve">ealth </w:t>
      </w:r>
      <w:r w:rsidR="009A572C">
        <w:t>g</w:t>
      </w:r>
      <w:r w:rsidR="004C7762">
        <w:t>enomics</w:t>
      </w:r>
      <w:r w:rsidR="00A17123">
        <w:t xml:space="preserve"> samples and</w:t>
      </w:r>
      <w:r w:rsidR="004C7762">
        <w:t xml:space="preserve"> information</w:t>
      </w:r>
      <w:r w:rsidR="009D2D01">
        <w:t xml:space="preserve">. </w:t>
      </w:r>
      <w:r w:rsidR="00167C3E">
        <w:t>Terri Janke and Company</w:t>
      </w:r>
      <w:r w:rsidR="00034621">
        <w:t xml:space="preserve"> (TJC)</w:t>
      </w:r>
      <w:r w:rsidR="00167C3E">
        <w:t xml:space="preserve"> is an </w:t>
      </w:r>
      <w:r w:rsidR="00F27B58">
        <w:t xml:space="preserve">Indigenous owned </w:t>
      </w:r>
      <w:r w:rsidR="0026433C">
        <w:t xml:space="preserve">and run law firm. </w:t>
      </w:r>
      <w:r w:rsidR="00476AD5">
        <w:t>TJC has been operating for 20 years</w:t>
      </w:r>
      <w:r w:rsidR="00C25941">
        <w:t xml:space="preserve">, specialising in commercial law, </w:t>
      </w:r>
      <w:r w:rsidR="00791D5E">
        <w:t>I</w:t>
      </w:r>
      <w:r w:rsidR="00C25941">
        <w:t xml:space="preserve">ntellectual </w:t>
      </w:r>
      <w:r w:rsidR="00791D5E">
        <w:t>P</w:t>
      </w:r>
      <w:r w:rsidR="00C25941">
        <w:t xml:space="preserve">roperty law </w:t>
      </w:r>
      <w:r w:rsidR="00791D5E">
        <w:t xml:space="preserve">(IP) </w:t>
      </w:r>
      <w:r w:rsidR="00C25941">
        <w:t xml:space="preserve">and Indigenous Cultural and Intellectual Property (ICIP). </w:t>
      </w:r>
    </w:p>
    <w:p w14:paraId="526DE4BA" w14:textId="772410AC" w:rsidR="00900D37" w:rsidRDefault="008D1513" w:rsidP="00AC73DF">
      <w:r>
        <w:t xml:space="preserve">This issues paper identifies </w:t>
      </w:r>
      <w:r w:rsidR="00791D5E">
        <w:t xml:space="preserve">the </w:t>
      </w:r>
      <w:r w:rsidR="002D030B">
        <w:t xml:space="preserve">legal </w:t>
      </w:r>
      <w:r w:rsidR="00791D5E">
        <w:t xml:space="preserve">issues </w:t>
      </w:r>
      <w:r w:rsidR="00C34E33">
        <w:t xml:space="preserve">arising from the collection and use of </w:t>
      </w:r>
      <w:r w:rsidR="00BD193C">
        <w:t xml:space="preserve">Aboriginal and Torres Strait Islander </w:t>
      </w:r>
      <w:r w:rsidR="00C34E33">
        <w:t xml:space="preserve">genomic </w:t>
      </w:r>
      <w:r w:rsidR="009A572C">
        <w:t xml:space="preserve">samples and </w:t>
      </w:r>
      <w:r w:rsidR="00C34E33">
        <w:t xml:space="preserve">information in the clinical and research settings. </w:t>
      </w:r>
      <w:r w:rsidR="005247DC">
        <w:t>It focuses on the current and emerging ethical, legal</w:t>
      </w:r>
      <w:r w:rsidR="00540A58">
        <w:t xml:space="preserve">, </w:t>
      </w:r>
      <w:r w:rsidR="005247DC">
        <w:t>social</w:t>
      </w:r>
      <w:r w:rsidR="00540A58">
        <w:t xml:space="preserve"> and cultural</w:t>
      </w:r>
      <w:r w:rsidR="005247DC">
        <w:t xml:space="preserve"> issues</w:t>
      </w:r>
      <w:r w:rsidR="00F945D6">
        <w:t>, identified by Aboriginal and Torres Strait Islander stakeholder</w:t>
      </w:r>
      <w:r w:rsidR="00346AF9">
        <w:t>s</w:t>
      </w:r>
      <w:r w:rsidR="00840D10">
        <w:t xml:space="preserve">. </w:t>
      </w:r>
      <w:r w:rsidR="00540A58">
        <w:t xml:space="preserve">This includes the issues related to community engagement, governance, consent, sharing, privacy, </w:t>
      </w:r>
      <w:r w:rsidR="00B044EF">
        <w:t xml:space="preserve">disclosure, discrimination, commercialisation, ownership, return of benefit </w:t>
      </w:r>
      <w:r w:rsidR="0007342E">
        <w:t xml:space="preserve">and management of personal genomic information </w:t>
      </w:r>
    </w:p>
    <w:p w14:paraId="146E48CE" w14:textId="001A5E6E" w:rsidR="00162086" w:rsidRDefault="00221D70" w:rsidP="00AC73DF">
      <w:r>
        <w:t>TJC undertook a</w:t>
      </w:r>
      <w:r w:rsidR="00222B48">
        <w:t xml:space="preserve">n </w:t>
      </w:r>
      <w:r>
        <w:t xml:space="preserve">assessment of </w:t>
      </w:r>
      <w:r w:rsidR="00346135">
        <w:t>national and international literature and legislation</w:t>
      </w:r>
      <w:r w:rsidR="00165CB8">
        <w:t>;</w:t>
      </w:r>
      <w:r w:rsidR="00346135">
        <w:t xml:space="preserve"> </w:t>
      </w:r>
      <w:r w:rsidR="007E328C">
        <w:t xml:space="preserve">and </w:t>
      </w:r>
      <w:r w:rsidR="007067E4">
        <w:t>consulted</w:t>
      </w:r>
      <w:r w:rsidR="007E328C">
        <w:t xml:space="preserve"> </w:t>
      </w:r>
      <w:r w:rsidR="00E70437">
        <w:t>stakeholder</w:t>
      </w:r>
      <w:r w:rsidR="007067E4">
        <w:t>s</w:t>
      </w:r>
      <w:r w:rsidR="00B9041A">
        <w:t xml:space="preserve"> </w:t>
      </w:r>
      <w:r w:rsidR="009D7BAC">
        <w:t xml:space="preserve">including with the </w:t>
      </w:r>
      <w:r w:rsidR="00594F1B">
        <w:t xml:space="preserve">Department’s </w:t>
      </w:r>
      <w:r w:rsidR="00C81C6E">
        <w:t xml:space="preserve">Aboriginal and Torres Strait Islander Advisory Group </w:t>
      </w:r>
      <w:r w:rsidR="001171EC">
        <w:t>(the Advisory Group)</w:t>
      </w:r>
      <w:r w:rsidR="0029074F">
        <w:t xml:space="preserve"> and with the leaders on the related </w:t>
      </w:r>
      <w:r w:rsidR="002A4BF3">
        <w:t>projects</w:t>
      </w:r>
      <w:r w:rsidR="00507549">
        <w:t>:</w:t>
      </w:r>
    </w:p>
    <w:p w14:paraId="599A6B39" w14:textId="066D755D" w:rsidR="00507549" w:rsidRDefault="00507549" w:rsidP="00240F94">
      <w:pPr>
        <w:pStyle w:val="ListBullet"/>
      </w:pPr>
      <w:r>
        <w:t xml:space="preserve">The Ethical, </w:t>
      </w:r>
      <w:r w:rsidR="000D1203">
        <w:t>L</w:t>
      </w:r>
      <w:r>
        <w:t xml:space="preserve">egal and </w:t>
      </w:r>
      <w:r w:rsidR="000D1203">
        <w:t>S</w:t>
      </w:r>
      <w:r>
        <w:t xml:space="preserve">ocial Project Team </w:t>
      </w:r>
      <w:r w:rsidR="00D06426">
        <w:t xml:space="preserve">from the University of Tasmania and the University of Melbourne, and </w:t>
      </w:r>
    </w:p>
    <w:p w14:paraId="7B0DBA66" w14:textId="6B936488" w:rsidR="00900D37" w:rsidRDefault="00EC64B7" w:rsidP="00240F94">
      <w:pPr>
        <w:pStyle w:val="ListBullet"/>
      </w:pPr>
      <w:r>
        <w:t>The Environmental Scan Project Team, led by Ka</w:t>
      </w:r>
      <w:r w:rsidR="00227C62">
        <w:t xml:space="preserve">rabena Consulting </w:t>
      </w:r>
    </w:p>
    <w:p w14:paraId="39AF409E" w14:textId="6C3E2427" w:rsidR="00173149" w:rsidRPr="008E5C92" w:rsidRDefault="00173149" w:rsidP="00AC73DF">
      <w:pPr>
        <w:pStyle w:val="Heading2"/>
        <w:rPr>
          <w:lang w:val="en-AU"/>
        </w:rPr>
      </w:pPr>
      <w:bookmarkStart w:id="3" w:name="_Toc118824286"/>
      <w:r w:rsidRPr="008E5C92">
        <w:rPr>
          <w:lang w:val="en-AU"/>
        </w:rPr>
        <w:t>Who is it for?</w:t>
      </w:r>
      <w:bookmarkEnd w:id="3"/>
    </w:p>
    <w:p w14:paraId="26FDE87A" w14:textId="70C31EBE" w:rsidR="006550AD" w:rsidRDefault="006949EF" w:rsidP="00AC73DF">
      <w:r>
        <w:t xml:space="preserve">This issues paper </w:t>
      </w:r>
      <w:r w:rsidR="003C5175">
        <w:t>centralise</w:t>
      </w:r>
      <w:r w:rsidR="002638C7">
        <w:t>s</w:t>
      </w:r>
      <w:r w:rsidR="003C5175">
        <w:t xml:space="preserve"> the key</w:t>
      </w:r>
      <w:r w:rsidR="00A82BF3">
        <w:t xml:space="preserve"> legal, ethical</w:t>
      </w:r>
      <w:r w:rsidR="00C4191B">
        <w:t xml:space="preserve">, </w:t>
      </w:r>
      <w:r w:rsidR="00A82BF3">
        <w:t>social</w:t>
      </w:r>
      <w:r w:rsidR="00C4191B">
        <w:t xml:space="preserve"> and cultural</w:t>
      </w:r>
      <w:r w:rsidR="00A82BF3">
        <w:t xml:space="preserve"> issues relevant to the collection and </w:t>
      </w:r>
      <w:r w:rsidR="00A01970">
        <w:t xml:space="preserve">use </w:t>
      </w:r>
      <w:r w:rsidR="00A82BF3">
        <w:t xml:space="preserve">of Indigenous </w:t>
      </w:r>
      <w:r w:rsidR="00924459">
        <w:t>h</w:t>
      </w:r>
      <w:r w:rsidR="00E44B6C">
        <w:t xml:space="preserve">ealth </w:t>
      </w:r>
      <w:r w:rsidR="00924459">
        <w:t>g</w:t>
      </w:r>
      <w:r w:rsidR="00E44B6C">
        <w:t xml:space="preserve">enomics information in Australia. </w:t>
      </w:r>
      <w:r w:rsidR="002638C7">
        <w:t>It had the significant advantage of being able to consult individually with all members of the Advisory Group</w:t>
      </w:r>
      <w:r w:rsidR="005437EE">
        <w:t>. The members of the Advisory Group were from a wide variety of Aboriginal and Torres Strait Islander</w:t>
      </w:r>
      <w:r w:rsidR="00626535">
        <w:t xml:space="preserve"> and non-Indigenous</w:t>
      </w:r>
      <w:r w:rsidR="005437EE">
        <w:t xml:space="preserve"> backgrounds</w:t>
      </w:r>
      <w:r w:rsidR="00626535">
        <w:t xml:space="preserve"> </w:t>
      </w:r>
      <w:r w:rsidR="005437EE">
        <w:t xml:space="preserve">and all worked </w:t>
      </w:r>
      <w:r w:rsidR="00CF3889">
        <w:t>within</w:t>
      </w:r>
      <w:r w:rsidR="0026102E">
        <w:t xml:space="preserve"> the genomics sector in a </w:t>
      </w:r>
      <w:r w:rsidR="005437EE">
        <w:t xml:space="preserve">variety of </w:t>
      </w:r>
      <w:r w:rsidR="00CF3889">
        <w:t>ways</w:t>
      </w:r>
      <w:r w:rsidR="005437EE">
        <w:t>. This meant that the</w:t>
      </w:r>
      <w:r w:rsidR="008342A5">
        <w:t xml:space="preserve"> issue identification process was broad (ensur</w:t>
      </w:r>
      <w:r w:rsidR="002F7418">
        <w:t xml:space="preserve">ing key issues were not </w:t>
      </w:r>
      <w:r w:rsidR="008F05A3">
        <w:t>overlooked</w:t>
      </w:r>
      <w:r w:rsidR="002F7418">
        <w:t xml:space="preserve">) but it also meant that as </w:t>
      </w:r>
      <w:r w:rsidR="009F102B">
        <w:t xml:space="preserve">key themes emerged across the consultations, those themes were </w:t>
      </w:r>
      <w:r w:rsidR="005E3815">
        <w:t xml:space="preserve">better understood from a number of perspectives. </w:t>
      </w:r>
    </w:p>
    <w:p w14:paraId="0315FF7E" w14:textId="21805A00" w:rsidR="00046CB3" w:rsidRDefault="00046CB3" w:rsidP="00AC73DF">
      <w:r>
        <w:t xml:space="preserve">This paper is a </w:t>
      </w:r>
      <w:r w:rsidR="00880AB3">
        <w:t>consolidation</w:t>
      </w:r>
      <w:r>
        <w:t xml:space="preserve"> of those key themes and perspectives,</w:t>
      </w:r>
      <w:r w:rsidR="00FC34FD">
        <w:t xml:space="preserve"> </w:t>
      </w:r>
      <w:r w:rsidR="00F4475B">
        <w:t xml:space="preserve">combined with a survey of the impact of relevant legislation on the Indigenous Cultural and Intellectual </w:t>
      </w:r>
      <w:r w:rsidR="00600C72">
        <w:t>P</w:t>
      </w:r>
      <w:r w:rsidR="00F4475B">
        <w:t xml:space="preserve">roperty embodied in the genomics samples and data. The purpose of this issues paper is to provide </w:t>
      </w:r>
      <w:r>
        <w:t>the Department</w:t>
      </w:r>
      <w:r w:rsidR="00880AB3">
        <w:t xml:space="preserve"> with a holistic overview of current and emerging issues</w:t>
      </w:r>
      <w:r w:rsidR="005E46F3">
        <w:t xml:space="preserve">. This will assist the Department to identify key risk areas </w:t>
      </w:r>
      <w:r w:rsidR="00047E59">
        <w:t xml:space="preserve">that are (or could potentially) cause harm to Aboriginal and Torres Strait Islander peoples </w:t>
      </w:r>
      <w:r w:rsidR="000E5146">
        <w:t xml:space="preserve">and develop policy </w:t>
      </w:r>
      <w:r w:rsidR="0045185F">
        <w:t xml:space="preserve">accordingly. </w:t>
      </w:r>
      <w:r w:rsidR="00E81D0F">
        <w:t xml:space="preserve">Genomics is a rapidly evolving area of scientific research, and </w:t>
      </w:r>
      <w:r w:rsidR="00163C88">
        <w:t xml:space="preserve">this issues paper, and a proactive approach to policy making, in </w:t>
      </w:r>
      <w:r w:rsidR="00F27C88">
        <w:t xml:space="preserve">collaboration </w:t>
      </w:r>
      <w:r w:rsidR="00163C88">
        <w:t xml:space="preserve">with Aboriginal and Torres Strait Islander communities </w:t>
      </w:r>
      <w:r w:rsidR="00AC1374">
        <w:t xml:space="preserve">will help to promote equitable access to positive health outcomes, and minimise </w:t>
      </w:r>
      <w:r w:rsidR="00370BEC">
        <w:t xml:space="preserve">harm </w:t>
      </w:r>
      <w:r w:rsidR="004430DD">
        <w:t xml:space="preserve">to communities. </w:t>
      </w:r>
    </w:p>
    <w:p w14:paraId="4BC1DD6B" w14:textId="5CF2E9D4" w:rsidR="00173149" w:rsidRPr="008E5C92" w:rsidRDefault="00173149" w:rsidP="00AC73DF">
      <w:pPr>
        <w:pStyle w:val="Heading2"/>
        <w:rPr>
          <w:lang w:val="en-AU"/>
        </w:rPr>
      </w:pPr>
      <w:bookmarkStart w:id="4" w:name="_Toc118824287"/>
      <w:r w:rsidRPr="008E5C92">
        <w:rPr>
          <w:lang w:val="en-AU"/>
        </w:rPr>
        <w:lastRenderedPageBreak/>
        <w:t>How to read it?</w:t>
      </w:r>
      <w:bookmarkEnd w:id="4"/>
    </w:p>
    <w:p w14:paraId="6E016412" w14:textId="1C592EE1" w:rsidR="00504AA5" w:rsidRDefault="008C6F03" w:rsidP="00AC73DF">
      <w:r w:rsidRPr="008E5C92">
        <w:t xml:space="preserve">This report begins by identifying the key </w:t>
      </w:r>
      <w:r w:rsidR="00844EFA" w:rsidRPr="008E5C92">
        <w:t xml:space="preserve">ethical, social and cultural </w:t>
      </w:r>
      <w:r w:rsidRPr="008E5C92">
        <w:t xml:space="preserve">issues </w:t>
      </w:r>
      <w:r w:rsidR="009357BD" w:rsidRPr="008E5C92">
        <w:t xml:space="preserve">relevant to </w:t>
      </w:r>
      <w:r w:rsidR="009357BD">
        <w:t xml:space="preserve">the collection and use of </w:t>
      </w:r>
      <w:r w:rsidR="0090396B">
        <w:t>g</w:t>
      </w:r>
      <w:r w:rsidR="009357BD">
        <w:t xml:space="preserve">enomics information of Aboriginal and Torres Strait Islander peoples. </w:t>
      </w:r>
    </w:p>
    <w:p w14:paraId="1A9506FB" w14:textId="3E076C44" w:rsidR="004B2938" w:rsidRDefault="002573F3" w:rsidP="00AC73DF">
      <w:r>
        <w:t>The legal i</w:t>
      </w:r>
      <w:r w:rsidR="00716191">
        <w:t xml:space="preserve">ssues relating to </w:t>
      </w:r>
      <w:r w:rsidR="00363F6E">
        <w:t xml:space="preserve">the collection, management and use of </w:t>
      </w:r>
      <w:r w:rsidR="00C77D2D">
        <w:t>Aboriginal and Torres Strait Islander</w:t>
      </w:r>
      <w:r w:rsidR="00716191">
        <w:t xml:space="preserve"> </w:t>
      </w:r>
      <w:r w:rsidR="002A195E">
        <w:t>g</w:t>
      </w:r>
      <w:r w:rsidR="00716191">
        <w:t>enomics</w:t>
      </w:r>
      <w:r w:rsidR="00EA367C">
        <w:t xml:space="preserve"> information</w:t>
      </w:r>
      <w:r w:rsidR="00716191">
        <w:t xml:space="preserve"> are then identified. </w:t>
      </w:r>
      <w:r w:rsidR="004B2938">
        <w:t xml:space="preserve">The legal analysis will include intellectual property, primarily patents and copyright, privacy laws, health laws relating to genome research and contract laws. The second stage of the legal analysis will examine the extent to which the law addresses the </w:t>
      </w:r>
      <w:r w:rsidR="00C64AA9">
        <w:t xml:space="preserve">ethical, social and cultural issues </w:t>
      </w:r>
      <w:r w:rsidR="00142A41">
        <w:t xml:space="preserve">identified </w:t>
      </w:r>
      <w:r w:rsidR="00DA2A89">
        <w:t>with the Advisory Group</w:t>
      </w:r>
      <w:r w:rsidR="00142A41">
        <w:t>. Does the law</w:t>
      </w:r>
      <w:r w:rsidR="001C174A">
        <w:t xml:space="preserve"> p</w:t>
      </w:r>
      <w:r w:rsidR="00870FDC">
        <w:t xml:space="preserve">rovide guidance and protection? Does the law fall short? Does the law </w:t>
      </w:r>
      <w:r w:rsidR="003F2C89">
        <w:t xml:space="preserve">augment these concerns? </w:t>
      </w:r>
    </w:p>
    <w:p w14:paraId="3D4F0253" w14:textId="1F4F4A4C" w:rsidR="00F30E55" w:rsidRDefault="00F30E55" w:rsidP="00AC73DF">
      <w:r>
        <w:t xml:space="preserve">The </w:t>
      </w:r>
      <w:r w:rsidR="0020500C">
        <w:t xml:space="preserve">issues paper will then examine the relevant </w:t>
      </w:r>
      <w:r w:rsidR="004A4B05">
        <w:t>policy documents that provide further guidance</w:t>
      </w:r>
      <w:r w:rsidR="00314AD9">
        <w:t xml:space="preserve">, bearing in mind that these policies </w:t>
      </w:r>
      <w:r w:rsidR="00D70FC7">
        <w:t xml:space="preserve">can be given legal </w:t>
      </w:r>
      <w:r w:rsidR="00C87C3F">
        <w:t xml:space="preserve">force through contract law. </w:t>
      </w:r>
    </w:p>
    <w:p w14:paraId="3FE1FC3C" w14:textId="3C9DE266" w:rsidR="001B1E5A" w:rsidRDefault="001B1E5A" w:rsidP="00AC73DF">
      <w:r>
        <w:t xml:space="preserve">Best practice models will then </w:t>
      </w:r>
      <w:r w:rsidR="002570A1">
        <w:t xml:space="preserve">provide </w:t>
      </w:r>
      <w:r w:rsidR="003C38F5">
        <w:t xml:space="preserve">further insight </w:t>
      </w:r>
      <w:r w:rsidR="009B378C">
        <w:t>into the respectful</w:t>
      </w:r>
      <w:r w:rsidR="0044420C">
        <w:t xml:space="preserve"> and culturally safe collection and use of </w:t>
      </w:r>
      <w:r w:rsidR="00C33398">
        <w:t xml:space="preserve">Aboriginal and Torres Strait Islander genomic information. </w:t>
      </w:r>
    </w:p>
    <w:p w14:paraId="1003266B" w14:textId="186F8B4E" w:rsidR="00CE7A93" w:rsidRDefault="00CE7A93" w:rsidP="00AC73DF">
      <w:r>
        <w:t xml:space="preserve">An international perspective </w:t>
      </w:r>
      <w:r w:rsidR="006334DE">
        <w:t xml:space="preserve">concludes the issue identification and analysis. </w:t>
      </w:r>
      <w:r w:rsidR="00FE42A2">
        <w:t xml:space="preserve">The </w:t>
      </w:r>
      <w:r w:rsidR="000D6F2E">
        <w:t>section</w:t>
      </w:r>
      <w:r w:rsidR="00FE42A2">
        <w:t xml:space="preserve"> starts by examining relevant international law for standards and </w:t>
      </w:r>
      <w:r w:rsidR="002C6751">
        <w:t xml:space="preserve">guidelines relevant to </w:t>
      </w:r>
      <w:r w:rsidR="00C73253">
        <w:t>Aboriginal and Torres Strait Islander health genomics</w:t>
      </w:r>
      <w:r w:rsidR="001504B5">
        <w:t xml:space="preserve">. </w:t>
      </w:r>
      <w:r w:rsidR="008C0402">
        <w:t>This is followed by a comparative law analysis in which th</w:t>
      </w:r>
      <w:r w:rsidR="002A6931">
        <w:t xml:space="preserve">e domestic case law, legislation and policy documents of other countries are examined to the extent that they may provide </w:t>
      </w:r>
      <w:r w:rsidR="00436BC8">
        <w:t xml:space="preserve">insight </w:t>
      </w:r>
      <w:r w:rsidR="000214D6">
        <w:t>in</w:t>
      </w:r>
      <w:r w:rsidR="00C77053">
        <w:t>to</w:t>
      </w:r>
      <w:r w:rsidR="000214D6">
        <w:t xml:space="preserve"> an Australian application. </w:t>
      </w:r>
    </w:p>
    <w:p w14:paraId="410C93F5" w14:textId="0A92C8EB" w:rsidR="004B2938" w:rsidRDefault="00C73863" w:rsidP="00AC73DF">
      <w:r>
        <w:t xml:space="preserve">Finally, the paper concludes by </w:t>
      </w:r>
      <w:r w:rsidR="00A15E7A">
        <w:t>examining the opportunities for improvement</w:t>
      </w:r>
      <w:r w:rsidR="007F69B1">
        <w:t xml:space="preserve">. In particular this section will </w:t>
      </w:r>
      <w:r w:rsidR="00CA2C00">
        <w:t xml:space="preserve">identify the key risk areas in </w:t>
      </w:r>
      <w:r w:rsidR="00955480">
        <w:t>Aboriginal and Torres Strait Islander h</w:t>
      </w:r>
      <w:r w:rsidR="00CA2C00">
        <w:t xml:space="preserve">ealth </w:t>
      </w:r>
      <w:r w:rsidR="00955480">
        <w:t>g</w:t>
      </w:r>
      <w:r w:rsidR="00CA2C00">
        <w:t xml:space="preserve">enomics </w:t>
      </w:r>
      <w:r w:rsidR="00970B90">
        <w:t xml:space="preserve">that must be addressed promptly and in collaboration with Aboriginal and Torres Strait Islander stakeholders </w:t>
      </w:r>
      <w:r w:rsidR="00C17C40">
        <w:t xml:space="preserve">in order to </w:t>
      </w:r>
      <w:r w:rsidR="00556238">
        <w:t xml:space="preserve">ensure that a culturally appropriate framework </w:t>
      </w:r>
      <w:r w:rsidR="00290C5F">
        <w:t>for managing sovereignty over samples and data is in place in the earliest possible stages of genomi</w:t>
      </w:r>
      <w:r w:rsidR="007B0A17">
        <w:t>c research</w:t>
      </w:r>
      <w:r w:rsidR="00776023">
        <w:t xml:space="preserve">. </w:t>
      </w:r>
    </w:p>
    <w:p w14:paraId="3C328B81" w14:textId="7CE7BFA5" w:rsidR="00712611" w:rsidRPr="00602450" w:rsidRDefault="00712611" w:rsidP="001C278F">
      <w:pPr>
        <w:pStyle w:val="Heading2"/>
      </w:pPr>
      <w:bookmarkStart w:id="5" w:name="_Toc118824288"/>
      <w:r w:rsidRPr="001C278F">
        <w:rPr>
          <w:lang w:val="en-AU"/>
        </w:rPr>
        <w:t>Terminology</w:t>
      </w:r>
      <w:bookmarkEnd w:id="5"/>
      <w:r w:rsidRPr="001C278F">
        <w:rPr>
          <w:lang w:val="en-AU"/>
        </w:rPr>
        <w:t xml:space="preserve"> </w:t>
      </w:r>
    </w:p>
    <w:p w14:paraId="23960733" w14:textId="5D5165AE" w:rsidR="001121D9" w:rsidRDefault="0040507E" w:rsidP="00AC73DF">
      <w:r>
        <w:t xml:space="preserve">The question of terminology is not a straight forward one. </w:t>
      </w:r>
      <w:r w:rsidR="005901E7">
        <w:t xml:space="preserve">In general, the term ‘Indigenous’ refers to </w:t>
      </w:r>
      <w:r w:rsidR="001F662C">
        <w:t>the world’s First Nations peoples.</w:t>
      </w:r>
      <w:r w:rsidR="00881896">
        <w:t xml:space="preserve"> However, in Australia it is frequently used to refer to </w:t>
      </w:r>
      <w:r w:rsidR="008E7B2B">
        <w:t xml:space="preserve">Aboriginal and Torres Strait Islander peoples. </w:t>
      </w:r>
      <w:r w:rsidR="002D4F48">
        <w:t xml:space="preserve">Increasingly, </w:t>
      </w:r>
      <w:r w:rsidR="0033529A">
        <w:t xml:space="preserve">the terminology of Aboriginal and Torres Strait Islander peoples, </w:t>
      </w:r>
      <w:r w:rsidR="008D563A">
        <w:t xml:space="preserve">is being used </w:t>
      </w:r>
      <w:r w:rsidR="0033529A">
        <w:t xml:space="preserve">rather than Indigenous. This is because the word ‘Indigenous’ can </w:t>
      </w:r>
      <w:r w:rsidR="002C4C0C">
        <w:t xml:space="preserve">be too broad, and can fail to reflect the diversity of Aboriginal and Torres Strait Islander cultures. </w:t>
      </w:r>
      <w:r w:rsidR="00A76AB5">
        <w:t xml:space="preserve">Instead, the term Aboriginal and Torres Strait Islander peoples (using the plural), </w:t>
      </w:r>
      <w:r w:rsidR="0008596E">
        <w:t xml:space="preserve">is more specific </w:t>
      </w:r>
      <w:r w:rsidR="001121D9">
        <w:t xml:space="preserve">to Australia’s First Nations peoples, and it acknowledges the </w:t>
      </w:r>
      <w:r w:rsidR="00A76AB5">
        <w:t>diversity</w:t>
      </w:r>
      <w:r w:rsidR="001121D9">
        <w:t xml:space="preserve"> of Aboriginal and Torres Strait Islander cultures</w:t>
      </w:r>
      <w:r w:rsidR="00A76AB5">
        <w:t>.</w:t>
      </w:r>
      <w:r w:rsidR="001121D9">
        <w:t xml:space="preserve"> </w:t>
      </w:r>
    </w:p>
    <w:p w14:paraId="4456744A" w14:textId="28CA6D4E" w:rsidR="00036353" w:rsidRDefault="00DE1A34" w:rsidP="00AC73DF">
      <w:r>
        <w:t xml:space="preserve">This paper continues to use the word Indigenous in some specific contexts, for example </w:t>
      </w:r>
      <w:r w:rsidR="00D137EE">
        <w:t xml:space="preserve">when it is in a quote. </w:t>
      </w:r>
      <w:r w:rsidR="00CD24F8">
        <w:t>In addition</w:t>
      </w:r>
      <w:r w:rsidR="00036353">
        <w:t>,</w:t>
      </w:r>
      <w:r w:rsidR="00CD24F8">
        <w:t xml:space="preserve"> sometimes it is used, because </w:t>
      </w:r>
      <w:r w:rsidR="00640FB7">
        <w:t xml:space="preserve">the point being made relates to the world’s First Nations peoples as well as Aboriginal and Torres Strait Islander peoples. For </w:t>
      </w:r>
      <w:r w:rsidR="00E84876">
        <w:t>example, this report include</w:t>
      </w:r>
      <w:r w:rsidR="006814D6">
        <w:t>s</w:t>
      </w:r>
      <w:r w:rsidR="00E84876">
        <w:t xml:space="preserve"> a number of International case studies, </w:t>
      </w:r>
      <w:r w:rsidR="006814D6">
        <w:t xml:space="preserve">in which the </w:t>
      </w:r>
      <w:r w:rsidR="00AB2DE2">
        <w:t xml:space="preserve">issues raised for that place’s First Nations’ peoples, can </w:t>
      </w:r>
      <w:r w:rsidR="00036353">
        <w:t xml:space="preserve">provide insight into issues relevant to Aboriginal and Torres Strait Islander peoples. </w:t>
      </w:r>
      <w:r w:rsidR="006826CA">
        <w:t xml:space="preserve">For the same reason, we have referred to ‘Indigenous </w:t>
      </w:r>
      <w:r w:rsidR="00982940">
        <w:t>Genomics’ or ‘Indigenous Health Genomics’ as this area of study frequently crosses national borders</w:t>
      </w:r>
      <w:r w:rsidR="00E910C1">
        <w:t xml:space="preserve"> and this issues paper is focused on identifying </w:t>
      </w:r>
      <w:r w:rsidR="0081755E">
        <w:t>issues relevant to Aboriginal and Torres Strait Islander peoples in the broader context of Indigenous Health Genomics</w:t>
      </w:r>
      <w:r w:rsidR="00A6267B">
        <w:t xml:space="preserve">. </w:t>
      </w:r>
    </w:p>
    <w:p w14:paraId="61B020F7" w14:textId="55C44D34" w:rsidR="00712611" w:rsidRDefault="00A6267B" w:rsidP="00AC73DF">
      <w:r>
        <w:lastRenderedPageBreak/>
        <w:t xml:space="preserve">In all other contexts, </w:t>
      </w:r>
      <w:r w:rsidR="00E820FD">
        <w:t xml:space="preserve">as far as possible this report has endeavoured to prioritise the use of the term Aboriginal and Torres Strait Islander peoples. </w:t>
      </w:r>
      <w:r w:rsidR="00A76AB5">
        <w:t xml:space="preserve"> </w:t>
      </w:r>
    </w:p>
    <w:p w14:paraId="4F60E6D2" w14:textId="1C73DE56" w:rsidR="00173149" w:rsidRPr="008E5C92" w:rsidRDefault="00173149" w:rsidP="00AC73DF">
      <w:pPr>
        <w:pStyle w:val="Heading2"/>
        <w:rPr>
          <w:lang w:val="en-AU"/>
        </w:rPr>
      </w:pPr>
      <w:bookmarkStart w:id="6" w:name="_Toc118824289"/>
      <w:r w:rsidRPr="008E5C92">
        <w:rPr>
          <w:lang w:val="en-AU"/>
        </w:rPr>
        <w:t>Glossary</w:t>
      </w:r>
      <w:bookmarkEnd w:id="6"/>
    </w:p>
    <w:p w14:paraId="102A461F" w14:textId="56CD4D08" w:rsidR="00B37934" w:rsidRPr="00D20A47" w:rsidRDefault="00B37934" w:rsidP="00320B38">
      <w:pPr>
        <w:pStyle w:val="Heading3nonumbering"/>
      </w:pPr>
      <w:bookmarkStart w:id="7" w:name="_Toc118824290"/>
      <w:r w:rsidRPr="00D20A47">
        <w:t>Abbreviations</w:t>
      </w:r>
      <w:bookmarkEnd w:id="7"/>
    </w:p>
    <w:tbl>
      <w:tblPr>
        <w:tblStyle w:val="GridTable1Light"/>
        <w:tblW w:w="0" w:type="auto"/>
        <w:tblLook w:val="04A0" w:firstRow="1" w:lastRow="0" w:firstColumn="1" w:lastColumn="0" w:noHBand="0" w:noVBand="1"/>
        <w:tblCaption w:val="Abbreviations"/>
      </w:tblPr>
      <w:tblGrid>
        <w:gridCol w:w="2977"/>
        <w:gridCol w:w="5931"/>
        <w:gridCol w:w="108"/>
      </w:tblGrid>
      <w:tr w:rsidR="005F4FFE" w14:paraId="38CF900A" w14:textId="77777777" w:rsidTr="00966455">
        <w:trPr>
          <w:gridAfter w:val="1"/>
          <w:cnfStyle w:val="100000000000" w:firstRow="1" w:lastRow="0" w:firstColumn="0" w:lastColumn="0" w:oddVBand="0" w:evenVBand="0" w:oddHBand="0" w:evenHBand="0" w:firstRowFirstColumn="0" w:firstRowLastColumn="0" w:lastRowFirstColumn="0" w:lastRowLastColumn="0"/>
          <w:wAfter w:w="108" w:type="dxa"/>
          <w:tblHeader/>
        </w:trPr>
        <w:tc>
          <w:tcPr>
            <w:cnfStyle w:val="001000000000" w:firstRow="0" w:lastRow="0" w:firstColumn="1" w:lastColumn="0" w:oddVBand="0" w:evenVBand="0" w:oddHBand="0" w:evenHBand="0" w:firstRowFirstColumn="0" w:firstRowLastColumn="0" w:lastRowFirstColumn="0" w:lastRowLastColumn="0"/>
            <w:tcW w:w="2977" w:type="dxa"/>
          </w:tcPr>
          <w:p w14:paraId="4D52DDE3" w14:textId="78670D92" w:rsidR="005F4FFE" w:rsidRPr="00240F94" w:rsidRDefault="005F4FFE" w:rsidP="00240F94">
            <w:r w:rsidRPr="00240F94">
              <w:t>Abbreviation</w:t>
            </w:r>
          </w:p>
        </w:tc>
        <w:tc>
          <w:tcPr>
            <w:tcW w:w="5931" w:type="dxa"/>
          </w:tcPr>
          <w:p w14:paraId="7F173816" w14:textId="33425143" w:rsidR="005F4FFE" w:rsidRPr="00240F94" w:rsidRDefault="005623E9" w:rsidP="00240F94">
            <w:pPr>
              <w:cnfStyle w:val="100000000000" w:firstRow="1" w:lastRow="0" w:firstColumn="0" w:lastColumn="0" w:oddVBand="0" w:evenVBand="0" w:oddHBand="0" w:evenHBand="0" w:firstRowFirstColumn="0" w:firstRowLastColumn="0" w:lastRowFirstColumn="0" w:lastRowLastColumn="0"/>
            </w:pPr>
            <w:r w:rsidRPr="00240F94">
              <w:t>Full Form</w:t>
            </w:r>
          </w:p>
        </w:tc>
      </w:tr>
      <w:tr w:rsidR="00EB643D" w14:paraId="30863721"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6EC1E1C2" w14:textId="08D78E64" w:rsidR="00EB643D" w:rsidRPr="00240F94" w:rsidRDefault="00EB643D" w:rsidP="00240F94">
            <w:r w:rsidRPr="00240F94">
              <w:t xml:space="preserve">The Advisory Group </w:t>
            </w:r>
          </w:p>
        </w:tc>
        <w:tc>
          <w:tcPr>
            <w:tcW w:w="5931" w:type="dxa"/>
          </w:tcPr>
          <w:p w14:paraId="1EFED035" w14:textId="3637CF60" w:rsidR="00EB643D" w:rsidRPr="00240F94" w:rsidRDefault="00EB643D" w:rsidP="00240F94">
            <w:pPr>
              <w:cnfStyle w:val="000000000000" w:firstRow="0" w:lastRow="0" w:firstColumn="0" w:lastColumn="0" w:oddVBand="0" w:evenVBand="0" w:oddHBand="0" w:evenHBand="0" w:firstRowFirstColumn="0" w:firstRowLastColumn="0" w:lastRowFirstColumn="0" w:lastRowLastColumn="0"/>
            </w:pPr>
            <w:r w:rsidRPr="00240F94">
              <w:t xml:space="preserve">The Department of Health’s </w:t>
            </w:r>
            <w:r w:rsidR="00F8601B" w:rsidRPr="00240F94">
              <w:t xml:space="preserve">Aboriginal and Torres Strait Islander Advisory Group </w:t>
            </w:r>
          </w:p>
        </w:tc>
      </w:tr>
      <w:tr w:rsidR="00BA37B3" w14:paraId="21DA46B3"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42AB267A" w14:textId="0A285DA7" w:rsidR="00BA37B3" w:rsidRPr="00240F94" w:rsidRDefault="00BA37B3" w:rsidP="00240F94">
            <w:r w:rsidRPr="00240F94">
              <w:t xml:space="preserve">AIATSIS </w:t>
            </w:r>
          </w:p>
        </w:tc>
        <w:tc>
          <w:tcPr>
            <w:tcW w:w="5931" w:type="dxa"/>
          </w:tcPr>
          <w:p w14:paraId="3AEFF016" w14:textId="26606F76" w:rsidR="00BA37B3" w:rsidRPr="00240F94" w:rsidRDefault="00BA37B3" w:rsidP="00240F94">
            <w:pPr>
              <w:cnfStyle w:val="000000000000" w:firstRow="0" w:lastRow="0" w:firstColumn="0" w:lastColumn="0" w:oddVBand="0" w:evenVBand="0" w:oddHBand="0" w:evenHBand="0" w:firstRowFirstColumn="0" w:firstRowLastColumn="0" w:lastRowFirstColumn="0" w:lastRowLastColumn="0"/>
            </w:pPr>
            <w:r w:rsidRPr="00240F94">
              <w:t>Australian Institute of Aboriginal and Torres Strait Islander Studies</w:t>
            </w:r>
          </w:p>
        </w:tc>
      </w:tr>
      <w:tr w:rsidR="007C3267" w14:paraId="67CE4806"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1D31EF9B" w14:textId="13CBEF99" w:rsidR="007C3267" w:rsidRPr="00240F94" w:rsidRDefault="007C3267" w:rsidP="00240F94">
            <w:r w:rsidRPr="00240F94">
              <w:t>ANU</w:t>
            </w:r>
          </w:p>
        </w:tc>
        <w:tc>
          <w:tcPr>
            <w:tcW w:w="5931" w:type="dxa"/>
          </w:tcPr>
          <w:p w14:paraId="1FC1C5CF" w14:textId="70DA0CAA" w:rsidR="007C3267" w:rsidRPr="00240F94" w:rsidRDefault="007C3267" w:rsidP="00240F94">
            <w:pPr>
              <w:cnfStyle w:val="000000000000" w:firstRow="0" w:lastRow="0" w:firstColumn="0" w:lastColumn="0" w:oddVBand="0" w:evenVBand="0" w:oddHBand="0" w:evenHBand="0" w:firstRowFirstColumn="0" w:firstRowLastColumn="0" w:lastRowFirstColumn="0" w:lastRowLastColumn="0"/>
            </w:pPr>
            <w:r w:rsidRPr="00240F94">
              <w:t xml:space="preserve">Australian National University </w:t>
            </w:r>
          </w:p>
        </w:tc>
      </w:tr>
      <w:tr w:rsidR="00EB643D" w14:paraId="45A961BE"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27FDB778" w14:textId="744670C4" w:rsidR="00EB643D" w:rsidRPr="00240F94" w:rsidRDefault="00EB643D" w:rsidP="00240F94">
            <w:r w:rsidRPr="00240F94">
              <w:t>The Department</w:t>
            </w:r>
          </w:p>
        </w:tc>
        <w:tc>
          <w:tcPr>
            <w:tcW w:w="5931" w:type="dxa"/>
          </w:tcPr>
          <w:p w14:paraId="4B743F33" w14:textId="34A0A0C2" w:rsidR="00EB643D" w:rsidRPr="00240F94" w:rsidRDefault="00EB643D" w:rsidP="00240F94">
            <w:pPr>
              <w:cnfStyle w:val="000000000000" w:firstRow="0" w:lastRow="0" w:firstColumn="0" w:lastColumn="0" w:oddVBand="0" w:evenVBand="0" w:oddHBand="0" w:evenHBand="0" w:firstRowFirstColumn="0" w:firstRowLastColumn="0" w:lastRowFirstColumn="0" w:lastRowLastColumn="0"/>
            </w:pPr>
            <w:r w:rsidRPr="00240F94">
              <w:t>The Department of Health</w:t>
            </w:r>
          </w:p>
        </w:tc>
      </w:tr>
      <w:tr w:rsidR="00733EEC" w14:paraId="48D5D459"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17814DCD" w14:textId="1EB66F56" w:rsidR="00733EEC" w:rsidRPr="00240F94" w:rsidRDefault="00733EEC" w:rsidP="00240F94">
            <w:r w:rsidRPr="00240F94">
              <w:t>DVI Database</w:t>
            </w:r>
          </w:p>
        </w:tc>
        <w:tc>
          <w:tcPr>
            <w:tcW w:w="5931" w:type="dxa"/>
          </w:tcPr>
          <w:p w14:paraId="56926266" w14:textId="0A5A7199" w:rsidR="00733EEC" w:rsidRPr="00240F94" w:rsidRDefault="00733EEC" w:rsidP="00240F94">
            <w:pPr>
              <w:cnfStyle w:val="000000000000" w:firstRow="0" w:lastRow="0" w:firstColumn="0" w:lastColumn="0" w:oddVBand="0" w:evenVBand="0" w:oddHBand="0" w:evenHBand="0" w:firstRowFirstColumn="0" w:firstRowLastColumn="0" w:lastRowFirstColumn="0" w:lastRowLastColumn="0"/>
            </w:pPr>
            <w:r w:rsidRPr="00240F94">
              <w:t>Disaster Victim Identification database</w:t>
            </w:r>
          </w:p>
        </w:tc>
      </w:tr>
      <w:tr w:rsidR="00897404" w14:paraId="565AF3C6"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1DE8184F" w14:textId="72A098B7" w:rsidR="00897404" w:rsidRPr="00240F94" w:rsidRDefault="00897404" w:rsidP="00240F94">
            <w:r w:rsidRPr="00240F94">
              <w:t>HeLEX@Melbourne</w:t>
            </w:r>
          </w:p>
        </w:tc>
        <w:tc>
          <w:tcPr>
            <w:tcW w:w="5931" w:type="dxa"/>
          </w:tcPr>
          <w:p w14:paraId="6BF94F0F" w14:textId="160FABE1" w:rsidR="00897404" w:rsidRPr="00240F94" w:rsidRDefault="00897404" w:rsidP="00240F94">
            <w:pPr>
              <w:cnfStyle w:val="000000000000" w:firstRow="0" w:lastRow="0" w:firstColumn="0" w:lastColumn="0" w:oddVBand="0" w:evenVBand="0" w:oddHBand="0" w:evenHBand="0" w:firstRowFirstColumn="0" w:firstRowLastColumn="0" w:lastRowFirstColumn="0" w:lastRowLastColumn="0"/>
            </w:pPr>
            <w:r w:rsidRPr="00240F94">
              <w:t xml:space="preserve">Health, Law and Emerging Technologies Melbourne </w:t>
            </w:r>
          </w:p>
        </w:tc>
      </w:tr>
      <w:tr w:rsidR="008A29E1" w14:paraId="19CE2E8D"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32384FAA" w14:textId="14A508AC" w:rsidR="008A29E1" w:rsidRPr="00240F94" w:rsidRDefault="008A29E1" w:rsidP="00240F94">
            <w:r w:rsidRPr="00240F94">
              <w:t>NACCHO</w:t>
            </w:r>
          </w:p>
        </w:tc>
        <w:tc>
          <w:tcPr>
            <w:tcW w:w="5931" w:type="dxa"/>
          </w:tcPr>
          <w:p w14:paraId="355505D9" w14:textId="4C1697FA" w:rsidR="008A29E1" w:rsidRPr="00240F94" w:rsidRDefault="008A29E1" w:rsidP="00240F94">
            <w:pPr>
              <w:cnfStyle w:val="000000000000" w:firstRow="0" w:lastRow="0" w:firstColumn="0" w:lastColumn="0" w:oddVBand="0" w:evenVBand="0" w:oddHBand="0" w:evenHBand="0" w:firstRowFirstColumn="0" w:firstRowLastColumn="0" w:lastRowFirstColumn="0" w:lastRowLastColumn="0"/>
            </w:pPr>
            <w:r w:rsidRPr="00240F94">
              <w:t xml:space="preserve">National Aboriginal Community Controlled Health Organisation </w:t>
            </w:r>
          </w:p>
        </w:tc>
      </w:tr>
      <w:tr w:rsidR="00BF153C" w14:paraId="665CC449"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6891DE1C" w14:textId="168D6B6D" w:rsidR="00BF153C" w:rsidRPr="00240F94" w:rsidRDefault="00BF153C" w:rsidP="00240F94">
            <w:r w:rsidRPr="00240F94">
              <w:t>NATSIHSC</w:t>
            </w:r>
          </w:p>
        </w:tc>
        <w:tc>
          <w:tcPr>
            <w:tcW w:w="5931" w:type="dxa"/>
          </w:tcPr>
          <w:p w14:paraId="3F02B815" w14:textId="4A5EF5EF" w:rsidR="00BF153C" w:rsidRPr="00240F94" w:rsidRDefault="00BF153C" w:rsidP="00240F94">
            <w:pPr>
              <w:cnfStyle w:val="000000000000" w:firstRow="0" w:lastRow="0" w:firstColumn="0" w:lastColumn="0" w:oddVBand="0" w:evenVBand="0" w:oddHBand="0" w:evenHBand="0" w:firstRowFirstColumn="0" w:firstRowLastColumn="0" w:lastRowFirstColumn="0" w:lastRowLastColumn="0"/>
            </w:pPr>
            <w:r w:rsidRPr="00240F94">
              <w:t xml:space="preserve">National Aboriginal and Torres Strait Islander Health Standing Committee </w:t>
            </w:r>
          </w:p>
        </w:tc>
      </w:tr>
      <w:tr w:rsidR="007620A5" w14:paraId="7ADEA492"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2192AE4B" w14:textId="3640F450" w:rsidR="007620A5" w:rsidRPr="00240F94" w:rsidRDefault="007620A5" w:rsidP="00240F94">
            <w:r w:rsidRPr="00240F94">
              <w:t>NCIDD</w:t>
            </w:r>
          </w:p>
        </w:tc>
        <w:tc>
          <w:tcPr>
            <w:tcW w:w="5931" w:type="dxa"/>
          </w:tcPr>
          <w:p w14:paraId="1335327D" w14:textId="0F09C77C" w:rsidR="007620A5" w:rsidRPr="00240F94" w:rsidRDefault="007620A5" w:rsidP="00240F94">
            <w:pPr>
              <w:cnfStyle w:val="000000000000" w:firstRow="0" w:lastRow="0" w:firstColumn="0" w:lastColumn="0" w:oddVBand="0" w:evenVBand="0" w:oddHBand="0" w:evenHBand="0" w:firstRowFirstColumn="0" w:firstRowLastColumn="0" w:lastRowFirstColumn="0" w:lastRowLastColumn="0"/>
            </w:pPr>
            <w:r w:rsidRPr="00240F94">
              <w:t>National Criminal Investigation DNA Database</w:t>
            </w:r>
          </w:p>
        </w:tc>
      </w:tr>
      <w:tr w:rsidR="008A29E1" w14:paraId="63C69531"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2F48F201" w14:textId="3DD33594" w:rsidR="008A29E1" w:rsidRPr="00240F94" w:rsidRDefault="008A29E1" w:rsidP="00240F94">
            <w:r w:rsidRPr="00240F94">
              <w:t>NCIG</w:t>
            </w:r>
          </w:p>
        </w:tc>
        <w:tc>
          <w:tcPr>
            <w:tcW w:w="5931" w:type="dxa"/>
          </w:tcPr>
          <w:p w14:paraId="1C78DD18" w14:textId="6C44D881" w:rsidR="008A29E1" w:rsidRPr="00240F94" w:rsidRDefault="008A29E1" w:rsidP="00240F94">
            <w:pPr>
              <w:cnfStyle w:val="000000000000" w:firstRow="0" w:lastRow="0" w:firstColumn="0" w:lastColumn="0" w:oddVBand="0" w:evenVBand="0" w:oddHBand="0" w:evenHBand="0" w:firstRowFirstColumn="0" w:firstRowLastColumn="0" w:lastRowFirstColumn="0" w:lastRowLastColumn="0"/>
            </w:pPr>
            <w:r w:rsidRPr="00240F94">
              <w:t>National Centre for Indigenous Genomics</w:t>
            </w:r>
          </w:p>
        </w:tc>
      </w:tr>
      <w:tr w:rsidR="00FA363B" w14:paraId="146E6FE2" w14:textId="77777777" w:rsidTr="00966455">
        <w:trPr>
          <w:gridAfter w:val="1"/>
          <w:wAfter w:w="108" w:type="dxa"/>
        </w:trPr>
        <w:tc>
          <w:tcPr>
            <w:cnfStyle w:val="001000000000" w:firstRow="0" w:lastRow="0" w:firstColumn="1" w:lastColumn="0" w:oddVBand="0" w:evenVBand="0" w:oddHBand="0" w:evenHBand="0" w:firstRowFirstColumn="0" w:firstRowLastColumn="0" w:lastRowFirstColumn="0" w:lastRowLastColumn="0"/>
            <w:tcW w:w="2977" w:type="dxa"/>
          </w:tcPr>
          <w:p w14:paraId="26C50BB8" w14:textId="01D6D0D8" w:rsidR="00FA363B" w:rsidRPr="00240F94" w:rsidRDefault="008A29E1" w:rsidP="00240F94">
            <w:r w:rsidRPr="00240F94">
              <w:t>QAIHC</w:t>
            </w:r>
          </w:p>
        </w:tc>
        <w:tc>
          <w:tcPr>
            <w:tcW w:w="5931" w:type="dxa"/>
          </w:tcPr>
          <w:p w14:paraId="705F55E0" w14:textId="3F18D4FE" w:rsidR="00FA363B" w:rsidRPr="00240F94" w:rsidRDefault="00FA363B" w:rsidP="00240F94">
            <w:pPr>
              <w:cnfStyle w:val="000000000000" w:firstRow="0" w:lastRow="0" w:firstColumn="0" w:lastColumn="0" w:oddVBand="0" w:evenVBand="0" w:oddHBand="0" w:evenHBand="0" w:firstRowFirstColumn="0" w:firstRowLastColumn="0" w:lastRowFirstColumn="0" w:lastRowLastColumn="0"/>
            </w:pPr>
            <w:r w:rsidRPr="00240F94">
              <w:t xml:space="preserve">Queensland Aboriginal and Islander Health Council </w:t>
            </w:r>
          </w:p>
        </w:tc>
      </w:tr>
      <w:tr w:rsidR="00EB643D" w14:paraId="1DC9BDE6" w14:textId="77777777" w:rsidTr="00966455">
        <w:tc>
          <w:tcPr>
            <w:cnfStyle w:val="001000000000" w:firstRow="0" w:lastRow="0" w:firstColumn="1" w:lastColumn="0" w:oddVBand="0" w:evenVBand="0" w:oddHBand="0" w:evenHBand="0" w:firstRowFirstColumn="0" w:firstRowLastColumn="0" w:lastRowFirstColumn="0" w:lastRowLastColumn="0"/>
            <w:tcW w:w="2977" w:type="dxa"/>
          </w:tcPr>
          <w:p w14:paraId="0A326C9B" w14:textId="036EE7C2" w:rsidR="00EB643D" w:rsidRPr="00240F94" w:rsidRDefault="00EB643D" w:rsidP="00240F94">
            <w:r w:rsidRPr="00240F94">
              <w:t>TJC</w:t>
            </w:r>
          </w:p>
        </w:tc>
        <w:tc>
          <w:tcPr>
            <w:tcW w:w="6039" w:type="dxa"/>
            <w:gridSpan w:val="2"/>
          </w:tcPr>
          <w:p w14:paraId="4B7D3792" w14:textId="6BC31387" w:rsidR="00EB643D" w:rsidRPr="00240F94" w:rsidRDefault="00EB643D" w:rsidP="00240F94">
            <w:pPr>
              <w:cnfStyle w:val="000000000000" w:firstRow="0" w:lastRow="0" w:firstColumn="0" w:lastColumn="0" w:oddVBand="0" w:evenVBand="0" w:oddHBand="0" w:evenHBand="0" w:firstRowFirstColumn="0" w:firstRowLastColumn="0" w:lastRowFirstColumn="0" w:lastRowLastColumn="0"/>
            </w:pPr>
            <w:r w:rsidRPr="00240F94">
              <w:t xml:space="preserve">Terri Janke and Company </w:t>
            </w:r>
          </w:p>
        </w:tc>
      </w:tr>
      <w:tr w:rsidR="00EB643D" w14:paraId="568E16B1" w14:textId="77777777" w:rsidTr="00966455">
        <w:tc>
          <w:tcPr>
            <w:cnfStyle w:val="001000000000" w:firstRow="0" w:lastRow="0" w:firstColumn="1" w:lastColumn="0" w:oddVBand="0" w:evenVBand="0" w:oddHBand="0" w:evenHBand="0" w:firstRowFirstColumn="0" w:firstRowLastColumn="0" w:lastRowFirstColumn="0" w:lastRowLastColumn="0"/>
            <w:tcW w:w="2977" w:type="dxa"/>
          </w:tcPr>
          <w:p w14:paraId="5F86DC92" w14:textId="19F9B25A" w:rsidR="00EB643D" w:rsidRPr="00240F94" w:rsidRDefault="00345CD7" w:rsidP="00240F94">
            <w:r w:rsidRPr="00240F94">
              <w:t>SAHMRI</w:t>
            </w:r>
          </w:p>
        </w:tc>
        <w:tc>
          <w:tcPr>
            <w:tcW w:w="6039" w:type="dxa"/>
            <w:gridSpan w:val="2"/>
          </w:tcPr>
          <w:p w14:paraId="53C8B9D6" w14:textId="473D3993" w:rsidR="00EB643D" w:rsidRPr="00240F94" w:rsidRDefault="00345CD7" w:rsidP="00240F94">
            <w:pPr>
              <w:cnfStyle w:val="000000000000" w:firstRow="0" w:lastRow="0" w:firstColumn="0" w:lastColumn="0" w:oddVBand="0" w:evenVBand="0" w:oddHBand="0" w:evenHBand="0" w:firstRowFirstColumn="0" w:firstRowLastColumn="0" w:lastRowFirstColumn="0" w:lastRowLastColumn="0"/>
            </w:pPr>
            <w:r w:rsidRPr="00240F94">
              <w:t>South Australian Health and Medical Research Institute</w:t>
            </w:r>
          </w:p>
        </w:tc>
      </w:tr>
    </w:tbl>
    <w:p w14:paraId="0E40B1C5" w14:textId="2C2AD920" w:rsidR="00B37934" w:rsidRPr="00966455" w:rsidRDefault="00B37934" w:rsidP="00320B38">
      <w:pPr>
        <w:pStyle w:val="Heading3nonumbering"/>
      </w:pPr>
      <w:bookmarkStart w:id="8" w:name="_Toc118824291"/>
      <w:r w:rsidRPr="00D20A47">
        <w:t>T</w:t>
      </w:r>
      <w:r w:rsidR="00966455">
        <w:t>erms</w:t>
      </w:r>
      <w:bookmarkEnd w:id="8"/>
    </w:p>
    <w:tbl>
      <w:tblPr>
        <w:tblStyle w:val="GridTable1Light"/>
        <w:tblW w:w="9016" w:type="dxa"/>
        <w:tblLook w:val="04A0" w:firstRow="1" w:lastRow="0" w:firstColumn="1" w:lastColumn="0" w:noHBand="0" w:noVBand="1"/>
      </w:tblPr>
      <w:tblGrid>
        <w:gridCol w:w="3114"/>
        <w:gridCol w:w="5902"/>
      </w:tblGrid>
      <w:tr w:rsidR="00D5654E" w14:paraId="6897F36E" w14:textId="77777777" w:rsidTr="009664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33344D24" w14:textId="3EDCD321" w:rsidR="00D5654E" w:rsidRPr="00240F94" w:rsidRDefault="00D5654E" w:rsidP="00240F94">
            <w:r w:rsidRPr="00240F94">
              <w:t>Terms</w:t>
            </w:r>
          </w:p>
        </w:tc>
        <w:tc>
          <w:tcPr>
            <w:tcW w:w="5902" w:type="dxa"/>
          </w:tcPr>
          <w:p w14:paraId="78802EFF" w14:textId="6E8B7D57" w:rsidR="00D5654E" w:rsidRPr="00240F94" w:rsidRDefault="00D5654E" w:rsidP="00240F94">
            <w:pPr>
              <w:cnfStyle w:val="100000000000" w:firstRow="1" w:lastRow="0" w:firstColumn="0" w:lastColumn="0" w:oddVBand="0" w:evenVBand="0" w:oddHBand="0" w:evenHBand="0" w:firstRowFirstColumn="0" w:firstRowLastColumn="0" w:lastRowFirstColumn="0" w:lastRowLastColumn="0"/>
            </w:pPr>
            <w:r w:rsidRPr="00240F94">
              <w:t>Meaning</w:t>
            </w:r>
          </w:p>
        </w:tc>
      </w:tr>
      <w:tr w:rsidR="00BC35B8" w14:paraId="68D914E6"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12159BBF" w14:textId="0A9A902E" w:rsidR="00BC35B8" w:rsidRPr="00240F94" w:rsidRDefault="00E600B2" w:rsidP="00240F94">
            <w:r w:rsidRPr="00240F94">
              <w:t xml:space="preserve">Aboriginal and Torres Strait Islander </w:t>
            </w:r>
            <w:r w:rsidR="007622CA" w:rsidRPr="00240F94">
              <w:t>person</w:t>
            </w:r>
          </w:p>
        </w:tc>
        <w:tc>
          <w:tcPr>
            <w:tcW w:w="5902" w:type="dxa"/>
          </w:tcPr>
          <w:p w14:paraId="53205D6C" w14:textId="77777777" w:rsidR="00BC35B8" w:rsidRPr="00240F94" w:rsidRDefault="00E600B2" w:rsidP="00240F94">
            <w:pPr>
              <w:cnfStyle w:val="000000000000" w:firstRow="0" w:lastRow="0" w:firstColumn="0" w:lastColumn="0" w:oddVBand="0" w:evenVBand="0" w:oddHBand="0" w:evenHBand="0" w:firstRowFirstColumn="0" w:firstRowLastColumn="0" w:lastRowFirstColumn="0" w:lastRowLastColumn="0"/>
            </w:pPr>
            <w:r>
              <w:t xml:space="preserve">Australian person of Aboriginal or Torres Strait Islander descent who </w:t>
            </w:r>
            <w:r w:rsidR="00DA64B4" w:rsidRPr="00240F94">
              <w:t xml:space="preserve">identifies </w:t>
            </w:r>
            <w:r w:rsidRPr="00240F94">
              <w:t xml:space="preserve">as </w:t>
            </w:r>
            <w:r w:rsidR="00DA64B4" w:rsidRPr="00240F94">
              <w:t xml:space="preserve">an </w:t>
            </w:r>
            <w:r w:rsidRPr="00240F94">
              <w:t xml:space="preserve">Aboriginal or Torres Strait Islander person and </w:t>
            </w:r>
            <w:r w:rsidR="00DA64B4" w:rsidRPr="00240F94">
              <w:t xml:space="preserve">is </w:t>
            </w:r>
            <w:r w:rsidRPr="00240F94">
              <w:t xml:space="preserve">accepted as such by the community in which </w:t>
            </w:r>
            <w:r w:rsidR="00051229" w:rsidRPr="00240F94">
              <w:t>they</w:t>
            </w:r>
            <w:r w:rsidRPr="00240F94">
              <w:t xml:space="preserve"> live</w:t>
            </w:r>
            <w:r w:rsidR="002F4297" w:rsidRPr="00240F94">
              <w:t xml:space="preserve">. </w:t>
            </w:r>
          </w:p>
          <w:p w14:paraId="6204AFCC" w14:textId="4C66CCD1" w:rsidR="00D82E14" w:rsidRDefault="00091E63" w:rsidP="00240F94">
            <w:pPr>
              <w:cnfStyle w:val="000000000000" w:firstRow="0" w:lastRow="0" w:firstColumn="0" w:lastColumn="0" w:oddVBand="0" w:evenVBand="0" w:oddHBand="0" w:evenHBand="0" w:firstRowFirstColumn="0" w:firstRowLastColumn="0" w:lastRowFirstColumn="0" w:lastRowLastColumn="0"/>
            </w:pPr>
            <w:r w:rsidRPr="00240F94">
              <w:t xml:space="preserve">Aboriginal and Torres Strait Islander peoples are the many sovereign nations </w:t>
            </w:r>
            <w:r w:rsidR="004208A0" w:rsidRPr="00240F94">
              <w:t>of culturally diverse Aboriginal and Torres Strait</w:t>
            </w:r>
            <w:r w:rsidR="004208A0">
              <w:t xml:space="preserve"> Islander </w:t>
            </w:r>
            <w:r w:rsidR="001846B1">
              <w:t>communities</w:t>
            </w:r>
            <w:r w:rsidR="004208A0">
              <w:t xml:space="preserve">. </w:t>
            </w:r>
          </w:p>
        </w:tc>
      </w:tr>
      <w:tr w:rsidR="00764D0D" w14:paraId="0256AF10"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22921BF6" w14:textId="33A83C41" w:rsidR="00764D0D" w:rsidRPr="00240F94" w:rsidRDefault="00764D0D" w:rsidP="00240F94">
            <w:r w:rsidRPr="00240F94">
              <w:lastRenderedPageBreak/>
              <w:t xml:space="preserve">First Nations peoples </w:t>
            </w:r>
          </w:p>
        </w:tc>
        <w:tc>
          <w:tcPr>
            <w:tcW w:w="5902" w:type="dxa"/>
          </w:tcPr>
          <w:p w14:paraId="5A4774BF" w14:textId="09E26512" w:rsidR="00764D0D" w:rsidRPr="00240F94" w:rsidRDefault="00764D0D" w:rsidP="00240F94">
            <w:pPr>
              <w:cnfStyle w:val="000000000000" w:firstRow="0" w:lastRow="0" w:firstColumn="0" w:lastColumn="0" w:oddVBand="0" w:evenVBand="0" w:oddHBand="0" w:evenHBand="0" w:firstRowFirstColumn="0" w:firstRowLastColumn="0" w:lastRowFirstColumn="0" w:lastRowLastColumn="0"/>
            </w:pPr>
            <w:r w:rsidRPr="00240F94">
              <w:t>An increasingly favoured term that recognises all Indigenous persons</w:t>
            </w:r>
          </w:p>
        </w:tc>
      </w:tr>
      <w:tr w:rsidR="008903C7" w14:paraId="5474BD91"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0477567A" w14:textId="1C8C6290" w:rsidR="008903C7" w:rsidRPr="00240F94" w:rsidRDefault="00682A12" w:rsidP="00240F94">
            <w:r w:rsidRPr="00240F94">
              <w:t>Genome</w:t>
            </w:r>
          </w:p>
        </w:tc>
        <w:tc>
          <w:tcPr>
            <w:tcW w:w="5902" w:type="dxa"/>
          </w:tcPr>
          <w:p w14:paraId="713D3705" w14:textId="04A16192" w:rsidR="008903C7" w:rsidRPr="00240F94" w:rsidRDefault="00FC5FD1" w:rsidP="00240F94">
            <w:pPr>
              <w:cnfStyle w:val="000000000000" w:firstRow="0" w:lastRow="0" w:firstColumn="0" w:lastColumn="0" w:oddVBand="0" w:evenVBand="0" w:oddHBand="0" w:evenHBand="0" w:firstRowFirstColumn="0" w:firstRowLastColumn="0" w:lastRowFirstColumn="0" w:lastRowLastColumn="0"/>
            </w:pPr>
            <w:r w:rsidRPr="00240F94">
              <w:t xml:space="preserve">The </w:t>
            </w:r>
            <w:r w:rsidR="00410841" w:rsidRPr="00240F94">
              <w:t xml:space="preserve">NHMRC provides a </w:t>
            </w:r>
            <w:r w:rsidR="00073D64" w:rsidRPr="00240F94">
              <w:t xml:space="preserve">basic definition of the human genome: </w:t>
            </w:r>
            <w:r w:rsidRPr="00240F94">
              <w:t xml:space="preserve">‘The human genome consists of the complete set of human genetic material </w:t>
            </w:r>
            <w:r w:rsidR="00394F6E" w:rsidRPr="00240F94">
              <w:t>that is contained in a human cell. In most human cells, the genetic material is made up of long DNA strands that are packaged into 23 pairs of chromosomes. A genetic disease or condition is caused by one or more genetic changes t</w:t>
            </w:r>
            <w:r w:rsidR="001710DC" w:rsidRPr="00240F94">
              <w:t>o</w:t>
            </w:r>
            <w:r w:rsidR="00394F6E" w:rsidRPr="00240F94">
              <w:t xml:space="preserve"> the DNA code’</w:t>
            </w:r>
            <w:r w:rsidR="00394F6E" w:rsidRPr="00240F94">
              <w:footnoteReference w:id="2"/>
            </w:r>
          </w:p>
        </w:tc>
      </w:tr>
      <w:tr w:rsidR="008903C7" w14:paraId="5B378B30"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50A16D4C" w14:textId="62CC94E4" w:rsidR="008903C7" w:rsidRPr="00240F94" w:rsidRDefault="00771871" w:rsidP="00240F94">
            <w:r w:rsidRPr="00240F94">
              <w:t>Genetic testing</w:t>
            </w:r>
          </w:p>
        </w:tc>
        <w:tc>
          <w:tcPr>
            <w:tcW w:w="5902" w:type="dxa"/>
          </w:tcPr>
          <w:p w14:paraId="5BEAD699" w14:textId="6FB15060" w:rsidR="008903C7" w:rsidRPr="00240F94" w:rsidRDefault="00046B18" w:rsidP="00240F94">
            <w:pPr>
              <w:cnfStyle w:val="000000000000" w:firstRow="0" w:lastRow="0" w:firstColumn="0" w:lastColumn="0" w:oddVBand="0" w:evenVBand="0" w:oddHBand="0" w:evenHBand="0" w:firstRowFirstColumn="0" w:firstRowLastColumn="0" w:lastRowFirstColumn="0" w:lastRowLastColumn="0"/>
            </w:pPr>
            <w:r w:rsidRPr="00240F94">
              <w:t xml:space="preserve">Changes (mutations) </w:t>
            </w:r>
            <w:r w:rsidR="007A0995" w:rsidRPr="00240F94">
              <w:t xml:space="preserve">in inherited genes can result in </w:t>
            </w:r>
            <w:r w:rsidR="00113256" w:rsidRPr="00240F94">
              <w:t xml:space="preserve">genetic diseases, which can in turn be passed down to an individual’s children. Genetic testing involves testing an individual’s genes in order to detect these </w:t>
            </w:r>
            <w:r w:rsidR="0091319F" w:rsidRPr="00240F94">
              <w:t>mutations</w:t>
            </w:r>
            <w:r w:rsidR="00113256" w:rsidRPr="00240F94">
              <w:t xml:space="preserve"> </w:t>
            </w:r>
            <w:r w:rsidR="0091319F" w:rsidRPr="00240F94">
              <w:t xml:space="preserve">and infer the </w:t>
            </w:r>
            <w:r w:rsidR="0002738C" w:rsidRPr="00240F94">
              <w:t xml:space="preserve">probability of </w:t>
            </w:r>
            <w:r w:rsidR="007A1235" w:rsidRPr="00240F94">
              <w:t>a disease or condition developing</w:t>
            </w:r>
            <w:r w:rsidR="00FD4F58" w:rsidRPr="00240F94">
              <w:t xml:space="preserve"> or being passed down to that person’s children</w:t>
            </w:r>
            <w:r w:rsidR="007A1235" w:rsidRPr="00240F94">
              <w:t>.</w:t>
            </w:r>
            <w:r w:rsidR="00582029" w:rsidRPr="00240F94">
              <w:footnoteReference w:id="3"/>
            </w:r>
            <w:r w:rsidR="007A1235" w:rsidRPr="00240F94">
              <w:t xml:space="preserve"> </w:t>
            </w:r>
            <w:r w:rsidR="001663B9" w:rsidRPr="00240F94">
              <w:t xml:space="preserve"> </w:t>
            </w:r>
          </w:p>
        </w:tc>
      </w:tr>
      <w:tr w:rsidR="00B37934" w14:paraId="4BB9ECF5"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67753211" w14:textId="32579678" w:rsidR="00B37934" w:rsidRPr="00240F94" w:rsidRDefault="00A816E5" w:rsidP="00240F94">
            <w:r w:rsidRPr="00240F94">
              <w:t>Indigenous</w:t>
            </w:r>
            <w:r w:rsidR="0025099F" w:rsidRPr="00240F94">
              <w:t xml:space="preserve"> peoples</w:t>
            </w:r>
            <w:r w:rsidRPr="00240F94">
              <w:t xml:space="preserve"> </w:t>
            </w:r>
          </w:p>
        </w:tc>
        <w:tc>
          <w:tcPr>
            <w:tcW w:w="5902" w:type="dxa"/>
          </w:tcPr>
          <w:p w14:paraId="160EAAC4" w14:textId="5E86E973" w:rsidR="00B37934" w:rsidRPr="00240F94" w:rsidRDefault="00A816E5" w:rsidP="00240F94">
            <w:pPr>
              <w:cnfStyle w:val="000000000000" w:firstRow="0" w:lastRow="0" w:firstColumn="0" w:lastColumn="0" w:oddVBand="0" w:evenVBand="0" w:oddHBand="0" w:evenHBand="0" w:firstRowFirstColumn="0" w:firstRowLastColumn="0" w:lastRowFirstColumn="0" w:lastRowLastColumn="0"/>
            </w:pPr>
            <w:r w:rsidRPr="00240F94">
              <w:t>The term Indigenous refers to</w:t>
            </w:r>
            <w:r w:rsidR="009913A3" w:rsidRPr="00240F94">
              <w:t xml:space="preserve"> </w:t>
            </w:r>
            <w:r w:rsidR="00353EFF" w:rsidRPr="00240F94">
              <w:t xml:space="preserve">persons of Aboriginal and Torres Strait Islander descent, and the clans or language groups and communities they belong to. </w:t>
            </w:r>
          </w:p>
        </w:tc>
      </w:tr>
      <w:tr w:rsidR="00B37934" w14:paraId="57ED864E"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21B10411" w14:textId="744CEF21" w:rsidR="00B37934" w:rsidRPr="00240F94" w:rsidRDefault="00B37934" w:rsidP="00240F94">
            <w:r w:rsidRPr="00240F94">
              <w:t>Indigenous Cultural and Intellectual Property (ICIP)</w:t>
            </w:r>
          </w:p>
        </w:tc>
        <w:tc>
          <w:tcPr>
            <w:tcW w:w="5902" w:type="dxa"/>
          </w:tcPr>
          <w:p w14:paraId="1EF5D4B2" w14:textId="385E2D1C" w:rsidR="00B37934" w:rsidRPr="00240F94" w:rsidRDefault="00515036" w:rsidP="00240F94">
            <w:pPr>
              <w:cnfStyle w:val="000000000000" w:firstRow="0" w:lastRow="0" w:firstColumn="0" w:lastColumn="0" w:oddVBand="0" w:evenVBand="0" w:oddHBand="0" w:evenHBand="0" w:firstRowFirstColumn="0" w:firstRowLastColumn="0" w:lastRowFirstColumn="0" w:lastRowLastColumn="0"/>
            </w:pPr>
            <w:r w:rsidRPr="00240F94">
              <w:t>‘Indigenous Cultural and Intellectual Property’ or ‘ICIP’ is widely used</w:t>
            </w:r>
            <w:r w:rsidR="005310F9" w:rsidRPr="00240F94">
              <w:t xml:space="preserve"> in Australia following the report Our Culture: Our Future. ICIP includes </w:t>
            </w:r>
            <w:r w:rsidR="001A23F5" w:rsidRPr="00240F94">
              <w:t xml:space="preserve">intangible and tangible aspects of cultural heritage from </w:t>
            </w:r>
            <w:r w:rsidR="00B46F82" w:rsidRPr="00240F94">
              <w:t>cultural property and cultural sites</w:t>
            </w:r>
            <w:r w:rsidR="00AC5B90" w:rsidRPr="00240F94">
              <w:t xml:space="preserve">. It includes, </w:t>
            </w:r>
            <w:r w:rsidR="00B46F82" w:rsidRPr="00240F94">
              <w:t>human remains and documentation of Indigenous peoples</w:t>
            </w:r>
            <w:r w:rsidR="00AC5B90" w:rsidRPr="00240F94">
              <w:t xml:space="preserve">, sciences and technologies, and human and genetic </w:t>
            </w:r>
            <w:r w:rsidR="00C50CC1" w:rsidRPr="00240F94">
              <w:t>resources</w:t>
            </w:r>
            <w:r w:rsidR="00B46F82" w:rsidRPr="00240F94">
              <w:t xml:space="preserve">. ICIP is transmitted from generation to generation. It is constantly </w:t>
            </w:r>
            <w:r w:rsidR="00EA7778" w:rsidRPr="00240F94">
              <w:t>evolving,</w:t>
            </w:r>
            <w:r w:rsidR="00B46F82" w:rsidRPr="00240F94">
              <w:t xml:space="preserve"> and its creation is ongoing. </w:t>
            </w:r>
          </w:p>
        </w:tc>
      </w:tr>
      <w:tr w:rsidR="00B37934" w14:paraId="316D2C5A"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7A6F5F47" w14:textId="45481785" w:rsidR="00B37934" w:rsidRPr="00240F94" w:rsidRDefault="00D4286E" w:rsidP="00240F94">
            <w:r w:rsidRPr="00240F94">
              <w:t>Indigenous Cultural Expression</w:t>
            </w:r>
          </w:p>
        </w:tc>
        <w:tc>
          <w:tcPr>
            <w:tcW w:w="5902" w:type="dxa"/>
          </w:tcPr>
          <w:p w14:paraId="1DA72CC4" w14:textId="36030C7B" w:rsidR="00B37934" w:rsidRPr="00AC5B90" w:rsidRDefault="00F3045A" w:rsidP="00240F94">
            <w:pPr>
              <w:cnfStyle w:val="000000000000" w:firstRow="0" w:lastRow="0" w:firstColumn="0" w:lastColumn="0" w:oddVBand="0" w:evenVBand="0" w:oddHBand="0" w:evenHBand="0" w:firstRowFirstColumn="0" w:firstRowLastColumn="0" w:lastRowFirstColumn="0" w:lastRowLastColumn="0"/>
            </w:pPr>
            <w:r>
              <w:t xml:space="preserve">Manifestations of Indigenous culture including performance, dance, stories, art, designs, language, names, </w:t>
            </w:r>
            <w:r w:rsidRPr="00240F94">
              <w:t>symbols</w:t>
            </w:r>
            <w:r>
              <w:t xml:space="preserve">, </w:t>
            </w:r>
            <w:r w:rsidR="00141CE0">
              <w:t xml:space="preserve">handicrafts and ceremonies. </w:t>
            </w:r>
            <w:r w:rsidR="004B7E8A">
              <w:t xml:space="preserve">Indigenous knowledge </w:t>
            </w:r>
            <w:r w:rsidR="00570EAF">
              <w:t xml:space="preserve">of sciences and technologies are often recorded and transmitted through Indigenous Cultural Expressions. </w:t>
            </w:r>
          </w:p>
        </w:tc>
      </w:tr>
      <w:tr w:rsidR="00B37934" w14:paraId="5C3C854B"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444B47AB" w14:textId="02EF2795" w:rsidR="00B37934" w:rsidRPr="00240F94" w:rsidRDefault="00D4286E" w:rsidP="00240F94">
            <w:r w:rsidRPr="00240F94">
              <w:lastRenderedPageBreak/>
              <w:t xml:space="preserve">Indigenous Knowledge </w:t>
            </w:r>
          </w:p>
        </w:tc>
        <w:tc>
          <w:tcPr>
            <w:tcW w:w="5902" w:type="dxa"/>
          </w:tcPr>
          <w:p w14:paraId="17095632" w14:textId="14184E63" w:rsidR="00B37934" w:rsidRPr="00240F94" w:rsidRDefault="00BF18F7" w:rsidP="00240F94">
            <w:pPr>
              <w:cnfStyle w:val="000000000000" w:firstRow="0" w:lastRow="0" w:firstColumn="0" w:lastColumn="0" w:oddVBand="0" w:evenVBand="0" w:oddHBand="0" w:evenHBand="0" w:firstRowFirstColumn="0" w:firstRowLastColumn="0" w:lastRowFirstColumn="0" w:lastRowLastColumn="0"/>
            </w:pPr>
            <w:r>
              <w:t xml:space="preserve">Knowledge passed down through the generations and pertaining to Indigenous peoples and their region. It includes ecological knowledge </w:t>
            </w:r>
            <w:r w:rsidR="006715EE">
              <w:t xml:space="preserve">of Country and plants, healing, ways of Indigenous knowing and cultural practices. </w:t>
            </w:r>
          </w:p>
        </w:tc>
      </w:tr>
      <w:tr w:rsidR="00B37934" w14:paraId="47E61467"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18D272E1" w14:textId="35267EE0" w:rsidR="00B37934" w:rsidRPr="00240F94" w:rsidRDefault="00D4286E" w:rsidP="00240F94">
            <w:r w:rsidRPr="00240F94">
              <w:t>Intellectual Property (IP)</w:t>
            </w:r>
          </w:p>
        </w:tc>
        <w:tc>
          <w:tcPr>
            <w:tcW w:w="5902" w:type="dxa"/>
          </w:tcPr>
          <w:p w14:paraId="4403E95D" w14:textId="77777777" w:rsidR="00124F65" w:rsidRDefault="00EB0F20" w:rsidP="00240F94">
            <w:pPr>
              <w:cnfStyle w:val="000000000000" w:firstRow="0" w:lastRow="0" w:firstColumn="0" w:lastColumn="0" w:oddVBand="0" w:evenVBand="0" w:oddHBand="0" w:evenHBand="0" w:firstRowFirstColumn="0" w:firstRowLastColumn="0" w:lastRowFirstColumn="0" w:lastRowLastColumn="0"/>
            </w:pPr>
            <w:r>
              <w:t xml:space="preserve">Intellectual property laws protect, for a limited time, </w:t>
            </w:r>
            <w:r w:rsidR="00056497">
              <w:t xml:space="preserve">creative expression that has been reduced to material form. </w:t>
            </w:r>
            <w:r w:rsidR="00C31131">
              <w:t>This includes protection of</w:t>
            </w:r>
            <w:r w:rsidR="00124F65">
              <w:t>:</w:t>
            </w:r>
          </w:p>
          <w:p w14:paraId="34A2F60C" w14:textId="3E37D888" w:rsidR="00124F65" w:rsidRDefault="00124F65" w:rsidP="00240F94">
            <w:pPr>
              <w:pStyle w:val="ListBullet"/>
              <w:cnfStyle w:val="000000000000" w:firstRow="0" w:lastRow="0" w:firstColumn="0" w:lastColumn="0" w:oddVBand="0" w:evenVBand="0" w:oddHBand="0" w:evenHBand="0" w:firstRowFirstColumn="0" w:firstRowLastColumn="0" w:lastRowFirstColumn="0" w:lastRowLastColumn="0"/>
            </w:pPr>
            <w:r>
              <w:t>a</w:t>
            </w:r>
            <w:r w:rsidR="00C31131">
              <w:t>rtistic and other creative works through copyright law</w:t>
            </w:r>
            <w:r w:rsidR="00307494">
              <w:t>;</w:t>
            </w:r>
            <w:r w:rsidR="00C31131">
              <w:t xml:space="preserve"> </w:t>
            </w:r>
          </w:p>
          <w:p w14:paraId="4AE95B32" w14:textId="201BD67E" w:rsidR="00124F65" w:rsidRDefault="006131A4" w:rsidP="00240F94">
            <w:pPr>
              <w:pStyle w:val="ListBullet"/>
              <w:cnfStyle w:val="000000000000" w:firstRow="0" w:lastRow="0" w:firstColumn="0" w:lastColumn="0" w:oddVBand="0" w:evenVBand="0" w:oddHBand="0" w:evenHBand="0" w:firstRowFirstColumn="0" w:firstRowLastColumn="0" w:lastRowFirstColumn="0" w:lastRowLastColumn="0"/>
            </w:pPr>
            <w:r>
              <w:t>industrial and commercial designs</w:t>
            </w:r>
            <w:r w:rsidR="00D21DA3">
              <w:t xml:space="preserve"> </w:t>
            </w:r>
            <w:r w:rsidR="00FA44B2">
              <w:t xml:space="preserve">(what makes a product look the way it does) </w:t>
            </w:r>
            <w:r w:rsidR="006823D8">
              <w:t>through design law</w:t>
            </w:r>
            <w:r w:rsidR="00307494">
              <w:t>;</w:t>
            </w:r>
            <w:r w:rsidR="006823D8">
              <w:t xml:space="preserve"> </w:t>
            </w:r>
          </w:p>
          <w:p w14:paraId="2F9E5E40" w14:textId="77777777" w:rsidR="00307494" w:rsidRDefault="006823D8" w:rsidP="00240F94">
            <w:pPr>
              <w:pStyle w:val="ListBullet"/>
              <w:cnfStyle w:val="000000000000" w:firstRow="0" w:lastRow="0" w:firstColumn="0" w:lastColumn="0" w:oddVBand="0" w:evenVBand="0" w:oddHBand="0" w:evenHBand="0" w:firstRowFirstColumn="0" w:firstRowLastColumn="0" w:lastRowFirstColumn="0" w:lastRowLastColumn="0"/>
            </w:pPr>
            <w:r>
              <w:t>business brands though trade mark law</w:t>
            </w:r>
            <w:r w:rsidR="00307494">
              <w:t>;</w:t>
            </w:r>
            <w:r>
              <w:t xml:space="preserve"> and </w:t>
            </w:r>
          </w:p>
          <w:p w14:paraId="6FBFA328" w14:textId="77777777" w:rsidR="00307494" w:rsidRDefault="00641EEA" w:rsidP="00240F94">
            <w:pPr>
              <w:pStyle w:val="ListBullet"/>
              <w:cnfStyle w:val="000000000000" w:firstRow="0" w:lastRow="0" w:firstColumn="0" w:lastColumn="0" w:oddVBand="0" w:evenVBand="0" w:oddHBand="0" w:evenHBand="0" w:firstRowFirstColumn="0" w:firstRowLastColumn="0" w:lastRowFirstColumn="0" w:lastRowLastColumn="0"/>
            </w:pPr>
            <w:r>
              <w:t xml:space="preserve">newly invented </w:t>
            </w:r>
            <w:r w:rsidR="004F6201">
              <w:t>devices, substances, methods or processes</w:t>
            </w:r>
            <w:r w:rsidR="006823D8">
              <w:t xml:space="preserve"> through patent law. </w:t>
            </w:r>
          </w:p>
          <w:p w14:paraId="5C8DD30A" w14:textId="35A756F4" w:rsidR="00B37934" w:rsidRDefault="00B86C48" w:rsidP="00240F94">
            <w:pPr>
              <w:pStyle w:val="ListBullet"/>
              <w:cnfStyle w:val="000000000000" w:firstRow="0" w:lastRow="0" w:firstColumn="0" w:lastColumn="0" w:oddVBand="0" w:evenVBand="0" w:oddHBand="0" w:evenHBand="0" w:firstRowFirstColumn="0" w:firstRowLastColumn="0" w:lastRowFirstColumn="0" w:lastRowLastColumn="0"/>
            </w:pPr>
            <w:r>
              <w:t>New</w:t>
            </w:r>
            <w:r w:rsidR="008138D6">
              <w:t xml:space="preserve"> plant varieties are</w:t>
            </w:r>
            <w:r w:rsidR="00CA0FEA">
              <w:t xml:space="preserve"> also protected through plant breeder rights</w:t>
            </w:r>
            <w:r w:rsidR="00003218">
              <w:t xml:space="preserve"> legislation</w:t>
            </w:r>
            <w:r w:rsidR="00CA0FEA">
              <w:t xml:space="preserve">. </w:t>
            </w:r>
          </w:p>
        </w:tc>
      </w:tr>
      <w:tr w:rsidR="00B37934" w14:paraId="6B101BE6"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60A9913A" w14:textId="7379DA45" w:rsidR="00B37934" w:rsidRPr="00240F94" w:rsidRDefault="00083E3B" w:rsidP="00240F94">
            <w:r w:rsidRPr="00240F94">
              <w:t xml:space="preserve">Public domain </w:t>
            </w:r>
          </w:p>
        </w:tc>
        <w:tc>
          <w:tcPr>
            <w:tcW w:w="5902" w:type="dxa"/>
          </w:tcPr>
          <w:p w14:paraId="643547CB" w14:textId="58D539EE" w:rsidR="00B37934" w:rsidRPr="00240F94" w:rsidRDefault="005709B7" w:rsidP="00240F94">
            <w:pPr>
              <w:cnfStyle w:val="000000000000" w:firstRow="0" w:lastRow="0" w:firstColumn="0" w:lastColumn="0" w:oddVBand="0" w:evenVBand="0" w:oddHBand="0" w:evenHBand="0" w:firstRowFirstColumn="0" w:firstRowLastColumn="0" w:lastRowFirstColumn="0" w:lastRowLastColumn="0"/>
            </w:pPr>
            <w:r w:rsidRPr="00240F94">
              <w:t xml:space="preserve">Public domain generally refers to work that does not have any intellectual property law </w:t>
            </w:r>
            <w:r w:rsidR="00445285" w:rsidRPr="00240F94">
              <w:t xml:space="preserve">restriction upon its use </w:t>
            </w:r>
            <w:r w:rsidR="00547B7F" w:rsidRPr="00240F94">
              <w:t>by</w:t>
            </w:r>
            <w:r w:rsidR="00445285" w:rsidRPr="00240F94">
              <w:t xml:space="preserve"> the public. </w:t>
            </w:r>
          </w:p>
        </w:tc>
      </w:tr>
      <w:tr w:rsidR="00B37934" w14:paraId="201AED05" w14:textId="77777777" w:rsidTr="00966455">
        <w:tc>
          <w:tcPr>
            <w:cnfStyle w:val="001000000000" w:firstRow="0" w:lastRow="0" w:firstColumn="1" w:lastColumn="0" w:oddVBand="0" w:evenVBand="0" w:oddHBand="0" w:evenHBand="0" w:firstRowFirstColumn="0" w:firstRowLastColumn="0" w:lastRowFirstColumn="0" w:lastRowLastColumn="0"/>
            <w:tcW w:w="3114" w:type="dxa"/>
          </w:tcPr>
          <w:p w14:paraId="640B28A2" w14:textId="3E4D433C" w:rsidR="00B37934" w:rsidRPr="00240F94" w:rsidRDefault="004F6B9A" w:rsidP="00240F94">
            <w:r w:rsidRPr="00240F94">
              <w:t xml:space="preserve">Sui Generis </w:t>
            </w:r>
          </w:p>
        </w:tc>
        <w:tc>
          <w:tcPr>
            <w:tcW w:w="5902" w:type="dxa"/>
          </w:tcPr>
          <w:p w14:paraId="1B22C637" w14:textId="7FA7DAD7" w:rsidR="00B37934" w:rsidRPr="00240F94" w:rsidRDefault="004F6B9A" w:rsidP="00240F94">
            <w:pPr>
              <w:cnfStyle w:val="000000000000" w:firstRow="0" w:lastRow="0" w:firstColumn="0" w:lastColumn="0" w:oddVBand="0" w:evenVBand="0" w:oddHBand="0" w:evenHBand="0" w:firstRowFirstColumn="0" w:firstRowLastColumn="0" w:lastRowFirstColumn="0" w:lastRowLastColumn="0"/>
            </w:pPr>
            <w:r w:rsidRPr="00240F94">
              <w:t xml:space="preserve">Means stand alone or specific legislation </w:t>
            </w:r>
          </w:p>
        </w:tc>
      </w:tr>
    </w:tbl>
    <w:p w14:paraId="6EF064BA" w14:textId="77777777" w:rsidR="00DB6AB8" w:rsidRDefault="00DB6AB8">
      <w:r>
        <w:br w:type="page"/>
      </w:r>
    </w:p>
    <w:p w14:paraId="06006129" w14:textId="4077EE84" w:rsidR="0005619E" w:rsidRPr="00D27ED5" w:rsidRDefault="0005619E" w:rsidP="0034637E">
      <w:pPr>
        <w:pStyle w:val="Heading2"/>
        <w:spacing w:after="240"/>
        <w:rPr>
          <w:lang w:val="en-AU"/>
        </w:rPr>
      </w:pPr>
      <w:bookmarkStart w:id="9" w:name="_Toc36215513"/>
      <w:bookmarkStart w:id="10" w:name="_Toc118824292"/>
      <w:r w:rsidRPr="008E5C92">
        <w:rPr>
          <w:lang w:val="en-AU"/>
        </w:rPr>
        <w:lastRenderedPageBreak/>
        <w:t>Detailed methodology and stakeholder consultation list</w:t>
      </w:r>
      <w:bookmarkEnd w:id="9"/>
      <w:bookmarkEnd w:id="10"/>
      <w:r w:rsidRPr="008E5C92">
        <w:rPr>
          <w:lang w:val="en-AU"/>
        </w:rPr>
        <w:t xml:space="preserve"> </w:t>
      </w:r>
    </w:p>
    <w:p w14:paraId="0CCCD549" w14:textId="42C04D5F" w:rsidR="00903EA6" w:rsidRDefault="00A10F14" w:rsidP="00AC73DF">
      <w:r>
        <w:t xml:space="preserve">TJC had </w:t>
      </w:r>
      <w:r w:rsidR="00B1673D">
        <w:t xml:space="preserve">16 </w:t>
      </w:r>
      <w:r w:rsidR="00A7634A">
        <w:t xml:space="preserve">detailed </w:t>
      </w:r>
      <w:r w:rsidR="00FB682F">
        <w:t xml:space="preserve">discussions </w:t>
      </w:r>
      <w:r w:rsidR="00A7634A">
        <w:t>with key stakeholders</w:t>
      </w:r>
      <w:r w:rsidR="00A5485D">
        <w:t xml:space="preserve">, including </w:t>
      </w:r>
      <w:r w:rsidR="00A509DB">
        <w:t>the members of the Advisory Group</w:t>
      </w:r>
      <w:r w:rsidR="001E5FC9">
        <w:t xml:space="preserve"> and the project teams </w:t>
      </w:r>
      <w:r w:rsidR="007C17E6">
        <w:t xml:space="preserve">on the related Ethical, Legal and Social </w:t>
      </w:r>
      <w:r w:rsidR="00D32518">
        <w:t xml:space="preserve">Project and Environmental Scan Project. </w:t>
      </w:r>
    </w:p>
    <w:p w14:paraId="7BC8D1EF" w14:textId="177E7CA3" w:rsidR="00CF5BE9" w:rsidRDefault="00CF5BE9" w:rsidP="00AC73DF">
      <w:r>
        <w:t xml:space="preserve">Our approach to </w:t>
      </w:r>
      <w:r w:rsidR="000940BF">
        <w:t xml:space="preserve">the discussions </w:t>
      </w:r>
      <w:r w:rsidR="00984E92">
        <w:t xml:space="preserve">was to hold one-on-one </w:t>
      </w:r>
      <w:r w:rsidR="00AB4EB9">
        <w:t xml:space="preserve">telephone or video conferencing sessions. </w:t>
      </w:r>
      <w:r w:rsidR="00DE52D6">
        <w:t>This in</w:t>
      </w:r>
      <w:r w:rsidR="003B00E9">
        <w:t xml:space="preserve">dividual approach </w:t>
      </w:r>
      <w:r w:rsidR="00F260E1">
        <w:t>achieved more in-depth conversations tha</w:t>
      </w:r>
      <w:r w:rsidR="00076C95">
        <w:t>n</w:t>
      </w:r>
      <w:r w:rsidR="00F260E1">
        <w:t xml:space="preserve"> could have been achieved in larger workshops. It meant issue identification was broader, and </w:t>
      </w:r>
      <w:r w:rsidR="00CC7796">
        <w:t xml:space="preserve">issue examination more detailed. </w:t>
      </w:r>
    </w:p>
    <w:p w14:paraId="416E4405" w14:textId="293D6EFE" w:rsidR="00CC7796" w:rsidRDefault="00F208BC" w:rsidP="00AC73DF">
      <w:r>
        <w:t xml:space="preserve">Preparation for each </w:t>
      </w:r>
      <w:r w:rsidR="00457056">
        <w:t xml:space="preserve">discussion </w:t>
      </w:r>
      <w:r>
        <w:t xml:space="preserve">involved identification </w:t>
      </w:r>
      <w:r w:rsidR="008909C1">
        <w:t xml:space="preserve">of key questions or discussion areas </w:t>
      </w:r>
      <w:r w:rsidR="00BB1BD1">
        <w:t xml:space="preserve">specific to the individual’s area of </w:t>
      </w:r>
      <w:r w:rsidR="00F35015">
        <w:t xml:space="preserve">research or work. However, we also found that </w:t>
      </w:r>
      <w:r w:rsidR="00A01F80">
        <w:t xml:space="preserve">keeping the </w:t>
      </w:r>
      <w:r w:rsidR="006757B8">
        <w:t xml:space="preserve">meeting </w:t>
      </w:r>
      <w:r w:rsidR="005B43A7">
        <w:t xml:space="preserve">conversational in tone, and </w:t>
      </w:r>
      <w:r w:rsidR="00CD4E85">
        <w:t xml:space="preserve">allowing the </w:t>
      </w:r>
      <w:r w:rsidR="00FB10E2">
        <w:t xml:space="preserve">participant </w:t>
      </w:r>
      <w:r w:rsidR="00CD4E85">
        <w:t>to lead,</w:t>
      </w:r>
      <w:r w:rsidR="006E18B3">
        <w:t xml:space="preserve"> allowed </w:t>
      </w:r>
      <w:r w:rsidR="00F87861">
        <w:t xml:space="preserve">discussion of </w:t>
      </w:r>
      <w:r w:rsidR="00A87DD2">
        <w:t>the</w:t>
      </w:r>
      <w:r w:rsidR="003A2CEA">
        <w:t xml:space="preserve"> ethical, social, cultural and legal issues most relevant to them</w:t>
      </w:r>
      <w:r w:rsidR="00093858">
        <w:t xml:space="preserve">. This avoided the risk of our questions leading discussion </w:t>
      </w:r>
      <w:r w:rsidR="009F1E7A">
        <w:t>away from important topics</w:t>
      </w:r>
      <w:r w:rsidR="009F42F4">
        <w:t xml:space="preserve"> and in fact frequently led to issue identification that we might otherwise have missed or underestimated</w:t>
      </w:r>
      <w:r w:rsidR="009F1E7A">
        <w:t xml:space="preserve">. </w:t>
      </w:r>
    </w:p>
    <w:p w14:paraId="043E746A" w14:textId="3B2A60D6" w:rsidR="005B0D52" w:rsidRDefault="005B0D52" w:rsidP="00AC73DF">
      <w:r>
        <w:t xml:space="preserve">Each </w:t>
      </w:r>
      <w:r w:rsidR="00652F46">
        <w:t>discussion</w:t>
      </w:r>
      <w:r w:rsidR="00CB0266">
        <w:t xml:space="preserve"> lasted between 60-90 minutes</w:t>
      </w:r>
      <w:r w:rsidR="00001CE6">
        <w:t xml:space="preserve">. The </w:t>
      </w:r>
      <w:r w:rsidR="00517E7B">
        <w:t>Advisory Group members</w:t>
      </w:r>
      <w:r w:rsidR="005B78CB">
        <w:t xml:space="preserve"> and team leaders from the related projects</w:t>
      </w:r>
      <w:r w:rsidR="00517E7B">
        <w:t xml:space="preserve"> </w:t>
      </w:r>
      <w:r w:rsidR="00001CE6">
        <w:t>were incredibly generous with their</w:t>
      </w:r>
      <w:r w:rsidR="00F840DD">
        <w:t xml:space="preserve"> time and knowledge, and this issues paper owes a deep debt of gratitude to them. </w:t>
      </w:r>
      <w:r w:rsidR="0066112F">
        <w:t xml:space="preserve">TJC </w:t>
      </w:r>
      <w:r w:rsidR="00B822E2">
        <w:t>would like to acknowledge and thank each of them</w:t>
      </w:r>
      <w:r w:rsidR="00051720">
        <w:t xml:space="preserve"> individually: </w:t>
      </w:r>
    </w:p>
    <w:p w14:paraId="49303623" w14:textId="74CA965F" w:rsidR="00EF3827" w:rsidRPr="00320B38" w:rsidRDefault="00506413" w:rsidP="00320B38">
      <w:pPr>
        <w:pStyle w:val="Caption"/>
      </w:pPr>
      <w:bookmarkStart w:id="11" w:name="_Ref45014324"/>
      <w:r w:rsidRPr="00320B38">
        <w:t xml:space="preserve">Table </w:t>
      </w:r>
      <w:r w:rsidRPr="00320B38">
        <w:fldChar w:fldCharType="begin"/>
      </w:r>
      <w:r w:rsidRPr="00320B38">
        <w:instrText xml:space="preserve"> SEQ Table \* ARABIC </w:instrText>
      </w:r>
      <w:r w:rsidRPr="00320B38">
        <w:fldChar w:fldCharType="separate"/>
      </w:r>
      <w:r w:rsidR="000B4085" w:rsidRPr="00320B38">
        <w:t>1</w:t>
      </w:r>
      <w:r w:rsidRPr="00320B38">
        <w:fldChar w:fldCharType="end"/>
      </w:r>
      <w:bookmarkEnd w:id="11"/>
      <w:r w:rsidRPr="00320B38">
        <w:t>: The Department of Health's Aboriginal and Torres Strait Islander Advisory Group</w:t>
      </w:r>
    </w:p>
    <w:tbl>
      <w:tblPr>
        <w:tblStyle w:val="GridTable1Light"/>
        <w:tblW w:w="0" w:type="auto"/>
        <w:tblLook w:val="04A0" w:firstRow="1" w:lastRow="0" w:firstColumn="1" w:lastColumn="0" w:noHBand="0" w:noVBand="1"/>
        <w:tblCaption w:val="The Department of Health’s Aboriginal and Torres Strait islander Advisory Group"/>
        <w:tblDescription w:val="Table 1. Membership list fo the Department of Health’s Aboriginal and Torres Strait islander Advisory Group"/>
      </w:tblPr>
      <w:tblGrid>
        <w:gridCol w:w="5245"/>
        <w:gridCol w:w="3771"/>
      </w:tblGrid>
      <w:tr w:rsidR="00EF3827" w14:paraId="664AC742" w14:textId="77777777" w:rsidTr="00A83B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bookmarkEnd w:id="0"/>
          <w:p w14:paraId="567047F9" w14:textId="1D9A164C" w:rsidR="00EF3827" w:rsidRPr="00CA4130" w:rsidRDefault="00EF3827" w:rsidP="00EF3827">
            <w:pPr>
              <w:rPr>
                <w:b w:val="0"/>
              </w:rPr>
            </w:pPr>
            <w:r w:rsidRPr="0061489D">
              <w:t>Person</w:t>
            </w:r>
          </w:p>
        </w:tc>
        <w:tc>
          <w:tcPr>
            <w:tcW w:w="3771" w:type="dxa"/>
          </w:tcPr>
          <w:p w14:paraId="5F62A46D" w14:textId="51F04D2E" w:rsidR="00EF3827" w:rsidRPr="00CA4130" w:rsidRDefault="00EF3827" w:rsidP="00EF3827">
            <w:pPr>
              <w:cnfStyle w:val="100000000000" w:firstRow="1" w:lastRow="0" w:firstColumn="0" w:lastColumn="0" w:oddVBand="0" w:evenVBand="0" w:oddHBand="0" w:evenHBand="0" w:firstRowFirstColumn="0" w:firstRowLastColumn="0" w:lastRowFirstColumn="0" w:lastRowLastColumn="0"/>
              <w:rPr>
                <w:b w:val="0"/>
              </w:rPr>
            </w:pPr>
            <w:r>
              <w:t>Workplace</w:t>
            </w:r>
          </w:p>
        </w:tc>
      </w:tr>
      <w:tr w:rsidR="00EF3827" w14:paraId="5BF43B42"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702F3A23" w14:textId="7200EEEF" w:rsidR="00EF3827" w:rsidRDefault="00EF3827" w:rsidP="00EF3827">
            <w:r>
              <w:t>Professor Gareth Baynam, Clinical Geneticist</w:t>
            </w:r>
          </w:p>
        </w:tc>
        <w:tc>
          <w:tcPr>
            <w:tcW w:w="3771" w:type="dxa"/>
          </w:tcPr>
          <w:p w14:paraId="5ED63D22" w14:textId="28DB2948" w:rsidR="00EF3827" w:rsidRPr="005C1786" w:rsidRDefault="00EF3827" w:rsidP="00EF3827">
            <w:pPr>
              <w:cnfStyle w:val="000000000000" w:firstRow="0" w:lastRow="0" w:firstColumn="0" w:lastColumn="0" w:oddVBand="0" w:evenVBand="0" w:oddHBand="0" w:evenHBand="0" w:firstRowFirstColumn="0" w:firstRowLastColumn="0" w:lastRowFirstColumn="0" w:lastRowLastColumn="0"/>
            </w:pPr>
            <w:r>
              <w:t>Genetic Services of Western Australia and the Western Australian Register of Developmental Anomalies, WA Heath</w:t>
            </w:r>
          </w:p>
        </w:tc>
      </w:tr>
      <w:tr w:rsidR="00EF3827" w14:paraId="3996F953"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10292258" w14:textId="45849873" w:rsidR="00EF3827" w:rsidRDefault="00EF3827" w:rsidP="00EF3827">
            <w:r>
              <w:t xml:space="preserve">Ms Janine Mohamed, </w:t>
            </w:r>
            <w:r w:rsidRPr="002D369C">
              <w:rPr>
                <w:i/>
                <w:iCs/>
              </w:rPr>
              <w:t>CEO</w:t>
            </w:r>
          </w:p>
        </w:tc>
        <w:tc>
          <w:tcPr>
            <w:tcW w:w="3771" w:type="dxa"/>
          </w:tcPr>
          <w:p w14:paraId="15174AA3" w14:textId="59ABA2D5" w:rsidR="00EF3827" w:rsidRPr="00FE5EE3" w:rsidRDefault="00EF3827" w:rsidP="00EF3827">
            <w:pPr>
              <w:cnfStyle w:val="000000000000" w:firstRow="0" w:lastRow="0" w:firstColumn="0" w:lastColumn="0" w:oddVBand="0" w:evenVBand="0" w:oddHBand="0" w:evenHBand="0" w:firstRowFirstColumn="0" w:firstRowLastColumn="0" w:lastRowFirstColumn="0" w:lastRowLastColumn="0"/>
            </w:pPr>
            <w:r w:rsidRPr="00FE5EE3">
              <w:t>Lowitja Institute</w:t>
            </w:r>
          </w:p>
        </w:tc>
      </w:tr>
      <w:tr w:rsidR="00EF3827" w14:paraId="7F82C38F"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57DA67B6" w14:textId="5722C284" w:rsidR="00EF3827" w:rsidRDefault="00EF3827" w:rsidP="00EF3827">
            <w:r>
              <w:t xml:space="preserve">Ms Lowanna Norris, </w:t>
            </w:r>
            <w:r w:rsidRPr="002D369C">
              <w:t>Executive Assistant to CEO Janine Mohamed</w:t>
            </w:r>
          </w:p>
        </w:tc>
        <w:tc>
          <w:tcPr>
            <w:tcW w:w="3771" w:type="dxa"/>
          </w:tcPr>
          <w:p w14:paraId="70C98F13" w14:textId="426B9C6C" w:rsidR="00EF3827" w:rsidRDefault="00EF3827" w:rsidP="00EF3827">
            <w:pPr>
              <w:cnfStyle w:val="000000000000" w:firstRow="0" w:lastRow="0" w:firstColumn="0" w:lastColumn="0" w:oddVBand="0" w:evenVBand="0" w:oddHBand="0" w:evenHBand="0" w:firstRowFirstColumn="0" w:firstRowLastColumn="0" w:lastRowFirstColumn="0" w:lastRowLastColumn="0"/>
            </w:pPr>
            <w:r w:rsidRPr="00FE5EE3">
              <w:t>Lowitja Institute</w:t>
            </w:r>
          </w:p>
        </w:tc>
      </w:tr>
      <w:tr w:rsidR="00EF3827" w14:paraId="59141A50"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77BEE2C5" w14:textId="6E8BCAB4" w:rsidR="00EF3827" w:rsidRDefault="00EF3827" w:rsidP="00EF3827">
            <w:r>
              <w:t xml:space="preserve">Ms Phoebe Dent, </w:t>
            </w:r>
            <w:r w:rsidRPr="002D369C">
              <w:rPr>
                <w:i/>
                <w:iCs/>
              </w:rPr>
              <w:t>Policy Team</w:t>
            </w:r>
          </w:p>
        </w:tc>
        <w:tc>
          <w:tcPr>
            <w:tcW w:w="3771" w:type="dxa"/>
          </w:tcPr>
          <w:p w14:paraId="710E9FC4" w14:textId="355CBA8B" w:rsidR="00EF3827" w:rsidRDefault="00EF3827" w:rsidP="00EF3827">
            <w:pPr>
              <w:cnfStyle w:val="000000000000" w:firstRow="0" w:lastRow="0" w:firstColumn="0" w:lastColumn="0" w:oddVBand="0" w:evenVBand="0" w:oddHBand="0" w:evenHBand="0" w:firstRowFirstColumn="0" w:firstRowLastColumn="0" w:lastRowFirstColumn="0" w:lastRowLastColumn="0"/>
            </w:pPr>
            <w:r w:rsidRPr="00FE5EE3">
              <w:t>Lowitja Institute</w:t>
            </w:r>
          </w:p>
        </w:tc>
      </w:tr>
      <w:tr w:rsidR="00EF3827" w14:paraId="40FDA08A"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143FBBC7" w14:textId="0D405AF4" w:rsidR="00EF3827" w:rsidRDefault="00EF3827" w:rsidP="00EF3827">
            <w:r>
              <w:t xml:space="preserve">Ms Leonie Williamson, </w:t>
            </w:r>
            <w:r w:rsidRPr="002D369C">
              <w:rPr>
                <w:i/>
                <w:iCs/>
              </w:rPr>
              <w:t>Policy Team</w:t>
            </w:r>
          </w:p>
        </w:tc>
        <w:tc>
          <w:tcPr>
            <w:tcW w:w="3771" w:type="dxa"/>
          </w:tcPr>
          <w:p w14:paraId="6C1371B2" w14:textId="416D4222" w:rsidR="00EF3827" w:rsidRDefault="00EF3827" w:rsidP="00EF3827">
            <w:pPr>
              <w:cnfStyle w:val="000000000000" w:firstRow="0" w:lastRow="0" w:firstColumn="0" w:lastColumn="0" w:oddVBand="0" w:evenVBand="0" w:oddHBand="0" w:evenHBand="0" w:firstRowFirstColumn="0" w:firstRowLastColumn="0" w:lastRowFirstColumn="0" w:lastRowLastColumn="0"/>
            </w:pPr>
            <w:r w:rsidRPr="00FE5EE3">
              <w:t>Lowitja Institute</w:t>
            </w:r>
          </w:p>
        </w:tc>
      </w:tr>
      <w:tr w:rsidR="00EF3827" w14:paraId="7F409085"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01D5D24C" w14:textId="30C49ED4" w:rsidR="00EF3827" w:rsidRDefault="00EF3827" w:rsidP="00EF3827">
            <w:r>
              <w:t xml:space="preserve">Ms Nicole Bowman, </w:t>
            </w:r>
            <w:r w:rsidRPr="002D369C">
              <w:rPr>
                <w:i/>
                <w:iCs/>
              </w:rPr>
              <w:t>Policy Team</w:t>
            </w:r>
          </w:p>
        </w:tc>
        <w:tc>
          <w:tcPr>
            <w:tcW w:w="3771" w:type="dxa"/>
          </w:tcPr>
          <w:p w14:paraId="02F1546D" w14:textId="178EF1D0" w:rsidR="00EF3827" w:rsidRDefault="00EF3827" w:rsidP="00EF3827">
            <w:pPr>
              <w:cnfStyle w:val="000000000000" w:firstRow="0" w:lastRow="0" w:firstColumn="0" w:lastColumn="0" w:oddVBand="0" w:evenVBand="0" w:oddHBand="0" w:evenHBand="0" w:firstRowFirstColumn="0" w:firstRowLastColumn="0" w:lastRowFirstColumn="0" w:lastRowLastColumn="0"/>
            </w:pPr>
            <w:r w:rsidRPr="00FE5EE3">
              <w:t>Lowitja Institute</w:t>
            </w:r>
          </w:p>
        </w:tc>
      </w:tr>
      <w:tr w:rsidR="00EF3827" w14:paraId="476F2D2B"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3A952A16" w14:textId="184824C2" w:rsidR="00EF3827" w:rsidRDefault="00EF3827" w:rsidP="00EF3827">
            <w:r>
              <w:t xml:space="preserve">Professor Alex Brown, </w:t>
            </w:r>
            <w:r w:rsidRPr="00345CD7">
              <w:t>Leader, Aboriginal Health Research Unit</w:t>
            </w:r>
            <w:r>
              <w:t xml:space="preserve"> </w:t>
            </w:r>
          </w:p>
        </w:tc>
        <w:tc>
          <w:tcPr>
            <w:tcW w:w="3771" w:type="dxa"/>
          </w:tcPr>
          <w:p w14:paraId="077C5255" w14:textId="7D36FA4F" w:rsidR="00EF3827" w:rsidRPr="00345CD7" w:rsidRDefault="00EF3827" w:rsidP="00EF3827">
            <w:pPr>
              <w:cnfStyle w:val="000000000000" w:firstRow="0" w:lastRow="0" w:firstColumn="0" w:lastColumn="0" w:oddVBand="0" w:evenVBand="0" w:oddHBand="0" w:evenHBand="0" w:firstRowFirstColumn="0" w:firstRowLastColumn="0" w:lastRowFirstColumn="0" w:lastRowLastColumn="0"/>
            </w:pPr>
            <w:r w:rsidRPr="00345CD7">
              <w:t>South Australian Health and Medical Research Institute (SAHMRI)</w:t>
            </w:r>
          </w:p>
        </w:tc>
      </w:tr>
      <w:tr w:rsidR="00EF3827" w14:paraId="5264345A"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643C9FC3" w14:textId="614CB4AA" w:rsidR="00EF3827" w:rsidRDefault="00EF3827" w:rsidP="00EF3827">
            <w:r>
              <w:t xml:space="preserve">Ms Azure Hermes, </w:t>
            </w:r>
            <w:r w:rsidRPr="007C3267">
              <w:t>Indigenous Community Engagement Coordinator</w:t>
            </w:r>
          </w:p>
        </w:tc>
        <w:tc>
          <w:tcPr>
            <w:tcW w:w="3771" w:type="dxa"/>
          </w:tcPr>
          <w:p w14:paraId="04C9F261" w14:textId="00351092" w:rsidR="00EF3827" w:rsidRPr="00FC5B4D" w:rsidRDefault="00EF3827" w:rsidP="00EF3827">
            <w:pPr>
              <w:cnfStyle w:val="000000000000" w:firstRow="0" w:lastRow="0" w:firstColumn="0" w:lastColumn="0" w:oddVBand="0" w:evenVBand="0" w:oddHBand="0" w:evenHBand="0" w:firstRowFirstColumn="0" w:firstRowLastColumn="0" w:lastRowFirstColumn="0" w:lastRowLastColumn="0"/>
            </w:pPr>
            <w:r w:rsidRPr="00FC5B4D">
              <w:t>National Centre for Indigenous Genomics (NCIG)</w:t>
            </w:r>
            <w:r>
              <w:t xml:space="preserve">, Australian </w:t>
            </w:r>
            <w:r>
              <w:lastRenderedPageBreak/>
              <w:t xml:space="preserve">National University College of Health &amp; Medicine </w:t>
            </w:r>
          </w:p>
        </w:tc>
      </w:tr>
      <w:tr w:rsidR="00EF3827" w14:paraId="7097C164"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0576FA15" w14:textId="02884930" w:rsidR="00EF3827" w:rsidRDefault="00EF3827" w:rsidP="00EF3827">
            <w:r>
              <w:lastRenderedPageBreak/>
              <w:t>Professor Margaret Kelaher</w:t>
            </w:r>
            <w:r w:rsidRPr="00E7093B">
              <w:t xml:space="preserve">, Head, Evaluation and Implementation Science, Centre for Health Policy, Melbourne School of Population and Global Health </w:t>
            </w:r>
          </w:p>
        </w:tc>
        <w:tc>
          <w:tcPr>
            <w:tcW w:w="3771" w:type="dxa"/>
          </w:tcPr>
          <w:p w14:paraId="4064A842" w14:textId="1060950C" w:rsidR="00EF3827" w:rsidRPr="00E7093B" w:rsidRDefault="00EF3827" w:rsidP="00EF3827">
            <w:pPr>
              <w:cnfStyle w:val="000000000000" w:firstRow="0" w:lastRow="0" w:firstColumn="0" w:lastColumn="0" w:oddVBand="0" w:evenVBand="0" w:oddHBand="0" w:evenHBand="0" w:firstRowFirstColumn="0" w:firstRowLastColumn="0" w:lastRowFirstColumn="0" w:lastRowLastColumn="0"/>
            </w:pPr>
            <w:r w:rsidRPr="00E7093B">
              <w:t xml:space="preserve">The University of Melbourne </w:t>
            </w:r>
          </w:p>
        </w:tc>
      </w:tr>
      <w:tr w:rsidR="00EF3827" w14:paraId="67EC7837"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305EC497" w14:textId="7C063900" w:rsidR="00EF3827" w:rsidRDefault="00EF3827" w:rsidP="00EF3827">
            <w:r>
              <w:t xml:space="preserve">Associate Professor Stephen Leslie, </w:t>
            </w:r>
            <w:r w:rsidRPr="001164FC">
              <w:t>Associate Professor, Centre for Systems Genomics, Faculty of Science</w:t>
            </w:r>
            <w:r>
              <w:t xml:space="preserve"> </w:t>
            </w:r>
          </w:p>
        </w:tc>
        <w:tc>
          <w:tcPr>
            <w:tcW w:w="3771" w:type="dxa"/>
          </w:tcPr>
          <w:p w14:paraId="3EA8AC72" w14:textId="728A5E7B" w:rsidR="00EF3827" w:rsidRPr="009554DF" w:rsidRDefault="00EF3827" w:rsidP="00EF3827">
            <w:pPr>
              <w:cnfStyle w:val="000000000000" w:firstRow="0" w:lastRow="0" w:firstColumn="0" w:lastColumn="0" w:oddVBand="0" w:evenVBand="0" w:oddHBand="0" w:evenHBand="0" w:firstRowFirstColumn="0" w:firstRowLastColumn="0" w:lastRowFirstColumn="0" w:lastRowLastColumn="0"/>
            </w:pPr>
            <w:r w:rsidRPr="009554DF">
              <w:t>The University of Melbourne</w:t>
            </w:r>
          </w:p>
        </w:tc>
      </w:tr>
      <w:tr w:rsidR="00EF3827" w14:paraId="62D506C6"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3EBB4F19" w14:textId="256FE4C3" w:rsidR="00EF3827" w:rsidRDefault="00EF3827" w:rsidP="00EF3827">
            <w:r>
              <w:t xml:space="preserve">Ms Tanya McGregor, </w:t>
            </w:r>
            <w:r w:rsidRPr="00EA3295">
              <w:rPr>
                <w:i/>
                <w:iCs/>
              </w:rPr>
              <w:t>Chair</w:t>
            </w:r>
          </w:p>
        </w:tc>
        <w:tc>
          <w:tcPr>
            <w:tcW w:w="3771" w:type="dxa"/>
          </w:tcPr>
          <w:p w14:paraId="32D65058" w14:textId="404FA0BF" w:rsidR="00EF3827" w:rsidRPr="00BF153C" w:rsidRDefault="00EF3827" w:rsidP="00EF3827">
            <w:pPr>
              <w:cnfStyle w:val="000000000000" w:firstRow="0" w:lastRow="0" w:firstColumn="0" w:lastColumn="0" w:oddVBand="0" w:evenVBand="0" w:oddHBand="0" w:evenHBand="0" w:firstRowFirstColumn="0" w:firstRowLastColumn="0" w:lastRowFirstColumn="0" w:lastRowLastColumn="0"/>
            </w:pPr>
            <w:r w:rsidRPr="00BF153C">
              <w:t>National Aboriginal and Torres Strait Islander Health Standing Committee (NATSIHSC)</w:t>
            </w:r>
          </w:p>
        </w:tc>
      </w:tr>
      <w:tr w:rsidR="00EF3827" w14:paraId="1FD47B7C"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7465E123" w14:textId="12377E06" w:rsidR="00EF3827" w:rsidRDefault="00EF3827" w:rsidP="00EF3827">
            <w:r>
              <w:t xml:space="preserve">Mr Greg Pratt, </w:t>
            </w:r>
            <w:r w:rsidRPr="00FB61F7">
              <w:t>Aboriginal and Torres Strait Islander Health Research Manager</w:t>
            </w:r>
          </w:p>
        </w:tc>
        <w:tc>
          <w:tcPr>
            <w:tcW w:w="3771" w:type="dxa"/>
          </w:tcPr>
          <w:p w14:paraId="037AF9F9" w14:textId="03FF81AB" w:rsidR="00EF3827" w:rsidRPr="00FB61F7" w:rsidRDefault="00EF3827" w:rsidP="00EF3827">
            <w:pPr>
              <w:cnfStyle w:val="000000000000" w:firstRow="0" w:lastRow="0" w:firstColumn="0" w:lastColumn="0" w:oddVBand="0" w:evenVBand="0" w:oddHBand="0" w:evenHBand="0" w:firstRowFirstColumn="0" w:firstRowLastColumn="0" w:lastRowFirstColumn="0" w:lastRowLastColumn="0"/>
            </w:pPr>
            <w:r w:rsidRPr="00FB61F7">
              <w:t>QIMR Berghofer Medical Research Institute</w:t>
            </w:r>
          </w:p>
        </w:tc>
      </w:tr>
      <w:tr w:rsidR="00EF3827" w14:paraId="5CE65115"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44EDF72A" w14:textId="76A601B6" w:rsidR="00EF3827" w:rsidRDefault="00EF3827" w:rsidP="00EF3827">
            <w:r>
              <w:t xml:space="preserve">Dr Nic Waddell, </w:t>
            </w:r>
            <w:r w:rsidRPr="001164FC">
              <w:t>Group Leader, Medical Genomics</w:t>
            </w:r>
          </w:p>
        </w:tc>
        <w:tc>
          <w:tcPr>
            <w:tcW w:w="3771" w:type="dxa"/>
          </w:tcPr>
          <w:p w14:paraId="782FCD5D" w14:textId="0373952B" w:rsidR="00EF3827" w:rsidRDefault="00EF3827" w:rsidP="00EF3827">
            <w:pPr>
              <w:cnfStyle w:val="000000000000" w:firstRow="0" w:lastRow="0" w:firstColumn="0" w:lastColumn="0" w:oddVBand="0" w:evenVBand="0" w:oddHBand="0" w:evenHBand="0" w:firstRowFirstColumn="0" w:firstRowLastColumn="0" w:lastRowFirstColumn="0" w:lastRowLastColumn="0"/>
            </w:pPr>
            <w:r w:rsidRPr="00FB61F7">
              <w:t>QIMR Berghofer Medical Research Institute</w:t>
            </w:r>
          </w:p>
        </w:tc>
      </w:tr>
      <w:tr w:rsidR="00EF3827" w14:paraId="754D9412"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7121FFDB" w14:textId="0EFBCE70" w:rsidR="00EF3827" w:rsidRDefault="00EF3827" w:rsidP="00EF3827">
            <w:r>
              <w:t xml:space="preserve">Dr Simone Reynolds, </w:t>
            </w:r>
            <w:r w:rsidRPr="0061214B">
              <w:t>Research Fellow, The End Rheumatic Heart Disease Centre for Research Excellence, Institute for Glycomics, Griffith University &amp; Co-chair, NCIG Board</w:t>
            </w:r>
          </w:p>
        </w:tc>
        <w:tc>
          <w:tcPr>
            <w:tcW w:w="3771" w:type="dxa"/>
          </w:tcPr>
          <w:p w14:paraId="4061718A" w14:textId="0B68939A" w:rsidR="00EF3827" w:rsidRDefault="00EF3827" w:rsidP="00EF3827">
            <w:pPr>
              <w:cnfStyle w:val="000000000000" w:firstRow="0" w:lastRow="0" w:firstColumn="0" w:lastColumn="0" w:oddVBand="0" w:evenVBand="0" w:oddHBand="0" w:evenHBand="0" w:firstRowFirstColumn="0" w:firstRowLastColumn="0" w:lastRowFirstColumn="0" w:lastRowLastColumn="0"/>
            </w:pPr>
            <w:r w:rsidRPr="0061214B">
              <w:t>Griffith University &amp;</w:t>
            </w:r>
            <w:r>
              <w:t xml:space="preserve"> </w:t>
            </w:r>
            <w:r w:rsidRPr="00FC5B4D">
              <w:t>National Centre for Indigenous Genomics (NCIG)</w:t>
            </w:r>
            <w:r>
              <w:t>, Australian National University College of Health &amp; Medicine</w:t>
            </w:r>
          </w:p>
        </w:tc>
      </w:tr>
      <w:tr w:rsidR="00EF3827" w14:paraId="0BA1390E"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0AC0A9C6" w14:textId="1D74D675" w:rsidR="00EF3827" w:rsidRDefault="00EF3827" w:rsidP="00EF3827">
            <w:r>
              <w:t xml:space="preserve">Ms Samantha Faulkner, </w:t>
            </w:r>
            <w:r w:rsidRPr="001110C6">
              <w:t>Director, Ethics and Research Leadership</w:t>
            </w:r>
          </w:p>
        </w:tc>
        <w:tc>
          <w:tcPr>
            <w:tcW w:w="3771" w:type="dxa"/>
          </w:tcPr>
          <w:p w14:paraId="1C3DD857" w14:textId="2D2788AE" w:rsidR="00EF3827" w:rsidRPr="001110C6" w:rsidRDefault="00EF3827" w:rsidP="00EF3827">
            <w:pPr>
              <w:cnfStyle w:val="000000000000" w:firstRow="0" w:lastRow="0" w:firstColumn="0" w:lastColumn="0" w:oddVBand="0" w:evenVBand="0" w:oddHBand="0" w:evenHBand="0" w:firstRowFirstColumn="0" w:firstRowLastColumn="0" w:lastRowFirstColumn="0" w:lastRowLastColumn="0"/>
            </w:pPr>
            <w:r w:rsidRPr="001110C6">
              <w:t>Australian Institute of Aboriginal and Torres Strait Islander Studies (AIATSIS)</w:t>
            </w:r>
          </w:p>
        </w:tc>
      </w:tr>
      <w:tr w:rsidR="00EF3827" w14:paraId="2CBBCFB8"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397A53B1" w14:textId="066C33E4" w:rsidR="00EF3827" w:rsidRDefault="00EF3827" w:rsidP="00EF3827">
            <w:r>
              <w:t xml:space="preserve">Ms Kate Thomann, </w:t>
            </w:r>
            <w:r w:rsidRPr="007E2946">
              <w:t>Assistant Secretary, Primary Health Data and Evidence Branch, Indigenous Health Division</w:t>
            </w:r>
            <w:r>
              <w:t xml:space="preserve"> </w:t>
            </w:r>
          </w:p>
        </w:tc>
        <w:tc>
          <w:tcPr>
            <w:tcW w:w="3771" w:type="dxa"/>
          </w:tcPr>
          <w:p w14:paraId="24E97F0D" w14:textId="40BA11C0" w:rsidR="00EF3827" w:rsidRPr="007E2946" w:rsidRDefault="00EF3827" w:rsidP="00EF3827">
            <w:pPr>
              <w:cnfStyle w:val="000000000000" w:firstRow="0" w:lastRow="0" w:firstColumn="0" w:lastColumn="0" w:oddVBand="0" w:evenVBand="0" w:oddHBand="0" w:evenHBand="0" w:firstRowFirstColumn="0" w:firstRowLastColumn="0" w:lastRowFirstColumn="0" w:lastRowLastColumn="0"/>
            </w:pPr>
            <w:r w:rsidRPr="007E2946">
              <w:t xml:space="preserve">Department of Health </w:t>
            </w:r>
          </w:p>
        </w:tc>
      </w:tr>
      <w:tr w:rsidR="00EF3827" w14:paraId="7D616A14"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4300433D" w14:textId="06FF749F" w:rsidR="00EF3827" w:rsidRDefault="00EF3827" w:rsidP="00EF3827">
            <w:r>
              <w:t xml:space="preserve">Ms Angela Young, </w:t>
            </w:r>
            <w:r w:rsidRPr="007D3F6F">
              <w:t>General Manager, Policy and Research</w:t>
            </w:r>
          </w:p>
        </w:tc>
        <w:tc>
          <w:tcPr>
            <w:tcW w:w="3771" w:type="dxa"/>
          </w:tcPr>
          <w:p w14:paraId="7C20476F" w14:textId="5FCC31ED" w:rsidR="00EF3827" w:rsidRDefault="00EF3827" w:rsidP="00EF3827">
            <w:pPr>
              <w:cnfStyle w:val="000000000000" w:firstRow="0" w:lastRow="0" w:firstColumn="0" w:lastColumn="0" w:oddVBand="0" w:evenVBand="0" w:oddHBand="0" w:evenHBand="0" w:firstRowFirstColumn="0" w:firstRowLastColumn="0" w:lastRowFirstColumn="0" w:lastRowLastColumn="0"/>
            </w:pPr>
            <w:r w:rsidRPr="00EF0BB6">
              <w:t>Queensland Aboriginal and Islander Health Council (QAIHC) for the National Aboriginal Community Controlled</w:t>
            </w:r>
            <w:r>
              <w:t xml:space="preserve"> </w:t>
            </w:r>
            <w:r w:rsidRPr="00EF0BB6">
              <w:t>Health Organisation (NACCHO)</w:t>
            </w:r>
          </w:p>
        </w:tc>
      </w:tr>
      <w:tr w:rsidR="00EF3827" w14:paraId="3D4CA0DC"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577DB7AB" w14:textId="525009DA" w:rsidR="00EF3827" w:rsidRDefault="00EF3827" w:rsidP="00EF3827">
            <w:r>
              <w:t xml:space="preserve">Dr Mark Wenitong, </w:t>
            </w:r>
            <w:r w:rsidRPr="003D2D53">
              <w:t>Public Health Medical Advisor</w:t>
            </w:r>
          </w:p>
        </w:tc>
        <w:tc>
          <w:tcPr>
            <w:tcW w:w="3771" w:type="dxa"/>
          </w:tcPr>
          <w:p w14:paraId="0CFC1209" w14:textId="4B03DF81" w:rsidR="00EF3827" w:rsidRPr="003D2D53" w:rsidRDefault="00EF3827" w:rsidP="00EF3827">
            <w:pPr>
              <w:cnfStyle w:val="000000000000" w:firstRow="0" w:lastRow="0" w:firstColumn="0" w:lastColumn="0" w:oddVBand="0" w:evenVBand="0" w:oddHBand="0" w:evenHBand="0" w:firstRowFirstColumn="0" w:firstRowLastColumn="0" w:lastRowFirstColumn="0" w:lastRowLastColumn="0"/>
            </w:pPr>
            <w:r w:rsidRPr="003D2D53">
              <w:t>Apunipima Cape York Health Council</w:t>
            </w:r>
          </w:p>
        </w:tc>
      </w:tr>
      <w:tr w:rsidR="00EF3827" w14:paraId="7EB71032" w14:textId="77777777" w:rsidTr="00966455">
        <w:tc>
          <w:tcPr>
            <w:cnfStyle w:val="001000000000" w:firstRow="0" w:lastRow="0" w:firstColumn="1" w:lastColumn="0" w:oddVBand="0" w:evenVBand="0" w:oddHBand="0" w:evenHBand="0" w:firstRowFirstColumn="0" w:firstRowLastColumn="0" w:lastRowFirstColumn="0" w:lastRowLastColumn="0"/>
            <w:tcW w:w="5245" w:type="dxa"/>
          </w:tcPr>
          <w:p w14:paraId="4F1CB0B4" w14:textId="02A208AC" w:rsidR="00EF3827" w:rsidRDefault="00EF3827" w:rsidP="00EF3827">
            <w:r>
              <w:t xml:space="preserve">Ms Summer May Finlay, </w:t>
            </w:r>
            <w:r w:rsidRPr="00321F0C">
              <w:t>Advisory Group Facilitator</w:t>
            </w:r>
            <w:r>
              <w:t xml:space="preserve"> </w:t>
            </w:r>
          </w:p>
        </w:tc>
        <w:tc>
          <w:tcPr>
            <w:tcW w:w="3771" w:type="dxa"/>
          </w:tcPr>
          <w:p w14:paraId="1AB3CC73" w14:textId="47F5C525" w:rsidR="00EF3827" w:rsidRPr="00D80D5C" w:rsidRDefault="00EF3827" w:rsidP="00EF3827">
            <w:pPr>
              <w:cnfStyle w:val="000000000000" w:firstRow="0" w:lastRow="0" w:firstColumn="0" w:lastColumn="0" w:oddVBand="0" w:evenVBand="0" w:oddHBand="0" w:evenHBand="0" w:firstRowFirstColumn="0" w:firstRowLastColumn="0" w:lastRowFirstColumn="0" w:lastRowLastColumn="0"/>
            </w:pPr>
            <w:r w:rsidRPr="00D80D5C">
              <w:t xml:space="preserve">Department of Health </w:t>
            </w:r>
          </w:p>
        </w:tc>
      </w:tr>
    </w:tbl>
    <w:p w14:paraId="7C519895" w14:textId="73451CD0" w:rsidR="003757C2" w:rsidRPr="00BB5A26" w:rsidRDefault="00506413" w:rsidP="00A83B92">
      <w:pPr>
        <w:pStyle w:val="TOC8"/>
      </w:pPr>
      <w:r>
        <w:lastRenderedPageBreak/>
        <w:t xml:space="preserve">Table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2</w:t>
      </w:r>
      <w:r w:rsidRPr="00A7008D">
        <w:rPr>
          <w:sz w:val="20"/>
        </w:rPr>
        <w:fldChar w:fldCharType="end"/>
      </w:r>
      <w:r>
        <w:t>: Ethical, Legal and Social Project Team</w:t>
      </w:r>
    </w:p>
    <w:tbl>
      <w:tblPr>
        <w:tblStyle w:val="GridTable1Light"/>
        <w:tblW w:w="0" w:type="auto"/>
        <w:tblLook w:val="04A0" w:firstRow="1" w:lastRow="0" w:firstColumn="1" w:lastColumn="0" w:noHBand="0" w:noVBand="1"/>
        <w:tblCaption w:val="Ethical, Legal and Social Project Team"/>
        <w:tblDescription w:val="Table 2 - Ethical, Legal and Social Project Team"/>
      </w:tblPr>
      <w:tblGrid>
        <w:gridCol w:w="5240"/>
        <w:gridCol w:w="3776"/>
      </w:tblGrid>
      <w:tr w:rsidR="009C2BAB" w14:paraId="5DB7ECEB" w14:textId="77777777" w:rsidTr="00A83B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tcPr>
          <w:p w14:paraId="75DC4C78" w14:textId="3B563322" w:rsidR="009C2BAB" w:rsidRPr="00CA4130" w:rsidRDefault="009C2BAB" w:rsidP="00AC73DF">
            <w:pPr>
              <w:rPr>
                <w:b w:val="0"/>
              </w:rPr>
            </w:pPr>
            <w:r>
              <w:t>Person</w:t>
            </w:r>
          </w:p>
        </w:tc>
        <w:tc>
          <w:tcPr>
            <w:tcW w:w="3776" w:type="dxa"/>
          </w:tcPr>
          <w:p w14:paraId="79E19256" w14:textId="13B18ADA" w:rsidR="009C2BAB" w:rsidRPr="00CA4130" w:rsidRDefault="009C2BAB" w:rsidP="00AC73DF">
            <w:pPr>
              <w:cnfStyle w:val="100000000000" w:firstRow="1" w:lastRow="0" w:firstColumn="0" w:lastColumn="0" w:oddVBand="0" w:evenVBand="0" w:oddHBand="0" w:evenHBand="0" w:firstRowFirstColumn="0" w:firstRowLastColumn="0" w:lastRowFirstColumn="0" w:lastRowLastColumn="0"/>
              <w:rPr>
                <w:b w:val="0"/>
              </w:rPr>
            </w:pPr>
            <w:r>
              <w:t>Workplace</w:t>
            </w:r>
          </w:p>
        </w:tc>
      </w:tr>
      <w:tr w:rsidR="003D2D53" w14:paraId="5E60498D" w14:textId="77777777" w:rsidTr="00A83B92">
        <w:tc>
          <w:tcPr>
            <w:cnfStyle w:val="001000000000" w:firstRow="0" w:lastRow="0" w:firstColumn="1" w:lastColumn="0" w:oddVBand="0" w:evenVBand="0" w:oddHBand="0" w:evenHBand="0" w:firstRowFirstColumn="0" w:firstRowLastColumn="0" w:lastRowFirstColumn="0" w:lastRowLastColumn="0"/>
            <w:tcW w:w="5240" w:type="dxa"/>
          </w:tcPr>
          <w:p w14:paraId="7CD5232E" w14:textId="7103D766" w:rsidR="003D2D53" w:rsidRDefault="00D80D5C" w:rsidP="00AC73DF">
            <w:r>
              <w:t>Professor Dianne Nicol</w:t>
            </w:r>
            <w:r w:rsidR="00321F0C">
              <w:t>,</w:t>
            </w:r>
            <w:r w:rsidR="00321F0C" w:rsidRPr="00321F0C">
              <w:t xml:space="preserve"> </w:t>
            </w:r>
            <w:r w:rsidR="00871771" w:rsidRPr="00321F0C">
              <w:t xml:space="preserve">Project Supervisor </w:t>
            </w:r>
            <w:r w:rsidR="00321F0C" w:rsidRPr="00321F0C">
              <w:t>&amp; Professor of Law, Director of the Centre for Law and Genetics, Faculty of Law</w:t>
            </w:r>
          </w:p>
        </w:tc>
        <w:tc>
          <w:tcPr>
            <w:tcW w:w="3776" w:type="dxa"/>
          </w:tcPr>
          <w:p w14:paraId="17B38E21" w14:textId="2750DDED" w:rsidR="003D2D53" w:rsidRPr="00936A96" w:rsidRDefault="004E6A88" w:rsidP="00AC73DF">
            <w:pPr>
              <w:cnfStyle w:val="000000000000" w:firstRow="0" w:lastRow="0" w:firstColumn="0" w:lastColumn="0" w:oddVBand="0" w:evenVBand="0" w:oddHBand="0" w:evenHBand="0" w:firstRowFirstColumn="0" w:firstRowLastColumn="0" w:lastRowFirstColumn="0" w:lastRowLastColumn="0"/>
            </w:pPr>
            <w:r w:rsidRPr="00936A96">
              <w:t>University of Tasmania</w:t>
            </w:r>
          </w:p>
        </w:tc>
      </w:tr>
      <w:tr w:rsidR="003D2D53" w14:paraId="35198896" w14:textId="77777777" w:rsidTr="00A83B92">
        <w:tc>
          <w:tcPr>
            <w:cnfStyle w:val="001000000000" w:firstRow="0" w:lastRow="0" w:firstColumn="1" w:lastColumn="0" w:oddVBand="0" w:evenVBand="0" w:oddHBand="0" w:evenHBand="0" w:firstRowFirstColumn="0" w:firstRowLastColumn="0" w:lastRowFirstColumn="0" w:lastRowLastColumn="0"/>
            <w:tcW w:w="5240" w:type="dxa"/>
          </w:tcPr>
          <w:p w14:paraId="5FA3430B" w14:textId="36D9B32B" w:rsidR="003D2D53" w:rsidRDefault="007E68F0" w:rsidP="00AC73DF">
            <w:r>
              <w:t xml:space="preserve">Associate </w:t>
            </w:r>
            <w:r w:rsidR="00871771">
              <w:t>Professor Mark Taylor</w:t>
            </w:r>
            <w:r w:rsidR="00542CEE">
              <w:t xml:space="preserve">, </w:t>
            </w:r>
            <w:r w:rsidR="003D00C2" w:rsidRPr="00897404">
              <w:t>Melbourne Project</w:t>
            </w:r>
            <w:r w:rsidR="00435E54" w:rsidRPr="00897404">
              <w:t xml:space="preserve"> Supervisor </w:t>
            </w:r>
            <w:r w:rsidR="00542CEE" w:rsidRPr="00897404">
              <w:t xml:space="preserve">&amp; Deputy Director of </w:t>
            </w:r>
            <w:r w:rsidR="00D01D5C" w:rsidRPr="00897404">
              <w:t>Health, Law and Emerging Tech</w:t>
            </w:r>
            <w:r w:rsidR="004223E1" w:rsidRPr="00897404">
              <w:t xml:space="preserve">nologies </w:t>
            </w:r>
            <w:r w:rsidR="008824CA" w:rsidRPr="00897404">
              <w:t>Melbourne (HeLEX@Melbourne)</w:t>
            </w:r>
            <w:r w:rsidR="008824CA">
              <w:t xml:space="preserve"> </w:t>
            </w:r>
          </w:p>
        </w:tc>
        <w:tc>
          <w:tcPr>
            <w:tcW w:w="3776" w:type="dxa"/>
          </w:tcPr>
          <w:p w14:paraId="154FE539" w14:textId="70631BBF" w:rsidR="003D2D53" w:rsidRPr="00936A96" w:rsidRDefault="004E6A88" w:rsidP="00AC73DF">
            <w:pPr>
              <w:cnfStyle w:val="000000000000" w:firstRow="0" w:lastRow="0" w:firstColumn="0" w:lastColumn="0" w:oddVBand="0" w:evenVBand="0" w:oddHBand="0" w:evenHBand="0" w:firstRowFirstColumn="0" w:firstRowLastColumn="0" w:lastRowFirstColumn="0" w:lastRowLastColumn="0"/>
            </w:pPr>
            <w:r w:rsidRPr="00936A96">
              <w:t xml:space="preserve">University of Melbourne </w:t>
            </w:r>
          </w:p>
        </w:tc>
      </w:tr>
      <w:tr w:rsidR="003D2D53" w14:paraId="13EB00F4" w14:textId="77777777" w:rsidTr="00A83B92">
        <w:tc>
          <w:tcPr>
            <w:cnfStyle w:val="001000000000" w:firstRow="0" w:lastRow="0" w:firstColumn="1" w:lastColumn="0" w:oddVBand="0" w:evenVBand="0" w:oddHBand="0" w:evenHBand="0" w:firstRowFirstColumn="0" w:firstRowLastColumn="0" w:lastRowFirstColumn="0" w:lastRowLastColumn="0"/>
            <w:tcW w:w="5240" w:type="dxa"/>
          </w:tcPr>
          <w:p w14:paraId="74545441" w14:textId="79CA5432" w:rsidR="003D2D53" w:rsidRDefault="00871771" w:rsidP="00AC73DF">
            <w:r>
              <w:t>Dr Rebekah McWhirther</w:t>
            </w:r>
            <w:r w:rsidR="005F3D21">
              <w:t>,</w:t>
            </w:r>
            <w:r w:rsidR="005F3D21" w:rsidRPr="00E112A4">
              <w:t xml:space="preserve"> </w:t>
            </w:r>
            <w:r w:rsidR="003D00C2" w:rsidRPr="00E112A4">
              <w:t>Project Lead</w:t>
            </w:r>
            <w:r w:rsidR="005F3D21" w:rsidRPr="00E112A4">
              <w:t xml:space="preserve"> &amp; </w:t>
            </w:r>
            <w:r w:rsidR="00E112A4" w:rsidRPr="00E112A4">
              <w:t>Research Fellow</w:t>
            </w:r>
          </w:p>
        </w:tc>
        <w:tc>
          <w:tcPr>
            <w:tcW w:w="3776" w:type="dxa"/>
          </w:tcPr>
          <w:p w14:paraId="62312F28" w14:textId="3EBA77D3" w:rsidR="003D2D53" w:rsidRPr="00936A96" w:rsidRDefault="004E6A88" w:rsidP="00AC73DF">
            <w:pPr>
              <w:cnfStyle w:val="000000000000" w:firstRow="0" w:lastRow="0" w:firstColumn="0" w:lastColumn="0" w:oddVBand="0" w:evenVBand="0" w:oddHBand="0" w:evenHBand="0" w:firstRowFirstColumn="0" w:firstRowLastColumn="0" w:lastRowFirstColumn="0" w:lastRowLastColumn="0"/>
            </w:pPr>
            <w:r w:rsidRPr="00936A96">
              <w:t xml:space="preserve">University of Tasmania </w:t>
            </w:r>
          </w:p>
        </w:tc>
      </w:tr>
    </w:tbl>
    <w:p w14:paraId="1C271AF3" w14:textId="3F799566" w:rsidR="00835A06" w:rsidRPr="00A83B92" w:rsidRDefault="00506413" w:rsidP="00320B38">
      <w:pPr>
        <w:pStyle w:val="Caption"/>
        <w:rPr>
          <w:bCs/>
        </w:rPr>
      </w:pPr>
      <w:r>
        <w:t xml:space="preserve">Table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3</w:t>
      </w:r>
      <w:r w:rsidRPr="00A7008D">
        <w:rPr>
          <w:sz w:val="20"/>
        </w:rPr>
        <w:fldChar w:fldCharType="end"/>
      </w:r>
      <w:r>
        <w:t xml:space="preserve">: </w:t>
      </w:r>
      <w:r>
        <w:rPr>
          <w:bCs/>
        </w:rPr>
        <w:t xml:space="preserve">Environmental Scan Project </w:t>
      </w:r>
      <w:r w:rsidRPr="00320B38">
        <w:t>Team</w:t>
      </w:r>
    </w:p>
    <w:tbl>
      <w:tblPr>
        <w:tblStyle w:val="GridTable1Light"/>
        <w:tblW w:w="0" w:type="auto"/>
        <w:tblLook w:val="04A0" w:firstRow="1" w:lastRow="0" w:firstColumn="1" w:lastColumn="0" w:noHBand="0" w:noVBand="1"/>
        <w:tblCaption w:val="Environmental Scan Project Team "/>
      </w:tblPr>
      <w:tblGrid>
        <w:gridCol w:w="5240"/>
        <w:gridCol w:w="3776"/>
      </w:tblGrid>
      <w:tr w:rsidR="00835A06" w14:paraId="5F4EE515" w14:textId="77777777" w:rsidTr="00A83B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tcPr>
          <w:p w14:paraId="584ADDF9" w14:textId="66609113" w:rsidR="00835A06" w:rsidRPr="00CA4130" w:rsidRDefault="00835A06" w:rsidP="00AC73DF">
            <w:pPr>
              <w:rPr>
                <w:b w:val="0"/>
              </w:rPr>
            </w:pPr>
            <w:r>
              <w:t>Person</w:t>
            </w:r>
          </w:p>
        </w:tc>
        <w:tc>
          <w:tcPr>
            <w:tcW w:w="3776" w:type="dxa"/>
          </w:tcPr>
          <w:p w14:paraId="6023FA87" w14:textId="6C27587E" w:rsidR="00835A06" w:rsidRPr="00CA4130" w:rsidRDefault="00835A06" w:rsidP="00AC73DF">
            <w:pPr>
              <w:cnfStyle w:val="100000000000" w:firstRow="1" w:lastRow="0" w:firstColumn="0" w:lastColumn="0" w:oddVBand="0" w:evenVBand="0" w:oddHBand="0" w:evenHBand="0" w:firstRowFirstColumn="0" w:firstRowLastColumn="0" w:lastRowFirstColumn="0" w:lastRowLastColumn="0"/>
              <w:rPr>
                <w:b w:val="0"/>
              </w:rPr>
            </w:pPr>
            <w:r>
              <w:t>Workplace</w:t>
            </w:r>
          </w:p>
        </w:tc>
      </w:tr>
      <w:tr w:rsidR="003D2D53" w14:paraId="7F41D05D" w14:textId="77777777" w:rsidTr="00A83B92">
        <w:tc>
          <w:tcPr>
            <w:cnfStyle w:val="001000000000" w:firstRow="0" w:lastRow="0" w:firstColumn="1" w:lastColumn="0" w:oddVBand="0" w:evenVBand="0" w:oddHBand="0" w:evenHBand="0" w:firstRowFirstColumn="0" w:firstRowLastColumn="0" w:lastRowFirstColumn="0" w:lastRowLastColumn="0"/>
            <w:tcW w:w="5240" w:type="dxa"/>
          </w:tcPr>
          <w:p w14:paraId="6C36C938" w14:textId="745B0723" w:rsidR="003D2D53" w:rsidRDefault="00E91D53" w:rsidP="00AC73DF">
            <w:r>
              <w:t>Professor Kerry Ara</w:t>
            </w:r>
            <w:r w:rsidR="003735B1">
              <w:t>bena</w:t>
            </w:r>
            <w:r w:rsidR="00470198">
              <w:t xml:space="preserve">, </w:t>
            </w:r>
            <w:r w:rsidR="00470198" w:rsidRPr="00936A96">
              <w:rPr>
                <w:i/>
                <w:iCs/>
              </w:rPr>
              <w:t>Project Supervisor</w:t>
            </w:r>
            <w:r w:rsidR="00470198">
              <w:t xml:space="preserve"> </w:t>
            </w:r>
          </w:p>
        </w:tc>
        <w:tc>
          <w:tcPr>
            <w:tcW w:w="3776" w:type="dxa"/>
          </w:tcPr>
          <w:p w14:paraId="0CD26A39" w14:textId="2EA30F2F" w:rsidR="003D2D53" w:rsidRPr="00936A96" w:rsidRDefault="00470198" w:rsidP="00AC73DF">
            <w:pPr>
              <w:cnfStyle w:val="000000000000" w:firstRow="0" w:lastRow="0" w:firstColumn="0" w:lastColumn="0" w:oddVBand="0" w:evenVBand="0" w:oddHBand="0" w:evenHBand="0" w:firstRowFirstColumn="0" w:firstRowLastColumn="0" w:lastRowFirstColumn="0" w:lastRowLastColumn="0"/>
            </w:pPr>
            <w:r w:rsidRPr="00936A96">
              <w:t>Kar</w:t>
            </w:r>
            <w:r w:rsidR="005F6431" w:rsidRPr="00936A96">
              <w:t xml:space="preserve">abena Consulting </w:t>
            </w:r>
          </w:p>
        </w:tc>
      </w:tr>
      <w:tr w:rsidR="003D2D53" w14:paraId="223078B7" w14:textId="77777777" w:rsidTr="00A83B92">
        <w:tc>
          <w:tcPr>
            <w:cnfStyle w:val="001000000000" w:firstRow="0" w:lastRow="0" w:firstColumn="1" w:lastColumn="0" w:oddVBand="0" w:evenVBand="0" w:oddHBand="0" w:evenHBand="0" w:firstRowFirstColumn="0" w:firstRowLastColumn="0" w:lastRowFirstColumn="0" w:lastRowLastColumn="0"/>
            <w:tcW w:w="5240" w:type="dxa"/>
          </w:tcPr>
          <w:p w14:paraId="13C1200F" w14:textId="0090AB6C" w:rsidR="003D2D53" w:rsidRDefault="00CF6A00" w:rsidP="00AC73DF">
            <w:r>
              <w:t xml:space="preserve">Ms </w:t>
            </w:r>
            <w:r w:rsidR="00AD6ED0">
              <w:t>Tess</w:t>
            </w:r>
            <w:r w:rsidR="006F67CB">
              <w:t>a Ha</w:t>
            </w:r>
            <w:r w:rsidR="00470198">
              <w:t xml:space="preserve">ncock, </w:t>
            </w:r>
            <w:r w:rsidR="00470198" w:rsidRPr="00936A96">
              <w:t>Executive Assistant</w:t>
            </w:r>
            <w:r w:rsidR="00470198">
              <w:t xml:space="preserve"> </w:t>
            </w:r>
          </w:p>
        </w:tc>
        <w:tc>
          <w:tcPr>
            <w:tcW w:w="3776" w:type="dxa"/>
          </w:tcPr>
          <w:p w14:paraId="72F7A98D" w14:textId="3DB433EB" w:rsidR="003D2D53" w:rsidRPr="00936A96" w:rsidRDefault="005F6431" w:rsidP="00AC73DF">
            <w:pPr>
              <w:cnfStyle w:val="000000000000" w:firstRow="0" w:lastRow="0" w:firstColumn="0" w:lastColumn="0" w:oddVBand="0" w:evenVBand="0" w:oddHBand="0" w:evenHBand="0" w:firstRowFirstColumn="0" w:firstRowLastColumn="0" w:lastRowFirstColumn="0" w:lastRowLastColumn="0"/>
            </w:pPr>
            <w:r w:rsidRPr="00936A96">
              <w:t>Karabena Consulting</w:t>
            </w:r>
          </w:p>
        </w:tc>
      </w:tr>
    </w:tbl>
    <w:p w14:paraId="3C9D7023" w14:textId="09DF5089" w:rsidR="00131D7A" w:rsidRDefault="00C35C35" w:rsidP="00320B38">
      <w:pPr>
        <w:pStyle w:val="Heading1"/>
        <w:pageBreakBefore/>
      </w:pPr>
      <w:bookmarkStart w:id="12" w:name="_Toc36215507"/>
      <w:bookmarkStart w:id="13" w:name="_Toc118824293"/>
      <w:r w:rsidRPr="008E5C92">
        <w:rPr>
          <w:lang w:val="en-AU"/>
        </w:rPr>
        <w:lastRenderedPageBreak/>
        <w:t>Executive Summary</w:t>
      </w:r>
      <w:bookmarkEnd w:id="12"/>
      <w:bookmarkEnd w:id="13"/>
    </w:p>
    <w:p w14:paraId="1D282E46" w14:textId="62E384DB" w:rsidR="0070594A" w:rsidRDefault="002253B4" w:rsidP="00A83B92">
      <w:r>
        <w:t xml:space="preserve">This issues paper commences at </w:t>
      </w:r>
      <w:r w:rsidR="006F51FD">
        <w:t xml:space="preserve">Chapter 3 </w:t>
      </w:r>
      <w:r>
        <w:t xml:space="preserve">which </w:t>
      </w:r>
      <w:r w:rsidR="003829F7">
        <w:t xml:space="preserve">provides some context for </w:t>
      </w:r>
      <w:r w:rsidR="00D00FF5">
        <w:t>Indigenous health genomics</w:t>
      </w:r>
      <w:r w:rsidR="009960CA">
        <w:t>’</w:t>
      </w:r>
      <w:r w:rsidR="00D00FF5">
        <w:t xml:space="preserve"> contentious history. </w:t>
      </w:r>
      <w:r w:rsidR="00DD0E12">
        <w:t xml:space="preserve">We touch on some of the past genomics projects that exemplified many of the fundamental risks </w:t>
      </w:r>
      <w:r w:rsidR="00E216D1">
        <w:t xml:space="preserve">of </w:t>
      </w:r>
      <w:r w:rsidR="009E5E12">
        <w:t>ill-</w:t>
      </w:r>
      <w:r w:rsidR="002E3629">
        <w:t>conceived</w:t>
      </w:r>
      <w:r w:rsidR="009E5E12">
        <w:t xml:space="preserve"> and poorly designed </w:t>
      </w:r>
      <w:r w:rsidR="00C52C3A">
        <w:t xml:space="preserve">Indigenous genomics projects; </w:t>
      </w:r>
      <w:r w:rsidR="00533AC0">
        <w:t>the foundation of much of the mistrust</w:t>
      </w:r>
      <w:r w:rsidR="002E3629">
        <w:t xml:space="preserve"> </w:t>
      </w:r>
      <w:r w:rsidR="00343AB9">
        <w:t>of Aboriginal and Torres Strait Islander communities’</w:t>
      </w:r>
      <w:r w:rsidR="002F4A64">
        <w:t xml:space="preserve"> when it comes to </w:t>
      </w:r>
      <w:r w:rsidR="001B3F76">
        <w:t>genomic research</w:t>
      </w:r>
      <w:r w:rsidR="00343AB9">
        <w:t>.</w:t>
      </w:r>
      <w:r w:rsidR="001B3F76">
        <w:t xml:space="preserve"> From these </w:t>
      </w:r>
      <w:r w:rsidR="00E4571D">
        <w:t>example</w:t>
      </w:r>
      <w:r w:rsidR="00826EA9">
        <w:t xml:space="preserve">s it </w:t>
      </w:r>
      <w:r w:rsidR="00261FDF">
        <w:t xml:space="preserve">is clear that the co-design principle – the principle that </w:t>
      </w:r>
      <w:r w:rsidR="009F7DC6">
        <w:t xml:space="preserve">genomic research should be designed and constructed in </w:t>
      </w:r>
      <w:r w:rsidR="009F7DC6" w:rsidRPr="00A83B92">
        <w:t>collaboration</w:t>
      </w:r>
      <w:r w:rsidR="009F7DC6">
        <w:t xml:space="preserve"> with communities </w:t>
      </w:r>
      <w:r w:rsidR="005F4D57">
        <w:t>–</w:t>
      </w:r>
      <w:r w:rsidR="009F7DC6">
        <w:t xml:space="preserve"> </w:t>
      </w:r>
      <w:r w:rsidR="005F4D57">
        <w:t xml:space="preserve">is </w:t>
      </w:r>
      <w:r w:rsidR="0070594A">
        <w:t>an essential component of any best practice model.</w:t>
      </w:r>
    </w:p>
    <w:p w14:paraId="468E4950" w14:textId="72C363C3" w:rsidR="0070594A" w:rsidRPr="00A83B92" w:rsidRDefault="0070594A" w:rsidP="00A83B92">
      <w:r w:rsidRPr="00A83B92">
        <w:t xml:space="preserve">Chapter 4 then </w:t>
      </w:r>
      <w:r w:rsidR="006D6F91" w:rsidRPr="00A83B92">
        <w:t>unpacks in more detail the ethical, social and cultural issues that arise in the Indigenous Genomics sphere</w:t>
      </w:r>
      <w:r w:rsidR="003D710A" w:rsidRPr="00A83B92">
        <w:t xml:space="preserve"> as experienced by the </w:t>
      </w:r>
      <w:r w:rsidR="00543D98" w:rsidRPr="00A83B92">
        <w:t>A</w:t>
      </w:r>
      <w:r w:rsidR="008C14D0" w:rsidRPr="00A83B92">
        <w:t>dvisory Group</w:t>
      </w:r>
      <w:r w:rsidR="00E7684D" w:rsidRPr="00A83B92">
        <w:t xml:space="preserve">. </w:t>
      </w:r>
      <w:r w:rsidR="00963231" w:rsidRPr="00A83B92">
        <w:t xml:space="preserve">Many of the issues flow from a central question: </w:t>
      </w:r>
      <w:r w:rsidR="00A12BE8" w:rsidRPr="00A83B92">
        <w:t xml:space="preserve">If an Aboriginal or Torres Strait Islander person, or their community, provides genomics samples for clinical or research purposes, what legal rights do they have? </w:t>
      </w:r>
    </w:p>
    <w:p w14:paraId="3DA00FD5" w14:textId="19DC798D" w:rsidR="00C51E16" w:rsidRPr="00C51E16" w:rsidRDefault="00C51E16" w:rsidP="00A83B92">
      <w:r w:rsidRPr="00C51E16">
        <w:t>Chapter 5 considers the law</w:t>
      </w:r>
      <w:r>
        <w:t>s</w:t>
      </w:r>
      <w:r w:rsidR="00414F28">
        <w:t>’</w:t>
      </w:r>
      <w:r w:rsidRPr="00C51E16">
        <w:t xml:space="preserve"> </w:t>
      </w:r>
      <w:r w:rsidRPr="00A83B92">
        <w:t>interaction</w:t>
      </w:r>
      <w:r w:rsidRPr="00C51E16">
        <w:t xml:space="preserve"> with Indigenous health genomics through</w:t>
      </w:r>
      <w:r w:rsidR="00FB2136">
        <w:t xml:space="preserve"> this </w:t>
      </w:r>
      <w:r w:rsidR="002F77FF">
        <w:t>central question</w:t>
      </w:r>
      <w:r w:rsidR="006A4054">
        <w:t xml:space="preserve">. </w:t>
      </w:r>
      <w:r w:rsidR="00C84E5E">
        <w:t xml:space="preserve">Key themes emerge </w:t>
      </w:r>
      <w:r w:rsidR="00DE7BF1">
        <w:t>in</w:t>
      </w:r>
      <w:r w:rsidR="00C84E5E">
        <w:t xml:space="preserve"> </w:t>
      </w:r>
      <w:r w:rsidR="00C84E5E" w:rsidRPr="00C51E16">
        <w:t xml:space="preserve">ownership of data, management of access to information and the rights of </w:t>
      </w:r>
      <w:r w:rsidR="00DE7BF1">
        <w:t>the</w:t>
      </w:r>
      <w:r w:rsidR="00C84E5E" w:rsidRPr="00C51E16">
        <w:t xml:space="preserve"> individual.</w:t>
      </w:r>
      <w:r w:rsidR="00C84E5E">
        <w:t xml:space="preserve"> The</w:t>
      </w:r>
      <w:r w:rsidR="00C139AA">
        <w:t xml:space="preserve"> legal issues are analysed </w:t>
      </w:r>
      <w:r w:rsidR="00C139AA" w:rsidRPr="00C51E16">
        <w:t xml:space="preserve">through the lenses of copyright law, </w:t>
      </w:r>
      <w:r w:rsidR="007F00E1">
        <w:t xml:space="preserve">patents and </w:t>
      </w:r>
      <w:r w:rsidR="009F1FC0">
        <w:t>commercialisation</w:t>
      </w:r>
      <w:r w:rsidR="00C139AA" w:rsidRPr="00C51E16">
        <w:t>, contract law, and access to health records.</w:t>
      </w:r>
      <w:r w:rsidR="007F00E1">
        <w:t xml:space="preserve"> </w:t>
      </w:r>
      <w:r w:rsidR="00F80C73">
        <w:t xml:space="preserve">The chapter further considers </w:t>
      </w:r>
      <w:r w:rsidR="001F236A">
        <w:t xml:space="preserve">the role that consumer </w:t>
      </w:r>
      <w:r w:rsidR="00EF1717">
        <w:t xml:space="preserve">and </w:t>
      </w:r>
      <w:r w:rsidR="001F236A">
        <w:t xml:space="preserve">anti-discrimination </w:t>
      </w:r>
      <w:r w:rsidR="00EF1717">
        <w:t xml:space="preserve">laws </w:t>
      </w:r>
      <w:r w:rsidR="001F236A">
        <w:t>a</w:t>
      </w:r>
      <w:r w:rsidR="00680B14">
        <w:t xml:space="preserve">s well as </w:t>
      </w:r>
      <w:r w:rsidR="001F236A">
        <w:t xml:space="preserve">prior informed consent </w:t>
      </w:r>
      <w:r w:rsidR="00F34D34">
        <w:t xml:space="preserve">as they </w:t>
      </w:r>
      <w:r w:rsidR="009C2FF1">
        <w:t>relate to the</w:t>
      </w:r>
      <w:r w:rsidR="00F34D34">
        <w:t xml:space="preserve"> key concerns raised by the Adv</w:t>
      </w:r>
      <w:r w:rsidR="0031274B">
        <w:t>isory Group</w:t>
      </w:r>
      <w:r w:rsidR="009C2FF1">
        <w:t xml:space="preserve">. In analysing how </w:t>
      </w:r>
      <w:r w:rsidR="003645D9">
        <w:t xml:space="preserve">health and personal </w:t>
      </w:r>
      <w:r w:rsidR="009C2FF1">
        <w:t>information is protect</w:t>
      </w:r>
      <w:r w:rsidR="003645D9">
        <w:t>ed</w:t>
      </w:r>
      <w:r w:rsidR="009C2FF1">
        <w:t xml:space="preserve">, </w:t>
      </w:r>
      <w:r w:rsidR="003645D9">
        <w:t>privacy law is analysed with a focus on permitted health situations for non-consensual use of health information</w:t>
      </w:r>
      <w:r w:rsidR="009F1FC0">
        <w:t xml:space="preserve">.  </w:t>
      </w:r>
    </w:p>
    <w:p w14:paraId="26EC6183" w14:textId="2D62C568" w:rsidR="00376C11" w:rsidRPr="007C338D" w:rsidRDefault="00472B32" w:rsidP="00A83B92">
      <w:r w:rsidRPr="007C338D">
        <w:t xml:space="preserve">Chapter </w:t>
      </w:r>
      <w:r w:rsidR="00F26FDF" w:rsidRPr="007C338D">
        <w:t>6 builds on</w:t>
      </w:r>
      <w:r w:rsidR="004A516F" w:rsidRPr="007C338D">
        <w:t xml:space="preserve"> from </w:t>
      </w:r>
      <w:r w:rsidR="0001702D" w:rsidRPr="007C338D">
        <w:t>Chapters</w:t>
      </w:r>
      <w:r w:rsidR="004A516F" w:rsidRPr="007C338D">
        <w:t xml:space="preserve"> 4 and 5 in considering the </w:t>
      </w:r>
      <w:r w:rsidR="00F26FDF" w:rsidRPr="007C338D">
        <w:t>impact of the law on the social and cultural issues</w:t>
      </w:r>
      <w:r w:rsidR="003D3BD9" w:rsidRPr="007C338D">
        <w:t xml:space="preserve"> through a gap analysis</w:t>
      </w:r>
      <w:r w:rsidR="004A516F" w:rsidRPr="007C338D">
        <w:t xml:space="preserve">. </w:t>
      </w:r>
      <w:r w:rsidR="007741E9" w:rsidRPr="007C338D">
        <w:t xml:space="preserve">These social and cultural issues </w:t>
      </w:r>
      <w:r w:rsidR="002C7BB1" w:rsidRPr="007C338D">
        <w:t>include</w:t>
      </w:r>
      <w:r w:rsidR="007741E9" w:rsidRPr="007C338D">
        <w:t xml:space="preserve"> the c</w:t>
      </w:r>
      <w:r w:rsidR="001C471C" w:rsidRPr="007C338D">
        <w:t xml:space="preserve">ommunal or individual </w:t>
      </w:r>
      <w:r w:rsidR="00B6024E" w:rsidRPr="007C338D">
        <w:t xml:space="preserve">ownership of genes, </w:t>
      </w:r>
      <w:r w:rsidR="002C7BB1" w:rsidRPr="007C338D">
        <w:t xml:space="preserve">the adequacy of privacy laws in protecting the </w:t>
      </w:r>
      <w:r w:rsidR="007741E9" w:rsidRPr="007C338D">
        <w:t>individuals, family and community</w:t>
      </w:r>
      <w:r w:rsidR="00376C11" w:rsidRPr="007C338D">
        <w:t xml:space="preserve"> and whether the legal standard of consent is enough to meet ethical and cultural needs. These needs include the co-</w:t>
      </w:r>
      <w:r w:rsidR="00982E1F" w:rsidRPr="007C338D">
        <w:t>design</w:t>
      </w:r>
      <w:r w:rsidR="00376C11" w:rsidRPr="007C338D">
        <w:t xml:space="preserve"> and management of </w:t>
      </w:r>
      <w:r w:rsidR="00376C11" w:rsidRPr="00A83B92">
        <w:t>Indigenous</w:t>
      </w:r>
      <w:r w:rsidR="00376C11" w:rsidRPr="007C338D">
        <w:t xml:space="preserve"> genomics, the </w:t>
      </w:r>
      <w:r w:rsidR="00982E1F" w:rsidRPr="007C338D">
        <w:t>role of community consultation and benefit sharing.</w:t>
      </w:r>
    </w:p>
    <w:p w14:paraId="49721F67" w14:textId="77777777" w:rsidR="004F6672" w:rsidRPr="002B5F46" w:rsidRDefault="004F6672" w:rsidP="00A83B92">
      <w:pPr>
        <w:rPr>
          <w:highlight w:val="yellow"/>
        </w:rPr>
      </w:pPr>
      <w:r w:rsidRPr="00D656F3">
        <w:t>Chapter 7 examines the</w:t>
      </w:r>
      <w:r>
        <w:t xml:space="preserve"> </w:t>
      </w:r>
      <w:r w:rsidRPr="00A83B92">
        <w:t>key</w:t>
      </w:r>
      <w:r>
        <w:t xml:space="preserve"> policies, protocols and guidelines that apply to Aboriginal and Torres Strait Islander research, and therefore, apply to genomic research involving Aboriginal and Torres Strait Islander peoples and their genes. This includes the National Statement on Ethical Conduct in Human Research and the National Health and Medical Research Council’s </w:t>
      </w:r>
      <w:r w:rsidRPr="00C26BEF">
        <w:rPr>
          <w:i/>
          <w:iCs/>
        </w:rPr>
        <w:t>Ethical Conduct in Research with Aboriginal and Torres Strait Islander Peoples and Communities: Guidelines for Researchers and Stakeholders</w:t>
      </w:r>
      <w:r>
        <w:t xml:space="preserve">. It also includes the </w:t>
      </w:r>
      <w:r w:rsidRPr="001C278F">
        <w:rPr>
          <w:i/>
          <w:iCs/>
        </w:rPr>
        <w:t>Guidelines for Ethical Research in Australian Indigenous Studies</w:t>
      </w:r>
      <w:r>
        <w:t>.</w:t>
      </w:r>
    </w:p>
    <w:p w14:paraId="3A2B8776" w14:textId="361886B8" w:rsidR="004F6672" w:rsidRPr="002B5F46" w:rsidRDefault="004F6672" w:rsidP="00A83B92">
      <w:pPr>
        <w:rPr>
          <w:highlight w:val="yellow"/>
        </w:rPr>
      </w:pPr>
      <w:r w:rsidRPr="00456E86">
        <w:t xml:space="preserve">Chapter 8 </w:t>
      </w:r>
      <w:r w:rsidRPr="00A83B92">
        <w:t>discusses</w:t>
      </w:r>
      <w:r w:rsidRPr="00456E86">
        <w:t xml:space="preserve"> several</w:t>
      </w:r>
      <w:r w:rsidRPr="008E5C92">
        <w:t xml:space="preserve"> genomics projects that exemplify culturally appropriate and respectful approaches to working with Aboriginal and Torres Strait Islander peoples and their data</w:t>
      </w:r>
      <w:r>
        <w:t xml:space="preserve">. </w:t>
      </w:r>
    </w:p>
    <w:p w14:paraId="32F899ED" w14:textId="02EBACD8" w:rsidR="004F6672" w:rsidRDefault="004F6672" w:rsidP="00A83B92">
      <w:r w:rsidRPr="00347E33">
        <w:t>Chapter 9 focuses</w:t>
      </w:r>
      <w:r>
        <w:t xml:space="preserve"> </w:t>
      </w:r>
      <w:r w:rsidRPr="00A83B92">
        <w:t>specifically</w:t>
      </w:r>
      <w:r>
        <w:t xml:space="preserve"> on Aboriginal and Torres Strait Islander human rights in the context of their own genomic material and kinship ties. Here we consider the United Nations Declaration on the Rights of Indigenous Peoples, particularly article 31 and the rights of </w:t>
      </w:r>
      <w:r w:rsidR="00065C38">
        <w:t xml:space="preserve">Aboriginal and Torres Strait Islander peoples </w:t>
      </w:r>
      <w:r>
        <w:t xml:space="preserve">to own, maintain and control their cultural heritage, traditional knowledge and traditional cultural expression. Other international documents such as the International Declaration on Human Genetic Data (UNESCO) are </w:t>
      </w:r>
      <w:r>
        <w:lastRenderedPageBreak/>
        <w:t xml:space="preserve">outlined. There is also a review of international legal cases involving human genes. This includes </w:t>
      </w:r>
      <w:r w:rsidR="00357668">
        <w:t>gene</w:t>
      </w:r>
      <w:r>
        <w:t xml:space="preserve"> patent cases but also the Havasupai People</w:t>
      </w:r>
      <w:r w:rsidR="00357668">
        <w:t>'</w:t>
      </w:r>
      <w:r w:rsidR="008D0613">
        <w:t>s case</w:t>
      </w:r>
      <w:r>
        <w:t xml:space="preserve"> against Arizona Board of Regents. There are also a number of best practice international research methodologies noted where the gene research has aimed at providing an ethical framework or encourages inclusion in research of marginalised peoples. </w:t>
      </w:r>
    </w:p>
    <w:p w14:paraId="1128A194" w14:textId="25F9308C" w:rsidR="005D08CA" w:rsidRDefault="00A85DE2" w:rsidP="00A83B92">
      <w:r>
        <w:t xml:space="preserve">Finally, </w:t>
      </w:r>
      <w:r w:rsidRPr="00A83B92">
        <w:t>Cha</w:t>
      </w:r>
      <w:r w:rsidR="00DC1E49" w:rsidRPr="00A83B92">
        <w:t>pter</w:t>
      </w:r>
      <w:r w:rsidR="00DC1E49">
        <w:t xml:space="preserve"> </w:t>
      </w:r>
      <w:r w:rsidR="00054091">
        <w:t xml:space="preserve">10 concludes with </w:t>
      </w:r>
      <w:r w:rsidR="0032473A">
        <w:t xml:space="preserve">a consolidation of the key issues around ownership, consent provisions, governance, data sovereignty, privacy, </w:t>
      </w:r>
      <w:r w:rsidR="00D770F7">
        <w:t xml:space="preserve">return of benefits, disclosure, discrimination, capacity building in the workforce, patents, and secondary uses. </w:t>
      </w:r>
      <w:r w:rsidR="001B7F06">
        <w:t>The critical assessment of these issues will</w:t>
      </w:r>
      <w:r w:rsidR="00D52608">
        <w:t xml:space="preserve"> highlight opportunities for improvement and</w:t>
      </w:r>
      <w:r w:rsidR="002D0502">
        <w:t xml:space="preserve"> which in turn, will</w:t>
      </w:r>
      <w:r w:rsidR="001B7F06">
        <w:t xml:space="preserve"> assist policy and law makers when working towards better health outcomes for Aboriginal and Torres Strait Islander peoples. </w:t>
      </w:r>
    </w:p>
    <w:p w14:paraId="6B2CC906" w14:textId="77777777" w:rsidR="002356FE" w:rsidRPr="00A83B92" w:rsidRDefault="002356FE" w:rsidP="00A83B92">
      <w:r w:rsidRPr="00A83B92">
        <w:br w:type="page"/>
      </w:r>
    </w:p>
    <w:p w14:paraId="048467C3" w14:textId="486BD08F" w:rsidR="00563D7D" w:rsidRPr="008E5C92" w:rsidRDefault="005D08CA" w:rsidP="00AC73DF">
      <w:pPr>
        <w:pStyle w:val="Heading1"/>
        <w:rPr>
          <w:lang w:val="en-AU"/>
        </w:rPr>
      </w:pPr>
      <w:bookmarkStart w:id="14" w:name="_Toc118824294"/>
      <w:r w:rsidRPr="008E5C92">
        <w:rPr>
          <w:lang w:val="en-AU"/>
        </w:rPr>
        <w:lastRenderedPageBreak/>
        <w:t>Context</w:t>
      </w:r>
      <w:bookmarkEnd w:id="14"/>
    </w:p>
    <w:p w14:paraId="105B3099" w14:textId="69C6F8BC" w:rsidR="00C01F4D" w:rsidRPr="00A83B92" w:rsidRDefault="00AF1F09" w:rsidP="00A83B92">
      <w:r w:rsidRPr="00C50DB9">
        <w:t xml:space="preserve">Indigenous </w:t>
      </w:r>
      <w:r w:rsidR="0064186C" w:rsidRPr="00C50DB9">
        <w:t>h</w:t>
      </w:r>
      <w:r w:rsidRPr="00C50DB9">
        <w:t xml:space="preserve">ealth </w:t>
      </w:r>
      <w:r w:rsidR="0064186C" w:rsidRPr="00C50DB9">
        <w:t>g</w:t>
      </w:r>
      <w:r w:rsidRPr="00C50DB9">
        <w:t xml:space="preserve">enomics </w:t>
      </w:r>
      <w:r w:rsidR="00386608" w:rsidRPr="00C50DB9">
        <w:t xml:space="preserve">has a contentious history throughout the world. </w:t>
      </w:r>
      <w:r w:rsidR="003B76D4" w:rsidRPr="00C50DB9">
        <w:t>For Aboriginal and Torres Strait Islander peoples</w:t>
      </w:r>
      <w:r w:rsidR="00141B2C" w:rsidRPr="00C50DB9">
        <w:t>,</w:t>
      </w:r>
      <w:r w:rsidR="003B76D4" w:rsidRPr="00C50DB9">
        <w:t xml:space="preserve"> </w:t>
      </w:r>
      <w:r w:rsidR="00B33665" w:rsidRPr="00C50DB9">
        <w:t xml:space="preserve">scientific research and analysis </w:t>
      </w:r>
      <w:r w:rsidR="002D7CD7">
        <w:t>raises ethical, social and cultural issues</w:t>
      </w:r>
      <w:r w:rsidR="00A63538" w:rsidRPr="00C50DB9">
        <w:t xml:space="preserve">. </w:t>
      </w:r>
      <w:r w:rsidR="00D94BB9">
        <w:t>Mismanagement</w:t>
      </w:r>
      <w:r w:rsidR="008F3473">
        <w:t xml:space="preserve"> </w:t>
      </w:r>
      <w:r w:rsidR="007F138C">
        <w:t>has</w:t>
      </w:r>
      <w:r w:rsidR="00A63538" w:rsidRPr="00C50DB9">
        <w:t xml:space="preserve"> been </w:t>
      </w:r>
      <w:r w:rsidR="006766D9" w:rsidRPr="00C50DB9">
        <w:t xml:space="preserve">culturally damaging, </w:t>
      </w:r>
      <w:r w:rsidR="00FE2B46" w:rsidRPr="00C50DB9">
        <w:t xml:space="preserve">damaging to the dignity of Aboriginal </w:t>
      </w:r>
      <w:r w:rsidR="00FE2B46" w:rsidRPr="00A83B92">
        <w:t xml:space="preserve">and Torres Strait Islander peoples, and </w:t>
      </w:r>
      <w:r w:rsidR="00B300CE" w:rsidRPr="00A83B92">
        <w:t>dangerous to the</w:t>
      </w:r>
      <w:r w:rsidR="00DB4B5F" w:rsidRPr="00A83B92">
        <w:t>ir</w:t>
      </w:r>
      <w:r w:rsidR="00B300CE" w:rsidRPr="00A83B92">
        <w:t xml:space="preserve"> physical and mental health</w:t>
      </w:r>
      <w:r w:rsidR="00DB4B5F" w:rsidRPr="00A83B92">
        <w:t xml:space="preserve">. </w:t>
      </w:r>
    </w:p>
    <w:p w14:paraId="52B8AE34" w14:textId="0068E552" w:rsidR="008C2FCD" w:rsidRPr="00A83B92" w:rsidRDefault="008C2FCD" w:rsidP="00320B38">
      <w:r w:rsidRPr="00A83B92">
        <w:t>Genomics research adds an additional layer of complexity</w:t>
      </w:r>
      <w:r w:rsidR="004068BB" w:rsidRPr="00A83B92">
        <w:t xml:space="preserve"> – and risk – to this already </w:t>
      </w:r>
      <w:r w:rsidR="00F87780" w:rsidRPr="00A83B92">
        <w:t xml:space="preserve">difficult situation. </w:t>
      </w:r>
      <w:r w:rsidR="009B7137" w:rsidRPr="00A83B92">
        <w:t xml:space="preserve">Genomic data is </w:t>
      </w:r>
      <w:r w:rsidR="006C0854" w:rsidRPr="00A83B92">
        <w:t xml:space="preserve">physically and culturally intimate knowledge. </w:t>
      </w:r>
      <w:r w:rsidR="00262F82" w:rsidRPr="00A83B92">
        <w:t xml:space="preserve">It is personal and sensitive information </w:t>
      </w:r>
      <w:r w:rsidR="00A936CA" w:rsidRPr="00A83B92">
        <w:t xml:space="preserve">that has repercussions not only for an individual, but also their family, clan </w:t>
      </w:r>
      <w:r w:rsidR="00F4040F" w:rsidRPr="00A83B92">
        <w:t xml:space="preserve">and community. </w:t>
      </w:r>
      <w:r w:rsidR="006B0769" w:rsidRPr="00A83B92">
        <w:t>Th</w:t>
      </w:r>
      <w:r w:rsidR="002313B2" w:rsidRPr="00A83B92">
        <w:t>e</w:t>
      </w:r>
      <w:r w:rsidR="006B0769" w:rsidRPr="00A83B92">
        <w:t xml:space="preserve"> mistreatment of </w:t>
      </w:r>
      <w:r w:rsidR="000754E4" w:rsidRPr="00A83B92">
        <w:t>Aboriginal and Torres Strait Islander</w:t>
      </w:r>
      <w:r w:rsidR="00F4040F" w:rsidRPr="00A83B92">
        <w:t xml:space="preserve"> genomic information is </w:t>
      </w:r>
      <w:r w:rsidR="00513277" w:rsidRPr="00A83B92">
        <w:t xml:space="preserve">enormously physically and culturally damaging. </w:t>
      </w:r>
      <w:r w:rsidR="00C50D72" w:rsidRPr="00A83B92">
        <w:t>That damage can continue for generations and engender mistrust in</w:t>
      </w:r>
      <w:r w:rsidR="00FC7ED7" w:rsidRPr="00A83B92">
        <w:t xml:space="preserve"> </w:t>
      </w:r>
      <w:r w:rsidR="000754E4" w:rsidRPr="00A83B92">
        <w:t>g</w:t>
      </w:r>
      <w:r w:rsidR="00FC7ED7" w:rsidRPr="00A83B92">
        <w:t xml:space="preserve">enomics research and medicine. </w:t>
      </w:r>
    </w:p>
    <w:p w14:paraId="316F40D7" w14:textId="6474FDE1" w:rsidR="00AB3700" w:rsidRPr="00C50DB9" w:rsidRDefault="00390A57" w:rsidP="00A83B92">
      <w:r w:rsidRPr="00A83B92">
        <w:t xml:space="preserve">All </w:t>
      </w:r>
      <w:r w:rsidR="00AB3700" w:rsidRPr="00A83B92">
        <w:t xml:space="preserve">Indigenous </w:t>
      </w:r>
      <w:r w:rsidRPr="00A83B92">
        <w:t>g</w:t>
      </w:r>
      <w:r w:rsidR="00AB3700" w:rsidRPr="00A83B92">
        <w:t>enomic research and medicine must be guided by the principle of self-determination</w:t>
      </w:r>
      <w:r w:rsidR="00AB3700" w:rsidRPr="00C50DB9">
        <w:t>. Article 31 of the Unite</w:t>
      </w:r>
      <w:r w:rsidR="00AB2476" w:rsidRPr="00C50DB9">
        <w:t xml:space="preserve">d Nations Declaration on the Rights of Indigenous Peoples states: </w:t>
      </w:r>
    </w:p>
    <w:p w14:paraId="175E4C7F" w14:textId="4008D9EA" w:rsidR="00AB2476" w:rsidRPr="00D4088F" w:rsidRDefault="0019336E" w:rsidP="00D4088F">
      <w:pPr>
        <w:ind w:left="567"/>
        <w:rPr>
          <w:sz w:val="20"/>
          <w:szCs w:val="20"/>
        </w:rPr>
      </w:pPr>
      <w:r w:rsidRPr="00D4088F">
        <w:rPr>
          <w:sz w:val="20"/>
          <w:szCs w:val="20"/>
        </w:rPr>
        <w:t xml:space="preserve">Indigenous peoples have the right to maintain, control, protect and develop their cultural heritage, traditional knowledge and traditional cultural expressions, as well as their </w:t>
      </w:r>
      <w:r w:rsidR="00D349BB" w:rsidRPr="00D4088F">
        <w:rPr>
          <w:sz w:val="20"/>
          <w:szCs w:val="20"/>
        </w:rPr>
        <w:t>sciences, technologies and cultures, including human and genetic resources…</w:t>
      </w:r>
      <w:r w:rsidR="00083678">
        <w:rPr>
          <w:rStyle w:val="FootnoteReference"/>
          <w:sz w:val="20"/>
          <w:szCs w:val="20"/>
        </w:rPr>
        <w:footnoteReference w:id="4"/>
      </w:r>
    </w:p>
    <w:p w14:paraId="3C47DE48" w14:textId="2FAAA470" w:rsidR="00D349BB" w:rsidRPr="00C50DB9" w:rsidRDefault="00D349BB" w:rsidP="00AC73DF">
      <w:pPr>
        <w:rPr>
          <w:szCs w:val="24"/>
        </w:rPr>
      </w:pPr>
      <w:r w:rsidRPr="00C50DB9">
        <w:rPr>
          <w:szCs w:val="24"/>
        </w:rPr>
        <w:t xml:space="preserve">The inherent justice of this </w:t>
      </w:r>
      <w:r w:rsidR="00F365F3" w:rsidRPr="00C50DB9">
        <w:rPr>
          <w:szCs w:val="24"/>
        </w:rPr>
        <w:t xml:space="preserve">statement is self-evident – if </w:t>
      </w:r>
      <w:r w:rsidR="00FA737E" w:rsidRPr="00C50DB9">
        <w:rPr>
          <w:szCs w:val="24"/>
        </w:rPr>
        <w:t>Aboriginal and Torres Strait Islander people</w:t>
      </w:r>
      <w:r w:rsidR="00F411F2" w:rsidRPr="00C50DB9">
        <w:rPr>
          <w:szCs w:val="24"/>
        </w:rPr>
        <w:t>s</w:t>
      </w:r>
      <w:r w:rsidR="00FA737E" w:rsidRPr="00C50DB9">
        <w:rPr>
          <w:szCs w:val="24"/>
        </w:rPr>
        <w:t xml:space="preserve"> are unable </w:t>
      </w:r>
      <w:r w:rsidR="0011459B" w:rsidRPr="00C50DB9">
        <w:rPr>
          <w:szCs w:val="24"/>
        </w:rPr>
        <w:t xml:space="preserve">to have a controlling say in how </w:t>
      </w:r>
      <w:r w:rsidR="00B71630" w:rsidRPr="00C50DB9">
        <w:rPr>
          <w:szCs w:val="24"/>
        </w:rPr>
        <w:t>their own genes</w:t>
      </w:r>
      <w:r w:rsidR="00B5178E" w:rsidRPr="00C50DB9">
        <w:rPr>
          <w:szCs w:val="24"/>
        </w:rPr>
        <w:t xml:space="preserve"> are handled and used, </w:t>
      </w:r>
      <w:r w:rsidR="00C55287" w:rsidRPr="00C50DB9">
        <w:rPr>
          <w:szCs w:val="24"/>
        </w:rPr>
        <w:t xml:space="preserve">how can there ever be any equity? </w:t>
      </w:r>
      <w:r w:rsidR="000D4782" w:rsidRPr="00C50DB9">
        <w:rPr>
          <w:szCs w:val="24"/>
        </w:rPr>
        <w:t xml:space="preserve">Without self-determination, the study of </w:t>
      </w:r>
      <w:r w:rsidR="007649E3" w:rsidRPr="00C50DB9">
        <w:rPr>
          <w:szCs w:val="24"/>
        </w:rPr>
        <w:t>Aboriginal and Torres Strait Islander g</w:t>
      </w:r>
      <w:r w:rsidR="000D4782" w:rsidRPr="00C50DB9">
        <w:rPr>
          <w:szCs w:val="24"/>
        </w:rPr>
        <w:t xml:space="preserve">enomics runs the risk of becoming </w:t>
      </w:r>
      <w:r w:rsidR="003F2EEA" w:rsidRPr="00C50DB9">
        <w:rPr>
          <w:szCs w:val="24"/>
        </w:rPr>
        <w:t xml:space="preserve">a new wave of colonisation. </w:t>
      </w:r>
    </w:p>
    <w:p w14:paraId="4B2052EC" w14:textId="65999BB2" w:rsidR="00F9013E" w:rsidRPr="00C50DB9" w:rsidRDefault="001971AD" w:rsidP="00AC73DF">
      <w:pPr>
        <w:rPr>
          <w:szCs w:val="24"/>
        </w:rPr>
      </w:pPr>
      <w:r w:rsidRPr="00C50DB9">
        <w:rPr>
          <w:szCs w:val="24"/>
        </w:rPr>
        <w:t xml:space="preserve">Several recent genomic studies </w:t>
      </w:r>
      <w:r w:rsidR="00416967" w:rsidRPr="00C50DB9">
        <w:rPr>
          <w:szCs w:val="24"/>
        </w:rPr>
        <w:t xml:space="preserve">exemplify </w:t>
      </w:r>
      <w:r w:rsidR="000176FE" w:rsidRPr="00C50DB9">
        <w:rPr>
          <w:szCs w:val="24"/>
        </w:rPr>
        <w:t>th</w:t>
      </w:r>
      <w:r w:rsidR="00E64EA9" w:rsidRPr="00C50DB9">
        <w:rPr>
          <w:szCs w:val="24"/>
        </w:rPr>
        <w:t xml:space="preserve">at </w:t>
      </w:r>
      <w:r w:rsidR="00F14433" w:rsidRPr="00C50DB9">
        <w:rPr>
          <w:szCs w:val="24"/>
        </w:rPr>
        <w:t xml:space="preserve">lack of </w:t>
      </w:r>
      <w:r w:rsidR="00110957" w:rsidRPr="00C50DB9">
        <w:rPr>
          <w:szCs w:val="24"/>
        </w:rPr>
        <w:t xml:space="preserve">strong guidance from Aboriginal and Torres Strait Islander </w:t>
      </w:r>
      <w:r w:rsidR="004925A7" w:rsidRPr="00C50DB9">
        <w:rPr>
          <w:szCs w:val="24"/>
        </w:rPr>
        <w:t>peoples</w:t>
      </w:r>
      <w:r w:rsidR="00F14433" w:rsidRPr="00C50DB9">
        <w:rPr>
          <w:szCs w:val="24"/>
        </w:rPr>
        <w:t xml:space="preserve"> will only result is mistrust, </w:t>
      </w:r>
      <w:r w:rsidR="0047385E" w:rsidRPr="00C50DB9">
        <w:rPr>
          <w:szCs w:val="24"/>
        </w:rPr>
        <w:t xml:space="preserve">and in extreme cases, exploitation. </w:t>
      </w:r>
      <w:r w:rsidR="00F9013E" w:rsidRPr="00C50DB9">
        <w:rPr>
          <w:szCs w:val="24"/>
        </w:rPr>
        <w:t xml:space="preserve">Genomics </w:t>
      </w:r>
      <w:r w:rsidR="007B7791" w:rsidRPr="00C50DB9">
        <w:rPr>
          <w:szCs w:val="24"/>
        </w:rPr>
        <w:t xml:space="preserve">research </w:t>
      </w:r>
      <w:r w:rsidR="00F9013E" w:rsidRPr="00C50DB9">
        <w:rPr>
          <w:szCs w:val="24"/>
        </w:rPr>
        <w:t xml:space="preserve">must recognise from the outset, Aboriginal and Torres Strait Islander peoples’ right to own, control, and benefit from their own genetic data. </w:t>
      </w:r>
    </w:p>
    <w:p w14:paraId="785A1BA0" w14:textId="5F5BE65D" w:rsidR="003015AD" w:rsidRPr="008E5C92" w:rsidRDefault="00295C9F" w:rsidP="00AC73DF">
      <w:pPr>
        <w:pStyle w:val="Heading2"/>
        <w:rPr>
          <w:lang w:val="en-AU"/>
        </w:rPr>
      </w:pPr>
      <w:bookmarkStart w:id="15" w:name="_Toc118824295"/>
      <w:r w:rsidRPr="008E5C92">
        <w:rPr>
          <w:lang w:val="en-AU"/>
        </w:rPr>
        <w:t>Past projects</w:t>
      </w:r>
      <w:bookmarkEnd w:id="15"/>
      <w:r w:rsidRPr="008E5C92">
        <w:rPr>
          <w:lang w:val="en-AU"/>
        </w:rPr>
        <w:t xml:space="preserve"> </w:t>
      </w:r>
    </w:p>
    <w:p w14:paraId="0C3B4DAB" w14:textId="22DFA217" w:rsidR="00B46730" w:rsidRPr="008E5C92" w:rsidRDefault="00B46730" w:rsidP="00AC73DF">
      <w:pPr>
        <w:pStyle w:val="Heading3"/>
        <w:rPr>
          <w:lang w:val="en-AU"/>
        </w:rPr>
      </w:pPr>
      <w:bookmarkStart w:id="16" w:name="_Toc118824296"/>
      <w:r w:rsidRPr="008E5C92">
        <w:rPr>
          <w:lang w:val="en-AU"/>
        </w:rPr>
        <w:t xml:space="preserve">The Human Genome Diversity Project </w:t>
      </w:r>
      <w:r w:rsidR="00A079A7" w:rsidRPr="008E5C92">
        <w:rPr>
          <w:lang w:val="en-AU"/>
        </w:rPr>
        <w:t>(HGDP)</w:t>
      </w:r>
      <w:r w:rsidR="00F63106" w:rsidRPr="008E5C92">
        <w:rPr>
          <w:lang w:val="en-AU"/>
        </w:rPr>
        <w:t xml:space="preserve"> (the “Vampire Project”)</w:t>
      </w:r>
      <w:bookmarkEnd w:id="16"/>
      <w:r w:rsidR="00F63106" w:rsidRPr="008E5C92">
        <w:rPr>
          <w:lang w:val="en-AU"/>
        </w:rPr>
        <w:t xml:space="preserve"> </w:t>
      </w:r>
    </w:p>
    <w:p w14:paraId="733F8525" w14:textId="52F14658" w:rsidR="00F9013E" w:rsidRPr="00C50DB9" w:rsidRDefault="00276F24" w:rsidP="00AC73DF">
      <w:pPr>
        <w:rPr>
          <w:szCs w:val="24"/>
        </w:rPr>
      </w:pPr>
      <w:r w:rsidRPr="00C50DB9">
        <w:rPr>
          <w:szCs w:val="24"/>
        </w:rPr>
        <w:t xml:space="preserve">In 1984 </w:t>
      </w:r>
      <w:r w:rsidR="001E207A" w:rsidRPr="00C50DB9">
        <w:rPr>
          <w:szCs w:val="24"/>
        </w:rPr>
        <w:t xml:space="preserve">researchers at Yale University Genetics Department </w:t>
      </w:r>
      <w:r w:rsidR="00F77346" w:rsidRPr="00C50DB9">
        <w:rPr>
          <w:szCs w:val="24"/>
        </w:rPr>
        <w:t xml:space="preserve">began a program to produce cell lines </w:t>
      </w:r>
      <w:r w:rsidR="00315665" w:rsidRPr="00C50DB9">
        <w:rPr>
          <w:szCs w:val="24"/>
        </w:rPr>
        <w:t xml:space="preserve">from a number of Indigenous populations throughout the world. </w:t>
      </w:r>
      <w:r w:rsidR="00FA59C7" w:rsidRPr="00C50DB9">
        <w:rPr>
          <w:szCs w:val="24"/>
        </w:rPr>
        <w:t xml:space="preserve">The project was problematic from its establishment. In the first instance, it took a view of Indigenous peoples as </w:t>
      </w:r>
      <w:r w:rsidR="00020291" w:rsidRPr="00C50DB9">
        <w:rPr>
          <w:szCs w:val="24"/>
        </w:rPr>
        <w:t>scientific curiosities. The</w:t>
      </w:r>
      <w:r w:rsidR="00034B28" w:rsidRPr="00C50DB9">
        <w:rPr>
          <w:szCs w:val="24"/>
        </w:rPr>
        <w:t xml:space="preserve">re was an undercurrent </w:t>
      </w:r>
      <w:r w:rsidR="008946E9" w:rsidRPr="00C50DB9">
        <w:rPr>
          <w:szCs w:val="24"/>
        </w:rPr>
        <w:t xml:space="preserve">of </w:t>
      </w:r>
      <w:r w:rsidR="00515AA4">
        <w:rPr>
          <w:szCs w:val="24"/>
        </w:rPr>
        <w:t xml:space="preserve">false </w:t>
      </w:r>
      <w:r w:rsidR="00034B28" w:rsidRPr="00C50DB9">
        <w:rPr>
          <w:szCs w:val="24"/>
        </w:rPr>
        <w:t xml:space="preserve">urgency </w:t>
      </w:r>
      <w:r w:rsidR="00DC6FF6" w:rsidRPr="00C50DB9">
        <w:rPr>
          <w:szCs w:val="24"/>
        </w:rPr>
        <w:t xml:space="preserve">in the language used by the researchers </w:t>
      </w:r>
      <w:r w:rsidR="00B76C7C" w:rsidRPr="00C50DB9">
        <w:rPr>
          <w:szCs w:val="24"/>
        </w:rPr>
        <w:t>–</w:t>
      </w:r>
      <w:r w:rsidR="00DC6FF6" w:rsidRPr="00C50DB9">
        <w:rPr>
          <w:szCs w:val="24"/>
        </w:rPr>
        <w:t xml:space="preserve"> </w:t>
      </w:r>
      <w:r w:rsidR="00B76C7C" w:rsidRPr="00C50DB9">
        <w:rPr>
          <w:szCs w:val="24"/>
        </w:rPr>
        <w:t xml:space="preserve">Indigenous peoples were evidence of </w:t>
      </w:r>
      <w:r w:rsidR="003517BB" w:rsidRPr="00C50DB9">
        <w:rPr>
          <w:szCs w:val="24"/>
        </w:rPr>
        <w:t xml:space="preserve">the </w:t>
      </w:r>
      <w:r w:rsidR="00B76C7C" w:rsidRPr="00C50DB9">
        <w:rPr>
          <w:szCs w:val="24"/>
        </w:rPr>
        <w:t>pa</w:t>
      </w:r>
      <w:r w:rsidR="00913C3D" w:rsidRPr="00C50DB9">
        <w:rPr>
          <w:szCs w:val="24"/>
        </w:rPr>
        <w:t>s</w:t>
      </w:r>
      <w:r w:rsidR="00B76C7C" w:rsidRPr="00C50DB9">
        <w:rPr>
          <w:szCs w:val="24"/>
        </w:rPr>
        <w:t xml:space="preserve">t </w:t>
      </w:r>
      <w:r w:rsidR="0034380D" w:rsidRPr="00C50DB9">
        <w:rPr>
          <w:szCs w:val="24"/>
        </w:rPr>
        <w:t xml:space="preserve">and </w:t>
      </w:r>
      <w:r w:rsidR="002C6612" w:rsidRPr="00C50DB9">
        <w:rPr>
          <w:szCs w:val="24"/>
        </w:rPr>
        <w:t xml:space="preserve">their unique genetic profiles should be </w:t>
      </w:r>
      <w:r w:rsidR="00B76C7C" w:rsidRPr="00C50DB9">
        <w:rPr>
          <w:szCs w:val="24"/>
        </w:rPr>
        <w:t>documented before the information is lost</w:t>
      </w:r>
      <w:r w:rsidR="00A75EC0" w:rsidRPr="00C50DB9">
        <w:rPr>
          <w:szCs w:val="24"/>
        </w:rPr>
        <w:t xml:space="preserve"> forever to history. </w:t>
      </w:r>
    </w:p>
    <w:p w14:paraId="5BE3FBC8" w14:textId="0B2205F9" w:rsidR="00E23C7B" w:rsidRPr="00C50DB9" w:rsidRDefault="00E23C7B" w:rsidP="00AC73DF">
      <w:pPr>
        <w:rPr>
          <w:szCs w:val="24"/>
        </w:rPr>
      </w:pPr>
      <w:r w:rsidRPr="00C50DB9">
        <w:rPr>
          <w:szCs w:val="24"/>
        </w:rPr>
        <w:t xml:space="preserve">There were also well-founded concerns about economic exploitation, concerning the patenting of genes </w:t>
      </w:r>
      <w:r w:rsidR="002E475E" w:rsidRPr="00C50DB9">
        <w:rPr>
          <w:szCs w:val="24"/>
        </w:rPr>
        <w:t xml:space="preserve">and the </w:t>
      </w:r>
      <w:r w:rsidR="00C315E1" w:rsidRPr="00C50DB9">
        <w:rPr>
          <w:szCs w:val="24"/>
        </w:rPr>
        <w:t xml:space="preserve">development of </w:t>
      </w:r>
      <w:r w:rsidR="00617048" w:rsidRPr="00C50DB9">
        <w:rPr>
          <w:szCs w:val="24"/>
        </w:rPr>
        <w:t xml:space="preserve">prohibitively </w:t>
      </w:r>
      <w:r w:rsidR="005E528E" w:rsidRPr="00C50DB9">
        <w:rPr>
          <w:szCs w:val="24"/>
        </w:rPr>
        <w:t>expensive medications</w:t>
      </w:r>
      <w:r w:rsidR="00617048" w:rsidRPr="00C50DB9">
        <w:rPr>
          <w:szCs w:val="24"/>
        </w:rPr>
        <w:t>.</w:t>
      </w:r>
      <w:r w:rsidR="00922B2C" w:rsidRPr="00C50DB9">
        <w:rPr>
          <w:szCs w:val="24"/>
        </w:rPr>
        <w:t xml:space="preserve"> </w:t>
      </w:r>
      <w:r w:rsidR="000B69CB" w:rsidRPr="00C50DB9">
        <w:rPr>
          <w:szCs w:val="24"/>
        </w:rPr>
        <w:t xml:space="preserve">The project proponents </w:t>
      </w:r>
      <w:r w:rsidR="00A079A7" w:rsidRPr="00C50DB9">
        <w:rPr>
          <w:szCs w:val="24"/>
        </w:rPr>
        <w:t>stressed that the H</w:t>
      </w:r>
      <w:r w:rsidR="000F48F2" w:rsidRPr="00C50DB9">
        <w:rPr>
          <w:szCs w:val="24"/>
        </w:rPr>
        <w:t>GDP was not a commercial enterprise</w:t>
      </w:r>
      <w:r w:rsidR="00AB0C60" w:rsidRPr="00C50DB9">
        <w:rPr>
          <w:szCs w:val="24"/>
        </w:rPr>
        <w:t>,</w:t>
      </w:r>
      <w:r w:rsidR="00607378" w:rsidRPr="00C50DB9">
        <w:rPr>
          <w:szCs w:val="24"/>
        </w:rPr>
        <w:t xml:space="preserve"> </w:t>
      </w:r>
      <w:r w:rsidR="007F28A4" w:rsidRPr="00C50DB9">
        <w:rPr>
          <w:szCs w:val="24"/>
        </w:rPr>
        <w:t xml:space="preserve">and that any </w:t>
      </w:r>
      <w:r w:rsidR="007C01A1" w:rsidRPr="00C50DB9">
        <w:rPr>
          <w:szCs w:val="24"/>
        </w:rPr>
        <w:t>profits</w:t>
      </w:r>
      <w:r w:rsidR="00623BFE" w:rsidRPr="00C50DB9">
        <w:rPr>
          <w:szCs w:val="24"/>
        </w:rPr>
        <w:t xml:space="preserve"> </w:t>
      </w:r>
      <w:r w:rsidR="00623BFE" w:rsidRPr="00C50DB9">
        <w:rPr>
          <w:szCs w:val="24"/>
        </w:rPr>
        <w:lastRenderedPageBreak/>
        <w:t xml:space="preserve">would be returned to communities. </w:t>
      </w:r>
      <w:r w:rsidR="00A97065" w:rsidRPr="00C50DB9">
        <w:rPr>
          <w:szCs w:val="24"/>
        </w:rPr>
        <w:t xml:space="preserve">For many, this reassurance was </w:t>
      </w:r>
      <w:r w:rsidR="002C10C6" w:rsidRPr="00C50DB9">
        <w:rPr>
          <w:szCs w:val="24"/>
        </w:rPr>
        <w:t>insufficient</w:t>
      </w:r>
      <w:r w:rsidR="00AE471F" w:rsidRPr="00C50DB9">
        <w:rPr>
          <w:szCs w:val="24"/>
        </w:rPr>
        <w:t xml:space="preserve"> or unconvincing</w:t>
      </w:r>
      <w:r w:rsidR="00022469" w:rsidRPr="00C50DB9">
        <w:rPr>
          <w:szCs w:val="24"/>
        </w:rPr>
        <w:t xml:space="preserve">, not least because there remained </w:t>
      </w:r>
      <w:r w:rsidR="00B60BEB" w:rsidRPr="00C50DB9">
        <w:rPr>
          <w:szCs w:val="24"/>
        </w:rPr>
        <w:t>concerns over their patenting policies</w:t>
      </w:r>
      <w:r w:rsidR="00A97065" w:rsidRPr="00C50DB9">
        <w:rPr>
          <w:szCs w:val="24"/>
        </w:rPr>
        <w:t>.</w:t>
      </w:r>
      <w:r w:rsidR="00762E97" w:rsidRPr="00C50DB9">
        <w:rPr>
          <w:rStyle w:val="FootnoteReference"/>
          <w:szCs w:val="24"/>
        </w:rPr>
        <w:footnoteReference w:id="5"/>
      </w:r>
      <w:r w:rsidR="00A97065" w:rsidRPr="00C50DB9">
        <w:rPr>
          <w:szCs w:val="24"/>
        </w:rPr>
        <w:t xml:space="preserve"> </w:t>
      </w:r>
    </w:p>
    <w:p w14:paraId="4A0A4633" w14:textId="4F1B0CFF" w:rsidR="005C3F0E" w:rsidRPr="00C50DB9" w:rsidRDefault="005C3F0E" w:rsidP="00AC73DF">
      <w:pPr>
        <w:rPr>
          <w:szCs w:val="24"/>
        </w:rPr>
      </w:pPr>
      <w:r w:rsidRPr="00C50DB9">
        <w:rPr>
          <w:szCs w:val="24"/>
        </w:rPr>
        <w:t xml:space="preserve">While discussion of “prior informed consent” </w:t>
      </w:r>
      <w:r w:rsidR="00285984" w:rsidRPr="00C50DB9">
        <w:rPr>
          <w:szCs w:val="24"/>
        </w:rPr>
        <w:t xml:space="preserve">at the individual and community level </w:t>
      </w:r>
      <w:r w:rsidRPr="00C50DB9">
        <w:rPr>
          <w:szCs w:val="24"/>
        </w:rPr>
        <w:t xml:space="preserve">was present in </w:t>
      </w:r>
      <w:r w:rsidR="00652303" w:rsidRPr="00C50DB9">
        <w:rPr>
          <w:szCs w:val="24"/>
        </w:rPr>
        <w:t>the project, the extent to which the consents we</w:t>
      </w:r>
      <w:r w:rsidR="00970E85" w:rsidRPr="00C50DB9">
        <w:rPr>
          <w:szCs w:val="24"/>
        </w:rPr>
        <w:t>re</w:t>
      </w:r>
      <w:r w:rsidR="00652303" w:rsidRPr="00C50DB9">
        <w:rPr>
          <w:szCs w:val="24"/>
        </w:rPr>
        <w:t xml:space="preserve"> </w:t>
      </w:r>
      <w:r w:rsidR="006B7B27" w:rsidRPr="00C50DB9">
        <w:rPr>
          <w:szCs w:val="24"/>
        </w:rPr>
        <w:t xml:space="preserve">freely given based on </w:t>
      </w:r>
      <w:r w:rsidR="00352D48" w:rsidRPr="00C50DB9">
        <w:rPr>
          <w:szCs w:val="24"/>
        </w:rPr>
        <w:t xml:space="preserve">well informed judgements, </w:t>
      </w:r>
      <w:r w:rsidR="00AE471F" w:rsidRPr="00C50DB9">
        <w:rPr>
          <w:szCs w:val="24"/>
        </w:rPr>
        <w:t>was</w:t>
      </w:r>
      <w:r w:rsidR="00352D48" w:rsidRPr="00C50DB9">
        <w:rPr>
          <w:szCs w:val="24"/>
        </w:rPr>
        <w:t xml:space="preserve"> debatable.</w:t>
      </w:r>
      <w:r w:rsidR="00762E97" w:rsidRPr="00C50DB9">
        <w:rPr>
          <w:rStyle w:val="FootnoteReference"/>
          <w:szCs w:val="24"/>
        </w:rPr>
        <w:footnoteReference w:id="6"/>
      </w:r>
      <w:r w:rsidR="00352D48" w:rsidRPr="00C50DB9">
        <w:rPr>
          <w:szCs w:val="24"/>
        </w:rPr>
        <w:t xml:space="preserve"> </w:t>
      </w:r>
    </w:p>
    <w:p w14:paraId="6872055F" w14:textId="6288BEBA" w:rsidR="0075163C" w:rsidRPr="00C50DB9" w:rsidRDefault="0075163C" w:rsidP="00AC73DF">
      <w:pPr>
        <w:rPr>
          <w:szCs w:val="24"/>
        </w:rPr>
      </w:pPr>
      <w:r w:rsidRPr="00C50DB9">
        <w:rPr>
          <w:szCs w:val="24"/>
        </w:rPr>
        <w:t xml:space="preserve">The Central Australian Aboriginal Congress re-named the HGDP </w:t>
      </w:r>
      <w:r w:rsidR="00C2425A" w:rsidRPr="00C50DB9">
        <w:rPr>
          <w:szCs w:val="24"/>
        </w:rPr>
        <w:t>‘the Vampire Project’.</w:t>
      </w:r>
      <w:r w:rsidR="00C2425A" w:rsidRPr="00C50DB9">
        <w:rPr>
          <w:rStyle w:val="FootnoteReference"/>
          <w:szCs w:val="24"/>
        </w:rPr>
        <w:footnoteReference w:id="7"/>
      </w:r>
      <w:r w:rsidR="00C2425A" w:rsidRPr="00C50DB9">
        <w:rPr>
          <w:szCs w:val="24"/>
        </w:rPr>
        <w:t xml:space="preserve"> </w:t>
      </w:r>
    </w:p>
    <w:p w14:paraId="228CCD9C" w14:textId="0F644B5B" w:rsidR="009A106A" w:rsidRPr="00C50DB9" w:rsidRDefault="009A106A" w:rsidP="00AC73DF">
      <w:pPr>
        <w:rPr>
          <w:szCs w:val="24"/>
        </w:rPr>
      </w:pPr>
      <w:r w:rsidRPr="00C50DB9">
        <w:rPr>
          <w:szCs w:val="24"/>
        </w:rPr>
        <w:t xml:space="preserve">Professor Mathew </w:t>
      </w:r>
      <w:r w:rsidR="00E65141" w:rsidRPr="00C50DB9">
        <w:rPr>
          <w:szCs w:val="24"/>
        </w:rPr>
        <w:t xml:space="preserve">Rimmer, </w:t>
      </w:r>
      <w:r w:rsidR="00AA2052" w:rsidRPr="00C50DB9">
        <w:rPr>
          <w:szCs w:val="24"/>
        </w:rPr>
        <w:t xml:space="preserve">Professor of Intellectual Property and Innovation </w:t>
      </w:r>
      <w:r w:rsidR="00E81838" w:rsidRPr="00C50DB9">
        <w:rPr>
          <w:szCs w:val="24"/>
        </w:rPr>
        <w:t xml:space="preserve">at the </w:t>
      </w:r>
      <w:r w:rsidR="005C4169" w:rsidRPr="00C50DB9">
        <w:rPr>
          <w:szCs w:val="24"/>
        </w:rPr>
        <w:t xml:space="preserve">Queensland University of Technology’s </w:t>
      </w:r>
      <w:r w:rsidR="00E81838" w:rsidRPr="00C50DB9">
        <w:rPr>
          <w:szCs w:val="24"/>
        </w:rPr>
        <w:t xml:space="preserve">Law School </w:t>
      </w:r>
      <w:r w:rsidR="00B43740" w:rsidRPr="00C50DB9">
        <w:rPr>
          <w:szCs w:val="24"/>
        </w:rPr>
        <w:t xml:space="preserve">summarised the </w:t>
      </w:r>
      <w:r w:rsidR="00593AC8" w:rsidRPr="00C50DB9">
        <w:rPr>
          <w:szCs w:val="24"/>
        </w:rPr>
        <w:t xml:space="preserve">core issue as one of fundamental lack of </w:t>
      </w:r>
      <w:r w:rsidR="00A456D7" w:rsidRPr="00C50DB9">
        <w:rPr>
          <w:szCs w:val="24"/>
        </w:rPr>
        <w:t>community participation (</w:t>
      </w:r>
      <w:r w:rsidR="004A7256" w:rsidRPr="00C50DB9">
        <w:rPr>
          <w:szCs w:val="24"/>
        </w:rPr>
        <w:t xml:space="preserve">a failure to follow the principle of </w:t>
      </w:r>
      <w:r w:rsidR="00FE2627" w:rsidRPr="00C50DB9">
        <w:rPr>
          <w:szCs w:val="24"/>
        </w:rPr>
        <w:t>self-determination</w:t>
      </w:r>
      <w:r w:rsidR="004A7256" w:rsidRPr="00C50DB9">
        <w:rPr>
          <w:szCs w:val="24"/>
        </w:rPr>
        <w:t>)</w:t>
      </w:r>
      <w:r w:rsidR="008E3E88">
        <w:rPr>
          <w:szCs w:val="24"/>
        </w:rPr>
        <w:t>.</w:t>
      </w:r>
      <w:r w:rsidR="004A7256" w:rsidRPr="00C50DB9">
        <w:rPr>
          <w:szCs w:val="24"/>
        </w:rPr>
        <w:t xml:space="preserve"> </w:t>
      </w:r>
    </w:p>
    <w:p w14:paraId="17D37E9A" w14:textId="740FE95E" w:rsidR="004A7256" w:rsidRPr="008E3E88" w:rsidRDefault="004A7256" w:rsidP="008E3E88">
      <w:pPr>
        <w:ind w:left="567"/>
        <w:rPr>
          <w:sz w:val="20"/>
        </w:rPr>
      </w:pPr>
      <w:r w:rsidRPr="00F80E0C">
        <w:rPr>
          <w:rStyle w:val="QuoteChar"/>
        </w:rPr>
        <w:t>The H</w:t>
      </w:r>
      <w:r w:rsidR="00B45D27" w:rsidRPr="00F80E0C">
        <w:rPr>
          <w:rStyle w:val="QuoteChar"/>
        </w:rPr>
        <w:t>GDP was designed without proper community-based research participation. As a result, the protocols first developed in respect of informed consent and benefit-sharing were inadequate</w:t>
      </w:r>
      <w:r w:rsidR="00B45D27" w:rsidRPr="008E3E88">
        <w:rPr>
          <w:rStyle w:val="FootnoteReference"/>
          <w:i/>
          <w:sz w:val="20"/>
        </w:rPr>
        <w:footnoteReference w:id="8"/>
      </w:r>
      <w:r w:rsidR="00B45D27" w:rsidRPr="008E3E88">
        <w:rPr>
          <w:sz w:val="20"/>
        </w:rPr>
        <w:t xml:space="preserve"> </w:t>
      </w:r>
    </w:p>
    <w:p w14:paraId="037172C2" w14:textId="57AE125D" w:rsidR="00F331FB" w:rsidRPr="00C50DB9" w:rsidRDefault="00F331FB" w:rsidP="00AC73DF">
      <w:pPr>
        <w:rPr>
          <w:szCs w:val="24"/>
        </w:rPr>
      </w:pPr>
      <w:r w:rsidRPr="00C50DB9">
        <w:rPr>
          <w:szCs w:val="24"/>
        </w:rPr>
        <w:t xml:space="preserve">In this summation, Professor Rimmer </w:t>
      </w:r>
      <w:r w:rsidR="0092568C" w:rsidRPr="00C50DB9">
        <w:rPr>
          <w:szCs w:val="24"/>
        </w:rPr>
        <w:t xml:space="preserve">evinces </w:t>
      </w:r>
      <w:r w:rsidR="000A358B" w:rsidRPr="00C50DB9">
        <w:rPr>
          <w:szCs w:val="24"/>
        </w:rPr>
        <w:t xml:space="preserve">the </w:t>
      </w:r>
      <w:r w:rsidR="00156F52" w:rsidRPr="00C50DB9">
        <w:rPr>
          <w:szCs w:val="24"/>
        </w:rPr>
        <w:t xml:space="preserve">central necessity of any </w:t>
      </w:r>
      <w:r w:rsidR="0003709C" w:rsidRPr="00C50DB9">
        <w:rPr>
          <w:szCs w:val="24"/>
        </w:rPr>
        <w:t xml:space="preserve">successful </w:t>
      </w:r>
      <w:r w:rsidR="00EB5A8C" w:rsidRPr="00C50DB9">
        <w:rPr>
          <w:szCs w:val="24"/>
        </w:rPr>
        <w:t xml:space="preserve">project involving Indigenous health </w:t>
      </w:r>
      <w:r w:rsidR="00F77C73" w:rsidRPr="00C50DB9">
        <w:rPr>
          <w:szCs w:val="24"/>
        </w:rPr>
        <w:t xml:space="preserve">genomics </w:t>
      </w:r>
      <w:r w:rsidR="00A9713A" w:rsidRPr="00C50DB9">
        <w:rPr>
          <w:szCs w:val="24"/>
        </w:rPr>
        <w:t>–</w:t>
      </w:r>
      <w:r w:rsidR="00F77C73" w:rsidRPr="00C50DB9">
        <w:rPr>
          <w:szCs w:val="24"/>
        </w:rPr>
        <w:t xml:space="preserve"> </w:t>
      </w:r>
      <w:r w:rsidR="00A9713A" w:rsidRPr="00C50DB9">
        <w:rPr>
          <w:szCs w:val="24"/>
        </w:rPr>
        <w:t>the requirement of Indigenous co-design.</w:t>
      </w:r>
      <w:r w:rsidR="00121167" w:rsidRPr="00C50DB9">
        <w:rPr>
          <w:szCs w:val="24"/>
        </w:rPr>
        <w:t xml:space="preserve"> There is no remedy to a </w:t>
      </w:r>
      <w:r w:rsidR="005B72DF" w:rsidRPr="00C50DB9">
        <w:rPr>
          <w:szCs w:val="24"/>
        </w:rPr>
        <w:t xml:space="preserve">lack of </w:t>
      </w:r>
      <w:r w:rsidR="00A9369B" w:rsidRPr="00C50DB9">
        <w:rPr>
          <w:szCs w:val="24"/>
        </w:rPr>
        <w:t xml:space="preserve">Aboriginal and Torres Strait Islander </w:t>
      </w:r>
      <w:r w:rsidR="005B72DF" w:rsidRPr="00C50DB9">
        <w:rPr>
          <w:szCs w:val="24"/>
        </w:rPr>
        <w:t xml:space="preserve">involvement at the earliest stages of </w:t>
      </w:r>
      <w:r w:rsidR="00A9369B" w:rsidRPr="00C50DB9">
        <w:rPr>
          <w:szCs w:val="24"/>
        </w:rPr>
        <w:t>project planning</w:t>
      </w:r>
      <w:r w:rsidR="005B72DF" w:rsidRPr="00C50DB9">
        <w:rPr>
          <w:szCs w:val="24"/>
        </w:rPr>
        <w:t>. Without Aboriginal and Torres Strait Islander involvement there is likely to be significant mistrust of any project</w:t>
      </w:r>
      <w:r w:rsidR="006F03DB" w:rsidRPr="00C50DB9">
        <w:rPr>
          <w:szCs w:val="24"/>
        </w:rPr>
        <w:t>,</w:t>
      </w:r>
      <w:r w:rsidR="009436B6" w:rsidRPr="00C50DB9">
        <w:rPr>
          <w:szCs w:val="24"/>
        </w:rPr>
        <w:t xml:space="preserve"> </w:t>
      </w:r>
      <w:r w:rsidR="00DF58AC" w:rsidRPr="00C50DB9">
        <w:rPr>
          <w:szCs w:val="24"/>
        </w:rPr>
        <w:t xml:space="preserve">which </w:t>
      </w:r>
      <w:r w:rsidR="009436B6" w:rsidRPr="00C50DB9">
        <w:rPr>
          <w:szCs w:val="24"/>
        </w:rPr>
        <w:t>will</w:t>
      </w:r>
      <w:r w:rsidR="006F03DB" w:rsidRPr="00C50DB9">
        <w:rPr>
          <w:szCs w:val="24"/>
        </w:rPr>
        <w:t xml:space="preserve"> in turn</w:t>
      </w:r>
      <w:r w:rsidR="009436B6" w:rsidRPr="00C50DB9">
        <w:rPr>
          <w:szCs w:val="24"/>
        </w:rPr>
        <w:t xml:space="preserve"> compromise consultation</w:t>
      </w:r>
      <w:r w:rsidR="009E5763" w:rsidRPr="00C50DB9">
        <w:rPr>
          <w:szCs w:val="24"/>
        </w:rPr>
        <w:t xml:space="preserve"> and consent processes</w:t>
      </w:r>
      <w:r w:rsidR="00D16138" w:rsidRPr="00C50DB9">
        <w:rPr>
          <w:szCs w:val="24"/>
        </w:rPr>
        <w:t xml:space="preserve">. </w:t>
      </w:r>
      <w:r w:rsidR="00741442" w:rsidRPr="00C50DB9">
        <w:rPr>
          <w:szCs w:val="24"/>
        </w:rPr>
        <w:t xml:space="preserve">It will also lead to significant concern over ownership and control of the samples, and the </w:t>
      </w:r>
      <w:r w:rsidR="001A2DDC" w:rsidRPr="00C50DB9">
        <w:rPr>
          <w:szCs w:val="24"/>
        </w:rPr>
        <w:t xml:space="preserve">data </w:t>
      </w:r>
      <w:r w:rsidR="00BB529C" w:rsidRPr="00C50DB9">
        <w:rPr>
          <w:szCs w:val="24"/>
        </w:rPr>
        <w:t>derived</w:t>
      </w:r>
      <w:r w:rsidR="00741442" w:rsidRPr="00C50DB9">
        <w:rPr>
          <w:szCs w:val="24"/>
        </w:rPr>
        <w:t xml:space="preserve"> therefrom – as it did in the HGDP project when </w:t>
      </w:r>
      <w:r w:rsidR="00AE57D9" w:rsidRPr="00C50DB9">
        <w:rPr>
          <w:szCs w:val="24"/>
        </w:rPr>
        <w:t xml:space="preserve">Aboriginal and Torres Strait Islander </w:t>
      </w:r>
      <w:r w:rsidR="001A2DDC" w:rsidRPr="00C50DB9">
        <w:rPr>
          <w:szCs w:val="24"/>
        </w:rPr>
        <w:t xml:space="preserve">stakeholder </w:t>
      </w:r>
      <w:r w:rsidR="00AE57D9" w:rsidRPr="00C50DB9">
        <w:rPr>
          <w:szCs w:val="24"/>
        </w:rPr>
        <w:t>groups raised well</w:t>
      </w:r>
      <w:r w:rsidR="001A2DDC" w:rsidRPr="00C50DB9">
        <w:rPr>
          <w:szCs w:val="24"/>
        </w:rPr>
        <w:t>-</w:t>
      </w:r>
      <w:r w:rsidR="00AE57D9" w:rsidRPr="00C50DB9">
        <w:rPr>
          <w:szCs w:val="24"/>
        </w:rPr>
        <w:t xml:space="preserve">founded concerns about </w:t>
      </w:r>
      <w:r w:rsidR="00BB529C" w:rsidRPr="00C50DB9">
        <w:rPr>
          <w:szCs w:val="24"/>
        </w:rPr>
        <w:t xml:space="preserve">ownership of any patent rights. </w:t>
      </w:r>
    </w:p>
    <w:p w14:paraId="4C034D54" w14:textId="0BC48998" w:rsidR="002C42F4" w:rsidRPr="00C50DB9" w:rsidRDefault="002C42F4" w:rsidP="00AC73DF">
      <w:pPr>
        <w:rPr>
          <w:szCs w:val="24"/>
        </w:rPr>
      </w:pPr>
      <w:r w:rsidRPr="00C50DB9">
        <w:rPr>
          <w:szCs w:val="24"/>
        </w:rPr>
        <w:t xml:space="preserve">This same </w:t>
      </w:r>
      <w:r w:rsidR="000F2E0A" w:rsidRPr="00C50DB9">
        <w:rPr>
          <w:szCs w:val="24"/>
        </w:rPr>
        <w:t xml:space="preserve">pattern was again played out in </w:t>
      </w:r>
      <w:r w:rsidR="00435C3D" w:rsidRPr="00C50DB9">
        <w:rPr>
          <w:szCs w:val="24"/>
        </w:rPr>
        <w:t xml:space="preserve">the Genographic Project. </w:t>
      </w:r>
    </w:p>
    <w:p w14:paraId="7D6B663B" w14:textId="210D846C" w:rsidR="00B46730" w:rsidRPr="008E5C92" w:rsidRDefault="00AF0D8E" w:rsidP="00AC73DF">
      <w:pPr>
        <w:pStyle w:val="Heading3"/>
        <w:rPr>
          <w:lang w:val="en-AU"/>
        </w:rPr>
      </w:pPr>
      <w:bookmarkStart w:id="17" w:name="_Toc118824297"/>
      <w:r w:rsidRPr="008E5C92">
        <w:rPr>
          <w:lang w:val="en-AU"/>
        </w:rPr>
        <w:t>T</w:t>
      </w:r>
      <w:r w:rsidR="00B46730" w:rsidRPr="008E5C92">
        <w:rPr>
          <w:lang w:val="en-AU"/>
        </w:rPr>
        <w:t>he Genographic Project</w:t>
      </w:r>
      <w:bookmarkEnd w:id="17"/>
      <w:r w:rsidR="00435C3D" w:rsidRPr="008E5C92">
        <w:rPr>
          <w:lang w:val="en-AU"/>
        </w:rPr>
        <w:t xml:space="preserve"> </w:t>
      </w:r>
    </w:p>
    <w:p w14:paraId="1E9DE9BF" w14:textId="4CBB6452" w:rsidR="00435C3D" w:rsidRPr="00C50DB9" w:rsidRDefault="007079E8" w:rsidP="00AC73DF">
      <w:pPr>
        <w:rPr>
          <w:szCs w:val="24"/>
        </w:rPr>
      </w:pPr>
      <w:r w:rsidRPr="00C50DB9">
        <w:rPr>
          <w:szCs w:val="24"/>
        </w:rPr>
        <w:t xml:space="preserve">In 2005 </w:t>
      </w:r>
      <w:r w:rsidR="00BB775E" w:rsidRPr="00C50DB9">
        <w:rPr>
          <w:szCs w:val="24"/>
        </w:rPr>
        <w:t xml:space="preserve">the Genographic </w:t>
      </w:r>
      <w:r w:rsidR="00282741" w:rsidRPr="00C50DB9">
        <w:rPr>
          <w:szCs w:val="24"/>
        </w:rPr>
        <w:t xml:space="preserve">Project </w:t>
      </w:r>
      <w:r w:rsidR="007F6134" w:rsidRPr="00C50DB9">
        <w:rPr>
          <w:szCs w:val="24"/>
        </w:rPr>
        <w:t xml:space="preserve">was launched </w:t>
      </w:r>
      <w:r w:rsidR="005545E5" w:rsidRPr="00C50DB9">
        <w:rPr>
          <w:szCs w:val="24"/>
        </w:rPr>
        <w:t xml:space="preserve">through the National Geographic. </w:t>
      </w:r>
      <w:r w:rsidR="00342CA9" w:rsidRPr="00C50DB9">
        <w:rPr>
          <w:szCs w:val="24"/>
        </w:rPr>
        <w:t>The project proposed to collect over 100,000 samples from across fi</w:t>
      </w:r>
      <w:r w:rsidR="00B473CA" w:rsidRPr="00C50DB9">
        <w:rPr>
          <w:szCs w:val="24"/>
        </w:rPr>
        <w:t>v</w:t>
      </w:r>
      <w:r w:rsidR="00342CA9" w:rsidRPr="00C50DB9">
        <w:rPr>
          <w:szCs w:val="24"/>
        </w:rPr>
        <w:t xml:space="preserve">e continents with the </w:t>
      </w:r>
      <w:r w:rsidR="00565C01" w:rsidRPr="00C50DB9">
        <w:rPr>
          <w:szCs w:val="24"/>
        </w:rPr>
        <w:t xml:space="preserve">aim </w:t>
      </w:r>
      <w:r w:rsidR="00342CA9" w:rsidRPr="00C50DB9">
        <w:rPr>
          <w:szCs w:val="24"/>
        </w:rPr>
        <w:t xml:space="preserve">of mapping </w:t>
      </w:r>
      <w:r w:rsidR="00464965" w:rsidRPr="00C50DB9">
        <w:rPr>
          <w:szCs w:val="24"/>
        </w:rPr>
        <w:t xml:space="preserve">historical </w:t>
      </w:r>
      <w:r w:rsidR="004164D2" w:rsidRPr="00C50DB9">
        <w:rPr>
          <w:szCs w:val="24"/>
        </w:rPr>
        <w:t>human migration patterns</w:t>
      </w:r>
      <w:r w:rsidR="00342CA9" w:rsidRPr="00C50DB9">
        <w:rPr>
          <w:szCs w:val="24"/>
        </w:rPr>
        <w:t>.</w:t>
      </w:r>
      <w:r w:rsidR="00CE6ED7" w:rsidRPr="00C50DB9">
        <w:rPr>
          <w:rStyle w:val="FootnoteReference"/>
          <w:szCs w:val="24"/>
        </w:rPr>
        <w:footnoteReference w:id="9"/>
      </w:r>
      <w:r w:rsidR="002866FC" w:rsidRPr="00C50DB9">
        <w:rPr>
          <w:szCs w:val="24"/>
        </w:rPr>
        <w:t xml:space="preserve"> </w:t>
      </w:r>
      <w:r w:rsidR="007879EB" w:rsidRPr="00C50DB9">
        <w:rPr>
          <w:szCs w:val="24"/>
        </w:rPr>
        <w:t xml:space="preserve">Again, </w:t>
      </w:r>
      <w:r w:rsidR="00D05B28" w:rsidRPr="00C50DB9">
        <w:rPr>
          <w:szCs w:val="24"/>
        </w:rPr>
        <w:t>a lack of</w:t>
      </w:r>
      <w:r w:rsidR="002F2F63" w:rsidRPr="00C50DB9">
        <w:rPr>
          <w:szCs w:val="24"/>
        </w:rPr>
        <w:t xml:space="preserve"> diverse stakeholder involvement at the earliest stages, </w:t>
      </w:r>
      <w:r w:rsidR="00CB746C" w:rsidRPr="00C50DB9">
        <w:rPr>
          <w:szCs w:val="24"/>
        </w:rPr>
        <w:t xml:space="preserve">meant that inherent flaws and </w:t>
      </w:r>
      <w:r w:rsidR="005F3BBC" w:rsidRPr="00C50DB9">
        <w:rPr>
          <w:szCs w:val="24"/>
        </w:rPr>
        <w:t xml:space="preserve">risks </w:t>
      </w:r>
      <w:r w:rsidR="0079329A" w:rsidRPr="00C50DB9">
        <w:rPr>
          <w:szCs w:val="24"/>
        </w:rPr>
        <w:t>were embedded in the project plans</w:t>
      </w:r>
      <w:r w:rsidR="00970296" w:rsidRPr="00C50DB9">
        <w:rPr>
          <w:szCs w:val="24"/>
        </w:rPr>
        <w:t xml:space="preserve">. </w:t>
      </w:r>
    </w:p>
    <w:p w14:paraId="1093AC5D" w14:textId="77777777" w:rsidR="00923A55" w:rsidRPr="00C50DB9" w:rsidRDefault="00312141" w:rsidP="00AC73DF">
      <w:pPr>
        <w:rPr>
          <w:szCs w:val="24"/>
        </w:rPr>
      </w:pPr>
      <w:r w:rsidRPr="00C50DB9">
        <w:rPr>
          <w:szCs w:val="24"/>
        </w:rPr>
        <w:t xml:space="preserve">The project’s advisory </w:t>
      </w:r>
      <w:r w:rsidR="00F2501C" w:rsidRPr="00C50DB9">
        <w:rPr>
          <w:szCs w:val="24"/>
        </w:rPr>
        <w:t xml:space="preserve">board was chaired by Dr Luigi Luca Cavalli-Sforza – the same geneticist </w:t>
      </w:r>
      <w:r w:rsidR="00D55E45" w:rsidRPr="00C50DB9">
        <w:rPr>
          <w:szCs w:val="24"/>
        </w:rPr>
        <w:t>who led the HGDP</w:t>
      </w:r>
      <w:r w:rsidR="00C37830" w:rsidRPr="00C50DB9">
        <w:rPr>
          <w:szCs w:val="24"/>
        </w:rPr>
        <w:t xml:space="preserve">, </w:t>
      </w:r>
      <w:r w:rsidR="00D93464" w:rsidRPr="00C50DB9">
        <w:rPr>
          <w:szCs w:val="24"/>
        </w:rPr>
        <w:t xml:space="preserve">and </w:t>
      </w:r>
      <w:r w:rsidR="00CB3388" w:rsidRPr="00C50DB9">
        <w:rPr>
          <w:szCs w:val="24"/>
        </w:rPr>
        <w:t xml:space="preserve">it </w:t>
      </w:r>
      <w:r w:rsidR="00D93464" w:rsidRPr="00C50DB9">
        <w:rPr>
          <w:szCs w:val="24"/>
        </w:rPr>
        <w:t xml:space="preserve">appeared to repeat many of the mistakes </w:t>
      </w:r>
      <w:r w:rsidR="00F60EAA" w:rsidRPr="00C50DB9">
        <w:rPr>
          <w:szCs w:val="24"/>
        </w:rPr>
        <w:t xml:space="preserve">of the HGDP project. </w:t>
      </w:r>
      <w:r w:rsidR="00AB2EDC" w:rsidRPr="00C50DB9">
        <w:rPr>
          <w:szCs w:val="24"/>
        </w:rPr>
        <w:t>The Indigenous Peoples Council on Biocolonialism</w:t>
      </w:r>
      <w:r w:rsidR="00B22B80" w:rsidRPr="00C50DB9">
        <w:rPr>
          <w:szCs w:val="24"/>
        </w:rPr>
        <w:t xml:space="preserve"> and its Executive Director Debra Harry, expressed several concerns about the project</w:t>
      </w:r>
      <w:r w:rsidR="00BC02F9" w:rsidRPr="00C50DB9">
        <w:rPr>
          <w:szCs w:val="24"/>
        </w:rPr>
        <w:t xml:space="preserve"> including </w:t>
      </w:r>
      <w:r w:rsidR="005D3780" w:rsidRPr="00C50DB9">
        <w:rPr>
          <w:szCs w:val="24"/>
        </w:rPr>
        <w:t xml:space="preserve">concerns over </w:t>
      </w:r>
      <w:r w:rsidR="00A60056" w:rsidRPr="00C50DB9">
        <w:rPr>
          <w:szCs w:val="24"/>
        </w:rPr>
        <w:t xml:space="preserve">the quality of the consents (and whether they amounted to being free, prior and informed), </w:t>
      </w:r>
      <w:r w:rsidR="00EC6E1E" w:rsidRPr="00C50DB9">
        <w:rPr>
          <w:szCs w:val="24"/>
        </w:rPr>
        <w:t xml:space="preserve">the potential commercialisation of genes (while the project proponents claimed that </w:t>
      </w:r>
      <w:r w:rsidR="00CC7677" w:rsidRPr="00C50DB9">
        <w:rPr>
          <w:szCs w:val="24"/>
        </w:rPr>
        <w:t xml:space="preserve">this was not a </w:t>
      </w:r>
      <w:r w:rsidR="00CC7677" w:rsidRPr="00C50DB9">
        <w:rPr>
          <w:szCs w:val="24"/>
        </w:rPr>
        <w:lastRenderedPageBreak/>
        <w:t xml:space="preserve">commercial venture there remained </w:t>
      </w:r>
      <w:r w:rsidR="003964B5" w:rsidRPr="00C50DB9">
        <w:rPr>
          <w:szCs w:val="24"/>
        </w:rPr>
        <w:t xml:space="preserve">the concern that the database created by the project could be commercially </w:t>
      </w:r>
      <w:r w:rsidR="00B420F2" w:rsidRPr="00C50DB9">
        <w:rPr>
          <w:szCs w:val="24"/>
        </w:rPr>
        <w:t>exploited by third parties)</w:t>
      </w:r>
      <w:r w:rsidR="006C1C36" w:rsidRPr="00C50DB9">
        <w:rPr>
          <w:szCs w:val="24"/>
        </w:rPr>
        <w:t xml:space="preserve"> and the use of </w:t>
      </w:r>
      <w:r w:rsidR="00431828" w:rsidRPr="00C50DB9">
        <w:rPr>
          <w:szCs w:val="24"/>
        </w:rPr>
        <w:t xml:space="preserve">ancient remains of Indigenous peoples to </w:t>
      </w:r>
      <w:r w:rsidR="00AC50BD" w:rsidRPr="00C50DB9">
        <w:rPr>
          <w:szCs w:val="24"/>
        </w:rPr>
        <w:t>extract DNA samples.</w:t>
      </w:r>
      <w:r w:rsidR="00931E16" w:rsidRPr="00C50DB9">
        <w:rPr>
          <w:rStyle w:val="FootnoteReference"/>
          <w:szCs w:val="24"/>
        </w:rPr>
        <w:footnoteReference w:id="10"/>
      </w:r>
      <w:r w:rsidR="00AC50BD" w:rsidRPr="00C50DB9">
        <w:rPr>
          <w:szCs w:val="24"/>
        </w:rPr>
        <w:t xml:space="preserve"> </w:t>
      </w:r>
    </w:p>
    <w:p w14:paraId="31DCD0FD" w14:textId="0796D483" w:rsidR="00612295" w:rsidRPr="00AC05CB" w:rsidRDefault="009E24EC" w:rsidP="00AC73DF">
      <w:pPr>
        <w:rPr>
          <w:szCs w:val="24"/>
        </w:rPr>
      </w:pPr>
      <w:r w:rsidRPr="00C50DB9">
        <w:rPr>
          <w:szCs w:val="24"/>
        </w:rPr>
        <w:t xml:space="preserve">A January 2020 Update on the National Geographic’s website </w:t>
      </w:r>
      <w:r w:rsidR="00942964" w:rsidRPr="00C50DB9">
        <w:rPr>
          <w:szCs w:val="24"/>
        </w:rPr>
        <w:t xml:space="preserve">writes that nearly 1 million people have participated in The Genographic Project through </w:t>
      </w:r>
      <w:r w:rsidR="00106222" w:rsidRPr="00C50DB9">
        <w:rPr>
          <w:szCs w:val="24"/>
        </w:rPr>
        <w:t>the “Geno” DNA Ancestry kits</w:t>
      </w:r>
      <w:r w:rsidR="007B298A" w:rsidRPr="00C50DB9">
        <w:rPr>
          <w:szCs w:val="24"/>
        </w:rPr>
        <w:t xml:space="preserve">, although the public participation </w:t>
      </w:r>
      <w:r w:rsidR="00DF5BBF" w:rsidRPr="00C50DB9">
        <w:rPr>
          <w:szCs w:val="24"/>
        </w:rPr>
        <w:t>phase of the research project has now ended.</w:t>
      </w:r>
      <w:r w:rsidR="000B2B3E" w:rsidRPr="00C50DB9">
        <w:rPr>
          <w:szCs w:val="24"/>
        </w:rPr>
        <w:t xml:space="preserve"> Past participants are </w:t>
      </w:r>
      <w:r w:rsidR="00C76F97" w:rsidRPr="00C50DB9">
        <w:rPr>
          <w:szCs w:val="24"/>
        </w:rPr>
        <w:t xml:space="preserve">able </w:t>
      </w:r>
      <w:r w:rsidR="000B2B3E" w:rsidRPr="00C50DB9">
        <w:rPr>
          <w:szCs w:val="24"/>
        </w:rPr>
        <w:t>to check the website for graphics, interactive</w:t>
      </w:r>
      <w:r w:rsidR="003602B6" w:rsidRPr="00C50DB9">
        <w:rPr>
          <w:szCs w:val="24"/>
        </w:rPr>
        <w:t xml:space="preserve"> features, video, stories and learn </w:t>
      </w:r>
      <w:r w:rsidR="00B07822" w:rsidRPr="00C50DB9">
        <w:rPr>
          <w:szCs w:val="24"/>
        </w:rPr>
        <w:t>about the broader historical context of their results.</w:t>
      </w:r>
      <w:r w:rsidR="00DF5BBF" w:rsidRPr="00C50DB9">
        <w:rPr>
          <w:rStyle w:val="FootnoteReference"/>
          <w:szCs w:val="24"/>
        </w:rPr>
        <w:footnoteReference w:id="11"/>
      </w:r>
      <w:r w:rsidR="00DF5BBF" w:rsidRPr="00C50DB9">
        <w:rPr>
          <w:szCs w:val="24"/>
        </w:rPr>
        <w:t xml:space="preserve"> </w:t>
      </w:r>
    </w:p>
    <w:p w14:paraId="623F35A0" w14:textId="3405E954" w:rsidR="00612295" w:rsidRPr="008E5C92" w:rsidRDefault="00FB3D51" w:rsidP="00AC73DF">
      <w:pPr>
        <w:pStyle w:val="Heading2"/>
        <w:rPr>
          <w:lang w:val="en-AU"/>
        </w:rPr>
      </w:pPr>
      <w:bookmarkStart w:id="18" w:name="_Toc118824298"/>
      <w:r w:rsidRPr="008E5C92">
        <w:rPr>
          <w:lang w:val="en-AU"/>
        </w:rPr>
        <w:t>The Co-design principle</w:t>
      </w:r>
      <w:bookmarkEnd w:id="18"/>
    </w:p>
    <w:p w14:paraId="7FEB8027" w14:textId="04048D07" w:rsidR="00BE161E" w:rsidRPr="00C50DB9" w:rsidRDefault="00717D4F" w:rsidP="00AC73DF">
      <w:pPr>
        <w:rPr>
          <w:szCs w:val="24"/>
        </w:rPr>
      </w:pPr>
      <w:r w:rsidRPr="00C50DB9">
        <w:rPr>
          <w:szCs w:val="24"/>
        </w:rPr>
        <w:t>Research on humans raises many ethical complexities. Add to th</w:t>
      </w:r>
      <w:r w:rsidR="00F41AFA" w:rsidRPr="00C50DB9">
        <w:rPr>
          <w:szCs w:val="24"/>
        </w:rPr>
        <w:t>ese complexities, the</w:t>
      </w:r>
      <w:r w:rsidRPr="00C50DB9">
        <w:rPr>
          <w:szCs w:val="24"/>
        </w:rPr>
        <w:t xml:space="preserve"> </w:t>
      </w:r>
      <w:r w:rsidR="00DD50DD" w:rsidRPr="00C50DB9">
        <w:rPr>
          <w:szCs w:val="24"/>
        </w:rPr>
        <w:t xml:space="preserve">specific concerns that make Indigenous </w:t>
      </w:r>
      <w:r w:rsidR="00BB5BB2" w:rsidRPr="00C50DB9">
        <w:rPr>
          <w:szCs w:val="24"/>
        </w:rPr>
        <w:t>g</w:t>
      </w:r>
      <w:r w:rsidR="00DD50DD" w:rsidRPr="00C50DB9">
        <w:rPr>
          <w:szCs w:val="24"/>
        </w:rPr>
        <w:t xml:space="preserve">enomics </w:t>
      </w:r>
      <w:r w:rsidR="009E1878" w:rsidRPr="00C50DB9">
        <w:rPr>
          <w:szCs w:val="24"/>
        </w:rPr>
        <w:t xml:space="preserve">research </w:t>
      </w:r>
      <w:r w:rsidR="00BD5B41" w:rsidRPr="00C50DB9">
        <w:rPr>
          <w:szCs w:val="24"/>
        </w:rPr>
        <w:t>distinct</w:t>
      </w:r>
      <w:r w:rsidR="00DD50DD" w:rsidRPr="00C50DB9">
        <w:rPr>
          <w:szCs w:val="24"/>
        </w:rPr>
        <w:t xml:space="preserve"> from broader genomic studies</w:t>
      </w:r>
      <w:r w:rsidR="00DC7384" w:rsidRPr="00C50DB9">
        <w:rPr>
          <w:szCs w:val="24"/>
        </w:rPr>
        <w:t xml:space="preserve"> and it becomes </w:t>
      </w:r>
      <w:r w:rsidR="00FA57FB" w:rsidRPr="00C50DB9">
        <w:rPr>
          <w:szCs w:val="24"/>
        </w:rPr>
        <w:t xml:space="preserve">obvious that there is likely to be great diversity of opinions among Aboriginal and Torres Strait Islander peoples and communities. </w:t>
      </w:r>
      <w:r w:rsidR="005E59D0" w:rsidRPr="00C50DB9">
        <w:rPr>
          <w:szCs w:val="24"/>
        </w:rPr>
        <w:t xml:space="preserve">All this is to say that there is no unified Aboriginal and Torres Strait Islander </w:t>
      </w:r>
      <w:r w:rsidR="009A1C45" w:rsidRPr="00C50DB9">
        <w:rPr>
          <w:szCs w:val="24"/>
        </w:rPr>
        <w:t>opinion</w:t>
      </w:r>
      <w:r w:rsidR="005E59D0" w:rsidRPr="00C50DB9">
        <w:rPr>
          <w:szCs w:val="24"/>
        </w:rPr>
        <w:t xml:space="preserve"> to genomics.</w:t>
      </w:r>
      <w:r w:rsidR="00EE16A7" w:rsidRPr="00C50DB9">
        <w:rPr>
          <w:szCs w:val="24"/>
        </w:rPr>
        <w:t xml:space="preserve"> </w:t>
      </w:r>
      <w:r w:rsidR="00927D04" w:rsidRPr="00C50DB9">
        <w:rPr>
          <w:szCs w:val="24"/>
        </w:rPr>
        <w:t xml:space="preserve">And of course, </w:t>
      </w:r>
      <w:r w:rsidR="00BC67A7" w:rsidRPr="00C50DB9">
        <w:rPr>
          <w:szCs w:val="24"/>
        </w:rPr>
        <w:t xml:space="preserve">much depends on the conditions and parameters of any research project. </w:t>
      </w:r>
      <w:r w:rsidR="00425692" w:rsidRPr="00C50DB9">
        <w:rPr>
          <w:szCs w:val="24"/>
        </w:rPr>
        <w:t>As a result, project a</w:t>
      </w:r>
      <w:r w:rsidR="00502A65" w:rsidRPr="00C50DB9">
        <w:rPr>
          <w:szCs w:val="24"/>
        </w:rPr>
        <w:t>pproval</w:t>
      </w:r>
      <w:r w:rsidR="005D5AD9" w:rsidRPr="00C50DB9">
        <w:rPr>
          <w:szCs w:val="24"/>
        </w:rPr>
        <w:t xml:space="preserve">s must be on a case by case basis. </w:t>
      </w:r>
      <w:r w:rsidR="003615E2" w:rsidRPr="00C50DB9">
        <w:rPr>
          <w:szCs w:val="24"/>
        </w:rPr>
        <w:t>For instance, the Goldfield Land and Sea Coun</w:t>
      </w:r>
      <w:r w:rsidR="000F34F8" w:rsidRPr="00C50DB9">
        <w:rPr>
          <w:szCs w:val="24"/>
        </w:rPr>
        <w:t>c</w:t>
      </w:r>
      <w:r w:rsidR="003615E2" w:rsidRPr="00C50DB9">
        <w:rPr>
          <w:szCs w:val="24"/>
        </w:rPr>
        <w:t>il approved research of an Aboriginal hair sample collected by Alfred Haddon in the 1920s.</w:t>
      </w:r>
      <w:r w:rsidR="00447103" w:rsidRPr="00C50DB9">
        <w:rPr>
          <w:rStyle w:val="FootnoteReference"/>
          <w:szCs w:val="24"/>
        </w:rPr>
        <w:t xml:space="preserve"> </w:t>
      </w:r>
      <w:r w:rsidR="00447103" w:rsidRPr="00C50DB9">
        <w:rPr>
          <w:rStyle w:val="FootnoteReference"/>
          <w:szCs w:val="24"/>
        </w:rPr>
        <w:footnoteReference w:id="12"/>
      </w:r>
      <w:r w:rsidR="003615E2" w:rsidRPr="00C50DB9">
        <w:rPr>
          <w:szCs w:val="24"/>
        </w:rPr>
        <w:t xml:space="preserve"> </w:t>
      </w:r>
    </w:p>
    <w:p w14:paraId="0D474618" w14:textId="0629ED7E" w:rsidR="00320B38" w:rsidRDefault="00986587" w:rsidP="00657F87">
      <w:pPr>
        <w:rPr>
          <w:szCs w:val="24"/>
        </w:rPr>
      </w:pPr>
      <w:r w:rsidRPr="00657F87">
        <w:rPr>
          <w:szCs w:val="24"/>
        </w:rPr>
        <w:t xml:space="preserve">Increasingly, Aboriginal and Torres Strait Islander stakeholder groups </w:t>
      </w:r>
      <w:r w:rsidR="00BB57CE" w:rsidRPr="00657F87">
        <w:rPr>
          <w:szCs w:val="24"/>
        </w:rPr>
        <w:t xml:space="preserve">are designing best practice approaches to the collection and use of </w:t>
      </w:r>
      <w:r w:rsidR="00967694" w:rsidRPr="00657F87">
        <w:rPr>
          <w:szCs w:val="24"/>
        </w:rPr>
        <w:t xml:space="preserve">Aboriginal and Torres Strait Islander </w:t>
      </w:r>
      <w:r w:rsidR="00BB57CE" w:rsidRPr="00657F87">
        <w:rPr>
          <w:szCs w:val="24"/>
        </w:rPr>
        <w:t xml:space="preserve">genomic data. </w:t>
      </w:r>
      <w:r w:rsidR="00FA1BC0" w:rsidRPr="00657F87">
        <w:rPr>
          <w:szCs w:val="24"/>
        </w:rPr>
        <w:t>A common through line in these guide</w:t>
      </w:r>
      <w:r w:rsidR="004237C1" w:rsidRPr="00657F87">
        <w:rPr>
          <w:szCs w:val="24"/>
        </w:rPr>
        <w:t>s and procedures</w:t>
      </w:r>
      <w:r w:rsidR="00FA1BC0" w:rsidRPr="00657F87">
        <w:rPr>
          <w:szCs w:val="24"/>
        </w:rPr>
        <w:t>, is their development in consultation with communities as well as their emphasis on</w:t>
      </w:r>
      <w:r w:rsidR="007A2B0C" w:rsidRPr="00657F87">
        <w:rPr>
          <w:szCs w:val="24"/>
        </w:rPr>
        <w:t xml:space="preserve"> Aboriginal and Torres Strait Islander</w:t>
      </w:r>
      <w:r w:rsidR="00FA1BC0" w:rsidRPr="00657F87">
        <w:rPr>
          <w:szCs w:val="24"/>
        </w:rPr>
        <w:t xml:space="preserve"> co-design of research project</w:t>
      </w:r>
      <w:r w:rsidR="00C446FC" w:rsidRPr="00657F87">
        <w:rPr>
          <w:szCs w:val="24"/>
        </w:rPr>
        <w:t>s</w:t>
      </w:r>
      <w:r w:rsidR="00EA6B0E" w:rsidRPr="00657F87">
        <w:rPr>
          <w:szCs w:val="24"/>
        </w:rPr>
        <w:t xml:space="preserve"> and continuing Aboriginal and Torres Strait Islander control over how their samples are collected and used in clinical and research settings. </w:t>
      </w:r>
      <w:r w:rsidR="004C670C" w:rsidRPr="00657F87">
        <w:rPr>
          <w:szCs w:val="24"/>
        </w:rPr>
        <w:t xml:space="preserve">What issues arise </w:t>
      </w:r>
      <w:r w:rsidR="00D352C9" w:rsidRPr="00657F87">
        <w:rPr>
          <w:szCs w:val="24"/>
        </w:rPr>
        <w:t xml:space="preserve">ethically, </w:t>
      </w:r>
      <w:r w:rsidR="004C670C" w:rsidRPr="00657F87">
        <w:rPr>
          <w:szCs w:val="24"/>
        </w:rPr>
        <w:t xml:space="preserve">socially and culturally for Indigenous Genomics? </w:t>
      </w:r>
      <w:r w:rsidR="00320B38">
        <w:rPr>
          <w:szCs w:val="24"/>
        </w:rPr>
        <w:br w:type="page"/>
      </w:r>
    </w:p>
    <w:p w14:paraId="63D5BCBA" w14:textId="7D3F5288" w:rsidR="00657F87" w:rsidRPr="007B1740" w:rsidRDefault="00657F87" w:rsidP="007B1740">
      <w:pPr>
        <w:pStyle w:val="Heading1"/>
        <w:rPr>
          <w:lang w:val="en-AU"/>
        </w:rPr>
      </w:pPr>
      <w:bookmarkStart w:id="19" w:name="_Toc118824299"/>
      <w:r w:rsidRPr="007B1740">
        <w:rPr>
          <w:lang w:val="en-AU"/>
        </w:rPr>
        <w:lastRenderedPageBreak/>
        <w:t xml:space="preserve">What issues arise ethically, socially and </w:t>
      </w:r>
      <w:r w:rsidR="007B1740" w:rsidRPr="007B1740">
        <w:rPr>
          <w:lang w:val="en-AU"/>
        </w:rPr>
        <w:t>culturally for Indigenous Genomics?</w:t>
      </w:r>
      <w:bookmarkEnd w:id="19"/>
      <w:r w:rsidR="007B1740" w:rsidRPr="007B1740">
        <w:rPr>
          <w:lang w:val="en-AU"/>
        </w:rPr>
        <w:t xml:space="preserve"> </w:t>
      </w:r>
    </w:p>
    <w:p w14:paraId="5D626E47" w14:textId="31D33FF0" w:rsidR="005C3B04" w:rsidRDefault="00606501" w:rsidP="00AC73DF">
      <w:r>
        <w:t xml:space="preserve">The introduction to this issues paper </w:t>
      </w:r>
      <w:r w:rsidR="00983AAF">
        <w:t xml:space="preserve">emphasised the importance of the principle of self-determination and the rights of Aboriginal and Torres Strait Islander peoples to </w:t>
      </w:r>
      <w:r w:rsidR="002315D2">
        <w:t xml:space="preserve">co-design </w:t>
      </w:r>
      <w:r w:rsidR="005E37EA">
        <w:t>g</w:t>
      </w:r>
      <w:r w:rsidR="002315D2">
        <w:t xml:space="preserve">enomics research projects, and have a determinative role in the collection, management and use of genomic data in both the research and clinical settings. </w:t>
      </w:r>
      <w:r w:rsidR="00A80ECE">
        <w:t xml:space="preserve">This gives rise to a </w:t>
      </w:r>
      <w:r w:rsidR="005C3B04">
        <w:t>foundation</w:t>
      </w:r>
      <w:r w:rsidR="000160B1">
        <w:t>al</w:t>
      </w:r>
      <w:r w:rsidR="005C3B04">
        <w:t xml:space="preserve"> question</w:t>
      </w:r>
      <w:r w:rsidR="00D138BC">
        <w:t xml:space="preserve">: </w:t>
      </w:r>
      <w:r w:rsidR="005C3B04" w:rsidRPr="000A157B">
        <w:rPr>
          <w:b/>
          <w:bCs/>
        </w:rPr>
        <w:t>If a</w:t>
      </w:r>
      <w:r w:rsidR="00FD286D">
        <w:rPr>
          <w:b/>
          <w:bCs/>
        </w:rPr>
        <w:t>n Aboriginal or Torres Strait Islander person, or their</w:t>
      </w:r>
      <w:r w:rsidR="005C3B04" w:rsidRPr="000A157B">
        <w:rPr>
          <w:b/>
          <w:bCs/>
        </w:rPr>
        <w:t xml:space="preserve"> community</w:t>
      </w:r>
      <w:r w:rsidR="00FD286D">
        <w:rPr>
          <w:b/>
          <w:bCs/>
        </w:rPr>
        <w:t>,</w:t>
      </w:r>
      <w:r w:rsidR="005C3B04" w:rsidRPr="000A157B">
        <w:rPr>
          <w:b/>
          <w:bCs/>
        </w:rPr>
        <w:t xml:space="preserve"> provides genomics samples for </w:t>
      </w:r>
      <w:r w:rsidR="00EB38AD">
        <w:rPr>
          <w:b/>
          <w:bCs/>
        </w:rPr>
        <w:t xml:space="preserve">clinical or </w:t>
      </w:r>
      <w:r w:rsidR="005C3B04" w:rsidRPr="000A157B">
        <w:rPr>
          <w:b/>
          <w:bCs/>
        </w:rPr>
        <w:t>research</w:t>
      </w:r>
      <w:r w:rsidR="00EB38AD">
        <w:rPr>
          <w:b/>
          <w:bCs/>
        </w:rPr>
        <w:t xml:space="preserve"> purposes</w:t>
      </w:r>
      <w:r w:rsidR="005C3B04" w:rsidRPr="000A157B">
        <w:rPr>
          <w:b/>
          <w:bCs/>
        </w:rPr>
        <w:t>, what legal rights do they have?</w:t>
      </w:r>
      <w:r w:rsidR="005C3B04">
        <w:t xml:space="preserve"> </w:t>
      </w:r>
    </w:p>
    <w:p w14:paraId="493AF5B5" w14:textId="45FB400A" w:rsidR="008C7128" w:rsidRPr="00AC05CB" w:rsidRDefault="004106F7" w:rsidP="00AC73DF">
      <w:pPr>
        <w:rPr>
          <w:i/>
          <w:iCs/>
        </w:rPr>
      </w:pPr>
      <w:r>
        <w:t xml:space="preserve">Many of the ethical, social, cultural and legal questions that arose during </w:t>
      </w:r>
      <w:r w:rsidR="005F02EF">
        <w:t xml:space="preserve">the consultations bore a relationship to this foundational question. </w:t>
      </w:r>
      <w:r w:rsidR="00A8774B">
        <w:t xml:space="preserve">To illustrate the inter-relatedness of these </w:t>
      </w:r>
      <w:r w:rsidR="00A93BC5">
        <w:t>issues</w:t>
      </w:r>
      <w:r w:rsidR="00A8774B">
        <w:t xml:space="preserve">, we have summarised some of the </w:t>
      </w:r>
      <w:r w:rsidR="006966F8">
        <w:t xml:space="preserve">key </w:t>
      </w:r>
      <w:r w:rsidR="002F4804">
        <w:t xml:space="preserve">questions </w:t>
      </w:r>
      <w:r w:rsidR="003736EF">
        <w:t xml:space="preserve">in the table below. The questions </w:t>
      </w:r>
      <w:r w:rsidR="00725DA9">
        <w:t>were framed as questions of law</w:t>
      </w:r>
      <w:r w:rsidR="003736EF">
        <w:t xml:space="preserve">, but grouped according to </w:t>
      </w:r>
      <w:r w:rsidR="003F0627">
        <w:t>ethical, social and cultural concerns</w:t>
      </w:r>
      <w:r w:rsidR="00322955">
        <w:t>.</w:t>
      </w:r>
      <w:r w:rsidR="00C2771E" w:rsidRPr="00C2771E">
        <w:rPr>
          <w:i/>
          <w:iCs/>
        </w:rPr>
        <w:t xml:space="preserve"> </w:t>
      </w:r>
    </w:p>
    <w:p w14:paraId="50583FC0" w14:textId="6778B4A8" w:rsidR="00A84566" w:rsidRPr="008C7128" w:rsidRDefault="00DC33B4" w:rsidP="00AC73DF">
      <w:r>
        <w:t xml:space="preserve">See Table 4 below, for a summary of the Issues of Concern and Key Legal Questions. </w:t>
      </w:r>
      <w:r w:rsidR="008C7128" w:rsidRPr="00C2771E">
        <w:t>Note, many of the</w:t>
      </w:r>
      <w:r w:rsidR="008C7128">
        <w:t xml:space="preserve"> Issues of Concern </w:t>
      </w:r>
      <w:r w:rsidR="008C7128" w:rsidRPr="00C2771E">
        <w:t>stem from the foundational uncertainty about what control individuals and communit</w:t>
      </w:r>
      <w:r w:rsidR="008C7128">
        <w:t>ies</w:t>
      </w:r>
      <w:r w:rsidR="008C7128" w:rsidRPr="00C2771E">
        <w:t xml:space="preserve"> have over their samples and </w:t>
      </w:r>
      <w:r w:rsidR="008C7128">
        <w:t xml:space="preserve">Genomic </w:t>
      </w:r>
      <w:r w:rsidR="008C7128" w:rsidRPr="00C2771E">
        <w:t>data</w:t>
      </w:r>
      <w:r w:rsidR="008C7128">
        <w:t xml:space="preserve">. </w:t>
      </w:r>
    </w:p>
    <w:p w14:paraId="3CD29C57" w14:textId="4B4336BF" w:rsidR="00A84566" w:rsidRDefault="00A84566" w:rsidP="00320B38">
      <w:pPr>
        <w:pStyle w:val="Caption"/>
      </w:pPr>
      <w:r>
        <w:t xml:space="preserve">Table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4</w:t>
      </w:r>
      <w:r w:rsidRPr="00A7008D">
        <w:rPr>
          <w:sz w:val="20"/>
        </w:rPr>
        <w:fldChar w:fldCharType="end"/>
      </w:r>
      <w:r>
        <w:t>: Issues of Concern and Key Legal Questions</w:t>
      </w:r>
    </w:p>
    <w:tbl>
      <w:tblPr>
        <w:tblStyle w:val="GridTable1Light"/>
        <w:tblW w:w="0" w:type="auto"/>
        <w:tblLook w:val="04A0" w:firstRow="1" w:lastRow="0" w:firstColumn="1" w:lastColumn="0" w:noHBand="0" w:noVBand="1"/>
        <w:tblCaption w:val="Issues of Concern and Key Legal Questions"/>
        <w:tblDescription w:val="Table 4: Issues of Concern and Key Legal Questions"/>
      </w:tblPr>
      <w:tblGrid>
        <w:gridCol w:w="2268"/>
        <w:gridCol w:w="6748"/>
      </w:tblGrid>
      <w:tr w:rsidR="009E4FEE" w14:paraId="614832D4" w14:textId="77777777" w:rsidTr="00320B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61259647" w14:textId="1616CE91" w:rsidR="009E4FEE" w:rsidRPr="00711734" w:rsidRDefault="00CA35CB" w:rsidP="00AC73DF">
            <w:pPr>
              <w:rPr>
                <w:b w:val="0"/>
                <w:bCs w:val="0"/>
              </w:rPr>
            </w:pPr>
            <w:r w:rsidRPr="00711734">
              <w:t>Issues of C</w:t>
            </w:r>
            <w:r w:rsidR="00F75452" w:rsidRPr="00711734">
              <w:t xml:space="preserve">oncern </w:t>
            </w:r>
          </w:p>
        </w:tc>
        <w:tc>
          <w:tcPr>
            <w:tcW w:w="6748" w:type="dxa"/>
          </w:tcPr>
          <w:p w14:paraId="7A03079E" w14:textId="60E052CD" w:rsidR="009E4FEE" w:rsidRPr="00711734" w:rsidRDefault="008C7128" w:rsidP="00AC73DF">
            <w:pPr>
              <w:cnfStyle w:val="100000000000" w:firstRow="1" w:lastRow="0" w:firstColumn="0" w:lastColumn="0" w:oddVBand="0" w:evenVBand="0" w:oddHBand="0" w:evenHBand="0" w:firstRowFirstColumn="0" w:firstRowLastColumn="0" w:lastRowFirstColumn="0" w:lastRowLastColumn="0"/>
              <w:rPr>
                <w:b w:val="0"/>
                <w:bCs w:val="0"/>
              </w:rPr>
            </w:pPr>
            <w:r w:rsidRPr="00711734">
              <w:t xml:space="preserve">Key Legal </w:t>
            </w:r>
            <w:r w:rsidR="00070780" w:rsidRPr="00711734">
              <w:t xml:space="preserve">Questions </w:t>
            </w:r>
          </w:p>
        </w:tc>
      </w:tr>
      <w:tr w:rsidR="00322955" w14:paraId="2844263F" w14:textId="77777777" w:rsidTr="00320B38">
        <w:tc>
          <w:tcPr>
            <w:cnfStyle w:val="001000000000" w:firstRow="0" w:lastRow="0" w:firstColumn="1" w:lastColumn="0" w:oddVBand="0" w:evenVBand="0" w:oddHBand="0" w:evenHBand="0" w:firstRowFirstColumn="0" w:firstRowLastColumn="0" w:lastRowFirstColumn="0" w:lastRowLastColumn="0"/>
            <w:tcW w:w="2268" w:type="dxa"/>
          </w:tcPr>
          <w:p w14:paraId="0B9F4481" w14:textId="38813D87" w:rsidR="00322955" w:rsidRPr="00320B38" w:rsidRDefault="00322955" w:rsidP="00AC73DF">
            <w:pPr>
              <w:rPr>
                <w:i/>
                <w:iCs/>
              </w:rPr>
            </w:pPr>
            <w:r w:rsidRPr="00711734">
              <w:rPr>
                <w:i/>
                <w:iCs/>
              </w:rPr>
              <w:t>Ownership and control</w:t>
            </w:r>
          </w:p>
        </w:tc>
        <w:tc>
          <w:tcPr>
            <w:tcW w:w="6748" w:type="dxa"/>
          </w:tcPr>
          <w:p w14:paraId="325A2D10" w14:textId="77777777" w:rsidR="004C1309"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Does the patient own their genes? </w:t>
            </w:r>
          </w:p>
          <w:p w14:paraId="1D3AF080" w14:textId="7E08CAD4"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Does the patient control their gene samples?</w:t>
            </w:r>
          </w:p>
          <w:p w14:paraId="7929157F" w14:textId="77777777"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Does the community or individual own their genes?</w:t>
            </w:r>
          </w:p>
          <w:p w14:paraId="382A8F6A" w14:textId="7DE8637C"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What are the legal rights of</w:t>
            </w:r>
            <w:r w:rsidR="0044124B" w:rsidRPr="00320B38">
              <w:t xml:space="preserve"> Aboriginal and Torres Strait Islander peoples </w:t>
            </w:r>
            <w:r w:rsidRPr="00320B38">
              <w:t xml:space="preserve">to control the samples? </w:t>
            </w:r>
          </w:p>
          <w:p w14:paraId="7813BCEF" w14:textId="63A2A23B"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Can the community require the results of the research to come back the community?  </w:t>
            </w:r>
          </w:p>
        </w:tc>
      </w:tr>
      <w:tr w:rsidR="00322955" w14:paraId="092BA176" w14:textId="77777777" w:rsidTr="00320B38">
        <w:tc>
          <w:tcPr>
            <w:cnfStyle w:val="001000000000" w:firstRow="0" w:lastRow="0" w:firstColumn="1" w:lastColumn="0" w:oddVBand="0" w:evenVBand="0" w:oddHBand="0" w:evenHBand="0" w:firstRowFirstColumn="0" w:firstRowLastColumn="0" w:lastRowFirstColumn="0" w:lastRowLastColumn="0"/>
            <w:tcW w:w="2268" w:type="dxa"/>
          </w:tcPr>
          <w:p w14:paraId="597BF775" w14:textId="51223138" w:rsidR="00322955" w:rsidRPr="00320B38" w:rsidRDefault="00322955" w:rsidP="00AC73DF">
            <w:pPr>
              <w:rPr>
                <w:i/>
                <w:iCs/>
              </w:rPr>
            </w:pPr>
            <w:r w:rsidRPr="00711734">
              <w:rPr>
                <w:i/>
                <w:iCs/>
              </w:rPr>
              <w:t>Consent</w:t>
            </w:r>
          </w:p>
        </w:tc>
        <w:tc>
          <w:tcPr>
            <w:tcW w:w="6748" w:type="dxa"/>
          </w:tcPr>
          <w:p w14:paraId="0A0A1367" w14:textId="77777777"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Is the patient informed about their genes being researched? What is the necessary standard of prior informed consent? </w:t>
            </w:r>
          </w:p>
          <w:p w14:paraId="3F971429" w14:textId="77777777"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Are consent forms legally binding?</w:t>
            </w:r>
          </w:p>
          <w:p w14:paraId="21ED3626" w14:textId="60B04120"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Can </w:t>
            </w:r>
            <w:r w:rsidR="00195CCE" w:rsidRPr="00320B38">
              <w:t>patients</w:t>
            </w:r>
            <w:r w:rsidRPr="00320B38">
              <w:t xml:space="preserve"> stop use for other purposes and future research?</w:t>
            </w:r>
          </w:p>
          <w:p w14:paraId="03D122AB" w14:textId="3A4CF1E4" w:rsidR="00322955" w:rsidRPr="00320B38"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rsidRPr="00320B38">
              <w:t>Do descendants have the right to stop research on their ancestors</w:t>
            </w:r>
            <w:r w:rsidR="00FD2518" w:rsidRPr="00320B38">
              <w:t>’</w:t>
            </w:r>
            <w:r w:rsidRPr="00320B38">
              <w:t xml:space="preserve"> genes?</w:t>
            </w:r>
          </w:p>
        </w:tc>
      </w:tr>
      <w:tr w:rsidR="00322955" w14:paraId="4E7766BD" w14:textId="77777777" w:rsidTr="00320B38">
        <w:tc>
          <w:tcPr>
            <w:cnfStyle w:val="001000000000" w:firstRow="0" w:lastRow="0" w:firstColumn="1" w:lastColumn="0" w:oddVBand="0" w:evenVBand="0" w:oddHBand="0" w:evenHBand="0" w:firstRowFirstColumn="0" w:firstRowLastColumn="0" w:lastRowFirstColumn="0" w:lastRowLastColumn="0"/>
            <w:tcW w:w="2268" w:type="dxa"/>
          </w:tcPr>
          <w:p w14:paraId="69DDED34" w14:textId="27C70EA2" w:rsidR="00322955" w:rsidRPr="00320B38" w:rsidRDefault="00322955" w:rsidP="00AC73DF">
            <w:pPr>
              <w:rPr>
                <w:i/>
                <w:iCs/>
              </w:rPr>
            </w:pPr>
            <w:r w:rsidRPr="00711734">
              <w:rPr>
                <w:i/>
                <w:iCs/>
              </w:rPr>
              <w:t>Access and equity</w:t>
            </w:r>
          </w:p>
        </w:tc>
        <w:tc>
          <w:tcPr>
            <w:tcW w:w="6748" w:type="dxa"/>
          </w:tcPr>
          <w:p w14:paraId="1AD0B16A" w14:textId="1491D9F2" w:rsidR="00322955" w:rsidRPr="00320B38" w:rsidRDefault="00FD22B9"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Will the individual be reconsented for </w:t>
            </w:r>
            <w:r w:rsidR="001613F4" w:rsidRPr="00320B38">
              <w:t xml:space="preserve">secondary uses of samples? </w:t>
            </w:r>
          </w:p>
          <w:p w14:paraId="7EAF533F" w14:textId="77777777" w:rsidR="001613F4" w:rsidRPr="00320B38" w:rsidRDefault="001613F4"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How will the consent of the community be obtained for secondary uses? </w:t>
            </w:r>
          </w:p>
          <w:p w14:paraId="464F9FB1" w14:textId="77777777" w:rsidR="001613F4" w:rsidRPr="00320B38" w:rsidRDefault="001613F4"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Can the individual/community withdraw consent? </w:t>
            </w:r>
          </w:p>
          <w:p w14:paraId="234095F4" w14:textId="77777777" w:rsidR="0018794C" w:rsidRPr="00320B38" w:rsidRDefault="0018794C" w:rsidP="00320B38">
            <w:pPr>
              <w:pStyle w:val="ListBullet"/>
              <w:cnfStyle w:val="000000000000" w:firstRow="0" w:lastRow="0" w:firstColumn="0" w:lastColumn="0" w:oddVBand="0" w:evenVBand="0" w:oddHBand="0" w:evenHBand="0" w:firstRowFirstColumn="0" w:firstRowLastColumn="0" w:lastRowFirstColumn="0" w:lastRowLastColumn="0"/>
            </w:pPr>
            <w:r w:rsidRPr="00320B38">
              <w:t xml:space="preserve">How will the individual/community be kept informed of the </w:t>
            </w:r>
            <w:r w:rsidR="002B657E" w:rsidRPr="00320B38">
              <w:t xml:space="preserve">management and use of their samples so that can </w:t>
            </w:r>
            <w:r w:rsidR="00462716" w:rsidRPr="00320B38">
              <w:t xml:space="preserve">know if they want to withdraw consent? </w:t>
            </w:r>
          </w:p>
          <w:p w14:paraId="446E1368" w14:textId="77777777" w:rsidR="007F6D68" w:rsidRPr="00320B38" w:rsidRDefault="007F6D68" w:rsidP="00320B38">
            <w:pPr>
              <w:pStyle w:val="ListBullet"/>
              <w:cnfStyle w:val="000000000000" w:firstRow="0" w:lastRow="0" w:firstColumn="0" w:lastColumn="0" w:oddVBand="0" w:evenVBand="0" w:oddHBand="0" w:evenHBand="0" w:firstRowFirstColumn="0" w:firstRowLastColumn="0" w:lastRowFirstColumn="0" w:lastRowLastColumn="0"/>
            </w:pPr>
            <w:r w:rsidRPr="00320B38">
              <w:lastRenderedPageBreak/>
              <w:t xml:space="preserve">What rights </w:t>
            </w:r>
            <w:r w:rsidR="006A5C5A" w:rsidRPr="00320B38">
              <w:t xml:space="preserve">does the individual/community have to return of benefit? </w:t>
            </w:r>
          </w:p>
          <w:p w14:paraId="01E1CCB8" w14:textId="7078D943" w:rsidR="00822908" w:rsidRPr="00320B38" w:rsidRDefault="00822908" w:rsidP="00320B38">
            <w:pPr>
              <w:pStyle w:val="ListBullet"/>
              <w:cnfStyle w:val="000000000000" w:firstRow="0" w:lastRow="0" w:firstColumn="0" w:lastColumn="0" w:oddVBand="0" w:evenVBand="0" w:oddHBand="0" w:evenHBand="0" w:firstRowFirstColumn="0" w:firstRowLastColumn="0" w:lastRowFirstColumn="0" w:lastRowLastColumn="0"/>
            </w:pPr>
            <w:r w:rsidRPr="00320B38">
              <w:t>Can third part</w:t>
            </w:r>
            <w:r w:rsidR="00F743C8" w:rsidRPr="00320B38">
              <w:t>ies</w:t>
            </w:r>
            <w:r w:rsidRPr="00320B38">
              <w:t xml:space="preserve"> access samples without consent?</w:t>
            </w:r>
          </w:p>
        </w:tc>
      </w:tr>
      <w:tr w:rsidR="00322955" w14:paraId="6F2FA56D" w14:textId="77777777" w:rsidTr="00320B38">
        <w:tc>
          <w:tcPr>
            <w:cnfStyle w:val="001000000000" w:firstRow="0" w:lastRow="0" w:firstColumn="1" w:lastColumn="0" w:oddVBand="0" w:evenVBand="0" w:oddHBand="0" w:evenHBand="0" w:firstRowFirstColumn="0" w:firstRowLastColumn="0" w:lastRowFirstColumn="0" w:lastRowLastColumn="0"/>
            <w:tcW w:w="2268" w:type="dxa"/>
          </w:tcPr>
          <w:p w14:paraId="211D3100" w14:textId="76856C64" w:rsidR="00322955" w:rsidRPr="00711734" w:rsidRDefault="00322955" w:rsidP="00AC73DF">
            <w:pPr>
              <w:rPr>
                <w:i/>
                <w:iCs/>
              </w:rPr>
            </w:pPr>
            <w:r w:rsidRPr="00711734">
              <w:rPr>
                <w:i/>
                <w:iCs/>
              </w:rPr>
              <w:lastRenderedPageBreak/>
              <w:t>Discrimination issues</w:t>
            </w:r>
          </w:p>
        </w:tc>
        <w:tc>
          <w:tcPr>
            <w:tcW w:w="6748" w:type="dxa"/>
          </w:tcPr>
          <w:p w14:paraId="2F1530AD" w14:textId="251C59CA" w:rsidR="00322955"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t>How does the patient control</w:t>
            </w:r>
            <w:r w:rsidR="00773A91">
              <w:t xml:space="preserve"> against</w:t>
            </w:r>
            <w:r>
              <w:t xml:space="preserve"> discriminatory or offensive use of their genes? </w:t>
            </w:r>
          </w:p>
          <w:p w14:paraId="77ED8C63" w14:textId="4A721A3C" w:rsidR="00322955"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t>Are there any remedies for the</w:t>
            </w:r>
            <w:r w:rsidR="001A5961">
              <w:t xml:space="preserve"> cultural and commercial</w:t>
            </w:r>
            <w:r>
              <w:t xml:space="preserve"> harm caused from error or misuse? </w:t>
            </w:r>
          </w:p>
        </w:tc>
      </w:tr>
      <w:tr w:rsidR="00322955" w14:paraId="605A55BB" w14:textId="77777777" w:rsidTr="00320B38">
        <w:tc>
          <w:tcPr>
            <w:cnfStyle w:val="001000000000" w:firstRow="0" w:lastRow="0" w:firstColumn="1" w:lastColumn="0" w:oddVBand="0" w:evenVBand="0" w:oddHBand="0" w:evenHBand="0" w:firstRowFirstColumn="0" w:firstRowLastColumn="0" w:lastRowFirstColumn="0" w:lastRowLastColumn="0"/>
            <w:tcW w:w="2268" w:type="dxa"/>
          </w:tcPr>
          <w:p w14:paraId="11EA435B" w14:textId="26B4A461" w:rsidR="00322955" w:rsidRPr="00711734" w:rsidRDefault="00322955" w:rsidP="00AC73DF">
            <w:pPr>
              <w:rPr>
                <w:i/>
                <w:iCs/>
              </w:rPr>
            </w:pPr>
            <w:r w:rsidRPr="00711734">
              <w:rPr>
                <w:i/>
                <w:iCs/>
              </w:rPr>
              <w:t>What actions for misuse of gene research?</w:t>
            </w:r>
          </w:p>
        </w:tc>
        <w:tc>
          <w:tcPr>
            <w:tcW w:w="6748" w:type="dxa"/>
          </w:tcPr>
          <w:p w14:paraId="353B267B" w14:textId="573D885A" w:rsidR="00322955"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t xml:space="preserve">Can the </w:t>
            </w:r>
            <w:r w:rsidR="00C519CB">
              <w:t xml:space="preserve">Aboriginal or Torres Strait Islander </w:t>
            </w:r>
            <w:r w:rsidR="00FB3428">
              <w:t xml:space="preserve">donor or community </w:t>
            </w:r>
            <w:r>
              <w:t>sue the researcher?</w:t>
            </w:r>
          </w:p>
          <w:p w14:paraId="6326BE2B" w14:textId="6EA4CBB8" w:rsidR="00322955"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t xml:space="preserve">Can the </w:t>
            </w:r>
            <w:r w:rsidR="00C519CB">
              <w:t xml:space="preserve">Aboriginal or Torres Strait Islander </w:t>
            </w:r>
            <w:r w:rsidR="001731FC">
              <w:t xml:space="preserve">donor or community </w:t>
            </w:r>
            <w:r>
              <w:t>sue the university or research entity</w:t>
            </w:r>
            <w:r w:rsidR="001A5961">
              <w:t>?</w:t>
            </w:r>
          </w:p>
        </w:tc>
      </w:tr>
      <w:tr w:rsidR="00322955" w14:paraId="2FD4DE77" w14:textId="77777777" w:rsidTr="00320B38">
        <w:tc>
          <w:tcPr>
            <w:cnfStyle w:val="001000000000" w:firstRow="0" w:lastRow="0" w:firstColumn="1" w:lastColumn="0" w:oddVBand="0" w:evenVBand="0" w:oddHBand="0" w:evenHBand="0" w:firstRowFirstColumn="0" w:firstRowLastColumn="0" w:lastRowFirstColumn="0" w:lastRowLastColumn="0"/>
            <w:tcW w:w="2268" w:type="dxa"/>
          </w:tcPr>
          <w:p w14:paraId="0497C62C" w14:textId="779C3D53" w:rsidR="00322955" w:rsidRPr="00711734" w:rsidRDefault="00A2669A" w:rsidP="00AC73DF">
            <w:pPr>
              <w:rPr>
                <w:i/>
                <w:iCs/>
              </w:rPr>
            </w:pPr>
            <w:r>
              <w:rPr>
                <w:i/>
                <w:iCs/>
              </w:rPr>
              <w:t>Aboriginal and Torres Strait Islander</w:t>
            </w:r>
            <w:r w:rsidR="0014296A">
              <w:rPr>
                <w:i/>
                <w:iCs/>
              </w:rPr>
              <w:t xml:space="preserve"> cultural integrity and safety</w:t>
            </w:r>
            <w:r w:rsidRPr="00711734">
              <w:rPr>
                <w:i/>
                <w:iCs/>
              </w:rPr>
              <w:t xml:space="preserve"> </w:t>
            </w:r>
            <w:r w:rsidR="00322955" w:rsidRPr="00711734">
              <w:rPr>
                <w:i/>
                <w:iCs/>
              </w:rPr>
              <w:t>issues</w:t>
            </w:r>
          </w:p>
        </w:tc>
        <w:tc>
          <w:tcPr>
            <w:tcW w:w="6748" w:type="dxa"/>
          </w:tcPr>
          <w:p w14:paraId="1CC8FA54" w14:textId="7D49CA17" w:rsidR="00322955" w:rsidRDefault="004A0164" w:rsidP="00320B38">
            <w:pPr>
              <w:pStyle w:val="ListBullet"/>
              <w:cnfStyle w:val="000000000000" w:firstRow="0" w:lastRow="0" w:firstColumn="0" w:lastColumn="0" w:oddVBand="0" w:evenVBand="0" w:oddHBand="0" w:evenHBand="0" w:firstRowFirstColumn="0" w:firstRowLastColumn="0" w:lastRowFirstColumn="0" w:lastRowLastColumn="0"/>
            </w:pPr>
            <w:r>
              <w:t xml:space="preserve">How </w:t>
            </w:r>
            <w:r w:rsidR="00D30493">
              <w:t>will the i</w:t>
            </w:r>
            <w:r w:rsidR="00322955">
              <w:t>ndividual</w:t>
            </w:r>
            <w:r w:rsidR="00D30493">
              <w:t>,</w:t>
            </w:r>
            <w:r w:rsidR="00322955">
              <w:t xml:space="preserve"> family, clan and community</w:t>
            </w:r>
            <w:r w:rsidR="00D30493">
              <w:t xml:space="preserve"> be consulted?</w:t>
            </w:r>
          </w:p>
          <w:p w14:paraId="65381CD0" w14:textId="2C7FA298" w:rsidR="00322955" w:rsidRDefault="00DB64CF" w:rsidP="00320B38">
            <w:pPr>
              <w:pStyle w:val="ListBullet"/>
              <w:cnfStyle w:val="000000000000" w:firstRow="0" w:lastRow="0" w:firstColumn="0" w:lastColumn="0" w:oddVBand="0" w:evenVBand="0" w:oddHBand="0" w:evenHBand="0" w:firstRowFirstColumn="0" w:firstRowLastColumn="0" w:lastRowFirstColumn="0" w:lastRowLastColumn="0"/>
            </w:pPr>
            <w:r>
              <w:t xml:space="preserve">How will the individual and community be attributed? </w:t>
            </w:r>
          </w:p>
          <w:p w14:paraId="1336DBB8" w14:textId="26134178" w:rsidR="00AB36FE" w:rsidRDefault="00AB36FE" w:rsidP="00320B38">
            <w:pPr>
              <w:pStyle w:val="ListBullet"/>
              <w:cnfStyle w:val="000000000000" w:firstRow="0" w:lastRow="0" w:firstColumn="0" w:lastColumn="0" w:oddVBand="0" w:evenVBand="0" w:oddHBand="0" w:evenHBand="0" w:firstRowFirstColumn="0" w:firstRowLastColumn="0" w:lastRowFirstColumn="0" w:lastRowLastColumn="0"/>
            </w:pPr>
            <w:r>
              <w:t xml:space="preserve">Can researchers access old samples held in historic collections, for example in universities or museums? If so, how will descendants be consulted? </w:t>
            </w:r>
          </w:p>
          <w:p w14:paraId="51159A1A" w14:textId="635CBFA6" w:rsidR="00322955" w:rsidRDefault="00322955" w:rsidP="00320B38">
            <w:pPr>
              <w:pStyle w:val="ListBullet"/>
              <w:cnfStyle w:val="000000000000" w:firstRow="0" w:lastRow="0" w:firstColumn="0" w:lastColumn="0" w:oddVBand="0" w:evenVBand="0" w:oddHBand="0" w:evenHBand="0" w:firstRowFirstColumn="0" w:firstRowLastColumn="0" w:lastRowFirstColumn="0" w:lastRowLastColumn="0"/>
            </w:pPr>
            <w:r>
              <w:t xml:space="preserve">Where the notes are </w:t>
            </w:r>
            <w:r w:rsidR="00A30566">
              <w:t xml:space="preserve">incomplete, and don’t identify the individual, </w:t>
            </w:r>
            <w:r w:rsidR="001D44EA">
              <w:t xml:space="preserve">how will the appropriate consent authority be identified? </w:t>
            </w:r>
          </w:p>
          <w:p w14:paraId="427D76EF" w14:textId="5DB5D2F4" w:rsidR="001A65D5" w:rsidRDefault="006868C5" w:rsidP="00320B38">
            <w:pPr>
              <w:pStyle w:val="ListBullet"/>
              <w:cnfStyle w:val="000000000000" w:firstRow="0" w:lastRow="0" w:firstColumn="0" w:lastColumn="0" w:oddVBand="0" w:evenVBand="0" w:oddHBand="0" w:evenHBand="0" w:firstRowFirstColumn="0" w:firstRowLastColumn="0" w:lastRowFirstColumn="0" w:lastRowLastColumn="0"/>
            </w:pPr>
            <w:r>
              <w:t>What happens if d</w:t>
            </w:r>
            <w:r w:rsidR="001A65D5">
              <w:t>ata is contrary to cultural understandings of kinship</w:t>
            </w:r>
            <w:r w:rsidR="00FB3E3E">
              <w:t xml:space="preserve"> and family</w:t>
            </w:r>
            <w:r>
              <w:t>?</w:t>
            </w:r>
          </w:p>
          <w:p w14:paraId="2D6DD567" w14:textId="2581D5C9" w:rsidR="00FB3E3E" w:rsidRDefault="00DD3EBE" w:rsidP="00320B38">
            <w:pPr>
              <w:pStyle w:val="ListBullet2"/>
              <w:cnfStyle w:val="000000000000" w:firstRow="0" w:lastRow="0" w:firstColumn="0" w:lastColumn="0" w:oddVBand="0" w:evenVBand="0" w:oddHBand="0" w:evenHBand="0" w:firstRowFirstColumn="0" w:firstRowLastColumn="0" w:lastRowFirstColumn="0" w:lastRowLastColumn="0"/>
            </w:pPr>
            <w:r>
              <w:t>For example,</w:t>
            </w:r>
            <w:r w:rsidR="00FB3E3E">
              <w:t xml:space="preserve"> traditional adoption in Torres Strait </w:t>
            </w:r>
            <w:r w:rsidR="000B1AC7">
              <w:t>Islander</w:t>
            </w:r>
            <w:r w:rsidR="00F00DB3">
              <w:t xml:space="preserve"> Cultures </w:t>
            </w:r>
            <w:r w:rsidR="00FB3E3E">
              <w:t xml:space="preserve">or </w:t>
            </w:r>
            <w:r w:rsidR="00AC6D9D">
              <w:t xml:space="preserve">genetic inheritance from </w:t>
            </w:r>
            <w:r w:rsidR="00F00DB3">
              <w:t>fathers’</w:t>
            </w:r>
            <w:r w:rsidR="00AC6D9D">
              <w:t xml:space="preserve"> side in Yoln</w:t>
            </w:r>
            <w:r w:rsidR="00291693">
              <w:t>g</w:t>
            </w:r>
            <w:r w:rsidR="00AC6D9D">
              <w:t xml:space="preserve">u </w:t>
            </w:r>
            <w:r w:rsidR="00E26BB3">
              <w:t>understandings</w:t>
            </w:r>
          </w:p>
          <w:p w14:paraId="542123A3" w14:textId="7B791858" w:rsidR="002F4CB4" w:rsidRDefault="008668EA" w:rsidP="00320B38">
            <w:pPr>
              <w:pStyle w:val="ListBullet"/>
              <w:cnfStyle w:val="000000000000" w:firstRow="0" w:lastRow="0" w:firstColumn="0" w:lastColumn="0" w:oddVBand="0" w:evenVBand="0" w:oddHBand="0" w:evenHBand="0" w:firstRowFirstColumn="0" w:firstRowLastColumn="0" w:lastRowFirstColumn="0" w:lastRowLastColumn="0"/>
            </w:pPr>
            <w:r>
              <w:t>What are the risks of that a r</w:t>
            </w:r>
            <w:r w:rsidR="00E37BAD">
              <w:t>egister</w:t>
            </w:r>
            <w:r w:rsidR="002F4CB4">
              <w:t xml:space="preserve"> of</w:t>
            </w:r>
            <w:r w:rsidR="002E0A28">
              <w:t xml:space="preserve"> Aboriginal and Torres Strait Islander </w:t>
            </w:r>
            <w:r w:rsidR="002F4CB4">
              <w:t xml:space="preserve">peoples </w:t>
            </w:r>
            <w:r>
              <w:t>might be created?</w:t>
            </w:r>
            <w:r w:rsidR="002B1EA2">
              <w:rPr>
                <w:rStyle w:val="FootnoteReference"/>
              </w:rPr>
              <w:footnoteReference w:id="13"/>
            </w:r>
            <w:r>
              <w:t xml:space="preserve"> </w:t>
            </w:r>
          </w:p>
          <w:p w14:paraId="421D66BE" w14:textId="6BED0958" w:rsidR="00315C60" w:rsidRDefault="00C1037F" w:rsidP="00320B38">
            <w:pPr>
              <w:pStyle w:val="ListBullet"/>
              <w:cnfStyle w:val="000000000000" w:firstRow="0" w:lastRow="0" w:firstColumn="0" w:lastColumn="0" w:oddVBand="0" w:evenVBand="0" w:oddHBand="0" w:evenHBand="0" w:firstRowFirstColumn="0" w:firstRowLastColumn="0" w:lastRowFirstColumn="0" w:lastRowLastColumn="0"/>
            </w:pPr>
            <w:r>
              <w:t>Could g</w:t>
            </w:r>
            <w:r w:rsidR="00315C60">
              <w:t xml:space="preserve">enetic </w:t>
            </w:r>
            <w:r w:rsidR="00CC35E2">
              <w:t xml:space="preserve">reference genomes </w:t>
            </w:r>
            <w:r w:rsidR="00315C60">
              <w:t>be used in Native Title claims</w:t>
            </w:r>
            <w:r>
              <w:t>?</w:t>
            </w:r>
          </w:p>
          <w:p w14:paraId="641AB871" w14:textId="6FA7DFB4" w:rsidR="00D0057D" w:rsidRPr="007C2A5E" w:rsidRDefault="004531E5" w:rsidP="00320B38">
            <w:pPr>
              <w:pStyle w:val="ListBullet"/>
              <w:cnfStyle w:val="000000000000" w:firstRow="0" w:lastRow="0" w:firstColumn="0" w:lastColumn="0" w:oddVBand="0" w:evenVBand="0" w:oddHBand="0" w:evenHBand="0" w:firstRowFirstColumn="0" w:firstRowLastColumn="0" w:lastRowFirstColumn="0" w:lastRowLastColumn="0"/>
            </w:pPr>
            <w:r w:rsidRPr="007C2A5E">
              <w:t>When can law enforcement u</w:t>
            </w:r>
            <w:r w:rsidR="0052275F" w:rsidRPr="007C2A5E">
              <w:t xml:space="preserve">se genetic material </w:t>
            </w:r>
            <w:r w:rsidR="00D0057D" w:rsidRPr="007C2A5E">
              <w:t>outside of consent guidelines</w:t>
            </w:r>
            <w:r w:rsidR="007C2A5E" w:rsidRPr="007C2A5E">
              <w:t xml:space="preserve"> without </w:t>
            </w:r>
            <w:r w:rsidR="000134B4" w:rsidRPr="007C2A5E">
              <w:t xml:space="preserve">breaching contract </w:t>
            </w:r>
            <w:r w:rsidR="00BE109C" w:rsidRPr="007C2A5E">
              <w:t xml:space="preserve">and </w:t>
            </w:r>
            <w:r w:rsidR="00B56D76" w:rsidRPr="007C2A5E">
              <w:t>privacy</w:t>
            </w:r>
            <w:r w:rsidR="000134B4" w:rsidRPr="007C2A5E">
              <w:t>?</w:t>
            </w:r>
          </w:p>
          <w:p w14:paraId="0DF01B20" w14:textId="163DE06C" w:rsidR="005959DE" w:rsidRDefault="00BE109C" w:rsidP="00320B38">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How can we ensure </w:t>
            </w:r>
            <w:r w:rsidR="00D0057D">
              <w:t xml:space="preserve">data </w:t>
            </w:r>
            <w:r>
              <w:t xml:space="preserve">will </w:t>
            </w:r>
            <w:r w:rsidR="00D0057D">
              <w:t>be interpreted by</w:t>
            </w:r>
            <w:r w:rsidR="002E0A28">
              <w:t xml:space="preserve"> Aboriginal and Torres Strait Islander </w:t>
            </w:r>
            <w:r w:rsidR="00D0057D">
              <w:t>academics</w:t>
            </w:r>
            <w:r w:rsidR="00DD61C1">
              <w:t>, follow</w:t>
            </w:r>
            <w:r w:rsidR="00E725C2">
              <w:t>ing</w:t>
            </w:r>
            <w:r w:rsidR="00DD61C1">
              <w:t xml:space="preserve"> the principle of </w:t>
            </w:r>
            <w:r w:rsidR="00D0057D">
              <w:t>self-determination</w:t>
            </w:r>
            <w:r w:rsidR="00DD61C1">
              <w:t xml:space="preserve"> and guarding against </w:t>
            </w:r>
            <w:r w:rsidR="00B56D76">
              <w:t>dignitary harms</w:t>
            </w:r>
            <w:r w:rsidR="00DD61C1">
              <w:t>?</w:t>
            </w:r>
            <w:r w:rsidR="008E45D7">
              <w:rPr>
                <w:rStyle w:val="FootnoteReference"/>
              </w:rPr>
              <w:footnoteReference w:id="14"/>
            </w:r>
          </w:p>
          <w:p w14:paraId="5B40668E" w14:textId="00F34DCD" w:rsidR="002B05FE" w:rsidRDefault="00293C22" w:rsidP="00320B38">
            <w:pPr>
              <w:pStyle w:val="ListBullet"/>
              <w:cnfStyle w:val="000000000000" w:firstRow="0" w:lastRow="0" w:firstColumn="0" w:lastColumn="0" w:oddVBand="0" w:evenVBand="0" w:oddHBand="0" w:evenHBand="0" w:firstRowFirstColumn="0" w:firstRowLastColumn="0" w:lastRowFirstColumn="0" w:lastRowLastColumn="0"/>
            </w:pPr>
            <w:r>
              <w:t>What i</w:t>
            </w:r>
            <w:r w:rsidR="009A6473">
              <w:t>f</w:t>
            </w:r>
            <w:r>
              <w:t xml:space="preserve"> d</w:t>
            </w:r>
            <w:r w:rsidR="002B05FE">
              <w:t xml:space="preserve">ata and samples </w:t>
            </w:r>
            <w:r>
              <w:t xml:space="preserve">are </w:t>
            </w:r>
            <w:r w:rsidR="002B05FE">
              <w:t>held off-Country</w:t>
            </w:r>
            <w:r>
              <w:t xml:space="preserve">? What then for </w:t>
            </w:r>
            <w:r w:rsidR="00220DEA">
              <w:t xml:space="preserve">ownership and </w:t>
            </w:r>
            <w:r w:rsidR="00D3190F">
              <w:t>control</w:t>
            </w:r>
            <w:r w:rsidR="00220DEA">
              <w:t>?</w:t>
            </w:r>
          </w:p>
          <w:p w14:paraId="4D9A344A" w14:textId="7A83CA52" w:rsidR="00322955" w:rsidRDefault="00220DEA" w:rsidP="00320B38">
            <w:pPr>
              <w:pStyle w:val="ListBullet"/>
              <w:cnfStyle w:val="000000000000" w:firstRow="0" w:lastRow="0" w:firstColumn="0" w:lastColumn="0" w:oddVBand="0" w:evenVBand="0" w:oddHBand="0" w:evenHBand="0" w:firstRowFirstColumn="0" w:firstRowLastColumn="0" w:lastRowFirstColumn="0" w:lastRowLastColumn="0"/>
            </w:pPr>
            <w:r>
              <w:t xml:space="preserve">How can cultural safety be ensured when </w:t>
            </w:r>
            <w:r w:rsidR="003415A1">
              <w:t>these issues are discussed with community</w:t>
            </w:r>
            <w:r w:rsidR="00C7273A">
              <w:t xml:space="preserve">? </w:t>
            </w:r>
            <w:r w:rsidR="00864502">
              <w:t>Cultural safety in the</w:t>
            </w:r>
            <w:r w:rsidR="00B058CD">
              <w:t>se</w:t>
            </w:r>
            <w:r w:rsidR="00864502">
              <w:t xml:space="preserve"> discussions is essential </w:t>
            </w:r>
            <w:r w:rsidR="00B809D6">
              <w:t xml:space="preserve">for community to understand </w:t>
            </w:r>
            <w:r w:rsidR="009667A5">
              <w:t xml:space="preserve">what is being discussed and therefore provide free, prior, informed consent. </w:t>
            </w:r>
          </w:p>
        </w:tc>
      </w:tr>
    </w:tbl>
    <w:p w14:paraId="13B246BC" w14:textId="7EA1ACAF" w:rsidR="009F0A54" w:rsidRDefault="009F0A54" w:rsidP="00AC73DF">
      <w:r>
        <w:lastRenderedPageBreak/>
        <w:t xml:space="preserve">Given that </w:t>
      </w:r>
      <w:r w:rsidR="000B24EB">
        <w:t>Aboriginal and Torres Strait Islander</w:t>
      </w:r>
      <w:r>
        <w:t xml:space="preserve"> </w:t>
      </w:r>
      <w:r w:rsidR="000B24EB">
        <w:t>g</w:t>
      </w:r>
      <w:r>
        <w:t xml:space="preserve">enomics research amasses large amounts of Aboriginal and Torres Strait Islander data, IP is often looked to for answers to questions about the management of this data. Unfortunately, in many respects IP law provides few answers. This is because IP law is ideologically positioned to incentivise innovation by granting economic rights to researchers either by way of copyright or patents. IP law is focused on the commercialisation of an end product. However, it is far more likely that </w:t>
      </w:r>
      <w:r w:rsidR="00902463">
        <w:t xml:space="preserve">Aboriginal and Torres Strait Islander </w:t>
      </w:r>
      <w:r>
        <w:t>peoples</w:t>
      </w:r>
      <w:r w:rsidR="000A5E1F">
        <w:t>’</w:t>
      </w:r>
      <w:r>
        <w:t xml:space="preserve"> concerns will be engaged at a much earlier stage</w:t>
      </w:r>
      <w:r w:rsidR="00C85B53">
        <w:t>.</w:t>
      </w:r>
      <w:r>
        <w:t xml:space="preserve"> </w:t>
      </w:r>
      <w:r w:rsidR="00C85B53">
        <w:t>I</w:t>
      </w:r>
      <w:r>
        <w:t xml:space="preserve">n fact, issues of ownership and control are engaged even at the conceptual stages of research when the genes are sampled, or where they are accessed for use. </w:t>
      </w:r>
    </w:p>
    <w:p w14:paraId="7A2910E0" w14:textId="0F53982A" w:rsidR="007E7120" w:rsidRDefault="00877BF0" w:rsidP="00AC73DF">
      <w:r>
        <w:t xml:space="preserve">This section will </w:t>
      </w:r>
      <w:r w:rsidR="00403030">
        <w:t>identify</w:t>
      </w:r>
      <w:r w:rsidR="003A4D8E">
        <w:t xml:space="preserve"> </w:t>
      </w:r>
      <w:r w:rsidR="003D192E">
        <w:t xml:space="preserve">the </w:t>
      </w:r>
      <w:r w:rsidR="003A4D8E">
        <w:t xml:space="preserve">ethical, social and cultural factors </w:t>
      </w:r>
      <w:r w:rsidR="0012634B">
        <w:t xml:space="preserve">that </w:t>
      </w:r>
      <w:r w:rsidR="0074216C">
        <w:t xml:space="preserve">make </w:t>
      </w:r>
      <w:r w:rsidR="00361FEB">
        <w:t xml:space="preserve">Aboriginal and Torres Strait Islander </w:t>
      </w:r>
      <w:r w:rsidR="0074216C">
        <w:t>genomics unique from</w:t>
      </w:r>
      <w:r w:rsidR="00D54931">
        <w:t xml:space="preserve"> broader</w:t>
      </w:r>
      <w:r w:rsidR="0074216C">
        <w:t xml:space="preserve"> genomic study</w:t>
      </w:r>
      <w:r w:rsidR="00C63590">
        <w:t xml:space="preserve">. </w:t>
      </w:r>
      <w:r w:rsidR="00114D14">
        <w:t>As a result, t</w:t>
      </w:r>
      <w:r w:rsidR="00BE0FF2">
        <w:t xml:space="preserve">here are </w:t>
      </w:r>
      <w:r w:rsidR="00EB6A60">
        <w:t>key requirements for any genomics project intending to work with data belonging to Aboriginal and Torres Strait Islander people</w:t>
      </w:r>
      <w:r w:rsidR="0012634B">
        <w:t>s</w:t>
      </w:r>
      <w:r w:rsidR="00856E4B">
        <w:t>,</w:t>
      </w:r>
      <w:r w:rsidR="004A78CB">
        <w:t xml:space="preserve"> which raises the question: </w:t>
      </w:r>
      <w:r w:rsidR="004A78CB" w:rsidRPr="001A6EDF">
        <w:rPr>
          <w:i/>
          <w:iCs/>
        </w:rPr>
        <w:t xml:space="preserve">What rights </w:t>
      </w:r>
      <w:r w:rsidR="00F86CAA" w:rsidRPr="001A6EDF">
        <w:rPr>
          <w:i/>
          <w:iCs/>
        </w:rPr>
        <w:t>d</w:t>
      </w:r>
      <w:r w:rsidR="004A78CB" w:rsidRPr="001A6EDF">
        <w:rPr>
          <w:i/>
          <w:iCs/>
        </w:rPr>
        <w:t xml:space="preserve">o </w:t>
      </w:r>
      <w:r w:rsidR="001F173A">
        <w:rPr>
          <w:i/>
          <w:iCs/>
        </w:rPr>
        <w:t xml:space="preserve">Aboriginal and Torres Strait Islander </w:t>
      </w:r>
      <w:r w:rsidR="004A78CB" w:rsidRPr="001A6EDF">
        <w:rPr>
          <w:i/>
          <w:iCs/>
        </w:rPr>
        <w:t>people</w:t>
      </w:r>
      <w:r w:rsidR="001F173A">
        <w:rPr>
          <w:i/>
          <w:iCs/>
        </w:rPr>
        <w:t>s</w:t>
      </w:r>
      <w:r w:rsidR="004A78CB" w:rsidRPr="001A6EDF">
        <w:rPr>
          <w:i/>
          <w:iCs/>
        </w:rPr>
        <w:t xml:space="preserve"> want over their genomic data?</w:t>
      </w:r>
      <w:r w:rsidR="004A78CB">
        <w:t xml:space="preserve"> </w:t>
      </w:r>
      <w:r w:rsidR="00403030">
        <w:t xml:space="preserve"> </w:t>
      </w:r>
    </w:p>
    <w:p w14:paraId="44AE3C1A" w14:textId="2F70D2B8" w:rsidR="00716524" w:rsidRPr="00AC05CB" w:rsidRDefault="009360F2" w:rsidP="00AC73DF">
      <w:pPr>
        <w:pStyle w:val="Heading2"/>
        <w:rPr>
          <w:lang w:val="en-AU"/>
        </w:rPr>
      </w:pPr>
      <w:bookmarkStart w:id="20" w:name="_Toc118824300"/>
      <w:r w:rsidRPr="008E5C92">
        <w:rPr>
          <w:lang w:val="en-AU"/>
        </w:rPr>
        <w:t xml:space="preserve">What </w:t>
      </w:r>
      <w:r w:rsidR="009A3A7F" w:rsidRPr="008E5C92">
        <w:rPr>
          <w:lang w:val="en-AU"/>
        </w:rPr>
        <w:t xml:space="preserve">makes </w:t>
      </w:r>
      <w:r w:rsidR="00DD753C" w:rsidRPr="008E5C92">
        <w:rPr>
          <w:lang w:val="en-AU"/>
        </w:rPr>
        <w:t xml:space="preserve">Aboriginal and Torres Strait Islander </w:t>
      </w:r>
      <w:r w:rsidR="009A3A7F" w:rsidRPr="008E5C92">
        <w:rPr>
          <w:lang w:val="en-AU"/>
        </w:rPr>
        <w:t>genomics unique</w:t>
      </w:r>
      <w:r w:rsidRPr="008E5C92">
        <w:rPr>
          <w:lang w:val="en-AU"/>
        </w:rPr>
        <w:t>?</w:t>
      </w:r>
      <w:bookmarkEnd w:id="20"/>
      <w:r w:rsidRPr="008E5C92">
        <w:rPr>
          <w:lang w:val="en-AU"/>
        </w:rPr>
        <w:t xml:space="preserve"> </w:t>
      </w:r>
    </w:p>
    <w:p w14:paraId="6E288378" w14:textId="7039F915" w:rsidR="000965C7" w:rsidRPr="008E5C92" w:rsidRDefault="005817A3" w:rsidP="00AC73DF">
      <w:r w:rsidRPr="008E5C92">
        <w:t>Aboriginal and Torres Strait Islander g</w:t>
      </w:r>
      <w:r w:rsidR="000965C7" w:rsidRPr="008E5C92">
        <w:t xml:space="preserve">enomics study </w:t>
      </w:r>
      <w:r w:rsidR="007C5A09" w:rsidRPr="008E5C92">
        <w:t xml:space="preserve">is distinct from genomic study more broadly. </w:t>
      </w:r>
      <w:r w:rsidR="008A7DBF" w:rsidRPr="008E5C92">
        <w:t xml:space="preserve">In fact, </w:t>
      </w:r>
      <w:r w:rsidR="0086154F">
        <w:t xml:space="preserve">an Advisory Group member </w:t>
      </w:r>
      <w:r w:rsidR="00DE5B59" w:rsidRPr="008E5C92">
        <w:t xml:space="preserve">actually identified </w:t>
      </w:r>
      <w:r w:rsidR="00523185" w:rsidRPr="008E5C92">
        <w:t>a lack of this understanding as a particular issue</w:t>
      </w:r>
      <w:r w:rsidR="000659AB" w:rsidRPr="008E5C92">
        <w:t xml:space="preserve">: the assumption that the </w:t>
      </w:r>
      <w:r w:rsidR="002924AD" w:rsidRPr="008E5C92">
        <w:t>taking of a sample from an Aboriginal and Torres Strait Islander person is the same as taking a sample</w:t>
      </w:r>
      <w:r w:rsidR="00751A77" w:rsidRPr="008E5C92">
        <w:t xml:space="preserve"> from an non-Indigenous person, reflects a lack of understanding of the connections between person, </w:t>
      </w:r>
      <w:r w:rsidR="00D6711F" w:rsidRPr="008E5C92">
        <w:t xml:space="preserve">culture and place. </w:t>
      </w:r>
      <w:r w:rsidR="00286262" w:rsidRPr="008E5C92">
        <w:t xml:space="preserve">Dislocation of person (including samples) from place can produce cultural harm that will in turn translate into </w:t>
      </w:r>
      <w:r w:rsidR="00C25985" w:rsidRPr="008E5C92">
        <w:t>harm to the person</w:t>
      </w:r>
      <w:r w:rsidR="00B22B3F" w:rsidRPr="008E5C92">
        <w:t>’s</w:t>
      </w:r>
      <w:r w:rsidR="00C25985" w:rsidRPr="008E5C92">
        <w:t xml:space="preserve"> (and </w:t>
      </w:r>
      <w:r w:rsidR="0015079A" w:rsidRPr="008E5C92">
        <w:t xml:space="preserve">their </w:t>
      </w:r>
      <w:r w:rsidR="00C25985" w:rsidRPr="008E5C92">
        <w:t>communi</w:t>
      </w:r>
      <w:r w:rsidR="00B22B3F" w:rsidRPr="008E5C92">
        <w:t xml:space="preserve">ty’s) physical, mental and spiritual health. </w:t>
      </w:r>
    </w:p>
    <w:p w14:paraId="170C1786" w14:textId="117B3AFB" w:rsidR="00803817" w:rsidRPr="008E5C92" w:rsidRDefault="00803817" w:rsidP="00AC73DF">
      <w:r w:rsidRPr="008E5C92">
        <w:t xml:space="preserve">A lack of understanding of the social, ethical and cultural issues </w:t>
      </w:r>
      <w:r w:rsidR="00E41EAF" w:rsidRPr="008E5C92">
        <w:t xml:space="preserve">can also cause </w:t>
      </w:r>
      <w:r w:rsidR="00DF5C91" w:rsidRPr="008E5C92">
        <w:t>a delay in ethics implementation</w:t>
      </w:r>
      <w:r w:rsidR="00F74DBE">
        <w:t xml:space="preserve">. </w:t>
      </w:r>
    </w:p>
    <w:p w14:paraId="56C7A53C" w14:textId="39D15822" w:rsidR="00035972" w:rsidRPr="008E5C92" w:rsidRDefault="001E7308" w:rsidP="00AC73DF">
      <w:r w:rsidRPr="008E5C92">
        <w:t xml:space="preserve">Institutional racism </w:t>
      </w:r>
      <w:r w:rsidR="00834C7B">
        <w:t xml:space="preserve">and unconscious bias </w:t>
      </w:r>
      <w:r w:rsidRPr="008E5C92">
        <w:t>also plays a r</w:t>
      </w:r>
      <w:r w:rsidR="00CF3EB8" w:rsidRPr="008E5C92">
        <w:t>o</w:t>
      </w:r>
      <w:r w:rsidRPr="008E5C92">
        <w:t xml:space="preserve">le </w:t>
      </w:r>
      <w:r w:rsidR="001A0631" w:rsidRPr="008E5C92">
        <w:t xml:space="preserve">in the delivery of health services to Aboriginal and Torres Strait Islander people generally, and in genomic study in particular. </w:t>
      </w:r>
      <w:r w:rsidR="00912451">
        <w:lastRenderedPageBreak/>
        <w:t xml:space="preserve">One Advisory Group member reported that </w:t>
      </w:r>
      <w:r w:rsidR="00D30E37" w:rsidRPr="008E5C92">
        <w:t>racism and unconscious bias</w:t>
      </w:r>
      <w:r w:rsidR="00F279AA">
        <w:t xml:space="preserve"> in delivery of health services</w:t>
      </w:r>
      <w:r w:rsidR="00D30E37" w:rsidRPr="008E5C92">
        <w:t xml:space="preserve"> </w:t>
      </w:r>
      <w:r w:rsidR="00460E2F" w:rsidRPr="008E5C92">
        <w:t>has</w:t>
      </w:r>
      <w:r w:rsidR="00D30E37" w:rsidRPr="008E5C92">
        <w:t xml:space="preserve"> </w:t>
      </w:r>
      <w:r w:rsidR="004F5E19" w:rsidRPr="008E5C92">
        <w:t xml:space="preserve">sometimes </w:t>
      </w:r>
      <w:r w:rsidR="00D30E37" w:rsidRPr="008E5C92">
        <w:t>led to misdiagnosis. For example, when kids present to the medical services with a condition that cause</w:t>
      </w:r>
      <w:r w:rsidR="002938EA">
        <w:t>s</w:t>
      </w:r>
      <w:r w:rsidR="00C11B91">
        <w:t xml:space="preserve"> </w:t>
      </w:r>
      <w:r w:rsidR="00D30E37" w:rsidRPr="008E5C92">
        <w:t xml:space="preserve">them to have brittle bones, they may be referred to </w:t>
      </w:r>
      <w:r w:rsidR="00E733C1" w:rsidRPr="008E5C92">
        <w:t>Family &amp; Community Services</w:t>
      </w:r>
      <w:r w:rsidR="002565B8" w:rsidRPr="008E5C92">
        <w:t xml:space="preserve"> on the assumption that their injuries </w:t>
      </w:r>
      <w:r w:rsidR="00C11B91">
        <w:t>are</w:t>
      </w:r>
      <w:r w:rsidR="009247BF" w:rsidRPr="008E5C92">
        <w:t xml:space="preserve"> related to their care rather than an underlying medical condition</w:t>
      </w:r>
      <w:r w:rsidR="00E733C1" w:rsidRPr="008E5C92">
        <w:t>.</w:t>
      </w:r>
      <w:r w:rsidR="00624500" w:rsidRPr="008E5C92">
        <w:t xml:space="preserve"> </w:t>
      </w:r>
      <w:r w:rsidR="004A6560">
        <w:t xml:space="preserve">It was reported </w:t>
      </w:r>
      <w:r w:rsidR="00624500" w:rsidRPr="008E5C92">
        <w:t xml:space="preserve">that Aboriginal and Torres Strait Islander peoples were underrepresented in all </w:t>
      </w:r>
      <w:r w:rsidR="006F5E21" w:rsidRPr="008E5C92">
        <w:t>areas of genomics, except</w:t>
      </w:r>
      <w:r w:rsidR="0072227B" w:rsidRPr="008E5C92">
        <w:t xml:space="preserve"> </w:t>
      </w:r>
      <w:r w:rsidR="006F5E21" w:rsidRPr="008E5C92">
        <w:t xml:space="preserve">in undiagnosed </w:t>
      </w:r>
      <w:r w:rsidR="0072227B" w:rsidRPr="008E5C92">
        <w:t>categories</w:t>
      </w:r>
      <w:r w:rsidR="006F5E21" w:rsidRPr="008E5C92">
        <w:t xml:space="preserve"> – </w:t>
      </w:r>
      <w:r w:rsidR="0072227B" w:rsidRPr="008E5C92">
        <w:t>largely</w:t>
      </w:r>
      <w:r w:rsidR="006F5E21" w:rsidRPr="008E5C92">
        <w:t xml:space="preserve"> </w:t>
      </w:r>
      <w:r w:rsidR="0072227B" w:rsidRPr="008E5C92">
        <w:t>due</w:t>
      </w:r>
      <w:r w:rsidR="006F5E21" w:rsidRPr="008E5C92">
        <w:t xml:space="preserve"> to lack of diversity in data sets (</w:t>
      </w:r>
      <w:r w:rsidR="0072227B" w:rsidRPr="008E5C92">
        <w:t>most references have a European bias)</w:t>
      </w:r>
      <w:r w:rsidR="00E629C9" w:rsidRPr="008E5C92">
        <w:t>.</w:t>
      </w:r>
    </w:p>
    <w:p w14:paraId="20F42C6B" w14:textId="66562DFE" w:rsidR="00257697" w:rsidRPr="008E5C92" w:rsidRDefault="005B36CE" w:rsidP="00AC73DF">
      <w:r>
        <w:t xml:space="preserve">The point was also made that </w:t>
      </w:r>
      <w:r w:rsidR="006F79CD" w:rsidRPr="008E5C92">
        <w:t xml:space="preserve">equitable treatment </w:t>
      </w:r>
      <w:r w:rsidR="00DC25E7" w:rsidRPr="008E5C92">
        <w:t xml:space="preserve">(treating everyone the same regardless of their cultural identity) does not equate to equitable access to medical services. </w:t>
      </w:r>
      <w:r w:rsidR="00FB1530">
        <w:t>G</w:t>
      </w:r>
      <w:r w:rsidR="00D94CF3" w:rsidRPr="008E5C92">
        <w:t>enomic study means different things to Aboriginal and Torres Strait Islander peoples, and th</w:t>
      </w:r>
      <w:r w:rsidR="00582CFD" w:rsidRPr="008E5C92">
        <w:t>ose</w:t>
      </w:r>
      <w:r w:rsidR="00D94CF3" w:rsidRPr="008E5C92">
        <w:t xml:space="preserve"> cultural differences must be respected </w:t>
      </w:r>
      <w:r w:rsidR="001F472D" w:rsidRPr="008E5C92">
        <w:t xml:space="preserve">in order to </w:t>
      </w:r>
      <w:r w:rsidR="00D428AB" w:rsidRPr="008E5C92">
        <w:t>ensure that Aboriginal and Torres Strait Islander peoples share in health outcomes.</w:t>
      </w:r>
    </w:p>
    <w:p w14:paraId="4DA6ED74" w14:textId="02AD531F" w:rsidR="00CF58F0" w:rsidRPr="008E5C92" w:rsidRDefault="00CF58F0" w:rsidP="00AC73DF">
      <w:r w:rsidRPr="008E5C92">
        <w:t xml:space="preserve">Another interesting comment </w:t>
      </w:r>
      <w:r w:rsidR="00927287" w:rsidRPr="008E5C92">
        <w:t>was that this area of research must come to terms with acknowledging genetic differences</w:t>
      </w:r>
      <w:r w:rsidR="00EA22A9" w:rsidRPr="008E5C92">
        <w:t xml:space="preserve"> between peoples</w:t>
      </w:r>
      <w:r w:rsidR="00927287" w:rsidRPr="008E5C92">
        <w:t>, without</w:t>
      </w:r>
      <w:r w:rsidR="00AB344E" w:rsidRPr="008E5C92">
        <w:t xml:space="preserve"> playing into racist stereotypes. </w:t>
      </w:r>
      <w:r w:rsidR="00B94A2A" w:rsidRPr="008E5C92">
        <w:t xml:space="preserve">So as research into people’s genetic diversity continues, </w:t>
      </w:r>
      <w:r w:rsidR="006A0238" w:rsidRPr="008E5C92">
        <w:t xml:space="preserve">the interpretation of those results </w:t>
      </w:r>
      <w:r w:rsidR="00692356" w:rsidRPr="008E5C92">
        <w:t xml:space="preserve">must be balanced and respectful. Both outright racism, and unconscious bias, must be guarded against. </w:t>
      </w:r>
      <w:r w:rsidR="00A61B1D" w:rsidRPr="008E5C92">
        <w:t xml:space="preserve">This presents yet another argument </w:t>
      </w:r>
      <w:r w:rsidR="008A0EC5" w:rsidRPr="008E5C92">
        <w:t>for the necessity of Aboriginal and Torres Strait Islander co-design of research projects; Aboriginal and Torres Strait Islander peoples must play a role in the interpretation of their results</w:t>
      </w:r>
      <w:r w:rsidR="00A77506" w:rsidRPr="008E5C92">
        <w:t>.</w:t>
      </w:r>
    </w:p>
    <w:p w14:paraId="114B3EA6" w14:textId="36782CBC" w:rsidR="003B648A" w:rsidRPr="008E5C92" w:rsidRDefault="003B648A" w:rsidP="00AC73DF">
      <w:r w:rsidRPr="008E5C92">
        <w:t>The potential link between genetics and intergenerational trauma</w:t>
      </w:r>
      <w:r w:rsidR="005C545A">
        <w:t xml:space="preserve"> was discussed</w:t>
      </w:r>
      <w:r w:rsidRPr="008E5C92">
        <w:t>. This is a potential area of epigenetic research in the context of atrocities perpetrated against Aboriginal and Torres Strait Islander peoples</w:t>
      </w:r>
      <w:r w:rsidR="00357B73" w:rsidRPr="008E5C92">
        <w:t xml:space="preserve">. </w:t>
      </w:r>
      <w:r w:rsidR="00C166B4" w:rsidRPr="008E5C92">
        <w:t xml:space="preserve">Considered in the context of </w:t>
      </w:r>
      <w:r w:rsidR="005C545A">
        <w:t xml:space="preserve">other </w:t>
      </w:r>
      <w:r w:rsidR="00B7168E" w:rsidRPr="008E5C92">
        <w:t>comments about acknowledging genetic difference</w:t>
      </w:r>
      <w:r w:rsidR="00934911">
        <w:t xml:space="preserve"> and ethical interpretation of results,</w:t>
      </w:r>
      <w:r w:rsidR="00B7168E" w:rsidRPr="008E5C92">
        <w:t xml:space="preserve"> </w:t>
      </w:r>
      <w:r w:rsidR="00695389" w:rsidRPr="008E5C92">
        <w:t xml:space="preserve">this </w:t>
      </w:r>
      <w:r w:rsidR="000A35F3" w:rsidRPr="008E5C92">
        <w:t xml:space="preserve">kind of research is a good example of acknowledging that genetic difference in a constructive way that could deliver better </w:t>
      </w:r>
      <w:r w:rsidR="00942F39">
        <w:t xml:space="preserve">diagnostic </w:t>
      </w:r>
      <w:r w:rsidR="005170C8" w:rsidRPr="008E5C92">
        <w:t>outcomes for patients.</w:t>
      </w:r>
      <w:r w:rsidR="008430B3" w:rsidRPr="008E5C92">
        <w:t xml:space="preserve"> It is also a good example of how vital it is that Aboriginal and Torres Strait Islander people play a direct and active role in </w:t>
      </w:r>
      <w:r w:rsidR="002926F3" w:rsidRPr="008E5C92">
        <w:t xml:space="preserve">interpretation of results to avoid compounding trauma or </w:t>
      </w:r>
      <w:r w:rsidR="00542991" w:rsidRPr="008E5C92">
        <w:t>interpreting trauma through a Eurocentric lens.</w:t>
      </w:r>
    </w:p>
    <w:p w14:paraId="4C8AE033" w14:textId="3B58F925" w:rsidR="007C5A09" w:rsidRPr="008E5C92" w:rsidRDefault="00913B6B" w:rsidP="00AC73DF">
      <w:r>
        <w:t>Several</w:t>
      </w:r>
      <w:r w:rsidR="00A56D5D" w:rsidRPr="008E5C92">
        <w:t xml:space="preserve"> A</w:t>
      </w:r>
      <w:r w:rsidR="00B700A6" w:rsidRPr="008E5C92">
        <w:t>dvisory Group member</w:t>
      </w:r>
      <w:r>
        <w:t>s</w:t>
      </w:r>
      <w:r w:rsidR="00B700A6" w:rsidRPr="008E5C92">
        <w:t xml:space="preserve"> </w:t>
      </w:r>
      <w:r w:rsidR="00680433" w:rsidRPr="008E5C92">
        <w:t xml:space="preserve">identified the issue </w:t>
      </w:r>
      <w:r w:rsidR="00D764F0" w:rsidRPr="008E5C92">
        <w:t xml:space="preserve">of having to grapple with the overriding narrative of urgently needing to ‘unlock’ Indigenous genomics. </w:t>
      </w:r>
      <w:r w:rsidR="00C277C5" w:rsidRPr="008E5C92">
        <w:t>Th</w:t>
      </w:r>
      <w:r>
        <w:t>ese</w:t>
      </w:r>
      <w:r w:rsidR="00C277C5" w:rsidRPr="008E5C92">
        <w:t xml:space="preserve"> </w:t>
      </w:r>
      <w:r w:rsidR="00C33C56" w:rsidRPr="008E5C92">
        <w:t>Advisory Group member</w:t>
      </w:r>
      <w:r>
        <w:t>s</w:t>
      </w:r>
      <w:r w:rsidR="00C33C56" w:rsidRPr="008E5C92">
        <w:t xml:space="preserve"> </w:t>
      </w:r>
      <w:r w:rsidR="00C277C5" w:rsidRPr="008E5C92">
        <w:t xml:space="preserve">acknowledged the beneficial outcomes that could potentially be derived from </w:t>
      </w:r>
      <w:r w:rsidR="003736FE" w:rsidRPr="008E5C92">
        <w:t xml:space="preserve">Indigenous genomics studies. However, </w:t>
      </w:r>
      <w:r w:rsidR="00D053A5" w:rsidRPr="008E5C92">
        <w:t>simultaneously</w:t>
      </w:r>
      <w:r w:rsidR="003736FE" w:rsidRPr="008E5C92">
        <w:t xml:space="preserve"> </w:t>
      </w:r>
      <w:r w:rsidR="00D42CAE" w:rsidRPr="008E5C92">
        <w:t>there is a ‘hard sell’ that often has to be managed. The ‘hard sell’</w:t>
      </w:r>
      <w:r w:rsidR="00B5176B" w:rsidRPr="008E5C92">
        <w:t xml:space="preserve"> </w:t>
      </w:r>
      <w:r w:rsidR="0045635F" w:rsidRPr="008E5C92">
        <w:t>emphasises</w:t>
      </w:r>
      <w:r w:rsidR="00B5176B" w:rsidRPr="008E5C92">
        <w:t xml:space="preserve"> the </w:t>
      </w:r>
      <w:r w:rsidR="0045635F" w:rsidRPr="008E5C92">
        <w:t>revolutionisation</w:t>
      </w:r>
      <w:r w:rsidR="00B5176B" w:rsidRPr="008E5C92">
        <w:t xml:space="preserve"> of healthcare through genomic studies. It implies that if Aboriginal and Torres Strait Islander</w:t>
      </w:r>
      <w:r w:rsidR="00D053A5" w:rsidRPr="008E5C92">
        <w:t xml:space="preserve"> peoples</w:t>
      </w:r>
      <w:r w:rsidR="00B5176B" w:rsidRPr="008E5C92">
        <w:t xml:space="preserve"> </w:t>
      </w:r>
      <w:r w:rsidR="0066102B">
        <w:t>do not</w:t>
      </w:r>
      <w:r w:rsidR="00204C89" w:rsidRPr="008E5C92">
        <w:t xml:space="preserve"> join in the revolution, they will lag behin</w:t>
      </w:r>
      <w:r w:rsidR="0045635F" w:rsidRPr="008E5C92">
        <w:t xml:space="preserve">d and that this will be their own fault. </w:t>
      </w:r>
      <w:r w:rsidR="00542AF5" w:rsidRPr="008E5C92">
        <w:t>T</w:t>
      </w:r>
      <w:r w:rsidR="00661D62" w:rsidRPr="008E5C92">
        <w:t xml:space="preserve">his leaves </w:t>
      </w:r>
      <w:r w:rsidR="00542AF5" w:rsidRPr="008E5C92">
        <w:t xml:space="preserve">Aboriginal and Torres Strait Islander researchers in a difficult position, </w:t>
      </w:r>
      <w:r w:rsidR="007520AA" w:rsidRPr="008E5C92">
        <w:t xml:space="preserve">where their aim is to protect Aboriginal and Torres Strait Islander interests and </w:t>
      </w:r>
      <w:r w:rsidR="009A4064" w:rsidRPr="008E5C92">
        <w:t>participate in genomic study, but also keep at bay the voracious appetite for more and more data.</w:t>
      </w:r>
    </w:p>
    <w:p w14:paraId="2468D0CF" w14:textId="5F5AD9E7" w:rsidR="008A5DCE" w:rsidRPr="008E5C92" w:rsidRDefault="00793850" w:rsidP="00AC73DF">
      <w:r>
        <w:t>A</w:t>
      </w:r>
      <w:r w:rsidR="00FE651B" w:rsidRPr="008E5C92">
        <w:t xml:space="preserve"> similar concern</w:t>
      </w:r>
      <w:r>
        <w:t xml:space="preserve"> was raised when another Advisory Group member</w:t>
      </w:r>
      <w:r w:rsidR="00BC1A74">
        <w:t xml:space="preserve"> expressed </w:t>
      </w:r>
      <w:r w:rsidR="00FE651B" w:rsidRPr="008E5C92">
        <w:t xml:space="preserve">concern that </w:t>
      </w:r>
      <w:r w:rsidR="00A308B7" w:rsidRPr="008E5C92">
        <w:t>the enthusiasm for biomedical applications</w:t>
      </w:r>
      <w:r w:rsidR="00BC1A74">
        <w:t xml:space="preserve"> of genomic information</w:t>
      </w:r>
      <w:r w:rsidR="00A308B7" w:rsidRPr="008E5C92">
        <w:t xml:space="preserve"> </w:t>
      </w:r>
      <w:r w:rsidR="00247FBA">
        <w:t>is</w:t>
      </w:r>
      <w:r w:rsidR="00247FBA" w:rsidRPr="008E5C92">
        <w:t xml:space="preserve"> </w:t>
      </w:r>
      <w:r w:rsidR="00A308B7" w:rsidRPr="008E5C92">
        <w:t xml:space="preserve">causing people to </w:t>
      </w:r>
      <w:r w:rsidR="007805EA" w:rsidRPr="008E5C92">
        <w:t>overlook</w:t>
      </w:r>
      <w:r w:rsidR="00A308B7" w:rsidRPr="008E5C92">
        <w:t xml:space="preserve"> (or not consider at all) other ethical, cultural and legal implications of the science.</w:t>
      </w:r>
    </w:p>
    <w:p w14:paraId="70D35AED" w14:textId="3B666E7A" w:rsidR="005B72ED" w:rsidRPr="008E5C92" w:rsidRDefault="00126F5E" w:rsidP="00AC73DF">
      <w:r w:rsidRPr="008E5C92">
        <w:t xml:space="preserve">Another </w:t>
      </w:r>
      <w:r w:rsidR="00C730BF" w:rsidRPr="008E5C92">
        <w:t xml:space="preserve">Advisory Group member </w:t>
      </w:r>
      <w:r w:rsidRPr="008E5C92">
        <w:t>echoed this concern when they note</w:t>
      </w:r>
      <w:r w:rsidR="00C730BF" w:rsidRPr="008E5C92">
        <w:t>d</w:t>
      </w:r>
      <w:r w:rsidRPr="008E5C92">
        <w:t xml:space="preserve"> that Aboriginal and Torres Strait Islander research students are often at risk of burn out before even </w:t>
      </w:r>
      <w:r w:rsidR="00FB1DBD" w:rsidRPr="008E5C92">
        <w:t>qualifying; the students are being asked to contribute t</w:t>
      </w:r>
      <w:r w:rsidR="00363754" w:rsidRPr="008E5C92">
        <w:t>o so many projects</w:t>
      </w:r>
      <w:r w:rsidR="001166CD">
        <w:t>.</w:t>
      </w:r>
      <w:r w:rsidR="007C1375" w:rsidRPr="008E5C92">
        <w:t xml:space="preserve"> </w:t>
      </w:r>
      <w:r w:rsidR="001F0947" w:rsidRPr="008E5C92">
        <w:t xml:space="preserve">Yet another </w:t>
      </w:r>
      <w:r w:rsidR="006B289F" w:rsidRPr="008E5C92">
        <w:t xml:space="preserve">person </w:t>
      </w:r>
      <w:r w:rsidR="001F0947" w:rsidRPr="008E5C92">
        <w:t xml:space="preserve">alluded </w:t>
      </w:r>
      <w:r w:rsidR="001F0947" w:rsidRPr="008E5C92">
        <w:lastRenderedPageBreak/>
        <w:t xml:space="preserve">to this issue when they underlined that Aboriginal and Torres Strait Islander peoples should be involved at various levels of governance and leadership in the project. </w:t>
      </w:r>
      <w:r w:rsidR="00AA7F24" w:rsidRPr="008E5C92">
        <w:t xml:space="preserve">Although this point was also made to </w:t>
      </w:r>
      <w:r w:rsidR="00CA2623" w:rsidRPr="008E5C92">
        <w:t xml:space="preserve">emphasise </w:t>
      </w:r>
      <w:r w:rsidR="004A7895" w:rsidRPr="008E5C92">
        <w:t xml:space="preserve">that </w:t>
      </w:r>
      <w:r w:rsidR="00092DBC" w:rsidRPr="008E5C92">
        <w:t xml:space="preserve">over reliance on a single (or just a few) Aboriginal and Torres Strait Islander voices on a steering committee </w:t>
      </w:r>
      <w:r w:rsidR="00BE5B29" w:rsidRPr="008E5C92">
        <w:t>is really insufficient collaboration.</w:t>
      </w:r>
    </w:p>
    <w:p w14:paraId="2EAF08A6" w14:textId="63A905F3" w:rsidR="00230359" w:rsidRPr="008E5C92" w:rsidRDefault="00CC3F68" w:rsidP="00AC73DF">
      <w:r>
        <w:t xml:space="preserve">Discussions with the Advisory Group made clear that there are </w:t>
      </w:r>
      <w:r w:rsidR="00230359" w:rsidRPr="008E5C92">
        <w:t>two essential features of a good research project:</w:t>
      </w:r>
    </w:p>
    <w:p w14:paraId="6F83284E" w14:textId="257BD2BD" w:rsidR="00230359" w:rsidRPr="008E5C92" w:rsidRDefault="00CD5C2A" w:rsidP="00320B38">
      <w:pPr>
        <w:pStyle w:val="ListNumber"/>
      </w:pPr>
      <w:r w:rsidRPr="008E5C92">
        <w:t>a</w:t>
      </w:r>
      <w:r w:rsidR="00230359" w:rsidRPr="008E5C92">
        <w:t xml:space="preserve"> good research pla</w:t>
      </w:r>
      <w:r w:rsidR="00F22E25" w:rsidRPr="008E5C92">
        <w:t xml:space="preserve">n, and </w:t>
      </w:r>
    </w:p>
    <w:p w14:paraId="6813ACA2" w14:textId="19C9A62A" w:rsidR="00F22E25" w:rsidRPr="008E5C92" w:rsidRDefault="00CD5C2A" w:rsidP="00320B38">
      <w:pPr>
        <w:pStyle w:val="ListNumber"/>
      </w:pPr>
      <w:r w:rsidRPr="008E5C92">
        <w:t>a</w:t>
      </w:r>
      <w:r w:rsidR="00F22E25" w:rsidRPr="008E5C92">
        <w:t xml:space="preserve"> good data management plan. </w:t>
      </w:r>
    </w:p>
    <w:p w14:paraId="495BC3EC" w14:textId="2DD078A8" w:rsidR="00B35DA1" w:rsidRPr="008E5C92" w:rsidRDefault="00F22E25" w:rsidP="00AC73DF">
      <w:r w:rsidRPr="008E5C92">
        <w:t xml:space="preserve">These combined, set the scene for the next project. </w:t>
      </w:r>
    </w:p>
    <w:p w14:paraId="56F5EC51" w14:textId="7F671E13" w:rsidR="004C670C" w:rsidRPr="008E5C92" w:rsidRDefault="004C670C" w:rsidP="00AC73DF">
      <w:pPr>
        <w:pStyle w:val="Heading2"/>
        <w:rPr>
          <w:lang w:val="en-AU"/>
        </w:rPr>
      </w:pPr>
      <w:bookmarkStart w:id="21" w:name="_Toc118824301"/>
      <w:r w:rsidRPr="008E5C92">
        <w:rPr>
          <w:lang w:val="en-AU"/>
        </w:rPr>
        <w:t xml:space="preserve">What rights </w:t>
      </w:r>
      <w:r w:rsidR="007870B8" w:rsidRPr="008E5C92">
        <w:rPr>
          <w:lang w:val="en-AU"/>
        </w:rPr>
        <w:t>d</w:t>
      </w:r>
      <w:r w:rsidRPr="008E5C92">
        <w:rPr>
          <w:lang w:val="en-AU"/>
        </w:rPr>
        <w:t xml:space="preserve">o </w:t>
      </w:r>
      <w:r w:rsidR="000945F2" w:rsidRPr="008E5C92">
        <w:rPr>
          <w:lang w:val="en-AU"/>
        </w:rPr>
        <w:t xml:space="preserve">Aboriginal and Torres Strait Islander </w:t>
      </w:r>
      <w:r w:rsidRPr="008E5C92">
        <w:rPr>
          <w:lang w:val="en-AU"/>
        </w:rPr>
        <w:t>people</w:t>
      </w:r>
      <w:r w:rsidR="000945F2" w:rsidRPr="008E5C92">
        <w:rPr>
          <w:lang w:val="en-AU"/>
        </w:rPr>
        <w:t>s</w:t>
      </w:r>
      <w:r w:rsidRPr="008E5C92">
        <w:rPr>
          <w:lang w:val="en-AU"/>
        </w:rPr>
        <w:t xml:space="preserve"> want</w:t>
      </w:r>
      <w:r w:rsidR="00113FBB" w:rsidRPr="008E5C92">
        <w:rPr>
          <w:lang w:val="en-AU"/>
        </w:rPr>
        <w:t xml:space="preserve"> over their genomic </w:t>
      </w:r>
      <w:r w:rsidR="00877DE8" w:rsidRPr="008E5C92">
        <w:rPr>
          <w:lang w:val="en-AU"/>
        </w:rPr>
        <w:t xml:space="preserve">samples and </w:t>
      </w:r>
      <w:r w:rsidR="00113FBB" w:rsidRPr="008E5C92">
        <w:rPr>
          <w:lang w:val="en-AU"/>
        </w:rPr>
        <w:t>data</w:t>
      </w:r>
      <w:r w:rsidRPr="008E5C92">
        <w:rPr>
          <w:lang w:val="en-AU"/>
        </w:rPr>
        <w:t>?</w:t>
      </w:r>
      <w:bookmarkEnd w:id="21"/>
      <w:r w:rsidRPr="008E5C92">
        <w:rPr>
          <w:lang w:val="en-AU"/>
        </w:rPr>
        <w:t xml:space="preserve"> </w:t>
      </w:r>
    </w:p>
    <w:p w14:paraId="234AC0AA" w14:textId="69AD38F4" w:rsidR="009D3F39" w:rsidRDefault="00AE4AFE" w:rsidP="00AC73DF">
      <w:r>
        <w:t xml:space="preserve">Genomic research in the broader community context focuses almost exclusively on data. The samples themselves – blood, saliva etc </w:t>
      </w:r>
      <w:r w:rsidR="00E0446C">
        <w:t>–</w:t>
      </w:r>
      <w:r>
        <w:t xml:space="preserve"> </w:t>
      </w:r>
      <w:r w:rsidR="00DF53EF">
        <w:t>are</w:t>
      </w:r>
      <w:r w:rsidR="00E0446C">
        <w:t xml:space="preserve"> given very little consideration. In fact, in most cases the original samples may be destroyed. In contrast, </w:t>
      </w:r>
      <w:r w:rsidR="00AE7BE0">
        <w:t xml:space="preserve">everyone we spoke to acknowledged on-going concerns for both the samples and data of Aboriginal and Torres Strait Islander genomics. </w:t>
      </w:r>
    </w:p>
    <w:p w14:paraId="3764BA16" w14:textId="396FE73E" w:rsidR="007E7FEB" w:rsidRDefault="00F66A2B" w:rsidP="00AC73DF">
      <w:r>
        <w:t xml:space="preserve">So whether a sample is collected in a clinical context (with the option of research at a later date) or collected for a specific research project, </w:t>
      </w:r>
      <w:r w:rsidR="007E7FEB">
        <w:t>Aboriginal and Torres Strait Islander peoples</w:t>
      </w:r>
      <w:r w:rsidR="00847BDD">
        <w:t xml:space="preserve"> have continuing connections to their samples as well as the data. </w:t>
      </w:r>
      <w:r w:rsidR="00991B94">
        <w:t xml:space="preserve">The following graphic illustrates this continuing connection, right from the point of collection, </w:t>
      </w:r>
      <w:r w:rsidR="00CA6058">
        <w:t xml:space="preserve">and how </w:t>
      </w:r>
      <w:r w:rsidR="00E043D8">
        <w:t xml:space="preserve">maintenance of this connection is necessary for self-determination. </w:t>
      </w:r>
    </w:p>
    <w:p w14:paraId="4CACC2A6" w14:textId="77777777" w:rsidR="00506413" w:rsidRDefault="006C092E" w:rsidP="002B5F46">
      <w:pPr>
        <w:keepNext/>
      </w:pPr>
      <w:r>
        <w:rPr>
          <w:noProof/>
        </w:rPr>
        <w:drawing>
          <wp:inline distT="0" distB="0" distL="0" distR="0" wp14:anchorId="16DF0C00" wp14:editId="27309113">
            <wp:extent cx="5731510" cy="1629410"/>
            <wp:effectExtent l="0" t="0" r="2540" b="8890"/>
            <wp:docPr id="1" name="Picture 1" descr="Figure 1: Continuing connections and self determination&#10;&#10;Individual and Community consent, Ownership and Control, Data Soverignty, Self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ontinuing connections and self determination&#10;&#10;Individual and Community consent, Ownership and Control, Data Soverignty, Self determination"/>
                    <pic:cNvPicPr/>
                  </pic:nvPicPr>
                  <pic:blipFill>
                    <a:blip r:embed="rId15"/>
                    <a:stretch>
                      <a:fillRect/>
                    </a:stretch>
                  </pic:blipFill>
                  <pic:spPr>
                    <a:xfrm>
                      <a:off x="0" y="0"/>
                      <a:ext cx="5731510" cy="1629410"/>
                    </a:xfrm>
                    <a:prstGeom prst="rect">
                      <a:avLst/>
                    </a:prstGeom>
                  </pic:spPr>
                </pic:pic>
              </a:graphicData>
            </a:graphic>
          </wp:inline>
        </w:drawing>
      </w:r>
    </w:p>
    <w:p w14:paraId="15070B9E" w14:textId="137315EE" w:rsidR="00E043D8" w:rsidRDefault="00506413" w:rsidP="00320B38">
      <w:pPr>
        <w:pStyle w:val="Caption"/>
      </w:pPr>
      <w:bookmarkStart w:id="22" w:name="_Ref44266901"/>
      <w:bookmarkStart w:id="23" w:name="_Toc45145513"/>
      <w:r>
        <w:t xml:space="preserve">Figure </w:t>
      </w:r>
      <w:r w:rsidRPr="00A7008D">
        <w:rPr>
          <w:sz w:val="20"/>
        </w:rPr>
        <w:fldChar w:fldCharType="begin"/>
      </w:r>
      <w:r w:rsidRPr="00A7008D">
        <w:rPr>
          <w:sz w:val="20"/>
        </w:rPr>
        <w:instrText xml:space="preserve"> SEQ Figure \* ARABIC </w:instrText>
      </w:r>
      <w:r w:rsidRPr="00A7008D">
        <w:rPr>
          <w:sz w:val="20"/>
        </w:rPr>
        <w:fldChar w:fldCharType="separate"/>
      </w:r>
      <w:r w:rsidR="000B4085">
        <w:rPr>
          <w:noProof/>
          <w:sz w:val="20"/>
        </w:rPr>
        <w:t>1</w:t>
      </w:r>
      <w:r w:rsidRPr="00A7008D">
        <w:rPr>
          <w:sz w:val="20"/>
        </w:rPr>
        <w:fldChar w:fldCharType="end"/>
      </w:r>
      <w:bookmarkEnd w:id="22"/>
      <w:r>
        <w:t xml:space="preserve">: </w:t>
      </w:r>
      <w:r w:rsidRPr="00320B38">
        <w:t>Continuing</w:t>
      </w:r>
      <w:r>
        <w:t xml:space="preserve"> connections and self determination</w:t>
      </w:r>
      <w:bookmarkEnd w:id="23"/>
    </w:p>
    <w:p w14:paraId="65255771" w14:textId="77777777" w:rsidR="00DB39FA" w:rsidRDefault="00FB45E3" w:rsidP="00AC73DF">
      <w:r>
        <w:t xml:space="preserve">In our discussions with the Advisory Group, </w:t>
      </w:r>
      <w:r w:rsidR="007B4F2C">
        <w:t xml:space="preserve">several </w:t>
      </w:r>
      <w:r w:rsidR="000945F2">
        <w:t xml:space="preserve">requirements of culturally appropriate management and use </w:t>
      </w:r>
      <w:r w:rsidR="0070435A">
        <w:t xml:space="preserve">Aboriginal and Torres Strait Islander </w:t>
      </w:r>
      <w:r w:rsidR="00DB39FA">
        <w:t>samples and data were discussed, including:</w:t>
      </w:r>
    </w:p>
    <w:p w14:paraId="78AE8D30" w14:textId="737C8EF7" w:rsidR="00DB39FA" w:rsidRDefault="00CD5C2A" w:rsidP="00320B38">
      <w:pPr>
        <w:pStyle w:val="ListBullet"/>
      </w:pPr>
      <w:r>
        <w:t>t</w:t>
      </w:r>
      <w:r w:rsidR="00DB39FA">
        <w:t xml:space="preserve">he </w:t>
      </w:r>
      <w:r w:rsidR="00CF0CC5">
        <w:t xml:space="preserve">need </w:t>
      </w:r>
      <w:r w:rsidR="00DB39FA">
        <w:t xml:space="preserve">for </w:t>
      </w:r>
      <w:r w:rsidR="00CF0CC5">
        <w:t>transparency in the storage and management of their samples and data</w:t>
      </w:r>
      <w:r w:rsidR="000C336A">
        <w:t>;</w:t>
      </w:r>
      <w:r w:rsidR="00CF0CC5">
        <w:t xml:space="preserve"> </w:t>
      </w:r>
    </w:p>
    <w:p w14:paraId="69F97934" w14:textId="0C857E96" w:rsidR="00D221D7" w:rsidRDefault="00CD5C2A" w:rsidP="00320B38">
      <w:pPr>
        <w:pStyle w:val="ListBullet"/>
      </w:pPr>
      <w:r>
        <w:t>o</w:t>
      </w:r>
      <w:r w:rsidR="00D221D7">
        <w:t xml:space="preserve">ngoing ownership and control over how samples are used </w:t>
      </w:r>
      <w:r w:rsidR="00D05D2A">
        <w:t>including what research projects they are used in</w:t>
      </w:r>
      <w:r w:rsidR="000C336A">
        <w:t>;</w:t>
      </w:r>
      <w:r w:rsidR="00D05D2A">
        <w:t xml:space="preserve"> </w:t>
      </w:r>
    </w:p>
    <w:p w14:paraId="67A98249" w14:textId="35547414" w:rsidR="00152BB7" w:rsidRDefault="00CD5C2A" w:rsidP="00320B38">
      <w:pPr>
        <w:pStyle w:val="ListBullet"/>
      </w:pPr>
      <w:r>
        <w:t>n</w:t>
      </w:r>
      <w:r w:rsidR="001416C7">
        <w:t>ecessary protections against the use of samples or research to disadvantage Aboriginal and Torres Strait Islander peoples</w:t>
      </w:r>
      <w:r w:rsidR="000C336A">
        <w:t>;</w:t>
      </w:r>
      <w:r w:rsidR="001416C7">
        <w:t xml:space="preserve"> </w:t>
      </w:r>
    </w:p>
    <w:p w14:paraId="2383D319" w14:textId="4EB0729D" w:rsidR="003F367D" w:rsidRDefault="00CD5C2A" w:rsidP="00320B38">
      <w:pPr>
        <w:pStyle w:val="ListBullet"/>
      </w:pPr>
      <w:r>
        <w:t>n</w:t>
      </w:r>
      <w:r w:rsidR="00152BB7">
        <w:t>ecessary measure</w:t>
      </w:r>
      <w:r w:rsidR="009259F0">
        <w:t>s</w:t>
      </w:r>
      <w:r w:rsidR="00152BB7">
        <w:t xml:space="preserve"> to ensure that Aboriginal and Torres Strait Islander peoples </w:t>
      </w:r>
      <w:r w:rsidR="00A54EBB">
        <w:t xml:space="preserve">receive equitable access to health </w:t>
      </w:r>
      <w:r w:rsidR="00B27EED">
        <w:t>outcomes</w:t>
      </w:r>
      <w:r w:rsidR="009259F0">
        <w:t>; and</w:t>
      </w:r>
      <w:r w:rsidR="00B27EED">
        <w:t xml:space="preserve"> </w:t>
      </w:r>
    </w:p>
    <w:p w14:paraId="52D46394" w14:textId="160D66DF" w:rsidR="0070435A" w:rsidRDefault="00CD5C2A" w:rsidP="00320B38">
      <w:pPr>
        <w:pStyle w:val="ListBullet"/>
      </w:pPr>
      <w:r>
        <w:t>p</w:t>
      </w:r>
      <w:r w:rsidR="00C74ABA">
        <w:t xml:space="preserve">lanning for </w:t>
      </w:r>
      <w:r w:rsidR="00B27EED">
        <w:t>who will have responsibility for their samples when the</w:t>
      </w:r>
      <w:r w:rsidR="00C74ABA">
        <w:t xml:space="preserve"> donor</w:t>
      </w:r>
      <w:r w:rsidR="00B27EED">
        <w:t xml:space="preserve"> pass</w:t>
      </w:r>
      <w:r w:rsidR="00C74ABA">
        <w:t>es</w:t>
      </w:r>
      <w:r w:rsidR="00B27EED">
        <w:t xml:space="preserve"> away. </w:t>
      </w:r>
    </w:p>
    <w:p w14:paraId="68ADC6CE" w14:textId="118A18F0" w:rsidR="00C74ABA" w:rsidRDefault="00FF3335" w:rsidP="00AC73DF">
      <w:r>
        <w:lastRenderedPageBreak/>
        <w:t xml:space="preserve">This list </w:t>
      </w:r>
      <w:r w:rsidR="00C16D21">
        <w:t xml:space="preserve">covers just a </w:t>
      </w:r>
      <w:r w:rsidR="00C32EB3">
        <w:t xml:space="preserve">few of the on-going concerns of Aboriginal and Torres Strait Islander peoples over their genomic materials. </w:t>
      </w:r>
      <w:r w:rsidR="00A578CA">
        <w:t xml:space="preserve">No list can be exhaustive as every Aboriginal and Torres Strait Islander community will have different needs and requirements. And as </w:t>
      </w:r>
      <w:r w:rsidR="009259F0">
        <w:t xml:space="preserve">one Advisory Group member </w:t>
      </w:r>
      <w:r w:rsidR="00A578CA">
        <w:t>underlined, communities are best placed to know what they need. They may already have policies and procedures in place guiding how consultations should be conducted, and how permission to research should be sought. In which case, of course</w:t>
      </w:r>
      <w:r w:rsidR="009259F0">
        <w:t>,</w:t>
      </w:r>
      <w:r w:rsidR="00A578CA">
        <w:t xml:space="preserve"> these procedures should be followed.</w:t>
      </w:r>
    </w:p>
    <w:p w14:paraId="2299DF85" w14:textId="3DBEA671" w:rsidR="009D3F39" w:rsidRDefault="009259F0" w:rsidP="002B5F46">
      <w:r>
        <w:t>R</w:t>
      </w:r>
      <w:r w:rsidR="00862530">
        <w:t xml:space="preserve">esearch must include Aboriginal and Torres Strait </w:t>
      </w:r>
      <w:r w:rsidR="00FB04EF">
        <w:t>Islander peoples right from the start</w:t>
      </w:r>
      <w:r w:rsidR="00655B83">
        <w:t xml:space="preserve"> and </w:t>
      </w:r>
      <w:r w:rsidR="00FB04EF">
        <w:t xml:space="preserve">discussion of potential risks and benefits must begin </w:t>
      </w:r>
      <w:r w:rsidR="008F6350">
        <w:t>very early in the conversation</w:t>
      </w:r>
      <w:r w:rsidR="00E555FE">
        <w:t xml:space="preserve">. </w:t>
      </w:r>
      <w:r w:rsidR="002F4B75">
        <w:t xml:space="preserve">Discussion should also make clear that benefits could be immediate, or long term. Alternatively, </w:t>
      </w:r>
      <w:r w:rsidR="00BE49BC">
        <w:t xml:space="preserve">if there is </w:t>
      </w:r>
      <w:r w:rsidR="002F4B75">
        <w:t>the</w:t>
      </w:r>
      <w:r w:rsidR="00387541">
        <w:t>re is a risk that no benefits will come from the research at all</w:t>
      </w:r>
      <w:r w:rsidR="00BE49BC">
        <w:t xml:space="preserve"> this must also be stated clearly. </w:t>
      </w:r>
      <w:r w:rsidR="008F6350">
        <w:t>Aboriginal and Torres Strait Islander peoples must retain access to and control over the samples and data. This includes return, or destruction of samples when requested.</w:t>
      </w:r>
    </w:p>
    <w:p w14:paraId="21216FEF" w14:textId="491251C9" w:rsidR="00CA7B04" w:rsidRPr="008E5C92" w:rsidRDefault="00A322F5" w:rsidP="00AC73DF">
      <w:pPr>
        <w:pStyle w:val="Heading2"/>
        <w:rPr>
          <w:lang w:val="en-AU"/>
        </w:rPr>
      </w:pPr>
      <w:bookmarkStart w:id="24" w:name="_Toc118824302"/>
      <w:r w:rsidRPr="008E5C92">
        <w:rPr>
          <w:lang w:val="en-AU"/>
        </w:rPr>
        <w:t xml:space="preserve">Access to </w:t>
      </w:r>
      <w:r w:rsidR="000121D2" w:rsidRPr="008E5C92">
        <w:rPr>
          <w:lang w:val="en-AU"/>
        </w:rPr>
        <w:t>health outcomes</w:t>
      </w:r>
      <w:bookmarkEnd w:id="24"/>
      <w:r w:rsidR="000121D2" w:rsidRPr="008E5C92">
        <w:rPr>
          <w:lang w:val="en-AU"/>
        </w:rPr>
        <w:t xml:space="preserve"> </w:t>
      </w:r>
    </w:p>
    <w:p w14:paraId="44B14226" w14:textId="5B747B3B" w:rsidR="00B97CFC" w:rsidRPr="008E5C92" w:rsidRDefault="00B97CFC" w:rsidP="00AC73DF">
      <w:r w:rsidRPr="008E5C92">
        <w:t>Genomic studies rely on reference genes. An individual’s genes may be compared to the reference genetic profile, and any genetic variation could suggest a genetic cause for a medical condition, or predisposition to a medical condition. However, genomic studies have largely focused on donors of European descent. This means that the majority of reference genes may be accurate to people of mostly European descent only. To compare the genetic profile of, for example, a Wiradjuri woman to a European genetic reference is going to be of limited utility – the researcher may not be able to say whether the woman’s genetic variation is indicative of a medical condition, or just a common genetic variation among Wiradjuri people. In addition, there can be no such thing as an “Aboriginal and Torres Strait Islander reference profile” as Aboriginal and Torres Strait Islander peoples are enormously genetically diverse. The genetic profile of a Noongar man, is going to be vastly different from the genetic profile of an Anmatyerre woman and both are different again from a Meriam man. This was noted by a number of advisors.</w:t>
      </w:r>
    </w:p>
    <w:p w14:paraId="5A9717A9" w14:textId="769EC9D1" w:rsidR="0045137A" w:rsidRPr="008E5C92" w:rsidRDefault="0045137A" w:rsidP="00AC73DF">
      <w:r w:rsidRPr="008E5C92">
        <w:t xml:space="preserve">The lack of appropriately diverse reference genomes contributes to inequitable access to health outcomes. </w:t>
      </w:r>
    </w:p>
    <w:p w14:paraId="7173A109" w14:textId="0010005D" w:rsidR="0045137A" w:rsidRPr="008E5C92" w:rsidRDefault="0045137A" w:rsidP="00AC73DF">
      <w:r w:rsidRPr="008E5C92">
        <w:t>To illustrate, we will paraphrase a hypothetic</w:t>
      </w:r>
      <w:r w:rsidR="00FF2AC2">
        <w:t>al situation</w:t>
      </w:r>
      <w:r w:rsidRPr="008E5C92">
        <w:t xml:space="preserve"> suggested by one of the Advisory Group members: </w:t>
      </w:r>
    </w:p>
    <w:p w14:paraId="7BF5C3A9" w14:textId="5ED75597" w:rsidR="0045137A" w:rsidRPr="002B5F46" w:rsidRDefault="0045137A" w:rsidP="002B5F46">
      <w:pPr>
        <w:ind w:left="567" w:right="521"/>
        <w:rPr>
          <w:i/>
          <w:iCs/>
        </w:rPr>
      </w:pPr>
      <w:r w:rsidRPr="002B5F46">
        <w:rPr>
          <w:i/>
          <w:iCs/>
        </w:rPr>
        <w:t xml:space="preserve">A doctor gets consent from </w:t>
      </w:r>
      <w:r w:rsidRPr="00320B38">
        <w:rPr>
          <w:rStyle w:val="QuoteChar"/>
        </w:rPr>
        <w:t xml:space="preserve">a patient to run a blood test to diagnose condition A. However, when the results come </w:t>
      </w:r>
      <w:r w:rsidR="0090025A" w:rsidRPr="00320B38">
        <w:rPr>
          <w:rStyle w:val="QuoteChar"/>
        </w:rPr>
        <w:t>back</w:t>
      </w:r>
      <w:r w:rsidRPr="00320B38">
        <w:rPr>
          <w:rStyle w:val="QuoteChar"/>
        </w:rPr>
        <w:t>, they reveal a genetic variation that could suggest a predisposition to condition B. The doctor informs the patient of this potential condition B and together they decide to run further diagnostic tests. Given the genetic condition (if it exists) is likely to be hereditary, the doctor and the patient decide to bring the patient’s immediate family into the conversation. The patient’s family are concerned, and the decision is made to do further testing. Bearing in mind that there is an element of risk with all medical procedures, what if the patient’s grandmother suffers a complication? And what if, once further data is collected, it is found that the genetic variation is a common variant among Aboriginal people from that area, and did not signify any</w:t>
      </w:r>
      <w:r w:rsidRPr="002B5F46">
        <w:rPr>
          <w:i/>
          <w:iCs/>
        </w:rPr>
        <w:t xml:space="preserve"> medical issues? </w:t>
      </w:r>
    </w:p>
    <w:p w14:paraId="43540B2C" w14:textId="77777777" w:rsidR="00C54C9F" w:rsidRPr="008E5C92" w:rsidRDefault="0045137A" w:rsidP="00AC73DF">
      <w:r w:rsidRPr="008E5C92">
        <w:t xml:space="preserve">In short, lack of diverse data has meant that there are variants of unknown significance, which could lead to either (a) medically significant variants being overlooked, or (b) patients going through unnecessary procedures based on non-medically significant variations. </w:t>
      </w:r>
    </w:p>
    <w:p w14:paraId="1E3D79BD" w14:textId="1B581FDF" w:rsidR="00C41C73" w:rsidRPr="008E5C92" w:rsidRDefault="0045137A" w:rsidP="00AC73DF">
      <w:r w:rsidRPr="008E5C92">
        <w:lastRenderedPageBreak/>
        <w:t xml:space="preserve">Another </w:t>
      </w:r>
      <w:r w:rsidR="00C54C9F" w:rsidRPr="008E5C92">
        <w:t>Advisory Group member</w:t>
      </w:r>
      <w:r w:rsidRPr="008E5C92">
        <w:t>, speaking to the same issue</w:t>
      </w:r>
      <w:r w:rsidR="00C42F0D" w:rsidRPr="008E5C92">
        <w:t>,</w:t>
      </w:r>
      <w:r w:rsidRPr="008E5C92">
        <w:t xml:space="preserve"> referred to a US case study in which a study involving African Americans showed that African American reference data </w:t>
      </w:r>
      <w:r w:rsidR="00CF662E" w:rsidRPr="008E5C92">
        <w:t xml:space="preserve">varied in a statistically significant way from the </w:t>
      </w:r>
      <w:r w:rsidR="00602633" w:rsidRPr="008E5C92">
        <w:t xml:space="preserve">existing </w:t>
      </w:r>
      <w:r w:rsidRPr="008E5C92">
        <w:t xml:space="preserve">reference data (the reference data being drawn from the broader US population). This led to false positives and false negatives, meaning African American patients were given inappropriate medical care. </w:t>
      </w:r>
    </w:p>
    <w:p w14:paraId="1E603218" w14:textId="051E309A" w:rsidR="0045137A" w:rsidRPr="008E5C92" w:rsidRDefault="00366979" w:rsidP="00AC73DF">
      <w:r>
        <w:t xml:space="preserve">Another </w:t>
      </w:r>
      <w:r w:rsidR="0045137A" w:rsidRPr="008E5C92">
        <w:t>potential (and timely) example</w:t>
      </w:r>
      <w:r>
        <w:t xml:space="preserve"> was also given</w:t>
      </w:r>
      <w:r w:rsidR="0045137A" w:rsidRPr="008E5C92">
        <w:t xml:space="preserve">: </w:t>
      </w:r>
      <w:r w:rsidR="00205E65">
        <w:t>there are genomic differences in some Aboriginal and Torres Strait Islander people</w:t>
      </w:r>
      <w:r w:rsidR="00680F4F">
        <w:t xml:space="preserve">, in the ACE2 receptor site (where COVID 19 enters the cell) and its currently unknown </w:t>
      </w:r>
      <w:r w:rsidR="00516A67">
        <w:t xml:space="preserve">how much these insertion/deletions affect infectivity in Aboriginal and Torres Strait Islander peoples </w:t>
      </w:r>
      <w:r w:rsidR="004A7BDB">
        <w:t>or the course of the disease.</w:t>
      </w:r>
    </w:p>
    <w:p w14:paraId="02538EBA" w14:textId="10E1307C" w:rsidR="0045137A" w:rsidRDefault="0045137A" w:rsidP="00AC05CB">
      <w:r w:rsidRPr="008E5C92">
        <w:t>In another example, in 2014 a study of Inuit people in Greenland found that 23</w:t>
      </w:r>
      <w:r w:rsidR="00ED4FA7" w:rsidRPr="008E5C92">
        <w:t>%</w:t>
      </w:r>
      <w:r w:rsidRPr="008E5C92">
        <w:t xml:space="preserve"> of Inuit people had an unusual gene variation which meant that they were 10 times more likely to get diabetes than other people. However, this unusual variation is not found anywhere else in the world.</w:t>
      </w:r>
      <w:r w:rsidRPr="008E5C92">
        <w:rPr>
          <w:rStyle w:val="FootnoteReference"/>
        </w:rPr>
        <w:footnoteReference w:id="15"/>
      </w:r>
      <w:r w:rsidRPr="008E5C92">
        <w:t xml:space="preserve"> This suggests the possibility that the diabetes of Inuit people may be slightly different from diabetes of other people, which in turn means that diabetes medication that is suitable for the general population may not give the same benefits to Inuit people with diabetes.</w:t>
      </w:r>
      <w:r w:rsidRPr="008E5C92">
        <w:rPr>
          <w:rStyle w:val="FootnoteReference"/>
        </w:rPr>
        <w:footnoteReference w:id="16"/>
      </w:r>
      <w:r w:rsidRPr="008E5C92">
        <w:t xml:space="preserve"> </w:t>
      </w:r>
    </w:p>
    <w:p w14:paraId="7598D16D" w14:textId="57A632DD" w:rsidR="00951C37" w:rsidRPr="008E5C92" w:rsidRDefault="00951C37" w:rsidP="00AC73DF">
      <w:pPr>
        <w:pStyle w:val="Heading2"/>
        <w:rPr>
          <w:lang w:val="en-AU"/>
        </w:rPr>
      </w:pPr>
      <w:bookmarkStart w:id="25" w:name="_Ref39157798"/>
      <w:bookmarkStart w:id="26" w:name="_Toc118824303"/>
      <w:r w:rsidRPr="008E5C92">
        <w:rPr>
          <w:lang w:val="en-AU"/>
        </w:rPr>
        <w:t>Collection and use of information</w:t>
      </w:r>
      <w:bookmarkEnd w:id="25"/>
      <w:bookmarkEnd w:id="26"/>
    </w:p>
    <w:p w14:paraId="3C36A170" w14:textId="77777777" w:rsidR="00C71348" w:rsidRPr="008E5C92" w:rsidRDefault="008F77B9" w:rsidP="00AC73DF">
      <w:r w:rsidRPr="008E5C92">
        <w:t xml:space="preserve">In fact, collection and use of information </w:t>
      </w:r>
      <w:r w:rsidR="005975C2" w:rsidRPr="008E5C92">
        <w:t xml:space="preserve">is a broad term that covers a range of activities, all of which are of significant concern to Aboriginal and Torres Strait Islander peoples. These activities include: </w:t>
      </w:r>
    </w:p>
    <w:p w14:paraId="1EDA0ECB" w14:textId="3610930A" w:rsidR="005975C2" w:rsidRPr="008E5C92" w:rsidRDefault="00C71348" w:rsidP="00320B38">
      <w:pPr>
        <w:pStyle w:val="ListBullet"/>
      </w:pPr>
      <w:r w:rsidRPr="008E5C92">
        <w:t>c</w:t>
      </w:r>
      <w:r w:rsidR="006B731A" w:rsidRPr="008E5C92">
        <w:t>ollection of samples</w:t>
      </w:r>
      <w:r w:rsidRPr="008E5C92">
        <w:t xml:space="preserve"> from the individual</w:t>
      </w:r>
      <w:r w:rsidR="00CD5C2A" w:rsidRPr="008E5C92">
        <w:t>;</w:t>
      </w:r>
    </w:p>
    <w:p w14:paraId="09EA061B" w14:textId="6D21331C" w:rsidR="005975C2" w:rsidRPr="008E5C92" w:rsidRDefault="006B731A" w:rsidP="00320B38">
      <w:pPr>
        <w:pStyle w:val="ListBullet"/>
      </w:pPr>
      <w:r w:rsidRPr="008E5C92">
        <w:t>storage of the samples</w:t>
      </w:r>
      <w:r w:rsidR="00CD5C2A" w:rsidRPr="008E5C92">
        <w:t>;</w:t>
      </w:r>
      <w:r w:rsidRPr="008E5C92">
        <w:t xml:space="preserve"> </w:t>
      </w:r>
    </w:p>
    <w:p w14:paraId="2A695970" w14:textId="39F4C6DA" w:rsidR="005975C2" w:rsidRPr="008E5C92" w:rsidRDefault="00C71348" w:rsidP="00320B38">
      <w:pPr>
        <w:pStyle w:val="ListBullet"/>
      </w:pPr>
      <w:r w:rsidRPr="008E5C92">
        <w:t>e</w:t>
      </w:r>
      <w:r w:rsidR="005975C2" w:rsidRPr="008E5C92">
        <w:t>xtraction of data from samples, and storage of that data</w:t>
      </w:r>
      <w:r w:rsidR="00CD5C2A" w:rsidRPr="008E5C92">
        <w:t>;</w:t>
      </w:r>
      <w:r w:rsidR="005975C2" w:rsidRPr="008E5C92">
        <w:t xml:space="preserve"> </w:t>
      </w:r>
    </w:p>
    <w:p w14:paraId="6EE9D003" w14:textId="2A85768B" w:rsidR="00A77A5F" w:rsidRPr="008E5C92" w:rsidRDefault="00A77A5F" w:rsidP="00320B38">
      <w:pPr>
        <w:pStyle w:val="ListBullet"/>
      </w:pPr>
      <w:r w:rsidRPr="008E5C92">
        <w:t>u</w:t>
      </w:r>
      <w:r w:rsidR="00EC34CA" w:rsidRPr="008E5C92">
        <w:t>se of th</w:t>
      </w:r>
      <w:r w:rsidRPr="008E5C92">
        <w:t>at</w:t>
      </w:r>
      <w:r w:rsidR="00EC34CA" w:rsidRPr="008E5C92">
        <w:t xml:space="preserve"> data in research and clinical applications</w:t>
      </w:r>
      <w:r w:rsidR="00CD5C2A" w:rsidRPr="008E5C92">
        <w:t>;</w:t>
      </w:r>
      <w:r w:rsidR="009E0F35" w:rsidRPr="008E5C92">
        <w:t xml:space="preserve"> and</w:t>
      </w:r>
      <w:r w:rsidR="00EC34CA" w:rsidRPr="008E5C92">
        <w:t xml:space="preserve"> </w:t>
      </w:r>
    </w:p>
    <w:p w14:paraId="623B81DD" w14:textId="32855502" w:rsidR="00C71348" w:rsidRPr="008E5C92" w:rsidRDefault="00A77A5F" w:rsidP="00320B38">
      <w:pPr>
        <w:pStyle w:val="ListBullet"/>
      </w:pPr>
      <w:r w:rsidRPr="008E5C92">
        <w:t xml:space="preserve">disclosures about the individual and </w:t>
      </w:r>
      <w:r w:rsidR="00C71348" w:rsidRPr="008E5C92">
        <w:t>their family and clan</w:t>
      </w:r>
      <w:r w:rsidR="009E0F35" w:rsidRPr="008E5C92">
        <w:t>.</w:t>
      </w:r>
      <w:r w:rsidR="00C71348" w:rsidRPr="008E5C92">
        <w:t xml:space="preserve"> </w:t>
      </w:r>
    </w:p>
    <w:p w14:paraId="1DFA231A" w14:textId="048966B4" w:rsidR="002352DE" w:rsidRPr="008E5C92" w:rsidRDefault="00731D84" w:rsidP="00AC73DF">
      <w:r w:rsidRPr="008E5C92">
        <w:t xml:space="preserve">Concerns include: </w:t>
      </w:r>
    </w:p>
    <w:p w14:paraId="023A0C3C" w14:textId="38CA967A" w:rsidR="00BF652C" w:rsidRPr="008E5C92" w:rsidRDefault="00EE7BE1" w:rsidP="00320B38">
      <w:pPr>
        <w:pStyle w:val="ListBullet"/>
      </w:pPr>
      <w:r w:rsidRPr="008E5C92">
        <w:t>m</w:t>
      </w:r>
      <w:r w:rsidR="00BF652C" w:rsidRPr="008E5C92">
        <w:t>isuse of samples in culturally unsafe or disrespectful ways</w:t>
      </w:r>
      <w:r w:rsidR="008044CA" w:rsidRPr="008E5C92">
        <w:t>;</w:t>
      </w:r>
      <w:r w:rsidR="00BF652C" w:rsidRPr="008E5C92">
        <w:t xml:space="preserve"> </w:t>
      </w:r>
    </w:p>
    <w:p w14:paraId="4E3090E7" w14:textId="4EFBA28E" w:rsidR="00BF652C" w:rsidRPr="008E5C92" w:rsidRDefault="00EE7BE1" w:rsidP="00320B38">
      <w:pPr>
        <w:pStyle w:val="ListBullet"/>
      </w:pPr>
      <w:r w:rsidRPr="008E5C92">
        <w:t>m</w:t>
      </w:r>
      <w:r w:rsidR="00BF652C" w:rsidRPr="008E5C92">
        <w:t xml:space="preserve">isuse of </w:t>
      </w:r>
      <w:r w:rsidR="008213DB" w:rsidRPr="008E5C92">
        <w:t>data in culturally unsafe or disrespectful ways</w:t>
      </w:r>
      <w:r w:rsidR="008044CA" w:rsidRPr="008E5C92">
        <w:t>;</w:t>
      </w:r>
      <w:r w:rsidR="008213DB" w:rsidRPr="008E5C92">
        <w:t xml:space="preserve"> </w:t>
      </w:r>
    </w:p>
    <w:p w14:paraId="4E57AF17" w14:textId="1793B3F8" w:rsidR="008213DB" w:rsidRPr="008E5C92" w:rsidRDefault="00EE7BE1" w:rsidP="00320B38">
      <w:pPr>
        <w:pStyle w:val="ListBullet"/>
      </w:pPr>
      <w:r w:rsidRPr="008E5C92">
        <w:t>u</w:t>
      </w:r>
      <w:r w:rsidR="008213DB" w:rsidRPr="008E5C92">
        <w:t xml:space="preserve">se of data </w:t>
      </w:r>
      <w:r w:rsidR="00A96F2C" w:rsidRPr="008E5C92">
        <w:t>to disadvantage Aboriginal and Torres Strait Islander peoples, at law or in the health care system</w:t>
      </w:r>
      <w:r w:rsidR="008044CA" w:rsidRPr="008E5C92">
        <w:t>; and</w:t>
      </w:r>
      <w:r w:rsidR="00A96F2C" w:rsidRPr="008E5C92">
        <w:t xml:space="preserve"> </w:t>
      </w:r>
    </w:p>
    <w:p w14:paraId="777AC770" w14:textId="60306F2D" w:rsidR="00D11210" w:rsidRPr="008E5C92" w:rsidRDefault="00EE7BE1" w:rsidP="00320B38">
      <w:pPr>
        <w:pStyle w:val="ListBullet"/>
      </w:pPr>
      <w:r w:rsidRPr="008E5C92">
        <w:t>m</w:t>
      </w:r>
      <w:r w:rsidR="00D11210" w:rsidRPr="008E5C92">
        <w:t>isuse</w:t>
      </w:r>
      <w:r w:rsidR="007A7513" w:rsidRPr="008E5C92">
        <w:t>s</w:t>
      </w:r>
      <w:r w:rsidR="00D11210" w:rsidRPr="008E5C92">
        <w:t xml:space="preserve"> of data or samples</w:t>
      </w:r>
      <w:r w:rsidR="003756C0" w:rsidRPr="008E5C92">
        <w:t xml:space="preserve"> that compromises the individual’s standing in their family or clan. </w:t>
      </w:r>
    </w:p>
    <w:p w14:paraId="6819E7F2" w14:textId="39E5FB90" w:rsidR="00E31172" w:rsidRPr="008E5C92" w:rsidRDefault="006C61DE" w:rsidP="00AC73DF">
      <w:r w:rsidRPr="008E5C92">
        <w:t>Concerns over misuse</w:t>
      </w:r>
      <w:r w:rsidR="00516EBD" w:rsidRPr="008E5C92">
        <w:t>, positions c</w:t>
      </w:r>
      <w:r w:rsidR="004E04F4" w:rsidRPr="008E5C92">
        <w:t xml:space="preserve">onsent </w:t>
      </w:r>
      <w:r w:rsidR="00BA008E" w:rsidRPr="008E5C92">
        <w:t>(</w:t>
      </w:r>
      <w:r w:rsidR="004E04F4" w:rsidRPr="008E5C92">
        <w:t>and in particular the circumstances under which consent is sought and given</w:t>
      </w:r>
      <w:r w:rsidR="00BA008E" w:rsidRPr="008E5C92">
        <w:t>)</w:t>
      </w:r>
      <w:r w:rsidR="004E04F4" w:rsidRPr="008E5C92">
        <w:t xml:space="preserve"> </w:t>
      </w:r>
      <w:r w:rsidR="00516EBD" w:rsidRPr="008E5C92">
        <w:t xml:space="preserve">as a central issue </w:t>
      </w:r>
      <w:r w:rsidR="00EA690A" w:rsidRPr="008E5C92">
        <w:t xml:space="preserve">when it comes to collection and use of information. </w:t>
      </w:r>
      <w:r w:rsidR="000C2C13" w:rsidRPr="008E5C92">
        <w:t xml:space="preserve">This section looks at several key </w:t>
      </w:r>
      <w:r w:rsidR="008F77B9" w:rsidRPr="008E5C92">
        <w:t xml:space="preserve">consent </w:t>
      </w:r>
      <w:r w:rsidR="000C2C13" w:rsidRPr="008E5C92">
        <w:t xml:space="preserve">questions that arise when discussing </w:t>
      </w:r>
      <w:r w:rsidR="008F77B9" w:rsidRPr="008E5C92">
        <w:t xml:space="preserve">the collection and use of information. </w:t>
      </w:r>
    </w:p>
    <w:p w14:paraId="46F08420" w14:textId="723B37CB" w:rsidR="005E4FE2" w:rsidRPr="008E5C92" w:rsidRDefault="00D24E7D" w:rsidP="00AC73DF">
      <w:r w:rsidRPr="008E5C92">
        <w:lastRenderedPageBreak/>
        <w:t xml:space="preserve">As we look at these key questions, it is important to remember that consent </w:t>
      </w:r>
      <w:r w:rsidR="00346873" w:rsidRPr="008E5C92">
        <w:t xml:space="preserve">is an on-going issue rather than a threshold requirement. The following graphic illustrates the </w:t>
      </w:r>
      <w:r w:rsidR="00885CC7" w:rsidRPr="008E5C92">
        <w:t xml:space="preserve">on-going consent cycle necessary for on-going ownership and control. </w:t>
      </w:r>
    </w:p>
    <w:p w14:paraId="1177AEB3" w14:textId="77777777" w:rsidR="00DC33B4" w:rsidRDefault="007C5112" w:rsidP="002B5F46">
      <w:pPr>
        <w:keepNext/>
      </w:pPr>
      <w:r>
        <w:rPr>
          <w:noProof/>
        </w:rPr>
        <w:drawing>
          <wp:inline distT="0" distB="0" distL="0" distR="0" wp14:anchorId="04201CBC" wp14:editId="5AEE2111">
            <wp:extent cx="5731510" cy="3193415"/>
            <wp:effectExtent l="0" t="0" r="2540" b="6985"/>
            <wp:docPr id="18" name="Picture 18" descr="Figure 2: The on-going consent cycle&#10;&#10;Who gives consent?&#10;Scope of Consent&#10;Circumstances of consent&#10;Re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The on-going consent cycle&#10;&#10;Who gives consent?&#10;Scope of Consent&#10;Circumstances of consent&#10;Reconsent"/>
                    <pic:cNvPicPr/>
                  </pic:nvPicPr>
                  <pic:blipFill>
                    <a:blip r:embed="rId16"/>
                    <a:stretch>
                      <a:fillRect/>
                    </a:stretch>
                  </pic:blipFill>
                  <pic:spPr>
                    <a:xfrm>
                      <a:off x="0" y="0"/>
                      <a:ext cx="5731510" cy="3193415"/>
                    </a:xfrm>
                    <a:prstGeom prst="rect">
                      <a:avLst/>
                    </a:prstGeom>
                  </pic:spPr>
                </pic:pic>
              </a:graphicData>
            </a:graphic>
          </wp:inline>
        </w:drawing>
      </w:r>
    </w:p>
    <w:p w14:paraId="1BCE23D8" w14:textId="50E50ED1" w:rsidR="003A0747" w:rsidRPr="008E5C92" w:rsidRDefault="00DC33B4" w:rsidP="00320B38">
      <w:pPr>
        <w:pStyle w:val="Caption"/>
      </w:pPr>
      <w:bookmarkStart w:id="27" w:name="_Toc45145514"/>
      <w:r>
        <w:t xml:space="preserve">Figure </w:t>
      </w:r>
      <w:r w:rsidRPr="00A7008D">
        <w:fldChar w:fldCharType="begin"/>
      </w:r>
      <w:r w:rsidRPr="00A7008D">
        <w:instrText xml:space="preserve"> SEQ Figure \* ARABIC </w:instrText>
      </w:r>
      <w:r w:rsidRPr="00A7008D">
        <w:fldChar w:fldCharType="separate"/>
      </w:r>
      <w:r w:rsidR="000B4085">
        <w:rPr>
          <w:noProof/>
        </w:rPr>
        <w:t>2</w:t>
      </w:r>
      <w:r w:rsidRPr="00A7008D">
        <w:fldChar w:fldCharType="end"/>
      </w:r>
      <w:r>
        <w:t xml:space="preserve">: </w:t>
      </w:r>
      <w:r>
        <w:rPr>
          <w:bCs/>
        </w:rPr>
        <w:t xml:space="preserve">The on-going consent </w:t>
      </w:r>
      <w:r w:rsidRPr="00320B38">
        <w:t>cycle</w:t>
      </w:r>
      <w:bookmarkEnd w:id="27"/>
    </w:p>
    <w:p w14:paraId="7F07B98D" w14:textId="0FEDF8B5" w:rsidR="00E31172" w:rsidRPr="008E5C92" w:rsidRDefault="009F6EA9" w:rsidP="00AC73DF">
      <w:pPr>
        <w:pStyle w:val="Heading3"/>
        <w:rPr>
          <w:lang w:val="en-AU"/>
        </w:rPr>
      </w:pPr>
      <w:bookmarkStart w:id="28" w:name="_Toc118824304"/>
      <w:r w:rsidRPr="008E5C92">
        <w:rPr>
          <w:lang w:val="en-AU"/>
        </w:rPr>
        <w:t>Who needs to give consent?</w:t>
      </w:r>
      <w:bookmarkEnd w:id="28"/>
      <w:r w:rsidRPr="008E5C92">
        <w:rPr>
          <w:lang w:val="en-AU"/>
        </w:rPr>
        <w:t xml:space="preserve"> </w:t>
      </w:r>
    </w:p>
    <w:p w14:paraId="6BAF3AED" w14:textId="05FB7134" w:rsidR="004D5283" w:rsidRPr="008E5C92" w:rsidRDefault="009F6EA9" w:rsidP="00AC73DF">
      <w:r w:rsidRPr="008E5C92">
        <w:t xml:space="preserve">Western medicine has prioritised individual consent </w:t>
      </w:r>
      <w:r w:rsidR="004A5440" w:rsidRPr="008E5C92">
        <w:t xml:space="preserve">in medical care. However, in the context </w:t>
      </w:r>
      <w:r w:rsidR="004D3A4D" w:rsidRPr="008E5C92">
        <w:t xml:space="preserve">of Aboriginal and Torres Strait Islander genomic research, </w:t>
      </w:r>
      <w:r w:rsidR="004A5440" w:rsidRPr="008E5C92">
        <w:t xml:space="preserve">consent of the individual </w:t>
      </w:r>
      <w:r w:rsidR="004D3A4D" w:rsidRPr="008E5C92">
        <w:t xml:space="preserve">only </w:t>
      </w:r>
      <w:r w:rsidR="004A5440" w:rsidRPr="008E5C92">
        <w:t xml:space="preserve">is </w:t>
      </w:r>
      <w:r w:rsidR="00442B37" w:rsidRPr="008E5C92">
        <w:t>un</w:t>
      </w:r>
      <w:r w:rsidR="004A5440" w:rsidRPr="008E5C92">
        <w:t xml:space="preserve">likely to be </w:t>
      </w:r>
      <w:r w:rsidR="005638B8" w:rsidRPr="008E5C92">
        <w:t xml:space="preserve">sufficient. Instead, consultation with and consent from the individual’s family or clan </w:t>
      </w:r>
      <w:r w:rsidR="00684AE6">
        <w:t>may</w:t>
      </w:r>
      <w:r w:rsidR="00684AE6" w:rsidRPr="008E5C92">
        <w:t xml:space="preserve"> </w:t>
      </w:r>
      <w:r w:rsidR="005638B8" w:rsidRPr="008E5C92">
        <w:t>be necessary.</w:t>
      </w:r>
    </w:p>
    <w:p w14:paraId="7C8A5D7A" w14:textId="2133B13C" w:rsidR="009F6EA9" w:rsidRPr="008E5C92" w:rsidRDefault="004D5283" w:rsidP="00AC73DF">
      <w:r w:rsidRPr="008E5C92">
        <w:t xml:space="preserve">One </w:t>
      </w:r>
      <w:r w:rsidR="000B6252" w:rsidRPr="008E5C92">
        <w:t xml:space="preserve">Advisory Group member </w:t>
      </w:r>
      <w:r w:rsidR="008A22A9" w:rsidRPr="008E5C92">
        <w:t>expressed concerns for</w:t>
      </w:r>
      <w:r w:rsidR="00F54EE9" w:rsidRPr="008E5C92">
        <w:t xml:space="preserve"> consenting on behalf of family, and future family. How can an individual consent </w:t>
      </w:r>
      <w:r w:rsidR="00B11A40" w:rsidRPr="008E5C92">
        <w:t xml:space="preserve">behalf of their family? </w:t>
      </w:r>
      <w:r w:rsidR="00336675" w:rsidRPr="008E5C92">
        <w:t xml:space="preserve">And when it comes to obtaining community consent, what is the process for identifying who </w:t>
      </w:r>
      <w:r w:rsidR="00E56DE9" w:rsidRPr="008E5C92">
        <w:t xml:space="preserve">has authority to consent on behalf of the community? </w:t>
      </w:r>
      <w:r w:rsidR="00936ECD" w:rsidRPr="008E5C92">
        <w:t xml:space="preserve">In this </w:t>
      </w:r>
      <w:r w:rsidR="00691EAF" w:rsidRPr="008E5C92">
        <w:t xml:space="preserve">advisor’s </w:t>
      </w:r>
      <w:r w:rsidR="002223D3" w:rsidRPr="008E5C92">
        <w:t>own consultations on this topic, there was a great variety of opinion.</w:t>
      </w:r>
    </w:p>
    <w:p w14:paraId="77589DC1" w14:textId="32C58557" w:rsidR="0028699A" w:rsidRPr="008E5C92" w:rsidRDefault="00116119" w:rsidP="00AC73DF">
      <w:r w:rsidRPr="008E5C92">
        <w:t xml:space="preserve">This question of who has capacity to consent </w:t>
      </w:r>
      <w:r w:rsidR="00A91F39" w:rsidRPr="008E5C92">
        <w:t xml:space="preserve">continues </w:t>
      </w:r>
      <w:r w:rsidRPr="008E5C92">
        <w:t xml:space="preserve">well beyond the initial consent to take the sample and includes </w:t>
      </w:r>
      <w:r w:rsidR="00B200E6" w:rsidRPr="008E5C92">
        <w:t>who has on-going authority to re-consent</w:t>
      </w:r>
      <w:r w:rsidR="004044A6" w:rsidRPr="008E5C92">
        <w:t xml:space="preserve">. </w:t>
      </w:r>
      <w:r w:rsidR="00AE5D38">
        <w:t>W</w:t>
      </w:r>
      <w:r w:rsidR="00630994" w:rsidRPr="008E5C92">
        <w:t xml:space="preserve">hat if the donor passes away or loses capacity? </w:t>
      </w:r>
      <w:r w:rsidR="001D0C73" w:rsidRPr="008E5C92">
        <w:t xml:space="preserve">Do the consent responsibilities fall to their family? What if that person has no family? </w:t>
      </w:r>
    </w:p>
    <w:p w14:paraId="1E75AAE5" w14:textId="67EAE261" w:rsidR="00B64238" w:rsidRPr="008E5C92" w:rsidRDefault="00834541" w:rsidP="00AC73DF">
      <w:pPr>
        <w:pStyle w:val="Heading3"/>
        <w:rPr>
          <w:lang w:val="en-AU"/>
        </w:rPr>
      </w:pPr>
      <w:bookmarkStart w:id="29" w:name="_Ref39157758"/>
      <w:bookmarkStart w:id="30" w:name="_Toc118824305"/>
      <w:r w:rsidRPr="008E5C92">
        <w:rPr>
          <w:lang w:val="en-AU"/>
        </w:rPr>
        <w:t>What does the consent cover?</w:t>
      </w:r>
      <w:bookmarkEnd w:id="29"/>
      <w:bookmarkEnd w:id="30"/>
      <w:r w:rsidRPr="008E5C92">
        <w:rPr>
          <w:lang w:val="en-AU"/>
        </w:rPr>
        <w:t xml:space="preserve"> </w:t>
      </w:r>
    </w:p>
    <w:p w14:paraId="350D6F57" w14:textId="052155AD" w:rsidR="001C0F3B" w:rsidRPr="008E5C92" w:rsidRDefault="001C0F3B" w:rsidP="00AC73DF">
      <w:r w:rsidRPr="008E5C92">
        <w:t>The scope of the consent is also of concern</w:t>
      </w:r>
      <w:r w:rsidR="00293511" w:rsidRPr="008E5C92">
        <w:t xml:space="preserve">. </w:t>
      </w:r>
    </w:p>
    <w:p w14:paraId="6AE07BED" w14:textId="1625951B" w:rsidR="00293511" w:rsidRPr="008E5C92" w:rsidRDefault="00B70576" w:rsidP="00AC73DF">
      <w:r w:rsidRPr="008E5C92">
        <w:t xml:space="preserve">Discussions of the scope of consent raised the question of trust. </w:t>
      </w:r>
      <w:r w:rsidR="005519DD" w:rsidRPr="008E5C92">
        <w:t xml:space="preserve">There could easily be uncertainty about </w:t>
      </w:r>
      <w:r w:rsidR="00701075" w:rsidRPr="008E5C92">
        <w:t>how broad the scope of the consent</w:t>
      </w:r>
      <w:r w:rsidR="00871080" w:rsidRPr="008E5C92">
        <w:t xml:space="preserve"> is</w:t>
      </w:r>
      <w:r w:rsidR="00701075" w:rsidRPr="008E5C92">
        <w:t xml:space="preserve"> </w:t>
      </w:r>
      <w:r w:rsidR="000C7AFD" w:rsidRPr="008E5C92">
        <w:t xml:space="preserve">– </w:t>
      </w:r>
      <w:r w:rsidR="000C7AFD" w:rsidRPr="008E5C92">
        <w:rPr>
          <w:i/>
        </w:rPr>
        <w:t xml:space="preserve">what if </w:t>
      </w:r>
      <w:r w:rsidR="00512574" w:rsidRPr="008E5C92">
        <w:rPr>
          <w:i/>
        </w:rPr>
        <w:t xml:space="preserve">my consent covers a use that is not immediately obvious to </w:t>
      </w:r>
      <w:r w:rsidR="00871080" w:rsidRPr="008E5C92">
        <w:rPr>
          <w:i/>
        </w:rPr>
        <w:t>m</w:t>
      </w:r>
      <w:r w:rsidR="00512574" w:rsidRPr="008E5C92">
        <w:rPr>
          <w:i/>
        </w:rPr>
        <w:t>e from what has been described?</w:t>
      </w:r>
      <w:r w:rsidR="00512574" w:rsidRPr="008E5C92">
        <w:t xml:space="preserve"> </w:t>
      </w:r>
    </w:p>
    <w:p w14:paraId="4F28D124" w14:textId="77777777" w:rsidR="00EA46D6" w:rsidRPr="008E5C92" w:rsidRDefault="00EA46D6" w:rsidP="00AC73DF">
      <w:r w:rsidRPr="008E5C92">
        <w:t xml:space="preserve">There is also a concern over secondary uses, and whether and how researchers will seek further permission for secondary uses. </w:t>
      </w:r>
    </w:p>
    <w:p w14:paraId="5CF0623A" w14:textId="5AA7A9BE" w:rsidR="00C67423" w:rsidRPr="008E5C92" w:rsidRDefault="004A715A" w:rsidP="00AC73DF">
      <w:r w:rsidRPr="008E5C92">
        <w:lastRenderedPageBreak/>
        <w:t xml:space="preserve">In addition, there is concern that a </w:t>
      </w:r>
      <w:r w:rsidR="00F2717A" w:rsidRPr="008E5C92">
        <w:t>researcher</w:t>
      </w:r>
      <w:r w:rsidR="00C67423" w:rsidRPr="008E5C92">
        <w:t xml:space="preserve"> </w:t>
      </w:r>
      <w:r w:rsidR="00907B18" w:rsidRPr="008E5C92">
        <w:t>will act outside the scope of consent. The Havasupai case study, discussed in more deta</w:t>
      </w:r>
      <w:r w:rsidR="00907B18" w:rsidRPr="00506413">
        <w:t>il in</w:t>
      </w:r>
      <w:r w:rsidR="00907B18" w:rsidRPr="002B5F46">
        <w:t xml:space="preserve"> </w:t>
      </w:r>
      <w:r w:rsidR="003E26D7" w:rsidRPr="002B5F46">
        <w:rPr>
          <w:b/>
          <w:sz w:val="20"/>
        </w:rPr>
        <w:fldChar w:fldCharType="begin"/>
      </w:r>
      <w:r w:rsidR="003E26D7" w:rsidRPr="002B5F46">
        <w:rPr>
          <w:b/>
          <w:sz w:val="20"/>
        </w:rPr>
        <w:instrText xml:space="preserve"> REF _Ref39137579 \n \h  \* MERGEFORMAT </w:instrText>
      </w:r>
      <w:r w:rsidR="003E26D7" w:rsidRPr="002B5F46">
        <w:rPr>
          <w:b/>
          <w:sz w:val="20"/>
        </w:rPr>
      </w:r>
      <w:r w:rsidR="003E26D7" w:rsidRPr="002B5F46">
        <w:rPr>
          <w:b/>
          <w:sz w:val="20"/>
        </w:rPr>
        <w:fldChar w:fldCharType="separate"/>
      </w:r>
      <w:r w:rsidR="000B4085">
        <w:rPr>
          <w:b/>
          <w:sz w:val="20"/>
        </w:rPr>
        <w:t>9.2.5</w:t>
      </w:r>
      <w:r w:rsidR="003E26D7" w:rsidRPr="002B5F46">
        <w:rPr>
          <w:b/>
          <w:sz w:val="20"/>
        </w:rPr>
        <w:fldChar w:fldCharType="end"/>
      </w:r>
      <w:r w:rsidR="00907B18" w:rsidRPr="00506413">
        <w:rPr>
          <w:b/>
        </w:rPr>
        <w:t xml:space="preserve"> i</w:t>
      </w:r>
      <w:r w:rsidR="00907B18" w:rsidRPr="00506413">
        <w:t>s a good</w:t>
      </w:r>
      <w:r w:rsidR="00907B18" w:rsidRPr="008E5C92">
        <w:t xml:space="preserve"> example of this. </w:t>
      </w:r>
    </w:p>
    <w:p w14:paraId="6859FDA8" w14:textId="5159CBED" w:rsidR="003B7000" w:rsidRDefault="003B7000" w:rsidP="00AC73DF">
      <w:r>
        <w:t xml:space="preserve">A couple of </w:t>
      </w:r>
      <w:r w:rsidR="00692454">
        <w:t xml:space="preserve">advisors </w:t>
      </w:r>
      <w:r>
        <w:t>expressed concern about private commercial enterprises such as Ancestry.com.</w:t>
      </w:r>
      <w:r w:rsidRPr="00F55293">
        <w:rPr>
          <w:rStyle w:val="FootnoteReference"/>
        </w:rPr>
        <w:t xml:space="preserve"> </w:t>
      </w:r>
      <w:r>
        <w:t>It is common for the fine print of these businesses to require participants to authorise broad use and sale of their DNA to third parties. For example</w:t>
      </w:r>
      <w:r w:rsidR="00ED7F87">
        <w:t>,</w:t>
      </w:r>
      <w:r>
        <w:t xml:space="preserve"> in 2018 a genealogy website led to the arrest of the alleged Golden State Killer, a serial killer operating in the 1970s, well before DNA was sequenced</w:t>
      </w:r>
      <w:r w:rsidR="00215ADC">
        <w:t>. A</w:t>
      </w:r>
      <w:r>
        <w:t xml:space="preserve"> distan</w:t>
      </w:r>
      <w:r w:rsidR="00215ADC">
        <w:t>t</w:t>
      </w:r>
      <w:r>
        <w:t xml:space="preserve"> relative of the alleged killer uploaded their DNA to the open source genealogy website GEDmatch.</w:t>
      </w:r>
      <w:r w:rsidR="00325AD6">
        <w:t xml:space="preserve"> US law enforcement accessed this online platform, and this led to the identification of the alleged killer</w:t>
      </w:r>
      <w:r>
        <w:rPr>
          <w:rStyle w:val="FootnoteReference"/>
        </w:rPr>
        <w:footnoteReference w:id="17"/>
      </w:r>
      <w:r>
        <w:t xml:space="preserve"> In fact, GEDmatch is an open source website, unlike companies like Ancestry.com, but the example still asks the question, </w:t>
      </w:r>
      <w:r w:rsidRPr="00E03B3C">
        <w:rPr>
          <w:i/>
          <w:iCs/>
        </w:rPr>
        <w:t>under what circumstances could private companies sell, or make available, the DNA sequences within their control?</w:t>
      </w:r>
      <w:r>
        <w:t xml:space="preserve"> </w:t>
      </w:r>
    </w:p>
    <w:p w14:paraId="7B94F8BD" w14:textId="54D1B333" w:rsidR="00293511" w:rsidRPr="008E5C92" w:rsidRDefault="00EA46D6" w:rsidP="00AC73DF">
      <w:pPr>
        <w:pStyle w:val="Heading3"/>
        <w:rPr>
          <w:lang w:val="en-AU"/>
        </w:rPr>
      </w:pPr>
      <w:bookmarkStart w:id="31" w:name="_Toc118824306"/>
      <w:r w:rsidRPr="008E5C92">
        <w:rPr>
          <w:lang w:val="en-AU"/>
        </w:rPr>
        <w:t>How was the consent obtained</w:t>
      </w:r>
      <w:r w:rsidR="00F33379" w:rsidRPr="008E5C92">
        <w:rPr>
          <w:lang w:val="en-AU"/>
        </w:rPr>
        <w:t xml:space="preserve"> and when</w:t>
      </w:r>
      <w:r w:rsidRPr="008E5C92">
        <w:rPr>
          <w:lang w:val="en-AU"/>
        </w:rPr>
        <w:t>?</w:t>
      </w:r>
      <w:bookmarkEnd w:id="31"/>
      <w:r w:rsidRPr="008E5C92">
        <w:rPr>
          <w:lang w:val="en-AU"/>
        </w:rPr>
        <w:t xml:space="preserve"> </w:t>
      </w:r>
    </w:p>
    <w:p w14:paraId="5D577DD4" w14:textId="41CC85CB" w:rsidR="00C153FA" w:rsidRPr="008E5C92" w:rsidRDefault="00830B5A" w:rsidP="00AC73DF">
      <w:r w:rsidRPr="008E5C92">
        <w:t xml:space="preserve">The circumstances under which consent was obtained is also important. </w:t>
      </w:r>
      <w:r w:rsidR="00750FED" w:rsidRPr="008E5C92">
        <w:t>In the clinical context, it</w:t>
      </w:r>
      <w:r w:rsidR="00DA7C6E" w:rsidRPr="008E5C92">
        <w:t xml:space="preserve"> is common practice for there to be 2 stages of consent: The first, is consent from a patient to take a sample in order to </w:t>
      </w:r>
      <w:r w:rsidR="009C44B3" w:rsidRPr="008E5C92">
        <w:t xml:space="preserve">do </w:t>
      </w:r>
      <w:r w:rsidR="001E5F4F" w:rsidRPr="008E5C92">
        <w:t xml:space="preserve">a diagnostic test. The second is </w:t>
      </w:r>
      <w:r w:rsidR="00FB19F6" w:rsidRPr="008E5C92">
        <w:t xml:space="preserve">consent to retain the sample, and possibly use it for research purposes. </w:t>
      </w:r>
      <w:r w:rsidR="00C81302" w:rsidRPr="008E5C92">
        <w:t>Several of the Advisory group members we spoke to noted that in the move towards precision medicine, the separation between clinical and research is blurring, and so too are these consent stages</w:t>
      </w:r>
      <w:r w:rsidR="00AB1645" w:rsidRPr="008E5C92">
        <w:t>.</w:t>
      </w:r>
      <w:r w:rsidR="00C81302" w:rsidRPr="008E5C92">
        <w:t xml:space="preserve"> It</w:t>
      </w:r>
      <w:r w:rsidR="00857047">
        <w:t xml:space="preserve"> has</w:t>
      </w:r>
      <w:r w:rsidR="00C81302" w:rsidRPr="008E5C92">
        <w:t xml:space="preserve"> become more common for both stages of consent to be discussed and asked for in the same meeting.</w:t>
      </w:r>
      <w:r w:rsidR="00AB1645" w:rsidRPr="008E5C92">
        <w:t xml:space="preserve"> </w:t>
      </w:r>
      <w:r w:rsidR="00900910" w:rsidRPr="008E5C92">
        <w:t>This was raised as a concern.</w:t>
      </w:r>
      <w:r w:rsidR="00B33D0C" w:rsidRPr="008E5C92">
        <w:t xml:space="preserve"> </w:t>
      </w:r>
    </w:p>
    <w:p w14:paraId="7691F614" w14:textId="3598170B" w:rsidR="00587074" w:rsidRDefault="003E5C8A" w:rsidP="00AC73DF">
      <w:r w:rsidRPr="008E5C92">
        <w:t xml:space="preserve">One of the Advisory Group members raised </w:t>
      </w:r>
      <w:r w:rsidR="00AB1645" w:rsidRPr="008E5C92">
        <w:t>a hypothetical situation.</w:t>
      </w:r>
      <w:r w:rsidR="00704F78">
        <w:t xml:space="preserve"> </w:t>
      </w:r>
      <w:r w:rsidR="000D3BF2" w:rsidRPr="008E5C92">
        <w:t xml:space="preserve">When a clinician is requesting permission to take a diagnostic sample, </w:t>
      </w:r>
      <w:r w:rsidR="004604E6" w:rsidRPr="008E5C92">
        <w:t xml:space="preserve">the patient is in an environment of heightened anxiety, and in all likelihood is not very well. </w:t>
      </w:r>
      <w:r w:rsidR="00303E3D" w:rsidRPr="008E5C92">
        <w:t>In most cases, they will not be in an appropriate frame of mind to be able to consider whether or not</w:t>
      </w:r>
      <w:r w:rsidR="0064759B" w:rsidRPr="008E5C92">
        <w:t xml:space="preserve"> they want to consent for any further uses of their genomic information. </w:t>
      </w:r>
    </w:p>
    <w:p w14:paraId="6BB41E9D" w14:textId="298545F1" w:rsidR="00DA7C6E" w:rsidRPr="008E5C92" w:rsidRDefault="00587074" w:rsidP="00AC73DF">
      <w:r>
        <w:t xml:space="preserve">In fact, the validity </w:t>
      </w:r>
      <w:r w:rsidR="00E85484" w:rsidRPr="008E5C92">
        <w:t xml:space="preserve">of </w:t>
      </w:r>
      <w:r w:rsidR="00280385" w:rsidRPr="008E5C92">
        <w:t>asking to use a sample for a secondary purpose at all</w:t>
      </w:r>
      <w:r w:rsidR="005E629B">
        <w:t xml:space="preserve"> was questioned</w:t>
      </w:r>
      <w:r w:rsidR="00280385" w:rsidRPr="008E5C92">
        <w:t>.</w:t>
      </w:r>
    </w:p>
    <w:p w14:paraId="783B3D52" w14:textId="1155D33F" w:rsidR="000E5382" w:rsidRPr="008E5C92" w:rsidRDefault="00C20F2C" w:rsidP="00AC73DF">
      <w:r>
        <w:t>One Advisory Group member</w:t>
      </w:r>
      <w:r w:rsidR="00D14C91">
        <w:t xml:space="preserve"> said</w:t>
      </w:r>
      <w:r>
        <w:t xml:space="preserve"> that in their own research, they have found that </w:t>
      </w:r>
      <w:r w:rsidR="00B97D3B" w:rsidRPr="008E5C92">
        <w:t xml:space="preserve">many Aboriginal and Torres Strait Islander </w:t>
      </w:r>
      <w:r w:rsidR="004A6A94">
        <w:t xml:space="preserve">patients </w:t>
      </w:r>
      <w:r w:rsidR="00A93240" w:rsidRPr="008E5C92">
        <w:t xml:space="preserve">frequently did not completely understand what they were consenting to. </w:t>
      </w:r>
      <w:r w:rsidR="00223C6F" w:rsidRPr="008E5C92">
        <w:t xml:space="preserve">In some </w:t>
      </w:r>
      <w:r w:rsidR="0058564C" w:rsidRPr="008E5C92">
        <w:t>instances</w:t>
      </w:r>
      <w:r w:rsidR="00414EE8">
        <w:t>,</w:t>
      </w:r>
      <w:r w:rsidR="00223C6F" w:rsidRPr="008E5C92">
        <w:t xml:space="preserve"> </w:t>
      </w:r>
      <w:r w:rsidR="000161C5" w:rsidRPr="008E5C92">
        <w:t xml:space="preserve">mental health may have been a factor, </w:t>
      </w:r>
      <w:r w:rsidR="000A3CA0" w:rsidRPr="008E5C92">
        <w:t xml:space="preserve">and in many cases methods of consultation </w:t>
      </w:r>
      <w:r w:rsidR="00EC12A6" w:rsidRPr="008E5C92">
        <w:t xml:space="preserve">and communication </w:t>
      </w:r>
      <w:r w:rsidR="000A3CA0" w:rsidRPr="008E5C92">
        <w:t xml:space="preserve">could have been improved. </w:t>
      </w:r>
      <w:r w:rsidR="002857A3">
        <w:t xml:space="preserve">There were also reports that there </w:t>
      </w:r>
      <w:r w:rsidR="003A3C07">
        <w:t xml:space="preserve">was </w:t>
      </w:r>
      <w:r w:rsidR="000C117A" w:rsidRPr="008E5C92">
        <w:t xml:space="preserve">room for improvement in a lot of the follow up support services. </w:t>
      </w:r>
    </w:p>
    <w:p w14:paraId="26A85C49" w14:textId="16A24CF6" w:rsidR="003E4C49" w:rsidRPr="008E5C92" w:rsidRDefault="00546DAC" w:rsidP="00AC73DF">
      <w:r>
        <w:t xml:space="preserve">In the </w:t>
      </w:r>
      <w:r w:rsidR="009D3379" w:rsidRPr="008E5C92">
        <w:t xml:space="preserve">consultation and consent process </w:t>
      </w:r>
      <w:r w:rsidR="00AF631A" w:rsidRPr="008E5C92">
        <w:t>people and communities must be given as much time as necessary to make decisions</w:t>
      </w:r>
      <w:r w:rsidR="00834F7B" w:rsidRPr="008E5C92">
        <w:t xml:space="preserve">. The dual elements of consultation and consent are not something that should be rushed or run together. </w:t>
      </w:r>
      <w:r w:rsidR="00457D47" w:rsidRPr="008E5C92">
        <w:t>The conversations that need to be had</w:t>
      </w:r>
      <w:r w:rsidR="003231B2" w:rsidRPr="008E5C92">
        <w:t xml:space="preserve"> can be difficult. In addition, there are often language barriers</w:t>
      </w:r>
      <w:r w:rsidR="009348D1" w:rsidRPr="008E5C92">
        <w:t xml:space="preserve">, </w:t>
      </w:r>
      <w:r w:rsidR="00E42605" w:rsidRPr="008E5C92">
        <w:t xml:space="preserve">both literal language barriers and barriers created by the use of scientific language. </w:t>
      </w:r>
      <w:r w:rsidR="008E6367" w:rsidRPr="008E5C92">
        <w:t xml:space="preserve">All this is </w:t>
      </w:r>
      <w:r w:rsidR="005A3E63" w:rsidRPr="008E5C92">
        <w:t>t</w:t>
      </w:r>
      <w:r w:rsidR="008E6367" w:rsidRPr="008E5C92">
        <w:t xml:space="preserve">o say that consultation is never </w:t>
      </w:r>
      <w:r w:rsidR="008E6367" w:rsidRPr="008E5C92">
        <w:lastRenderedPageBreak/>
        <w:t xml:space="preserve">a single conversation. People need time to consider, to speak to family and to ask further questions. </w:t>
      </w:r>
      <w:r w:rsidR="00283156" w:rsidRPr="008E5C92">
        <w:t xml:space="preserve">The initial consultation process necessarily takes a number of meetings. </w:t>
      </w:r>
    </w:p>
    <w:p w14:paraId="2FD0FE75" w14:textId="68C698FA" w:rsidR="00D517A6" w:rsidRPr="008E5C92" w:rsidRDefault="008673B9" w:rsidP="00AC73DF">
      <w:r>
        <w:t>C</w:t>
      </w:r>
      <w:r w:rsidR="00414883" w:rsidRPr="008E5C92">
        <w:t xml:space="preserve">onsultations must be clear about both the benefits and risks of genomics study. This includes </w:t>
      </w:r>
      <w:r w:rsidR="00BD7C7D" w:rsidRPr="008E5C92">
        <w:t xml:space="preserve">being clear that the results or benefits of the study may be very long term or may never vest at all. </w:t>
      </w:r>
      <w:r w:rsidR="00C11312" w:rsidRPr="008E5C92">
        <w:t xml:space="preserve">There is also a risk that the research may produce </w:t>
      </w:r>
      <w:r w:rsidR="00A809FA" w:rsidRPr="008E5C92">
        <w:t>unwelcome o</w:t>
      </w:r>
      <w:r w:rsidR="00E80C34" w:rsidRPr="008E5C92">
        <w:t>r</w:t>
      </w:r>
      <w:r w:rsidR="00A809FA" w:rsidRPr="008E5C92">
        <w:t xml:space="preserve"> unexpected information. </w:t>
      </w:r>
      <w:r w:rsidR="00E8730B">
        <w:t xml:space="preserve">For </w:t>
      </w:r>
      <w:r w:rsidR="00A809FA" w:rsidRPr="008E5C92">
        <w:t xml:space="preserve">example, genetic testing may reveal </w:t>
      </w:r>
      <w:r w:rsidR="00A97391" w:rsidRPr="008E5C92">
        <w:t>that your father may not actually</w:t>
      </w:r>
      <w:r w:rsidR="008B0846">
        <w:t xml:space="preserve"> be</w:t>
      </w:r>
      <w:r w:rsidR="00A97391" w:rsidRPr="008E5C92">
        <w:t xml:space="preserve"> you</w:t>
      </w:r>
      <w:r w:rsidR="006C279A" w:rsidRPr="008E5C92">
        <w:t>r</w:t>
      </w:r>
      <w:r w:rsidR="00A97391" w:rsidRPr="008E5C92">
        <w:t xml:space="preserve"> </w:t>
      </w:r>
      <w:r w:rsidR="006C279A" w:rsidRPr="008E5C92">
        <w:t xml:space="preserve">genetic </w:t>
      </w:r>
      <w:r w:rsidR="00A97391" w:rsidRPr="008E5C92">
        <w:t xml:space="preserve">father. </w:t>
      </w:r>
      <w:r w:rsidR="009575E9">
        <w:t xml:space="preserve">One Advisory group member </w:t>
      </w:r>
      <w:r w:rsidR="00A97391" w:rsidRPr="008E5C92">
        <w:t xml:space="preserve">described genomics as a Pandora’s box of sorts. </w:t>
      </w:r>
    </w:p>
    <w:p w14:paraId="76F3C4A1" w14:textId="00CB421D" w:rsidR="00951C37" w:rsidRPr="008E5C92" w:rsidRDefault="00951C37" w:rsidP="00AC73DF">
      <w:pPr>
        <w:pStyle w:val="Heading2"/>
        <w:rPr>
          <w:lang w:val="en-AU"/>
        </w:rPr>
      </w:pPr>
      <w:bookmarkStart w:id="32" w:name="_Toc118824307"/>
      <w:r w:rsidRPr="008E5C92">
        <w:rPr>
          <w:lang w:val="en-AU"/>
        </w:rPr>
        <w:t>Management of personal genomic information</w:t>
      </w:r>
      <w:bookmarkEnd w:id="32"/>
    </w:p>
    <w:p w14:paraId="1ADC5732" w14:textId="7A32EACE" w:rsidR="00D71C6A" w:rsidRPr="008E5C92" w:rsidRDefault="00AF0D7B" w:rsidP="00AC73DF">
      <w:r w:rsidRPr="00506413">
        <w:t xml:space="preserve">Sections </w:t>
      </w:r>
      <w:r w:rsidRPr="00A7008D">
        <w:rPr>
          <w:b/>
          <w:sz w:val="20"/>
        </w:rPr>
        <w:fldChar w:fldCharType="begin"/>
      </w:r>
      <w:r w:rsidRPr="00A7008D">
        <w:rPr>
          <w:b/>
          <w:sz w:val="20"/>
        </w:rPr>
        <w:instrText xml:space="preserve"> REF _Ref39091888 \n \h  \* MERGEFORMAT </w:instrText>
      </w:r>
      <w:r w:rsidRPr="00A7008D">
        <w:rPr>
          <w:b/>
          <w:sz w:val="20"/>
        </w:rPr>
      </w:r>
      <w:r w:rsidRPr="00A7008D">
        <w:rPr>
          <w:b/>
          <w:sz w:val="20"/>
        </w:rPr>
        <w:fldChar w:fldCharType="separate"/>
      </w:r>
      <w:r w:rsidR="000B4085">
        <w:rPr>
          <w:b/>
          <w:sz w:val="20"/>
        </w:rPr>
        <w:t>5.2</w:t>
      </w:r>
      <w:r w:rsidRPr="00A7008D">
        <w:rPr>
          <w:b/>
          <w:sz w:val="20"/>
        </w:rPr>
        <w:fldChar w:fldCharType="end"/>
      </w:r>
      <w:r w:rsidRPr="00506413">
        <w:t xml:space="preserve"> and </w:t>
      </w:r>
      <w:r w:rsidRPr="00A7008D">
        <w:rPr>
          <w:b/>
          <w:sz w:val="20"/>
        </w:rPr>
        <w:fldChar w:fldCharType="begin"/>
      </w:r>
      <w:r w:rsidRPr="00A7008D">
        <w:rPr>
          <w:b/>
          <w:sz w:val="20"/>
        </w:rPr>
        <w:instrText xml:space="preserve"> REF _Ref39157798 \n \h  \* MERGEFORMAT </w:instrText>
      </w:r>
      <w:r w:rsidRPr="00A7008D">
        <w:rPr>
          <w:b/>
          <w:sz w:val="20"/>
        </w:rPr>
      </w:r>
      <w:r w:rsidRPr="00A7008D">
        <w:rPr>
          <w:b/>
          <w:sz w:val="20"/>
        </w:rPr>
        <w:fldChar w:fldCharType="separate"/>
      </w:r>
      <w:r w:rsidR="000B4085">
        <w:rPr>
          <w:b/>
          <w:sz w:val="20"/>
        </w:rPr>
        <w:t>4.4</w:t>
      </w:r>
      <w:r w:rsidRPr="00A7008D">
        <w:rPr>
          <w:b/>
          <w:sz w:val="20"/>
        </w:rPr>
        <w:fldChar w:fldCharType="end"/>
      </w:r>
      <w:r w:rsidRPr="00506413">
        <w:t xml:space="preserve"> </w:t>
      </w:r>
      <w:r w:rsidR="00114639" w:rsidRPr="00506413">
        <w:t>focus</w:t>
      </w:r>
      <w:r w:rsidR="00114639" w:rsidRPr="008E5C92">
        <w:t xml:space="preserve"> on the role of consent as it relates to misuse of samples and data </w:t>
      </w:r>
      <w:r w:rsidR="00D24F15" w:rsidRPr="008E5C92">
        <w:t>– consent being a control agains</w:t>
      </w:r>
      <w:r w:rsidR="00D6577A" w:rsidRPr="008E5C92">
        <w:t xml:space="preserve">t misuse. </w:t>
      </w:r>
      <w:r w:rsidR="008F52D1" w:rsidRPr="008E5C92">
        <w:t xml:space="preserve">In addition, several Advisory Group members </w:t>
      </w:r>
      <w:r w:rsidR="004F42B9" w:rsidRPr="008E5C92">
        <w:t xml:space="preserve">raised concerns about </w:t>
      </w:r>
      <w:r w:rsidR="00502C6E" w:rsidRPr="008E5C92">
        <w:t>misuse</w:t>
      </w:r>
      <w:r w:rsidR="003107A8" w:rsidRPr="008E5C92">
        <w:t xml:space="preserve"> of data, or legally permitted uses of data </w:t>
      </w:r>
      <w:r w:rsidR="00AE7C00">
        <w:t xml:space="preserve">without </w:t>
      </w:r>
      <w:r w:rsidR="00883CC0" w:rsidRPr="008E5C92">
        <w:t>consent. For ex</w:t>
      </w:r>
      <w:r w:rsidR="0093591E" w:rsidRPr="008E5C92">
        <w:t xml:space="preserve">ample, when can the police compel researchers to release data so that it can be used in a criminal investigation? </w:t>
      </w:r>
      <w:r w:rsidR="00424D3D" w:rsidRPr="008E5C92">
        <w:t xml:space="preserve">Another frequently </w:t>
      </w:r>
      <w:r w:rsidR="006C6897" w:rsidRPr="008E5C92">
        <w:t xml:space="preserve">raised concern is around the potential for </w:t>
      </w:r>
      <w:r w:rsidR="00C4726F" w:rsidRPr="008E5C92">
        <w:t>geneticists</w:t>
      </w:r>
      <w:r w:rsidR="006C6897" w:rsidRPr="008E5C92">
        <w:t xml:space="preserve"> to be called as witnesses in Native Title claims. </w:t>
      </w:r>
    </w:p>
    <w:p w14:paraId="541A042C" w14:textId="4E3AB1ED" w:rsidR="00B5651E" w:rsidRPr="008E5C92" w:rsidRDefault="00390745" w:rsidP="00AC73DF">
      <w:r>
        <w:t xml:space="preserve">Several Advisory Group members pointed out that </w:t>
      </w:r>
      <w:r w:rsidR="00454739">
        <w:t xml:space="preserve">there needs to be a way of keeping </w:t>
      </w:r>
      <w:r w:rsidR="00AE6B05" w:rsidRPr="008E5C92">
        <w:t>biological samples close to country</w:t>
      </w:r>
      <w:r w:rsidR="00454739">
        <w:t>. Is</w:t>
      </w:r>
      <w:r w:rsidR="00342083">
        <w:t xml:space="preserve">olation of samples from country risks </w:t>
      </w:r>
      <w:r w:rsidR="00AE6B05" w:rsidRPr="008E5C92">
        <w:t>disconnection</w:t>
      </w:r>
      <w:r w:rsidR="00342083">
        <w:t xml:space="preserve"> of the samples</w:t>
      </w:r>
      <w:r w:rsidR="00AE6B05" w:rsidRPr="008E5C92">
        <w:t xml:space="preserve"> </w:t>
      </w:r>
      <w:r w:rsidR="00BA7AEA" w:rsidRPr="008E5C92">
        <w:t>from cultural values.</w:t>
      </w:r>
      <w:r w:rsidR="00486480" w:rsidRPr="008E5C92">
        <w:t xml:space="preserve"> </w:t>
      </w:r>
      <w:r w:rsidR="00D93CC6">
        <w:t xml:space="preserve">Also, </w:t>
      </w:r>
      <w:r w:rsidR="00411F83" w:rsidRPr="008E5C92">
        <w:t>c</w:t>
      </w:r>
      <w:r w:rsidR="00486480" w:rsidRPr="008E5C92">
        <w:t xml:space="preserve">entralising samples </w:t>
      </w:r>
      <w:r w:rsidR="0049383F" w:rsidRPr="008E5C92">
        <w:t xml:space="preserve">in one place, is </w:t>
      </w:r>
      <w:r w:rsidR="00B5651E" w:rsidRPr="008E5C92">
        <w:t>inherently problematic; centrali</w:t>
      </w:r>
      <w:r w:rsidR="00D71A06" w:rsidRPr="008E5C92">
        <w:t>s</w:t>
      </w:r>
      <w:r w:rsidR="00B5651E" w:rsidRPr="008E5C92">
        <w:t xml:space="preserve">ing </w:t>
      </w:r>
      <w:r w:rsidR="00885D14" w:rsidRPr="008E5C92">
        <w:t>them</w:t>
      </w:r>
      <w:r w:rsidR="00B5651E" w:rsidRPr="008E5C92">
        <w:t xml:space="preserve"> </w:t>
      </w:r>
      <w:r w:rsidR="00392144" w:rsidRPr="008E5C92">
        <w:t xml:space="preserve">away from country is completely at odds from </w:t>
      </w:r>
      <w:r w:rsidR="002A1302" w:rsidRPr="008E5C92">
        <w:t xml:space="preserve">the cultural needs of Aboriginal and Torres Strait Islander peoples. </w:t>
      </w:r>
      <w:r w:rsidR="00B65735" w:rsidRPr="008E5C92">
        <w:t xml:space="preserve">This was raised by </w:t>
      </w:r>
      <w:r w:rsidR="0079502F">
        <w:t xml:space="preserve">several </w:t>
      </w:r>
      <w:r w:rsidR="00B65735" w:rsidRPr="008E5C92">
        <w:t xml:space="preserve">Advisory Group members </w:t>
      </w:r>
      <w:r w:rsidR="008B1CCA">
        <w:t xml:space="preserve">who </w:t>
      </w:r>
      <w:r w:rsidR="004310CD" w:rsidRPr="008E5C92">
        <w:t>had expressed a desire to keep all</w:t>
      </w:r>
      <w:r w:rsidR="00502871" w:rsidRPr="008E5C92">
        <w:t xml:space="preserve"> data on-country.</w:t>
      </w:r>
    </w:p>
    <w:p w14:paraId="51C26651" w14:textId="61E7AEF8" w:rsidR="000C4583" w:rsidRPr="008E5C92" w:rsidRDefault="000D3ABA" w:rsidP="00AC73DF">
      <w:pPr>
        <w:pStyle w:val="Heading2"/>
        <w:rPr>
          <w:lang w:val="en-AU"/>
        </w:rPr>
      </w:pPr>
      <w:bookmarkStart w:id="33" w:name="_Ref39149289"/>
      <w:bookmarkStart w:id="34" w:name="_Ref39149295"/>
      <w:bookmarkStart w:id="35" w:name="_Ref39153137"/>
      <w:bookmarkStart w:id="36" w:name="_Ref39153139"/>
      <w:bookmarkStart w:id="37" w:name="_Toc118824308"/>
      <w:r w:rsidRPr="008E5C92">
        <w:rPr>
          <w:lang w:val="en-AU"/>
        </w:rPr>
        <w:t>Secondary</w:t>
      </w:r>
      <w:r w:rsidR="005A7410" w:rsidRPr="008E5C92">
        <w:rPr>
          <w:lang w:val="en-AU"/>
        </w:rPr>
        <w:t xml:space="preserve"> uses &amp; </w:t>
      </w:r>
      <w:r w:rsidRPr="008E5C92">
        <w:rPr>
          <w:lang w:val="en-AU"/>
        </w:rPr>
        <w:t>incidental findings</w:t>
      </w:r>
      <w:bookmarkEnd w:id="33"/>
      <w:bookmarkEnd w:id="34"/>
      <w:bookmarkEnd w:id="35"/>
      <w:bookmarkEnd w:id="36"/>
      <w:bookmarkEnd w:id="37"/>
      <w:r w:rsidRPr="008E5C92">
        <w:rPr>
          <w:lang w:val="en-AU"/>
        </w:rPr>
        <w:t xml:space="preserve"> </w:t>
      </w:r>
    </w:p>
    <w:p w14:paraId="4D174328" w14:textId="3CC8AA2E" w:rsidR="00AB56A7" w:rsidRPr="008E5C92" w:rsidRDefault="005A7410" w:rsidP="00AC73DF">
      <w:r w:rsidRPr="008E5C92">
        <w:t xml:space="preserve">The issue of secondary uses and incidental findings also reoccurred through </w:t>
      </w:r>
      <w:r w:rsidR="00784B6A" w:rsidRPr="008E5C92">
        <w:t xml:space="preserve">a number of consultations. </w:t>
      </w:r>
    </w:p>
    <w:p w14:paraId="095CA2CD" w14:textId="79357023" w:rsidR="00C328B3" w:rsidRPr="008E5C92" w:rsidRDefault="00784B6A" w:rsidP="00AC73DF">
      <w:r w:rsidRPr="008E5C92">
        <w:rPr>
          <w:i/>
        </w:rPr>
        <w:t>Secondary uses</w:t>
      </w:r>
      <w:r w:rsidRPr="008E5C92">
        <w:t xml:space="preserve"> </w:t>
      </w:r>
      <w:r w:rsidR="00AB56A7" w:rsidRPr="008E5C92">
        <w:t xml:space="preserve">occur when </w:t>
      </w:r>
      <w:r w:rsidRPr="008E5C92">
        <w:t>samples or data derived therefrom</w:t>
      </w:r>
      <w:r w:rsidR="00700FB6" w:rsidRPr="008E5C92">
        <w:t>, are used</w:t>
      </w:r>
      <w:r w:rsidRPr="008E5C92">
        <w:t xml:space="preserve"> for purposes beyond the scope of the original consent. For example, an Aboriginal person may consent to have their blood withdrawn and </w:t>
      </w:r>
      <w:r w:rsidR="001C38E4" w:rsidRPr="008E5C92">
        <w:t xml:space="preserve">used to contribute to a reference genome that will help </w:t>
      </w:r>
      <w:r w:rsidR="00BD383B" w:rsidRPr="008E5C92">
        <w:t xml:space="preserve">diagnosis of, for example, diabetes. </w:t>
      </w:r>
      <w:r w:rsidR="00942867" w:rsidRPr="008E5C92">
        <w:t xml:space="preserve">However, </w:t>
      </w:r>
      <w:r w:rsidR="00AA0B98" w:rsidRPr="008E5C92">
        <w:t xml:space="preserve">to use that data to research </w:t>
      </w:r>
      <w:r w:rsidR="00C6199B" w:rsidRPr="008E5C92">
        <w:t xml:space="preserve">an entirely different disease would be a secondary purpose. On-selling the data to a third party </w:t>
      </w:r>
      <w:r w:rsidR="005F4CC2" w:rsidRPr="008E5C92">
        <w:t>c</w:t>
      </w:r>
      <w:r w:rsidR="00C6199B" w:rsidRPr="008E5C92">
        <w:t xml:space="preserve">ould also be </w:t>
      </w:r>
      <w:r w:rsidR="00CF1294" w:rsidRPr="008E5C92">
        <w:t>a use beyond the scope of the original consent</w:t>
      </w:r>
      <w:r w:rsidR="005F4CC2" w:rsidRPr="008E5C92">
        <w:t xml:space="preserve"> (depending on the scope of the original consent)</w:t>
      </w:r>
      <w:r w:rsidR="00CF1294" w:rsidRPr="008E5C92">
        <w:t xml:space="preserve">. </w:t>
      </w:r>
    </w:p>
    <w:p w14:paraId="6F71370C" w14:textId="6A884581" w:rsidR="00DD5E54" w:rsidRPr="008E5C92" w:rsidRDefault="00CF1294" w:rsidP="00AC73DF">
      <w:r w:rsidRPr="008E5C92">
        <w:rPr>
          <w:i/>
        </w:rPr>
        <w:t>Incidental findings</w:t>
      </w:r>
      <w:r w:rsidRPr="008E5C92">
        <w:t xml:space="preserve"> </w:t>
      </w:r>
      <w:r w:rsidR="002B1C7C" w:rsidRPr="008E5C92">
        <w:t xml:space="preserve">occur where a doctor may be taking a sample for a patient in order to test for a </w:t>
      </w:r>
      <w:r w:rsidR="007756D7" w:rsidRPr="008E5C92">
        <w:t xml:space="preserve">suspected </w:t>
      </w:r>
      <w:r w:rsidR="002B1C7C" w:rsidRPr="008E5C92">
        <w:t xml:space="preserve">illness, </w:t>
      </w:r>
      <w:r w:rsidR="007756D7" w:rsidRPr="008E5C92">
        <w:t>but</w:t>
      </w:r>
      <w:r w:rsidR="002B1C7C" w:rsidRPr="008E5C92">
        <w:t xml:space="preserve">, when the test results return </w:t>
      </w:r>
      <w:r w:rsidR="007A11B9" w:rsidRPr="008E5C92">
        <w:t>they reveal</w:t>
      </w:r>
      <w:r w:rsidR="003F495C" w:rsidRPr="008E5C92">
        <w:t xml:space="preserve"> information unrelated to the </w:t>
      </w:r>
      <w:r w:rsidR="004F39B1" w:rsidRPr="008E5C92">
        <w:t xml:space="preserve">original purpose of the test, but nevertheless relevant to the </w:t>
      </w:r>
      <w:r w:rsidR="001D3C7D" w:rsidRPr="008E5C92">
        <w:t>patient</w:t>
      </w:r>
      <w:r w:rsidR="004F39B1" w:rsidRPr="008E5C92">
        <w:t xml:space="preserve">’s health. </w:t>
      </w:r>
      <w:r w:rsidR="007A11B9" w:rsidRPr="008E5C92">
        <w:t xml:space="preserve">For example, a blood test to diagnose one disease, might reveal that the patient carries a gene that pre-disposes them to a particular form of cancer. </w:t>
      </w:r>
      <w:r w:rsidR="00B8472D" w:rsidRPr="008E5C92">
        <w:t>What is the doctor’s duty to notify the patient of these findings</w:t>
      </w:r>
      <w:r w:rsidR="00CE01CE" w:rsidRPr="008E5C92">
        <w:t>?</w:t>
      </w:r>
      <w:r w:rsidR="00B8472D" w:rsidRPr="008E5C92">
        <w:t xml:space="preserve"> And, given that the gene is inherited, what is the doctor’s duty to that person’s family? </w:t>
      </w:r>
    </w:p>
    <w:p w14:paraId="48BF1262" w14:textId="43D5AEB2" w:rsidR="006C7B91" w:rsidRPr="008E5C92" w:rsidRDefault="00EE76E0" w:rsidP="00AC73DF">
      <w:r w:rsidRPr="008E5C92">
        <w:t>The current precedent</w:t>
      </w:r>
      <w:r w:rsidR="002C4667" w:rsidRPr="008E5C92">
        <w:t>s</w:t>
      </w:r>
      <w:r w:rsidRPr="008E5C92">
        <w:t xml:space="preserve"> on</w:t>
      </w:r>
      <w:r w:rsidR="002C4667" w:rsidRPr="008E5C92">
        <w:t xml:space="preserve"> how to manage</w:t>
      </w:r>
      <w:r w:rsidRPr="008E5C92">
        <w:t xml:space="preserve"> incidental finding</w:t>
      </w:r>
      <w:r w:rsidR="002C4667" w:rsidRPr="008E5C92">
        <w:t>s are of limited assistance</w:t>
      </w:r>
      <w:r w:rsidR="00651087" w:rsidRPr="008E5C92">
        <w:t xml:space="preserve"> because </w:t>
      </w:r>
      <w:r w:rsidR="00E47EF4">
        <w:t xml:space="preserve">with genomics </w:t>
      </w:r>
      <w:r w:rsidR="00651087" w:rsidRPr="008E5C92">
        <w:t xml:space="preserve">the order of </w:t>
      </w:r>
      <w:r w:rsidR="0043716B" w:rsidRPr="008E5C92">
        <w:t>magnitude</w:t>
      </w:r>
      <w:r w:rsidR="00651087" w:rsidRPr="008E5C92">
        <w:t xml:space="preserve"> is so much great</w:t>
      </w:r>
      <w:r w:rsidR="0043716B" w:rsidRPr="008E5C92">
        <w:t>er</w:t>
      </w:r>
      <w:r w:rsidR="00651087" w:rsidRPr="008E5C92">
        <w:t xml:space="preserve"> – </w:t>
      </w:r>
      <w:r w:rsidR="00B8107E" w:rsidRPr="008E5C92">
        <w:t xml:space="preserve">further testing has implications far beyond the individual, and concerns their family and clan. </w:t>
      </w:r>
      <w:r w:rsidR="00562B95" w:rsidRPr="008E5C92">
        <w:t xml:space="preserve">It was noted by one of the Advisory Group members that </w:t>
      </w:r>
      <w:r w:rsidR="008B1752" w:rsidRPr="008E5C92">
        <w:t xml:space="preserve">in the past, </w:t>
      </w:r>
      <w:r w:rsidR="00446B24" w:rsidRPr="008E5C92">
        <w:t xml:space="preserve">the approach to </w:t>
      </w:r>
      <w:r w:rsidR="00A13EE2" w:rsidRPr="008E5C92">
        <w:t>managing incidental findings was to externali</w:t>
      </w:r>
      <w:r w:rsidR="008B1752" w:rsidRPr="008E5C92">
        <w:t>s</w:t>
      </w:r>
      <w:r w:rsidR="00A13EE2" w:rsidRPr="008E5C92">
        <w:t xml:space="preserve">e risk. </w:t>
      </w:r>
      <w:r w:rsidR="008B1752" w:rsidRPr="008E5C92">
        <w:t xml:space="preserve">That is, the clinician was encouraged to </w:t>
      </w:r>
      <w:r w:rsidR="00A13EE2" w:rsidRPr="008E5C92">
        <w:t xml:space="preserve">declare all findings to the patient, and leave the decision to them. </w:t>
      </w:r>
      <w:r w:rsidR="001C43C1" w:rsidRPr="008E5C92">
        <w:t xml:space="preserve">The </w:t>
      </w:r>
      <w:r w:rsidR="002C159D" w:rsidRPr="008E5C92">
        <w:t xml:space="preserve">advisor </w:t>
      </w:r>
      <w:r w:rsidR="001C43C1" w:rsidRPr="008E5C92">
        <w:t xml:space="preserve">was mindful of the distinction </w:t>
      </w:r>
      <w:r w:rsidR="001C43C1" w:rsidRPr="008E5C92">
        <w:lastRenderedPageBreak/>
        <w:t xml:space="preserve">between full disclosure so that the patient could make a fully informed decision, and </w:t>
      </w:r>
      <w:r w:rsidR="00477AE4" w:rsidRPr="008E5C92">
        <w:t xml:space="preserve">an information dump (whether the patient fully understood </w:t>
      </w:r>
      <w:r w:rsidR="00FC6C7A" w:rsidRPr="008E5C92">
        <w:t xml:space="preserve">the situation or not) in order to </w:t>
      </w:r>
      <w:r w:rsidR="00FB7090" w:rsidRPr="008E5C92">
        <w:t xml:space="preserve">push responsibility onto the patient and </w:t>
      </w:r>
      <w:r w:rsidR="00FC6C7A" w:rsidRPr="008E5C92">
        <w:t xml:space="preserve">avoid risk to the research institution. </w:t>
      </w:r>
    </w:p>
    <w:p w14:paraId="12F1EAB8" w14:textId="610E4AF0" w:rsidR="006E36A0" w:rsidRPr="008E5C92" w:rsidRDefault="006C7B91" w:rsidP="00AC73DF">
      <w:pPr>
        <w:pStyle w:val="Heading2"/>
        <w:rPr>
          <w:lang w:val="en-AU"/>
        </w:rPr>
      </w:pPr>
      <w:bookmarkStart w:id="38" w:name="_Toc118824309"/>
      <w:r w:rsidRPr="008E5C92">
        <w:rPr>
          <w:lang w:val="en-AU"/>
        </w:rPr>
        <w:t xml:space="preserve">Distinction between </w:t>
      </w:r>
      <w:r w:rsidR="002C159D" w:rsidRPr="008E5C92">
        <w:rPr>
          <w:lang w:val="en-AU"/>
        </w:rPr>
        <w:t>health-based</w:t>
      </w:r>
      <w:r w:rsidR="006E36A0" w:rsidRPr="008E5C92">
        <w:rPr>
          <w:lang w:val="en-AU"/>
        </w:rPr>
        <w:t xml:space="preserve"> research and population research</w:t>
      </w:r>
      <w:bookmarkEnd w:id="38"/>
      <w:r w:rsidR="006E36A0" w:rsidRPr="008E5C92">
        <w:rPr>
          <w:lang w:val="en-AU"/>
        </w:rPr>
        <w:t xml:space="preserve"> </w:t>
      </w:r>
    </w:p>
    <w:p w14:paraId="0C6E32A4" w14:textId="3E9829D2" w:rsidR="00B81871" w:rsidRPr="008E5C92" w:rsidRDefault="002C159D" w:rsidP="00AC73DF">
      <w:r w:rsidRPr="008E5C92">
        <w:t xml:space="preserve">Several of the Advisory Group members </w:t>
      </w:r>
      <w:r w:rsidR="00E34D8A" w:rsidRPr="008E5C92">
        <w:t xml:space="preserve">drew a clear distinction between </w:t>
      </w:r>
      <w:r w:rsidR="00D14B3B" w:rsidRPr="008E5C92">
        <w:t>health-based research and population research. Health based research directly and quickly influences provision of clinical care. While population research is more concerned with sequencing a wide variety of people and t</w:t>
      </w:r>
      <w:r w:rsidR="002253DA" w:rsidRPr="008E5C92">
        <w:t xml:space="preserve">hen studying </w:t>
      </w:r>
      <w:r w:rsidR="007D67F0" w:rsidRPr="008E5C92">
        <w:t>the data for a range of</w:t>
      </w:r>
      <w:r w:rsidR="00E72BFB" w:rsidRPr="008E5C92">
        <w:t xml:space="preserve"> purposes that have no clinical or health use (e.g. using the data to make inferences about migration patterns over time). Th</w:t>
      </w:r>
      <w:r w:rsidR="00B86D6B" w:rsidRPr="008E5C92">
        <w:t xml:space="preserve">is is </w:t>
      </w:r>
      <w:r w:rsidR="00250F3B" w:rsidRPr="008E5C92">
        <w:t xml:space="preserve">a relevant distinction to bear in mind. </w:t>
      </w:r>
    </w:p>
    <w:p w14:paraId="03B91E5E" w14:textId="5BA09B8E" w:rsidR="00031E49" w:rsidRPr="008E5C92" w:rsidRDefault="00031E49" w:rsidP="00AC73DF">
      <w:r w:rsidRPr="008E5C92">
        <w:t>Several Advisory Group members noted that Aboriginal and Torres Strait Islander peoples tend to be more supportive of genetic studies in the context of delivery of health services (mainly for diagnostic purposes), and more wary of genomic research (where samples are retained and used in larger studies). However, as genomic study is driving precision medicine, the line between these two areas are becoming increasingly blurred. This blurring of the line was noted by many of the people we spoke to.</w:t>
      </w:r>
    </w:p>
    <w:p w14:paraId="72B86E57" w14:textId="14689256" w:rsidR="00C11014" w:rsidRPr="008E5C92" w:rsidRDefault="00C11014" w:rsidP="00AC73DF">
      <w:r w:rsidRPr="008E5C92">
        <w:t>A related issue that was raised many times, is the concern that genomic data could be used as a way to test Aboriginality</w:t>
      </w:r>
      <w:r w:rsidR="001460AE" w:rsidRPr="008E5C92">
        <w:t xml:space="preserve">. </w:t>
      </w:r>
      <w:r w:rsidR="00CC0238" w:rsidRPr="008E5C92">
        <w:t xml:space="preserve">This kind of use </w:t>
      </w:r>
      <w:r w:rsidR="00736811" w:rsidRPr="008E5C92">
        <w:t xml:space="preserve">must be guarded against. </w:t>
      </w:r>
    </w:p>
    <w:p w14:paraId="0C93B9A8" w14:textId="5FE1FF47" w:rsidR="002A0588" w:rsidRPr="008E5C92" w:rsidRDefault="00F52CB1" w:rsidP="00AC73DF">
      <w:pPr>
        <w:pStyle w:val="Heading2"/>
        <w:rPr>
          <w:lang w:val="en-AU"/>
        </w:rPr>
      </w:pPr>
      <w:bookmarkStart w:id="39" w:name="_Toc118824310"/>
      <w:r w:rsidRPr="008E5C92">
        <w:rPr>
          <w:lang w:val="en-AU"/>
        </w:rPr>
        <w:t xml:space="preserve">Cultural </w:t>
      </w:r>
      <w:r w:rsidR="00E92241" w:rsidRPr="008E5C92">
        <w:rPr>
          <w:lang w:val="en-AU"/>
        </w:rPr>
        <w:t>s</w:t>
      </w:r>
      <w:r w:rsidRPr="008E5C92">
        <w:rPr>
          <w:lang w:val="en-AU"/>
        </w:rPr>
        <w:t xml:space="preserve">ecurity for Aboriginal </w:t>
      </w:r>
      <w:r w:rsidR="00237E91" w:rsidRPr="008E5C92">
        <w:rPr>
          <w:lang w:val="en-AU"/>
        </w:rPr>
        <w:t xml:space="preserve">and Torres Strait Islander </w:t>
      </w:r>
      <w:r w:rsidR="000A731A" w:rsidRPr="008E5C92">
        <w:rPr>
          <w:lang w:val="en-AU"/>
        </w:rPr>
        <w:t>Researchers</w:t>
      </w:r>
      <w:bookmarkEnd w:id="39"/>
      <w:r w:rsidR="000A731A" w:rsidRPr="008E5C92">
        <w:rPr>
          <w:lang w:val="en-AU"/>
        </w:rPr>
        <w:t xml:space="preserve"> </w:t>
      </w:r>
    </w:p>
    <w:p w14:paraId="111526F9" w14:textId="4D60BA97" w:rsidR="002A0588" w:rsidRPr="008E5C92" w:rsidRDefault="003D2B71" w:rsidP="00AC73DF">
      <w:r w:rsidRPr="008E5C92">
        <w:t>Several</w:t>
      </w:r>
      <w:r w:rsidR="00E92241" w:rsidRPr="008E5C92">
        <w:t xml:space="preserve"> Advisory Group member</w:t>
      </w:r>
      <w:r w:rsidRPr="008E5C92">
        <w:t>s</w:t>
      </w:r>
      <w:r w:rsidR="00E92241" w:rsidRPr="008E5C92">
        <w:t xml:space="preserve"> </w:t>
      </w:r>
      <w:r w:rsidR="00237E91" w:rsidRPr="008E5C92">
        <w:t xml:space="preserve">expressed concern for the cultural security of Aboriginal and Torres Strait Islander researchers. </w:t>
      </w:r>
      <w:r w:rsidR="006542A8" w:rsidRPr="008E5C92">
        <w:t xml:space="preserve">Involvement of Aboriginal and Torres Strait Islander </w:t>
      </w:r>
      <w:r w:rsidR="00154110" w:rsidRPr="008E5C92">
        <w:t>researchers in projects</w:t>
      </w:r>
      <w:r w:rsidR="00A34999" w:rsidRPr="008E5C92">
        <w:t xml:space="preserve"> is an important </w:t>
      </w:r>
      <w:r w:rsidR="00F076CD" w:rsidRPr="008E5C92">
        <w:t xml:space="preserve">element to </w:t>
      </w:r>
      <w:r w:rsidR="00F422BC" w:rsidRPr="008E5C92">
        <w:t xml:space="preserve">Aboriginal and Torres Strait Islander </w:t>
      </w:r>
      <w:r w:rsidR="00F076CD" w:rsidRPr="008E5C92">
        <w:t xml:space="preserve">co-design and ensuring that Aboriginal and Torres Strait Islander concerns are represented throughout the project. However, </w:t>
      </w:r>
      <w:r w:rsidR="00071B77" w:rsidRPr="008E5C92">
        <w:t xml:space="preserve">to involve just a few Aboriginal or Torres Strait Islander people in a project, and expect them to carry the burden </w:t>
      </w:r>
      <w:r w:rsidR="008913BE" w:rsidRPr="008E5C92">
        <w:t xml:space="preserve">of </w:t>
      </w:r>
      <w:r w:rsidR="008913BE" w:rsidRPr="008E5C92">
        <w:rPr>
          <w:i/>
        </w:rPr>
        <w:t>all</w:t>
      </w:r>
      <w:r w:rsidR="008913BE" w:rsidRPr="008E5C92">
        <w:t xml:space="preserve"> Aboriginal and Torres Strait Islander concerns is an unfair and impossible burden. And if a project goes wrong, it will be those Aboriginal and Torres Strait Islander researchers that live with the cultural harm brought to their community</w:t>
      </w:r>
      <w:r w:rsidR="00726C71" w:rsidRPr="008E5C92">
        <w:t xml:space="preserve"> and the damage to personal relationships. </w:t>
      </w:r>
      <w:r w:rsidRPr="008E5C92">
        <w:t xml:space="preserve">Several Advisory Group members </w:t>
      </w:r>
      <w:r w:rsidR="00726C71" w:rsidRPr="008E5C92">
        <w:t xml:space="preserve">warned against having only 1 (or just a few) Aboriginal or Torres Strait Islander people </w:t>
      </w:r>
      <w:r w:rsidR="002C424D" w:rsidRPr="008E5C92">
        <w:t xml:space="preserve">on a project’s steering committee. </w:t>
      </w:r>
      <w:r w:rsidR="00237E91" w:rsidRPr="008E5C92">
        <w:t xml:space="preserve"> </w:t>
      </w:r>
    </w:p>
    <w:p w14:paraId="4362F735" w14:textId="18E5B942" w:rsidR="00CA16E5" w:rsidRPr="008E5C92" w:rsidRDefault="002A0654" w:rsidP="00AC73DF">
      <w:pPr>
        <w:pStyle w:val="Heading2"/>
        <w:rPr>
          <w:lang w:val="en-AU"/>
        </w:rPr>
      </w:pPr>
      <w:bookmarkStart w:id="40" w:name="_Toc118824311"/>
      <w:r w:rsidRPr="008E5C92">
        <w:rPr>
          <w:lang w:val="en-AU"/>
        </w:rPr>
        <w:t>Universit</w:t>
      </w:r>
      <w:r w:rsidR="00B13587" w:rsidRPr="008E5C92">
        <w:rPr>
          <w:lang w:val="en-AU"/>
        </w:rPr>
        <w:t xml:space="preserve">y research integrity </w:t>
      </w:r>
      <w:r w:rsidR="005A300D" w:rsidRPr="008E5C92">
        <w:rPr>
          <w:lang w:val="en-AU"/>
        </w:rPr>
        <w:t>and</w:t>
      </w:r>
      <w:r w:rsidR="00B13587" w:rsidRPr="008E5C92">
        <w:rPr>
          <w:lang w:val="en-AU"/>
        </w:rPr>
        <w:t xml:space="preserve"> ethics protocols </w:t>
      </w:r>
      <w:r w:rsidR="005A300D" w:rsidRPr="008E5C92">
        <w:rPr>
          <w:lang w:val="en-AU"/>
        </w:rPr>
        <w:t xml:space="preserve">&amp; </w:t>
      </w:r>
      <w:r w:rsidR="00B21B70" w:rsidRPr="008E5C92">
        <w:rPr>
          <w:lang w:val="en-AU"/>
        </w:rPr>
        <w:t xml:space="preserve">funding </w:t>
      </w:r>
      <w:r w:rsidR="00235EC7" w:rsidRPr="008E5C92">
        <w:rPr>
          <w:lang w:val="en-AU"/>
        </w:rPr>
        <w:t xml:space="preserve">bodies </w:t>
      </w:r>
      <w:r w:rsidR="005A300D" w:rsidRPr="008E5C92">
        <w:rPr>
          <w:lang w:val="en-AU"/>
        </w:rPr>
        <w:t>expectations</w:t>
      </w:r>
      <w:bookmarkEnd w:id="40"/>
      <w:r w:rsidR="005A300D" w:rsidRPr="008E5C92">
        <w:rPr>
          <w:lang w:val="en-AU"/>
        </w:rPr>
        <w:t xml:space="preserve"> </w:t>
      </w:r>
    </w:p>
    <w:p w14:paraId="27A302B6" w14:textId="0C8FB832" w:rsidR="00D36A9A" w:rsidRPr="008E5C92" w:rsidRDefault="00D36A9A" w:rsidP="00AC73DF">
      <w:r w:rsidRPr="008E5C92">
        <w:t xml:space="preserve">One </w:t>
      </w:r>
      <w:r w:rsidR="00654118" w:rsidRPr="008E5C92">
        <w:t xml:space="preserve">Advisory Group member </w:t>
      </w:r>
      <w:r w:rsidRPr="008E5C92">
        <w:t xml:space="preserve">identified research funding (particularly </w:t>
      </w:r>
      <w:r w:rsidR="001E331A" w:rsidRPr="008E5C92">
        <w:t xml:space="preserve">the manner of funding approaches) as </w:t>
      </w:r>
      <w:r w:rsidR="00170837" w:rsidRPr="008E5C92">
        <w:t>a significant</w:t>
      </w:r>
      <w:r w:rsidR="005F1343" w:rsidRPr="008E5C92">
        <w:t xml:space="preserve"> hurdle to </w:t>
      </w:r>
      <w:r w:rsidR="00C8464F" w:rsidRPr="008E5C92">
        <w:t>Aboriginal and Torres Strait Islander peoples participating, on their own terms, in genetic research, and sharing in the benefits</w:t>
      </w:r>
      <w:r w:rsidR="00362B17" w:rsidRPr="008E5C92">
        <w:t>.</w:t>
      </w:r>
      <w:r w:rsidR="00654118" w:rsidRPr="008E5C92">
        <w:rPr>
          <w:rStyle w:val="FootnoteReference"/>
        </w:rPr>
        <w:t xml:space="preserve"> </w:t>
      </w:r>
      <w:r w:rsidR="00362B17" w:rsidRPr="008E5C92">
        <w:t xml:space="preserve">The </w:t>
      </w:r>
      <w:r w:rsidR="005E5C43" w:rsidRPr="008E5C92">
        <w:t>advisor</w:t>
      </w:r>
      <w:r w:rsidR="00362B17" w:rsidRPr="008E5C92">
        <w:t xml:space="preserve"> </w:t>
      </w:r>
      <w:r w:rsidR="005F1343" w:rsidRPr="008E5C92">
        <w:t xml:space="preserve">was disappointed </w:t>
      </w:r>
      <w:r w:rsidR="00075FC1" w:rsidRPr="008E5C92">
        <w:t>b</w:t>
      </w:r>
      <w:r w:rsidR="005E5C43" w:rsidRPr="008E5C92">
        <w:t>y</w:t>
      </w:r>
      <w:r w:rsidR="00075FC1" w:rsidRPr="008E5C92">
        <w:t xml:space="preserve"> under resourcing, and the fact that there </w:t>
      </w:r>
      <w:r w:rsidR="005F499A" w:rsidRPr="008E5C92">
        <w:t xml:space="preserve">was not yet any nationally led approach. The </w:t>
      </w:r>
      <w:r w:rsidR="003058E8">
        <w:t xml:space="preserve">advisor </w:t>
      </w:r>
      <w:r w:rsidR="005F499A" w:rsidRPr="008E5C92">
        <w:t>identified three tensions that commonly exist in</w:t>
      </w:r>
      <w:r w:rsidR="00645E2E" w:rsidRPr="008E5C92">
        <w:t xml:space="preserve"> the way projects are planned (funding arrangements frequently being a </w:t>
      </w:r>
      <w:r w:rsidR="00D26A74" w:rsidRPr="008E5C92">
        <w:t xml:space="preserve">guiding factor in the way projects are structured). The three tensions are: </w:t>
      </w:r>
    </w:p>
    <w:p w14:paraId="53600F84" w14:textId="009A01DA" w:rsidR="00D26A74" w:rsidRPr="008E5C92" w:rsidRDefault="00D26A74" w:rsidP="00320B38">
      <w:pPr>
        <w:pStyle w:val="ListNumber"/>
        <w:numPr>
          <w:ilvl w:val="0"/>
          <w:numId w:val="44"/>
        </w:numPr>
      </w:pPr>
      <w:r w:rsidRPr="00320B38">
        <w:rPr>
          <w:b/>
        </w:rPr>
        <w:t>Trust</w:t>
      </w:r>
      <w:r w:rsidR="00C35212" w:rsidRPr="008E5C92">
        <w:t xml:space="preserve"> – </w:t>
      </w:r>
      <w:r w:rsidR="00A46695" w:rsidRPr="008E5C92">
        <w:t>much needs to be done to build a relationship of trust between a community and a research organisation</w:t>
      </w:r>
      <w:r w:rsidR="00040F50">
        <w:t>;</w:t>
      </w:r>
      <w:r w:rsidR="00A46695" w:rsidRPr="008E5C92">
        <w:t xml:space="preserve"> </w:t>
      </w:r>
    </w:p>
    <w:p w14:paraId="0BF13D29" w14:textId="1E3DBF4C" w:rsidR="00C35212" w:rsidRPr="008E5C92" w:rsidRDefault="00FB0569" w:rsidP="00320B38">
      <w:pPr>
        <w:pStyle w:val="ListNumber"/>
      </w:pPr>
      <w:r w:rsidRPr="008E5C92">
        <w:rPr>
          <w:b/>
        </w:rPr>
        <w:lastRenderedPageBreak/>
        <w:t>Co-design</w:t>
      </w:r>
      <w:r w:rsidRPr="008E5C92">
        <w:t xml:space="preserve"> – Aboriginal and Torres Strait Islander peoples must be co-designers of any research project where their genes are </w:t>
      </w:r>
      <w:r w:rsidR="00A15B2F" w:rsidRPr="008E5C92">
        <w:t>the subject of the research</w:t>
      </w:r>
      <w:r w:rsidR="00040F50">
        <w:t>; and</w:t>
      </w:r>
      <w:r w:rsidR="00A15B2F" w:rsidRPr="008E5C92">
        <w:t xml:space="preserve"> </w:t>
      </w:r>
    </w:p>
    <w:p w14:paraId="5A374B2D" w14:textId="531D2C3F" w:rsidR="00A15B2F" w:rsidRPr="008E5C92" w:rsidRDefault="00A15B2F" w:rsidP="00320B38">
      <w:pPr>
        <w:pStyle w:val="ListNumber"/>
      </w:pPr>
      <w:r w:rsidRPr="008E5C92">
        <w:rPr>
          <w:b/>
        </w:rPr>
        <w:t>Timeframes</w:t>
      </w:r>
      <w:r w:rsidRPr="008E5C92">
        <w:t xml:space="preserve"> – again, funding agreements tend to set the pace for timeframes. However, </w:t>
      </w:r>
      <w:r w:rsidR="002F0FBA" w:rsidRPr="008E5C92">
        <w:t xml:space="preserve">it is difficult to collaboratively co-design a research project, when one project partner comes to the negotiating table with pre-set timelines </w:t>
      </w:r>
      <w:r w:rsidR="008F27B8" w:rsidRPr="008E5C92">
        <w:t xml:space="preserve">based on an already anticipated methodology. </w:t>
      </w:r>
    </w:p>
    <w:p w14:paraId="1AA89F51" w14:textId="7BE30237" w:rsidR="0034319A" w:rsidRDefault="00E52CA3" w:rsidP="00AC73DF">
      <w:r>
        <w:t xml:space="preserve">The same </w:t>
      </w:r>
      <w:r w:rsidR="00B67D4C">
        <w:t xml:space="preserve">advisor </w:t>
      </w:r>
      <w:r>
        <w:t xml:space="preserve">identified another risk in this sector: duplication. </w:t>
      </w:r>
      <w:r w:rsidR="00FE2F88">
        <w:t xml:space="preserve">Communities can get burnt out when </w:t>
      </w:r>
      <w:r w:rsidR="00E55932">
        <w:t xml:space="preserve">research projects are not appropriately co-ordinated or duplicate work already done. </w:t>
      </w:r>
      <w:r w:rsidR="009D318A">
        <w:t xml:space="preserve">A </w:t>
      </w:r>
      <w:r w:rsidR="00E55932">
        <w:t xml:space="preserve">community might rightly wonder why they are participating in yet another study, remarkably similar to the last, when they are yet to see any return of benefit from the first research project. </w:t>
      </w:r>
      <w:r w:rsidR="004D3FA7">
        <w:t xml:space="preserve">Another </w:t>
      </w:r>
      <w:r w:rsidR="00616660">
        <w:t xml:space="preserve">advisor </w:t>
      </w:r>
      <w:r w:rsidR="004D3FA7">
        <w:t xml:space="preserve">also </w:t>
      </w:r>
      <w:r w:rsidR="000B5A77">
        <w:t xml:space="preserve">recognised that confusion or duplication </w:t>
      </w:r>
      <w:r w:rsidR="005965B5">
        <w:t xml:space="preserve">can occur </w:t>
      </w:r>
      <w:r w:rsidR="000B5A77">
        <w:t>through competing state and federal policies</w:t>
      </w:r>
      <w:r w:rsidR="005965B5">
        <w:t>.</w:t>
      </w:r>
      <w:r w:rsidR="000B5A77">
        <w:t xml:space="preserve"> </w:t>
      </w:r>
    </w:p>
    <w:p w14:paraId="718E366D" w14:textId="37FAF398" w:rsidR="000E44C2" w:rsidRDefault="00FB668F" w:rsidP="00AC73DF">
      <w:r>
        <w:t xml:space="preserve">A related concern is that many research projects have a disappointing tendency to tack on Aboriginal and Torres Strait Islander concerns at the end of a project almost as an afterthought. These approaches </w:t>
      </w:r>
      <w:r w:rsidR="003C7537">
        <w:t>in turn, undermine trust (identified as the first tension above).</w:t>
      </w:r>
      <w:r w:rsidR="006D0C2A">
        <w:t xml:space="preserve"> </w:t>
      </w:r>
      <w:r w:rsidR="005C1457">
        <w:t xml:space="preserve">One member of the Advisory Group referred to </w:t>
      </w:r>
      <w:r w:rsidR="00952D82">
        <w:t xml:space="preserve">this </w:t>
      </w:r>
      <w:r w:rsidR="002942CF">
        <w:t xml:space="preserve">as a </w:t>
      </w:r>
      <w:r w:rsidR="003732FD">
        <w:t>lack of social capital.</w:t>
      </w:r>
      <w:r w:rsidR="00526412" w:rsidRPr="00526412">
        <w:rPr>
          <w:rStyle w:val="FootnoteReference"/>
        </w:rPr>
        <w:t xml:space="preserve"> </w:t>
      </w:r>
    </w:p>
    <w:p w14:paraId="6A1AE29B" w14:textId="12DE346F" w:rsidR="002A2A69" w:rsidRDefault="00DE1428" w:rsidP="00AC73DF">
      <w:r>
        <w:t xml:space="preserve">Knowledge of precision medicine is relatively low, </w:t>
      </w:r>
      <w:r w:rsidR="00B54AD1">
        <w:t xml:space="preserve">but </w:t>
      </w:r>
      <w:r w:rsidR="0075017A">
        <w:t xml:space="preserve">the historical </w:t>
      </w:r>
      <w:r w:rsidR="004628B0">
        <w:t xml:space="preserve">atrocities </w:t>
      </w:r>
      <w:r w:rsidR="00E206C6">
        <w:t>including in relation to scientific research is extremely well known.</w:t>
      </w:r>
      <w:r w:rsidR="002A2A69">
        <w:t xml:space="preserve"> </w:t>
      </w:r>
      <w:r w:rsidR="00C67E1A">
        <w:t>For the consultation process to appear as little more tha</w:t>
      </w:r>
      <w:r w:rsidR="005D7B84">
        <w:t xml:space="preserve">n a tick-box at the end of a project plan cannot engender trust. </w:t>
      </w:r>
      <w:r w:rsidR="00E206C6">
        <w:t xml:space="preserve"> </w:t>
      </w:r>
      <w:r w:rsidR="006D0C2A">
        <w:t xml:space="preserve"> </w:t>
      </w:r>
      <w:r w:rsidR="003C7537">
        <w:t xml:space="preserve"> </w:t>
      </w:r>
    </w:p>
    <w:p w14:paraId="23B5B00E" w14:textId="3982E529" w:rsidR="000E44C2" w:rsidRDefault="000E44C2" w:rsidP="00AC73DF">
      <w:r>
        <w:t xml:space="preserve">Several </w:t>
      </w:r>
      <w:r w:rsidR="00B404BE">
        <w:t xml:space="preserve">Advisory Group members </w:t>
      </w:r>
      <w:r>
        <w:t>noted with great admiration the work of the NCIG, and commented that this work needs to be empowered and built upon, not duplicated.</w:t>
      </w:r>
    </w:p>
    <w:p w14:paraId="1193C1E9" w14:textId="3CE09E02" w:rsidR="00C30230" w:rsidRDefault="0068594D" w:rsidP="00AC73DF">
      <w:r>
        <w:t xml:space="preserve">Another advisor </w:t>
      </w:r>
      <w:r w:rsidR="00C30230">
        <w:t xml:space="preserve">noted that </w:t>
      </w:r>
      <w:r w:rsidR="0030388D">
        <w:t xml:space="preserve">where researchers don’t follow guidelines, they are critiqued </w:t>
      </w:r>
      <w:r w:rsidR="00564D3A">
        <w:t>when the research is published. This critique could negatively impact their future funding. This may go some</w:t>
      </w:r>
      <w:r w:rsidR="006824BB">
        <w:t xml:space="preserve"> </w:t>
      </w:r>
      <w:r w:rsidR="00564D3A">
        <w:t xml:space="preserve">way to encouraging best ethical practice, however, </w:t>
      </w:r>
      <w:r w:rsidR="00D41BDF">
        <w:t xml:space="preserve">there is still potential cultural harm to communities if criticism comes only after the breach of ethics. </w:t>
      </w:r>
    </w:p>
    <w:p w14:paraId="09200BEB" w14:textId="3C07F5BE" w:rsidR="003F4A95" w:rsidRDefault="004130AC" w:rsidP="00AC73DF">
      <w:r>
        <w:t xml:space="preserve">An Advisory Group member </w:t>
      </w:r>
      <w:r w:rsidR="00B12A59">
        <w:t xml:space="preserve">raised concern that despite a complicated ethics approval landscape there is often </w:t>
      </w:r>
      <w:r w:rsidR="00105511">
        <w:t>insufficient practical guidance for researchers. For example, where the ethics guidelines ask the researcher whether they are</w:t>
      </w:r>
      <w:r w:rsidR="00202ACC">
        <w:t xml:space="preserve"> </w:t>
      </w:r>
      <w:r w:rsidR="00105511">
        <w:t>satisfied that the community understands</w:t>
      </w:r>
      <w:r w:rsidR="00BF49BE">
        <w:t xml:space="preserve"> their</w:t>
      </w:r>
      <w:r w:rsidR="00105511">
        <w:t xml:space="preserve"> legal rights, the researcher </w:t>
      </w:r>
      <w:r w:rsidR="00202ACC">
        <w:t xml:space="preserve">may consider the answer to that question to be ‘no’. But what then? </w:t>
      </w:r>
      <w:r w:rsidR="009E4981">
        <w:t xml:space="preserve">There is nothing that </w:t>
      </w:r>
      <w:r w:rsidR="00576FE9">
        <w:t>empowers</w:t>
      </w:r>
      <w:r w:rsidR="009E4981">
        <w:t xml:space="preserve"> researchers to provide better understanding to the community. </w:t>
      </w:r>
    </w:p>
    <w:p w14:paraId="55F9D8E6" w14:textId="0FEA4747" w:rsidR="003F4A95" w:rsidRPr="008E5C92" w:rsidRDefault="003F4A95" w:rsidP="00AC73DF">
      <w:pPr>
        <w:pStyle w:val="Heading2"/>
        <w:rPr>
          <w:lang w:val="en-AU"/>
        </w:rPr>
      </w:pPr>
      <w:bookmarkStart w:id="41" w:name="_Toc118824312"/>
      <w:r w:rsidRPr="008E5C92">
        <w:rPr>
          <w:lang w:val="en-AU"/>
        </w:rPr>
        <w:t xml:space="preserve">Data Management Infrastructure </w:t>
      </w:r>
      <w:r w:rsidR="002C126E" w:rsidRPr="008E5C92">
        <w:rPr>
          <w:lang w:val="en-AU"/>
        </w:rPr>
        <w:t>&amp; Data Sovereignty</w:t>
      </w:r>
      <w:bookmarkEnd w:id="41"/>
      <w:r w:rsidR="002C126E" w:rsidRPr="008E5C92">
        <w:rPr>
          <w:lang w:val="en-AU"/>
        </w:rPr>
        <w:t xml:space="preserve"> </w:t>
      </w:r>
    </w:p>
    <w:p w14:paraId="4CCF5A9E" w14:textId="4A31D184" w:rsidR="008E40AC" w:rsidRDefault="00023BF9" w:rsidP="00AC73DF">
      <w:r>
        <w:t xml:space="preserve">A </w:t>
      </w:r>
      <w:r w:rsidR="001D17C7">
        <w:t>data management infrastructure</w:t>
      </w:r>
      <w:r w:rsidR="003F784A">
        <w:t xml:space="preserve"> and a sovereignty </w:t>
      </w:r>
      <w:r w:rsidR="00363F96">
        <w:t>framework recognising Aboriginal and Torres Strait Islander peoples</w:t>
      </w:r>
      <w:r w:rsidR="00761D80">
        <w:t>’</w:t>
      </w:r>
      <w:r w:rsidR="00363F96">
        <w:t xml:space="preserve"> rights o</w:t>
      </w:r>
      <w:r>
        <w:t>ver</w:t>
      </w:r>
      <w:r w:rsidR="00363F96">
        <w:t xml:space="preserve"> their samples and data must be established at the outset</w:t>
      </w:r>
      <w:r w:rsidR="001D17C7">
        <w:t>. This infrastructure needs to funded the right way, and with the right conditions.</w:t>
      </w:r>
      <w:r w:rsidR="00533D2F">
        <w:t xml:space="preserve"> </w:t>
      </w:r>
      <w:r w:rsidR="001918DB">
        <w:t xml:space="preserve">There is a concern that </w:t>
      </w:r>
      <w:r w:rsidR="000F711E">
        <w:t xml:space="preserve">Australia does not have the infrastructure to </w:t>
      </w:r>
      <w:r w:rsidR="005D2B23">
        <w:t xml:space="preserve">store genomic data. There is a reliance on cloud servers, many of which are not even based in Australia. </w:t>
      </w:r>
      <w:r w:rsidR="00F17204">
        <w:t xml:space="preserve">It is a concern </w:t>
      </w:r>
      <w:r w:rsidR="00BC1E9C">
        <w:t xml:space="preserve">that the data could be stored so far from country, </w:t>
      </w:r>
      <w:r w:rsidR="00971E7E">
        <w:t>and also at the potential loss of control that could come with relying on international data servers.</w:t>
      </w:r>
      <w:r w:rsidR="00DF2DF1">
        <w:t xml:space="preserve"> Storing data overseas also raises the possibility that the data may be subject to the </w:t>
      </w:r>
      <w:r w:rsidR="00457DE2">
        <w:t>legal regimes of other countries – regimes that will have no understanding of the needs of Aboriginal and Torres Strait Islander peoples.</w:t>
      </w:r>
      <w:r w:rsidR="00971E7E">
        <w:t xml:space="preserve"> </w:t>
      </w:r>
    </w:p>
    <w:p w14:paraId="6E26B728" w14:textId="75BE913E" w:rsidR="00FB6173" w:rsidRPr="008E5C92" w:rsidRDefault="003D1811" w:rsidP="00AC73DF">
      <w:r w:rsidRPr="008E5C92">
        <w:t xml:space="preserve">Several Advisory Group members </w:t>
      </w:r>
      <w:r w:rsidR="00FB6173" w:rsidRPr="008E5C92">
        <w:t xml:space="preserve">raised concerns about the digital platforms they work with in research. </w:t>
      </w:r>
      <w:r w:rsidR="00C86C24" w:rsidRPr="008E5C92">
        <w:t xml:space="preserve">For example, there was concern that the digital platforms used to store data may have some ownership rights over the data. </w:t>
      </w:r>
      <w:r w:rsidR="00FB6173" w:rsidRPr="008E5C92">
        <w:t>The</w:t>
      </w:r>
      <w:r w:rsidR="00913123" w:rsidRPr="008E5C92">
        <w:t xml:space="preserve">re </w:t>
      </w:r>
      <w:r w:rsidR="00FE6548" w:rsidRPr="008E5C92">
        <w:t xml:space="preserve">also </w:t>
      </w:r>
      <w:r w:rsidR="00913123" w:rsidRPr="008E5C92">
        <w:t xml:space="preserve">were concerns </w:t>
      </w:r>
      <w:r w:rsidR="00FB6173" w:rsidRPr="008E5C92">
        <w:t xml:space="preserve">that the providers </w:t>
      </w:r>
      <w:r w:rsidR="00FB6173" w:rsidRPr="008E5C92">
        <w:lastRenderedPageBreak/>
        <w:t xml:space="preserve">of the digital platforms might be able to access and use the data. They were concerned that the digital platforms they use to store and analyse the data might be able to use a backdoor way of accessing and using the data. This concern held whether this access was permitted (e.g. through fine print on the software licence agreement) or not-permitted (simply taking the information). </w:t>
      </w:r>
    </w:p>
    <w:p w14:paraId="11D6F16B" w14:textId="138F2937" w:rsidR="006C1684" w:rsidRPr="008E5C92" w:rsidRDefault="006C1684" w:rsidP="00AC73DF">
      <w:r w:rsidRPr="008E5C92">
        <w:t>Another concern related to on-going data management. It was noted by one of the Advisory Group that funders often expected researchers to make their data open and accessible. This is problematic for a number of reasons. In the first instance,</w:t>
      </w:r>
      <w:r w:rsidR="00387FC4">
        <w:t xml:space="preserve"> </w:t>
      </w:r>
      <w:r w:rsidR="00C84402">
        <w:t>for small communities,</w:t>
      </w:r>
      <w:r w:rsidRPr="008E5C92">
        <w:t xml:space="preserve"> even anonymised data</w:t>
      </w:r>
      <w:r w:rsidR="00C84402">
        <w:t xml:space="preserve"> </w:t>
      </w:r>
      <w:r w:rsidRPr="008E5C92">
        <w:t xml:space="preserve">is potentially identifiable. Free, open access also sits at odds with on-going ownership and control by the Aboriginal and Torres Strait Islander donor communities. </w:t>
      </w:r>
    </w:p>
    <w:p w14:paraId="6BE5A527" w14:textId="19AC15D8" w:rsidR="009E6C6F" w:rsidRPr="008E5C92" w:rsidRDefault="00304D77" w:rsidP="00AC73DF">
      <w:r>
        <w:t>T</w:t>
      </w:r>
      <w:r w:rsidR="009E6C6F" w:rsidRPr="008E5C92">
        <w:t xml:space="preserve">he process of keeping initial consents within specific parameters (rather than having donors sign away all rights to their samples and data) and returning to the donor to reconsent for any secondary uses, is a challenge to the orthodoxy in the scientific community that promotes data sharing. This tension between </w:t>
      </w:r>
      <w:r w:rsidR="009E6C6F" w:rsidRPr="002B5F46">
        <w:rPr>
          <w:i/>
          <w:iCs/>
        </w:rPr>
        <w:t>public/private</w:t>
      </w:r>
      <w:r w:rsidR="009E6C6F" w:rsidRPr="008E5C92">
        <w:t xml:space="preserve"> and </w:t>
      </w:r>
      <w:r w:rsidR="009E6C6F" w:rsidRPr="002B5F46">
        <w:rPr>
          <w:i/>
          <w:iCs/>
        </w:rPr>
        <w:t>free access/private commercial</w:t>
      </w:r>
      <w:r w:rsidR="009E6C6F" w:rsidRPr="008E5C92">
        <w:t xml:space="preserve"> is a recurring theme in genomic research and was commented on in several </w:t>
      </w:r>
      <w:r w:rsidR="004C6ABF" w:rsidRPr="008E5C92">
        <w:t>discussions</w:t>
      </w:r>
      <w:r w:rsidR="009E6C6F" w:rsidRPr="008E5C92">
        <w:t xml:space="preserve">. </w:t>
      </w:r>
    </w:p>
    <w:p w14:paraId="3AE8A312" w14:textId="07DA1A90" w:rsidR="00314719" w:rsidRDefault="00BA6AFC" w:rsidP="00AC73DF">
      <w:r>
        <w:t xml:space="preserve">Several Advisory Group members state that </w:t>
      </w:r>
      <w:r w:rsidR="00467588">
        <w:t>data</w:t>
      </w:r>
      <w:r w:rsidR="002C64B6">
        <w:t xml:space="preserve"> sovereignty should be written into any research project right from the start</w:t>
      </w:r>
      <w:r w:rsidR="002F3949">
        <w:t xml:space="preserve">, although the actual arrangements should be flexible according to the needs of the community. </w:t>
      </w:r>
      <w:r w:rsidR="00ED3E5B">
        <w:t xml:space="preserve">They also noted that it </w:t>
      </w:r>
      <w:r w:rsidR="00314719">
        <w:t>is important to have recourse when data is mishandled.</w:t>
      </w:r>
    </w:p>
    <w:p w14:paraId="1CB3B32C" w14:textId="2EBCC64B" w:rsidR="001E13F1" w:rsidRDefault="00F306DD" w:rsidP="00AC73DF">
      <w:r>
        <w:t>Block chain was posited as a possible means of maintaining connections between individuals, community, their samples and data.</w:t>
      </w:r>
      <w:r w:rsidR="008344A5">
        <w:t xml:space="preserve"> In particular it could be used to assist in the return of benefit to community.</w:t>
      </w:r>
    </w:p>
    <w:p w14:paraId="106FDFCF" w14:textId="638FE9F5" w:rsidR="001E13F1" w:rsidRPr="008E5C92" w:rsidRDefault="001E13F1" w:rsidP="00AC73DF">
      <w:pPr>
        <w:pStyle w:val="Heading2"/>
        <w:rPr>
          <w:lang w:val="en-AU"/>
        </w:rPr>
      </w:pPr>
      <w:bookmarkStart w:id="42" w:name="_Toc118824313"/>
      <w:r w:rsidRPr="008E5C92">
        <w:rPr>
          <w:lang w:val="en-AU"/>
        </w:rPr>
        <w:t xml:space="preserve">Legal ambiguity </w:t>
      </w:r>
      <w:r w:rsidR="00912486" w:rsidRPr="008E5C92">
        <w:rPr>
          <w:lang w:val="en-AU"/>
        </w:rPr>
        <w:t>&amp; uncertainty</w:t>
      </w:r>
      <w:bookmarkEnd w:id="42"/>
      <w:r w:rsidR="00912486" w:rsidRPr="008E5C92">
        <w:rPr>
          <w:lang w:val="en-AU"/>
        </w:rPr>
        <w:t xml:space="preserve"> </w:t>
      </w:r>
    </w:p>
    <w:p w14:paraId="230F486D" w14:textId="14A7FB2B" w:rsidR="00912486" w:rsidRDefault="00912486" w:rsidP="00AC73DF">
      <w:r>
        <w:t>When asked what role they sa</w:t>
      </w:r>
      <w:r w:rsidR="0059259E">
        <w:t>w</w:t>
      </w:r>
      <w:r>
        <w:t xml:space="preserve"> for the law in this space, </w:t>
      </w:r>
      <w:r w:rsidR="00FA0078">
        <w:t xml:space="preserve">several advisors </w:t>
      </w:r>
      <w:r w:rsidR="00F67838">
        <w:t>commented that having worked with a variety of specialists in the health services, researc</w:t>
      </w:r>
      <w:r w:rsidR="00CC492D">
        <w:t xml:space="preserve">h, ethics and community, the conversation almost always </w:t>
      </w:r>
      <w:r w:rsidR="001A48EC">
        <w:t xml:space="preserve">met with difficulty when talking about the law. </w:t>
      </w:r>
      <w:r w:rsidR="00E70FF2">
        <w:t xml:space="preserve">It was noted that </w:t>
      </w:r>
      <w:r w:rsidR="001A48EC">
        <w:t>people are particularly concerned about:</w:t>
      </w:r>
    </w:p>
    <w:p w14:paraId="13CC0763" w14:textId="1F0C3F45" w:rsidR="001A48EC" w:rsidRDefault="001A48EC" w:rsidP="00320B38">
      <w:pPr>
        <w:pStyle w:val="ListBullet"/>
      </w:pPr>
      <w:r>
        <w:t xml:space="preserve">Who can use samples, and for what purposes? </w:t>
      </w:r>
    </w:p>
    <w:p w14:paraId="33E3F5EF" w14:textId="793B45CF" w:rsidR="001A48EC" w:rsidRDefault="001A48EC" w:rsidP="00320B38">
      <w:pPr>
        <w:pStyle w:val="ListBullet"/>
      </w:pPr>
      <w:r>
        <w:t xml:space="preserve">How does the law protect </w:t>
      </w:r>
      <w:r w:rsidR="00693A4A">
        <w:t xml:space="preserve">Aboriginal and Torres Strait Islander </w:t>
      </w:r>
      <w:r>
        <w:t xml:space="preserve">genomic data from exploitation by big companies? </w:t>
      </w:r>
    </w:p>
    <w:p w14:paraId="6C9AF2E5" w14:textId="1A328839" w:rsidR="001A48EC" w:rsidRDefault="005B216F" w:rsidP="00320B38">
      <w:pPr>
        <w:pStyle w:val="ListBullet"/>
      </w:pPr>
      <w:r>
        <w:t xml:space="preserve">How does the law protect data sovereignty and </w:t>
      </w:r>
      <w:r w:rsidR="00350E35">
        <w:t xml:space="preserve">Aboriginal and Torres Strait Islander </w:t>
      </w:r>
      <w:r>
        <w:t xml:space="preserve">IP? </w:t>
      </w:r>
    </w:p>
    <w:p w14:paraId="1F77B252" w14:textId="5F09E68A" w:rsidR="005B216F" w:rsidRDefault="00461E17" w:rsidP="00AC73DF">
      <w:r>
        <w:t xml:space="preserve">Several people noted that it seemed that </w:t>
      </w:r>
      <w:r w:rsidR="005B216F">
        <w:t>the lack of knowledge about the law, was</w:t>
      </w:r>
      <w:r w:rsidR="00E704FB">
        <w:t xml:space="preserve"> itself a barrier to informed consent.</w:t>
      </w:r>
      <w:r w:rsidR="00F34B64">
        <w:t xml:space="preserve"> </w:t>
      </w:r>
    </w:p>
    <w:p w14:paraId="732294AA" w14:textId="615541B0" w:rsidR="00523C8C" w:rsidRDefault="003803CC" w:rsidP="00AC73DF">
      <w:r>
        <w:t>In fact, c</w:t>
      </w:r>
      <w:r w:rsidR="00680E37">
        <w:t xml:space="preserve">oncern over lack of legal knowledge as a problem in itself was raised </w:t>
      </w:r>
      <w:r w:rsidR="00A73D0E">
        <w:t>several</w:t>
      </w:r>
      <w:r w:rsidR="00680E37">
        <w:t xml:space="preserve"> times</w:t>
      </w:r>
      <w:r>
        <w:t xml:space="preserve">. </w:t>
      </w:r>
      <w:r w:rsidR="009A475F">
        <w:t>W</w:t>
      </w:r>
      <w:r>
        <w:t xml:space="preserve">hile the medical sector </w:t>
      </w:r>
      <w:r w:rsidR="00ED27B0">
        <w:t>is generally pretty adept at advertising itself, the legal profession remains opaque</w:t>
      </w:r>
      <w:r w:rsidR="00402F46">
        <w:t>: m</w:t>
      </w:r>
      <w:r w:rsidR="00DE04DB">
        <w:t xml:space="preserve">ost people would have a basic understanding of what chronic disease was, but few people could provide a legal definition for their personal information. </w:t>
      </w:r>
    </w:p>
    <w:p w14:paraId="0F095BB7" w14:textId="2BE38762" w:rsidR="00AC656B" w:rsidRDefault="00AC656B" w:rsidP="00AC73DF">
      <w:r>
        <w:t>In a related comment, the need for Aboriginal and Torres Strait Islander genomics counsellors</w:t>
      </w:r>
      <w:r w:rsidR="00616DC2">
        <w:t xml:space="preserve"> was noted</w:t>
      </w:r>
      <w:r>
        <w:t xml:space="preserve">. </w:t>
      </w:r>
      <w:r w:rsidR="00094925">
        <w:t xml:space="preserve">However, </w:t>
      </w:r>
      <w:r w:rsidR="00542C94">
        <w:t xml:space="preserve">there were anecdotal reports that </w:t>
      </w:r>
      <w:r w:rsidR="0070032F">
        <w:t>the degree of support offered by genetic counsellors can vary.</w:t>
      </w:r>
      <w:r w:rsidR="005A436F">
        <w:t xml:space="preserve"> So in fact, the mere availability of genetic counsellors would not be sufficient in itself. </w:t>
      </w:r>
    </w:p>
    <w:p w14:paraId="681B4581" w14:textId="2DD99EB0" w:rsidR="007B57DD" w:rsidRPr="008E5C92" w:rsidRDefault="007B57DD" w:rsidP="00AC73DF">
      <w:pPr>
        <w:pStyle w:val="Heading2"/>
        <w:rPr>
          <w:lang w:val="en-AU"/>
        </w:rPr>
      </w:pPr>
      <w:bookmarkStart w:id="43" w:name="_Toc118824314"/>
      <w:r w:rsidRPr="008E5C92">
        <w:rPr>
          <w:lang w:val="en-AU"/>
        </w:rPr>
        <w:lastRenderedPageBreak/>
        <w:t>Emerging Issues</w:t>
      </w:r>
      <w:bookmarkEnd w:id="43"/>
      <w:r w:rsidRPr="008E5C92">
        <w:rPr>
          <w:lang w:val="en-AU"/>
        </w:rPr>
        <w:t xml:space="preserve"> </w:t>
      </w:r>
    </w:p>
    <w:p w14:paraId="56DC2188" w14:textId="53F463D1" w:rsidR="007B57DD" w:rsidRDefault="007B57DD" w:rsidP="00AC73DF">
      <w:r>
        <w:t xml:space="preserve">When one </w:t>
      </w:r>
      <w:r w:rsidR="00991895">
        <w:t xml:space="preserve">of the Advisory Group </w:t>
      </w:r>
      <w:r>
        <w:t xml:space="preserve">was asked about emerging issues in the field of </w:t>
      </w:r>
      <w:r w:rsidR="00991895">
        <w:t>Aboriginal and Torres Strait Islander</w:t>
      </w:r>
      <w:r>
        <w:t xml:space="preserve"> </w:t>
      </w:r>
      <w:r w:rsidR="00991895">
        <w:t>g</w:t>
      </w:r>
      <w:r>
        <w:t xml:space="preserve">enomics, </w:t>
      </w:r>
      <w:r w:rsidR="00AD50E2">
        <w:t xml:space="preserve">they identified the following: </w:t>
      </w:r>
    </w:p>
    <w:p w14:paraId="0A5D916A" w14:textId="4EA55CCB" w:rsidR="00AD50E2" w:rsidRDefault="00BC38EE" w:rsidP="00320B38">
      <w:pPr>
        <w:pStyle w:val="ListBullet"/>
      </w:pPr>
      <w:r>
        <w:t>o</w:t>
      </w:r>
      <w:r w:rsidR="00AD50E2">
        <w:t>ngoing challenges to building relationships of trust</w:t>
      </w:r>
      <w:r>
        <w:t>;</w:t>
      </w:r>
      <w:r w:rsidR="00AD50E2">
        <w:t xml:space="preserve"> </w:t>
      </w:r>
    </w:p>
    <w:p w14:paraId="081A17A5" w14:textId="51D6135D" w:rsidR="00AD50E2" w:rsidRDefault="00BC38EE" w:rsidP="00320B38">
      <w:pPr>
        <w:pStyle w:val="ListBullet"/>
      </w:pPr>
      <w:r>
        <w:t>c</w:t>
      </w:r>
      <w:r w:rsidR="00935494">
        <w:t>ontinuing development and improvement of the way benefit and risk is discussed with communities</w:t>
      </w:r>
      <w:r>
        <w:t>;</w:t>
      </w:r>
      <w:r w:rsidR="00935494">
        <w:t xml:space="preserve"> and </w:t>
      </w:r>
    </w:p>
    <w:p w14:paraId="7BE6F9A5" w14:textId="783FD251" w:rsidR="003B35B3" w:rsidRDefault="00BC38EE" w:rsidP="00320B38">
      <w:pPr>
        <w:pStyle w:val="ListBullet"/>
      </w:pPr>
      <w:r>
        <w:t>e</w:t>
      </w:r>
      <w:r w:rsidR="005E6306">
        <w:t xml:space="preserve">nsuring use of knowledge is fairly compensated. </w:t>
      </w:r>
    </w:p>
    <w:p w14:paraId="26117D97" w14:textId="0486CBE3" w:rsidR="004B3614" w:rsidRDefault="008F0763" w:rsidP="00AC73DF">
      <w:r>
        <w:t>T</w:t>
      </w:r>
      <w:r w:rsidR="008F6CE1">
        <w:t xml:space="preserve">here is already inequitable delivery of healthcare to Aboriginal and Torres Strait Islander people. </w:t>
      </w:r>
      <w:r w:rsidR="00C20DAF">
        <w:t>Genomics study has the potential to compound that issue</w:t>
      </w:r>
      <w:r w:rsidR="00853DE1">
        <w:t xml:space="preserve"> in many ways. In particular </w:t>
      </w:r>
      <w:r w:rsidR="005546FD">
        <w:t xml:space="preserve">via </w:t>
      </w:r>
      <w:r w:rsidR="00531778">
        <w:t>financial manipulation. As momentum behind genomics study gather</w:t>
      </w:r>
      <w:r w:rsidR="00557C8C">
        <w:t>s</w:t>
      </w:r>
      <w:r w:rsidR="00531778">
        <w:t xml:space="preserve"> speed, every research company will be </w:t>
      </w:r>
      <w:r w:rsidR="003F4545">
        <w:t xml:space="preserve">scrambling to be the one to integrate </w:t>
      </w:r>
      <w:r w:rsidR="007077E4">
        <w:t xml:space="preserve">Aboriginal and Torres Strait Islander </w:t>
      </w:r>
      <w:r w:rsidR="003F4545">
        <w:t xml:space="preserve">genomics into the health </w:t>
      </w:r>
      <w:r w:rsidR="0081290F">
        <w:t xml:space="preserve">care system. This presents the risk that unscrupulous </w:t>
      </w:r>
      <w:r w:rsidR="00D7346C">
        <w:t xml:space="preserve">companies could </w:t>
      </w:r>
      <w:r w:rsidR="002127C4">
        <w:t xml:space="preserve">act unethically, or use undue financial influence to further their research. </w:t>
      </w:r>
      <w:r w:rsidR="00313D4B">
        <w:t xml:space="preserve">This in turn, presents the risk that </w:t>
      </w:r>
      <w:r w:rsidR="004D36A8">
        <w:t xml:space="preserve">examples of exploitative research could mean that Aboriginal and Torres Strait Islander peoples </w:t>
      </w:r>
      <w:r w:rsidR="00DB1A65">
        <w:t xml:space="preserve">become unwilling to participate in any research at all. This will set </w:t>
      </w:r>
      <w:r w:rsidR="00AF3DF5">
        <w:t xml:space="preserve">Aboriginal and Torres Strait Islander </w:t>
      </w:r>
      <w:r w:rsidR="00DB1A65">
        <w:t xml:space="preserve">genomic research back even further and produce even more inequality in </w:t>
      </w:r>
      <w:r w:rsidR="0054365F">
        <w:t xml:space="preserve">delivery of health services to Aboriginal and Torres Strait Islander peoples. </w:t>
      </w:r>
    </w:p>
    <w:p w14:paraId="35A334C3" w14:textId="42487F69" w:rsidR="0010581C" w:rsidRDefault="007C422A" w:rsidP="00AC73DF">
      <w:r>
        <w:t xml:space="preserve">One of the Advisory Group </w:t>
      </w:r>
      <w:r w:rsidR="0010581C">
        <w:t xml:space="preserve">saw a potential role for community organisations to be custodians </w:t>
      </w:r>
      <w:r w:rsidR="00506A60">
        <w:t xml:space="preserve">of samples and data </w:t>
      </w:r>
      <w:r w:rsidR="00A251FB">
        <w:t>(acknowledging that this would depend on the circumstances</w:t>
      </w:r>
      <w:r w:rsidR="00506A60">
        <w:t xml:space="preserve">, </w:t>
      </w:r>
      <w:r w:rsidR="00643E1C">
        <w:t xml:space="preserve">the wants and needs of </w:t>
      </w:r>
      <w:r w:rsidR="007A5908">
        <w:t>particular</w:t>
      </w:r>
      <w:r w:rsidR="00643E1C">
        <w:t xml:space="preserve"> communit</w:t>
      </w:r>
      <w:r w:rsidR="007A5908">
        <w:t>ies</w:t>
      </w:r>
      <w:r w:rsidR="00643E1C">
        <w:t xml:space="preserve"> and existing governance bodies). </w:t>
      </w:r>
      <w:r w:rsidR="002F7476">
        <w:t>U</w:t>
      </w:r>
      <w:r w:rsidR="007D1681">
        <w:t xml:space="preserve">nder this model, the community organisation could be responsible for collection and management of samples and data. </w:t>
      </w:r>
      <w:r w:rsidR="0029688D">
        <w:t>Then if a researcher want</w:t>
      </w:r>
      <w:r w:rsidR="002F7476">
        <w:t>ed</w:t>
      </w:r>
      <w:r w:rsidR="0029688D">
        <w:t xml:space="preserve"> to use the sample, they can request permission </w:t>
      </w:r>
      <w:r w:rsidR="00171546">
        <w:t xml:space="preserve">from organisation, </w:t>
      </w:r>
      <w:r w:rsidR="0012740D">
        <w:t xml:space="preserve">and the organisation can grant or deny permission, with </w:t>
      </w:r>
      <w:r w:rsidR="00506985">
        <w:t xml:space="preserve">appropriate </w:t>
      </w:r>
      <w:r w:rsidR="0012740D">
        <w:t xml:space="preserve">conditions. </w:t>
      </w:r>
      <w:r w:rsidR="004462A6">
        <w:t xml:space="preserve">However, there could be funding </w:t>
      </w:r>
      <w:r w:rsidR="008B0476">
        <w:t>issues with community owned biobanks.</w:t>
      </w:r>
    </w:p>
    <w:p w14:paraId="28581C2F" w14:textId="78828684" w:rsidR="00320B38" w:rsidRDefault="00CA2C1B" w:rsidP="00AC73DF">
      <w:r>
        <w:t xml:space="preserve">Many of the Advisory Group </w:t>
      </w:r>
      <w:r w:rsidR="002877D1">
        <w:t xml:space="preserve">saw </w:t>
      </w:r>
      <w:r>
        <w:t xml:space="preserve">a need for </w:t>
      </w:r>
      <w:r w:rsidR="002877D1">
        <w:t>national policy frameworks.</w:t>
      </w:r>
      <w:r w:rsidR="00820A77">
        <w:t xml:space="preserve"> Ideally, a framework in which national policy </w:t>
      </w:r>
      <w:r w:rsidR="00C67689">
        <w:t xml:space="preserve">provided the broad </w:t>
      </w:r>
      <w:r w:rsidR="00374B74">
        <w:t>requirements</w:t>
      </w:r>
      <w:r w:rsidR="00C67689">
        <w:t>, followed by state and territory frameworks providing more specific details</w:t>
      </w:r>
      <w:r w:rsidR="00BD091C">
        <w:t xml:space="preserve">. This integrated approach could also help to build knowledge of the resources already in place </w:t>
      </w:r>
      <w:r w:rsidR="00363C86">
        <w:t xml:space="preserve">and avoid duplication. </w:t>
      </w:r>
      <w:r w:rsidR="006E7FED">
        <w:t xml:space="preserve">A </w:t>
      </w:r>
      <w:r w:rsidR="008B7C5D">
        <w:t xml:space="preserve">Commonwealth Ombudsman </w:t>
      </w:r>
      <w:r w:rsidR="00916BE6">
        <w:t xml:space="preserve">equivalent </w:t>
      </w:r>
      <w:r w:rsidR="00B3055B">
        <w:t>co</w:t>
      </w:r>
      <w:r w:rsidR="00810B2A">
        <w:t>u</w:t>
      </w:r>
      <w:r w:rsidR="00B3055B">
        <w:t>ld then provide national level oversight</w:t>
      </w:r>
      <w:r w:rsidR="004E1556">
        <w:t xml:space="preserve">. However, if this did come into place, the availability and accessibility of this service would need to be </w:t>
      </w:r>
      <w:r w:rsidR="008237B0">
        <w:t>communicated to the public</w:t>
      </w:r>
      <w:r w:rsidR="005B46B9">
        <w:t xml:space="preserve"> and each service should have a complaints mechanism on their website.</w:t>
      </w:r>
      <w:r w:rsidR="00320B38">
        <w:br w:type="page"/>
      </w:r>
    </w:p>
    <w:p w14:paraId="3C33157F" w14:textId="6CCD7F57" w:rsidR="006B50AA" w:rsidRPr="008E5C92" w:rsidRDefault="006B50AA" w:rsidP="00AC73DF">
      <w:pPr>
        <w:pStyle w:val="Heading1"/>
        <w:rPr>
          <w:lang w:val="en-AU"/>
        </w:rPr>
      </w:pPr>
      <w:bookmarkStart w:id="44" w:name="_Toc118824315"/>
      <w:r w:rsidRPr="008E5C92">
        <w:rPr>
          <w:lang w:val="en-AU"/>
        </w:rPr>
        <w:lastRenderedPageBreak/>
        <w:t>What are the legal issues?</w:t>
      </w:r>
      <w:bookmarkEnd w:id="44"/>
    </w:p>
    <w:p w14:paraId="5CFAC433" w14:textId="035DC642" w:rsidR="00905328" w:rsidRDefault="005263DF" w:rsidP="003522F6">
      <w:pPr>
        <w:spacing w:before="240"/>
      </w:pPr>
      <w:bookmarkStart w:id="45" w:name="_Toc36215520"/>
      <w:r w:rsidRPr="00F67476">
        <w:t xml:space="preserve">What do we mean when we talk about ‘ownership’ of data? </w:t>
      </w:r>
      <w:bookmarkEnd w:id="45"/>
      <w:r w:rsidR="0023471A">
        <w:t>Privacy rights, for example, are not rights of intellectual property, and yet they have very real impacts on how people’s information is used and accessed by third parties</w:t>
      </w:r>
      <w:r w:rsidR="006C24F9">
        <w:t xml:space="preserve">. </w:t>
      </w:r>
      <w:r w:rsidR="0021726A">
        <w:t xml:space="preserve">In other words, privacy laws don’t give people proprietary rights over their data, </w:t>
      </w:r>
      <w:r w:rsidR="00E67044">
        <w:t xml:space="preserve">but they do allow people to defend themselves against invasions of privacy, which in practical terms amounts to </w:t>
      </w:r>
      <w:r w:rsidR="00A9500B">
        <w:t xml:space="preserve">much the same thing – a right to protect their personal information. </w:t>
      </w:r>
    </w:p>
    <w:p w14:paraId="59DF5891" w14:textId="692E829F" w:rsidR="006C24F9" w:rsidRDefault="00905328" w:rsidP="003522F6">
      <w:pPr>
        <w:spacing w:before="240"/>
      </w:pPr>
      <w:r>
        <w:t>This section takes an expansive view of the meaning of ‘ownership’</w:t>
      </w:r>
      <w:r w:rsidR="006C24F9">
        <w:t xml:space="preserve"> </w:t>
      </w:r>
      <w:r>
        <w:t>and examine</w:t>
      </w:r>
      <w:r w:rsidR="00EA5FDA">
        <w:t>s</w:t>
      </w:r>
      <w:r>
        <w:t xml:space="preserve"> the legal regime</w:t>
      </w:r>
      <w:r w:rsidR="007836AB">
        <w:t>s</w:t>
      </w:r>
      <w:r>
        <w:t xml:space="preserve"> that impact Aboriginal and Torres Strait Islander peoples’ ability to protect their </w:t>
      </w:r>
      <w:r w:rsidR="00DA6C1E">
        <w:t xml:space="preserve">genomic information </w:t>
      </w:r>
      <w:r w:rsidR="00595C08">
        <w:t xml:space="preserve">and control how it is shared and used. </w:t>
      </w:r>
    </w:p>
    <w:p w14:paraId="6330A5CC" w14:textId="18C071D1" w:rsidR="008A0B5D" w:rsidRDefault="00024DA6" w:rsidP="003522F6">
      <w:pPr>
        <w:spacing w:before="240"/>
      </w:pPr>
      <w:r>
        <w:t>This section begins with an examination of copyright law. If data is thought of</w:t>
      </w:r>
      <w:r w:rsidR="00994284">
        <w:t xml:space="preserve"> through the lens of </w:t>
      </w:r>
      <w:r>
        <w:t>intellectual property, then copyright law i</w:t>
      </w:r>
      <w:r w:rsidR="00A82A88">
        <w:t>s</w:t>
      </w:r>
      <w:r>
        <w:t xml:space="preserve"> the first consideration. While </w:t>
      </w:r>
      <w:r w:rsidR="0036639E">
        <w:t xml:space="preserve">copyright law does not </w:t>
      </w:r>
      <w:r w:rsidR="0036639E" w:rsidRPr="00DA5F7C">
        <w:t>generally protect facts</w:t>
      </w:r>
      <w:r w:rsidR="00F203E6" w:rsidRPr="002B5F46">
        <w:t xml:space="preserve"> (see </w:t>
      </w:r>
      <w:r w:rsidR="00652028" w:rsidRPr="002B5F46">
        <w:t xml:space="preserve">section </w:t>
      </w:r>
      <w:r w:rsidR="00652028" w:rsidRPr="002B5F46">
        <w:rPr>
          <w:b/>
          <w:sz w:val="20"/>
        </w:rPr>
        <w:fldChar w:fldCharType="begin"/>
      </w:r>
      <w:r w:rsidR="00652028" w:rsidRPr="002B5F46">
        <w:rPr>
          <w:b/>
          <w:sz w:val="20"/>
        </w:rPr>
        <w:instrText xml:space="preserve"> REF _Ref44236318 \r \h </w:instrText>
      </w:r>
      <w:r w:rsidR="00652028" w:rsidRPr="00A7008D">
        <w:rPr>
          <w:b/>
          <w:sz w:val="20"/>
        </w:rPr>
        <w:instrText xml:space="preserve"> \* MERGEFORMAT </w:instrText>
      </w:r>
      <w:r w:rsidR="00652028" w:rsidRPr="002B5F46">
        <w:rPr>
          <w:b/>
          <w:sz w:val="20"/>
        </w:rPr>
      </w:r>
      <w:r w:rsidR="00652028" w:rsidRPr="002B5F46">
        <w:rPr>
          <w:b/>
          <w:sz w:val="20"/>
        </w:rPr>
        <w:fldChar w:fldCharType="separate"/>
      </w:r>
      <w:r w:rsidR="000B4085">
        <w:rPr>
          <w:b/>
          <w:sz w:val="20"/>
        </w:rPr>
        <w:t>5.1.5</w:t>
      </w:r>
      <w:r w:rsidR="00652028" w:rsidRPr="002B5F46">
        <w:rPr>
          <w:b/>
          <w:sz w:val="20"/>
        </w:rPr>
        <w:fldChar w:fldCharType="end"/>
      </w:r>
      <w:r w:rsidR="00652028" w:rsidRPr="002B5F46">
        <w:t>)</w:t>
      </w:r>
      <w:r w:rsidR="0036639E" w:rsidRPr="00DA5F7C">
        <w:t>,</w:t>
      </w:r>
      <w:r w:rsidR="0036639E">
        <w:t xml:space="preserve"> the reality is that many of the projects handling </w:t>
      </w:r>
      <w:r w:rsidR="0059285A">
        <w:t xml:space="preserve">Aboriginal and Torres Strait Islander </w:t>
      </w:r>
      <w:r w:rsidR="0036639E">
        <w:t xml:space="preserve">genomic data will create reams of </w:t>
      </w:r>
      <w:r w:rsidR="009A3143">
        <w:t xml:space="preserve">material that </w:t>
      </w:r>
      <w:r w:rsidR="009A3143" w:rsidRPr="002B5F46">
        <w:rPr>
          <w:i/>
          <w:iCs/>
        </w:rPr>
        <w:t>is</w:t>
      </w:r>
      <w:r w:rsidR="009A3143">
        <w:t xml:space="preserve"> subject to copyright protection. It is also possible that research agreements will contain broad definitions of copyright </w:t>
      </w:r>
      <w:r w:rsidR="008A0B5D">
        <w:t>which will capture many form</w:t>
      </w:r>
      <w:r w:rsidR="00D9485E">
        <w:t>s</w:t>
      </w:r>
      <w:r w:rsidR="008A0B5D">
        <w:t xml:space="preserve"> of data and content. </w:t>
      </w:r>
    </w:p>
    <w:p w14:paraId="38560A5E" w14:textId="132B3B7D" w:rsidR="00E13993" w:rsidRDefault="008A0B5D" w:rsidP="003522F6">
      <w:pPr>
        <w:spacing w:before="240"/>
      </w:pPr>
      <w:r>
        <w:t xml:space="preserve">Privacy law </w:t>
      </w:r>
      <w:r w:rsidR="00417AA3">
        <w:t xml:space="preserve">has both </w:t>
      </w:r>
      <w:r w:rsidR="00140C94">
        <w:t>strengths (</w:t>
      </w:r>
      <w:r w:rsidR="00AB6FA2">
        <w:t>e.g. its strict adherence to consent for primary purpose only) and its weaknesses (e.g. numerous exceptions in which information can be used without consent of the donor).</w:t>
      </w:r>
    </w:p>
    <w:p w14:paraId="326FD3C0" w14:textId="5B2EB852" w:rsidR="00707D3D" w:rsidRDefault="00D2192B" w:rsidP="00DA5F7C">
      <w:pPr>
        <w:spacing w:before="240"/>
      </w:pPr>
      <w:r>
        <w:t xml:space="preserve">Patient rights </w:t>
      </w:r>
      <w:r w:rsidR="0021757C">
        <w:t xml:space="preserve">reflect </w:t>
      </w:r>
      <w:r w:rsidR="00E11394">
        <w:t>the duty of care doctors and researchers owe to their patients and donors</w:t>
      </w:r>
      <w:r w:rsidR="00193DA1">
        <w:t xml:space="preserve"> and c</w:t>
      </w:r>
      <w:r w:rsidR="00707D3D">
        <w:t xml:space="preserve">ommercialisation is a particularly live issue in the genomics field. The </w:t>
      </w:r>
      <w:r w:rsidR="00707D3D" w:rsidRPr="0018312B">
        <w:rPr>
          <w:i/>
          <w:iCs/>
        </w:rPr>
        <w:t xml:space="preserve">Patents </w:t>
      </w:r>
      <w:r w:rsidR="00F34B6F" w:rsidRPr="0018312B">
        <w:rPr>
          <w:i/>
          <w:iCs/>
        </w:rPr>
        <w:t>A</w:t>
      </w:r>
      <w:r w:rsidR="00707D3D" w:rsidRPr="0018312B">
        <w:rPr>
          <w:i/>
          <w:iCs/>
        </w:rPr>
        <w:t>ct</w:t>
      </w:r>
      <w:r w:rsidR="00707D3D">
        <w:t xml:space="preserve"> is an area of intellectual property law when people can register proprietary right</w:t>
      </w:r>
      <w:r w:rsidR="004513EC">
        <w:t>s</w:t>
      </w:r>
      <w:r w:rsidR="00707D3D">
        <w:t xml:space="preserve">, not necessarily over genes, </w:t>
      </w:r>
      <w:r w:rsidR="008A6B2F">
        <w:t xml:space="preserve">but over treatments and diagnostic techniques. </w:t>
      </w:r>
      <w:r w:rsidR="003B5480">
        <w:t xml:space="preserve">The potential ability of research companies to claim proprietary rights </w:t>
      </w:r>
      <w:r w:rsidR="002E1AB9">
        <w:t xml:space="preserve">over treatments and techniques that (a) have been contributed to by </w:t>
      </w:r>
      <w:r w:rsidR="00D645C6">
        <w:t xml:space="preserve">Aboriginal and Torres Strait Islander </w:t>
      </w:r>
      <w:r w:rsidR="002E1AB9">
        <w:t xml:space="preserve">genomic information, and (b) could </w:t>
      </w:r>
      <w:r w:rsidR="00DA3F05">
        <w:t>impact on the delivery of health outcomes to Aboriginal and Torres Strait Islander peoples</w:t>
      </w:r>
      <w:r w:rsidR="005B56AB">
        <w:t>,</w:t>
      </w:r>
      <w:r w:rsidR="00DA3F05">
        <w:t xml:space="preserve"> raises many social, ethical and cultural issues.</w:t>
      </w:r>
    </w:p>
    <w:p w14:paraId="10254A5B" w14:textId="7C95E560" w:rsidR="0011697F" w:rsidRDefault="00F5594A" w:rsidP="003522F6">
      <w:pPr>
        <w:spacing w:before="240"/>
      </w:pPr>
      <w:r>
        <w:t>Like patient rights, consumer law has the potential to impact how doctors</w:t>
      </w:r>
      <w:r w:rsidR="00957AD0">
        <w:t xml:space="preserve"> conduct themselves in relation to the health services they provide to Aboriginal and Torres Strait Islander patients.</w:t>
      </w:r>
    </w:p>
    <w:p w14:paraId="706B8837" w14:textId="3EA54002" w:rsidR="005B56AB" w:rsidRDefault="00EB2878" w:rsidP="003522F6">
      <w:pPr>
        <w:spacing w:before="240"/>
      </w:pPr>
      <w:r>
        <w:t>Health records laws, and in particular, the MyHealth Scheme</w:t>
      </w:r>
      <w:r w:rsidR="001C4B8B">
        <w:t>, are designed to facilitate ease of sharing patient notes among</w:t>
      </w:r>
      <w:r w:rsidR="001E6991">
        <w:t>st</w:t>
      </w:r>
      <w:r w:rsidR="001C4B8B">
        <w:t xml:space="preserve"> the medical </w:t>
      </w:r>
      <w:r w:rsidR="00E10E1F">
        <w:t>sectors</w:t>
      </w:r>
      <w:r w:rsidR="001C4B8B">
        <w:t xml:space="preserve">. </w:t>
      </w:r>
      <w:r w:rsidR="00E02E31">
        <w:t>In this context eas</w:t>
      </w:r>
      <w:r w:rsidR="00474227">
        <w:t>e</w:t>
      </w:r>
      <w:r w:rsidR="00E02E31">
        <w:t xml:space="preserve"> of data sharing can deliver signi</w:t>
      </w:r>
      <w:r w:rsidR="005E0F89">
        <w:t>ficant positive health outcomes</w:t>
      </w:r>
      <w:r w:rsidR="00083351">
        <w:t xml:space="preserve">. However, </w:t>
      </w:r>
      <w:r w:rsidR="00E13515">
        <w:t xml:space="preserve">as precision medicine continues to develop, </w:t>
      </w:r>
      <w:r w:rsidR="00650403">
        <w:t xml:space="preserve">sharing of </w:t>
      </w:r>
      <w:r w:rsidR="00C520B6">
        <w:t xml:space="preserve">large amounts of </w:t>
      </w:r>
      <w:r w:rsidR="00650403">
        <w:t xml:space="preserve">de-identified information </w:t>
      </w:r>
      <w:r w:rsidR="003F5946">
        <w:t xml:space="preserve">will become </w:t>
      </w:r>
      <w:r w:rsidR="005C0AC4">
        <w:t xml:space="preserve">more common </w:t>
      </w:r>
      <w:r w:rsidR="00C520B6">
        <w:t>place</w:t>
      </w:r>
      <w:r w:rsidR="005C0AC4">
        <w:t>; the de-identified information can contribute to research studies, that will in turn</w:t>
      </w:r>
      <w:r w:rsidR="00F12CC3">
        <w:t>,</w:t>
      </w:r>
      <w:r w:rsidR="005C0AC4">
        <w:t xml:space="preserve"> </w:t>
      </w:r>
      <w:r w:rsidR="004118B4">
        <w:t>help medical service</w:t>
      </w:r>
      <w:r w:rsidR="00846347">
        <w:t>s</w:t>
      </w:r>
      <w:r w:rsidR="004118B4">
        <w:t xml:space="preserve"> </w:t>
      </w:r>
      <w:r w:rsidR="00210D01">
        <w:t xml:space="preserve">deliver </w:t>
      </w:r>
      <w:r w:rsidR="004118B4">
        <w:t>more precisely tail</w:t>
      </w:r>
      <w:r w:rsidR="00885BB3">
        <w:t>o</w:t>
      </w:r>
      <w:r w:rsidR="004118B4">
        <w:t>r</w:t>
      </w:r>
      <w:r w:rsidR="00885BB3">
        <w:t>ed</w:t>
      </w:r>
      <w:r w:rsidR="004118B4">
        <w:t xml:space="preserve"> </w:t>
      </w:r>
      <w:r w:rsidR="00210D01">
        <w:t xml:space="preserve">care </w:t>
      </w:r>
      <w:r w:rsidR="004118B4">
        <w:t>to the patient.</w:t>
      </w:r>
    </w:p>
    <w:p w14:paraId="0F399C0B" w14:textId="3235FF6F" w:rsidR="008406D9" w:rsidRDefault="008406D9" w:rsidP="003522F6">
      <w:pPr>
        <w:spacing w:before="240"/>
      </w:pPr>
      <w:r>
        <w:t xml:space="preserve">While </w:t>
      </w:r>
      <w:r w:rsidR="00E165F0">
        <w:t xml:space="preserve">it is more common for genomics research to source its samples </w:t>
      </w:r>
      <w:r w:rsidR="00D862A9">
        <w:t xml:space="preserve">from </w:t>
      </w:r>
      <w:r w:rsidR="00292E44">
        <w:t xml:space="preserve">patients and donors, it is also </w:t>
      </w:r>
      <w:r w:rsidR="00B778DA">
        <w:t xml:space="preserve">important to consider the possibility that </w:t>
      </w:r>
      <w:r w:rsidR="008F6AA0">
        <w:t xml:space="preserve">researchers may turn to existing collections </w:t>
      </w:r>
      <w:r w:rsidR="00933D35">
        <w:t>of samples. This may include galleries and museums</w:t>
      </w:r>
      <w:r w:rsidR="00CC3ACA">
        <w:t>, making it relevant to consider current heritage laws</w:t>
      </w:r>
      <w:r w:rsidR="00291DC1">
        <w:t xml:space="preserve"> and the controls Aboriginal and Torres Strait Islander peoples have over </w:t>
      </w:r>
      <w:r w:rsidR="00E10E1F">
        <w:t>third-party</w:t>
      </w:r>
      <w:r w:rsidR="009B1C87">
        <w:t xml:space="preserve"> access to collection items originating from their communities</w:t>
      </w:r>
      <w:r w:rsidR="00CC3ACA">
        <w:t xml:space="preserve">. </w:t>
      </w:r>
    </w:p>
    <w:p w14:paraId="516F3D8F" w14:textId="6DE1DAC0" w:rsidR="00FD4D18" w:rsidRDefault="003E2312" w:rsidP="003522F6">
      <w:pPr>
        <w:spacing w:before="240"/>
      </w:pPr>
      <w:r>
        <w:lastRenderedPageBreak/>
        <w:t>Contract law regulates the obligations between parties</w:t>
      </w:r>
      <w:r w:rsidR="006161F1">
        <w:t xml:space="preserve">. </w:t>
      </w:r>
      <w:r w:rsidR="0099175A">
        <w:t xml:space="preserve">Written agreements set out parties’ rights over their data and provides a mechanism for enforcing those rights. Research agreements impact ownership of data </w:t>
      </w:r>
      <w:r w:rsidR="00085BAB">
        <w:t>and benefit shar</w:t>
      </w:r>
      <w:r w:rsidR="00196705">
        <w:t>ing for research outcomes. C</w:t>
      </w:r>
      <w:r w:rsidR="00483CDC">
        <w:t xml:space="preserve">lear and precise consent documentation </w:t>
      </w:r>
      <w:r w:rsidR="00285E92">
        <w:t>sets parameters for use of samples and data</w:t>
      </w:r>
      <w:r w:rsidR="009A2EEC">
        <w:t xml:space="preserve"> and </w:t>
      </w:r>
      <w:r w:rsidR="003470FE">
        <w:t>future control mechanisms (e.g. who gets to control the samples when the donor passes away?)</w:t>
      </w:r>
      <w:r w:rsidR="00285E92">
        <w:t xml:space="preserve">. </w:t>
      </w:r>
    </w:p>
    <w:p w14:paraId="0C91EB11" w14:textId="57D60321" w:rsidR="00FD1B65" w:rsidRDefault="00FD1B65" w:rsidP="003522F6">
      <w:pPr>
        <w:spacing w:before="240"/>
      </w:pPr>
      <w:r>
        <w:t xml:space="preserve">The rest of this section will examine </w:t>
      </w:r>
      <w:r w:rsidR="00C56540">
        <w:t>these areas of law in greater detail</w:t>
      </w:r>
      <w:r w:rsidR="005663D8">
        <w:t>, before moving on in section</w:t>
      </w:r>
      <w:r w:rsidR="002321F6">
        <w:t xml:space="preserve"> </w:t>
      </w:r>
      <w:r w:rsidR="002321F6" w:rsidRPr="009B18D8">
        <w:rPr>
          <w:b/>
        </w:rPr>
        <w:fldChar w:fldCharType="begin"/>
      </w:r>
      <w:r w:rsidR="002321F6" w:rsidRPr="009B18D8">
        <w:rPr>
          <w:b/>
        </w:rPr>
        <w:instrText xml:space="preserve"> REF _Ref44238193 \r \h </w:instrText>
      </w:r>
      <w:r w:rsidR="009B18D8">
        <w:rPr>
          <w:b/>
        </w:rPr>
        <w:instrText xml:space="preserve"> \* MERGEFORMAT </w:instrText>
      </w:r>
      <w:r w:rsidR="002321F6" w:rsidRPr="009B18D8">
        <w:rPr>
          <w:b/>
        </w:rPr>
      </w:r>
      <w:r w:rsidR="002321F6" w:rsidRPr="009B18D8">
        <w:rPr>
          <w:b/>
        </w:rPr>
        <w:fldChar w:fldCharType="separate"/>
      </w:r>
      <w:r w:rsidR="000B4085">
        <w:rPr>
          <w:b/>
        </w:rPr>
        <w:t>6</w:t>
      </w:r>
      <w:r w:rsidR="002321F6" w:rsidRPr="009B18D8">
        <w:rPr>
          <w:b/>
        </w:rPr>
        <w:fldChar w:fldCharType="end"/>
      </w:r>
      <w:r w:rsidR="005663D8">
        <w:t xml:space="preserve"> to a gap analysis </w:t>
      </w:r>
      <w:r w:rsidR="003D1133">
        <w:t xml:space="preserve">in which the impact of these legal </w:t>
      </w:r>
      <w:r w:rsidR="004733C1">
        <w:t xml:space="preserve">issues on the social, and cultural </w:t>
      </w:r>
      <w:r w:rsidR="002321F6">
        <w:t>issues raised by the Advisory Group, will be considered</w:t>
      </w:r>
      <w:r w:rsidR="00C56540">
        <w:t xml:space="preserve">. </w:t>
      </w:r>
    </w:p>
    <w:p w14:paraId="37E6CE7B" w14:textId="105C8815" w:rsidR="00347EBD" w:rsidRPr="00F67476" w:rsidRDefault="00DA5F7C" w:rsidP="002B5F46">
      <w:pPr>
        <w:pStyle w:val="Heading2"/>
      </w:pPr>
      <w:bookmarkStart w:id="46" w:name="_Ref44875401"/>
      <w:bookmarkStart w:id="47" w:name="_Ref44255049"/>
      <w:bookmarkStart w:id="48" w:name="_Toc118824316"/>
      <w:r w:rsidRPr="00F67476">
        <w:rPr>
          <w:lang w:val="en-AU"/>
        </w:rPr>
        <w:t xml:space="preserve">Does copyright law protect </w:t>
      </w:r>
      <w:r w:rsidR="00F3239C" w:rsidRPr="00F67476">
        <w:rPr>
          <w:lang w:val="en-AU"/>
        </w:rPr>
        <w:t>genomic information?</w:t>
      </w:r>
      <w:bookmarkEnd w:id="46"/>
      <w:bookmarkEnd w:id="47"/>
      <w:bookmarkEnd w:id="48"/>
      <w:r w:rsidR="00F3239C" w:rsidRPr="00F67476">
        <w:rPr>
          <w:lang w:val="en-AU"/>
        </w:rPr>
        <w:t xml:space="preserve"> </w:t>
      </w:r>
    </w:p>
    <w:p w14:paraId="466B4D09" w14:textId="77777777" w:rsidR="00572BF5" w:rsidRDefault="00572BF5" w:rsidP="00572BF5">
      <w:r>
        <w:t xml:space="preserve">Copyright is a set of rights granted to the creators of literary, dramatic artistic or musical works and the makers of sound recordings, films, broadcasts and published editions. Copyright rights are granted under Commonwealth legislation in the </w:t>
      </w:r>
      <w:r>
        <w:rPr>
          <w:i/>
          <w:iCs/>
        </w:rPr>
        <w:t xml:space="preserve">Copyright Act 1968 </w:t>
      </w:r>
      <w:r>
        <w:t>(Cth) (</w:t>
      </w:r>
      <w:r w:rsidRPr="0018312B">
        <w:t xml:space="preserve">the </w:t>
      </w:r>
      <w:r w:rsidRPr="0018312B">
        <w:rPr>
          <w:i/>
          <w:iCs/>
        </w:rPr>
        <w:t>Copyright Act</w:t>
      </w:r>
      <w:r>
        <w:t xml:space="preserve">). Copyright protects the expression of how an original idea has been written down, captured in digital form, drawn or recorded. It does not protect ideas or information, nor does it protect styles or techniques. Copyright law is designed to protect the rights of creators giving rise to economic incentives based upon competition policy. </w:t>
      </w:r>
    </w:p>
    <w:p w14:paraId="1D773EFE" w14:textId="77777777" w:rsidR="00572BF5" w:rsidRPr="0083697A" w:rsidRDefault="00572BF5" w:rsidP="00572BF5">
      <w:r>
        <w:t xml:space="preserve">For copyright to subsist in a work, the work must be original and the author must be identifiable. There </w:t>
      </w:r>
      <w:r w:rsidRPr="0083697A">
        <w:t>is no need for rights to be registered, they are automatic. Generally, rights exist in works for 70 years after the death of the author.</w:t>
      </w:r>
    </w:p>
    <w:p w14:paraId="2832703E" w14:textId="41935C2E" w:rsidR="00572BF5" w:rsidRDefault="002F3556" w:rsidP="00E10E1F">
      <w:r>
        <w:t xml:space="preserve">Copyright </w:t>
      </w:r>
      <w:r w:rsidRPr="00E10E1F">
        <w:t>generally</w:t>
      </w:r>
      <w:r>
        <w:t xml:space="preserve"> belongs to the creators of the copyright works and the makers of copyright </w:t>
      </w:r>
      <w:r w:rsidR="00800E14">
        <w:t xml:space="preserve">subject matter. However, there are rules that can change this. See </w:t>
      </w:r>
      <w:r w:rsidR="00E775A3" w:rsidRPr="00A7008D">
        <w:rPr>
          <w:b/>
          <w:sz w:val="20"/>
        </w:rPr>
        <w:fldChar w:fldCharType="begin"/>
      </w:r>
      <w:r w:rsidR="00E775A3" w:rsidRPr="00A7008D">
        <w:rPr>
          <w:b/>
          <w:sz w:val="20"/>
        </w:rPr>
        <w:instrText xml:space="preserve"> REF _Ref44251170 \h </w:instrText>
      </w:r>
      <w:r w:rsidR="00E775A3" w:rsidRPr="00A7008D">
        <w:rPr>
          <w:b/>
          <w:sz w:val="20"/>
        </w:rPr>
      </w:r>
      <w:r w:rsidR="007E6C13">
        <w:rPr>
          <w:sz w:val="20"/>
        </w:rPr>
        <w:instrText xml:space="preserve"> \* MERGEFORMAT </w:instrText>
      </w:r>
      <w:r w:rsidR="00E775A3" w:rsidRPr="00A7008D">
        <w:rPr>
          <w:b/>
          <w:sz w:val="20"/>
        </w:rPr>
        <w:fldChar w:fldCharType="separate"/>
      </w:r>
      <w:r w:rsidR="000B4085">
        <w:t xml:space="preserve">Figure </w:t>
      </w:r>
      <w:r w:rsidR="000B4085">
        <w:rPr>
          <w:noProof/>
        </w:rPr>
        <w:t>3</w:t>
      </w:r>
      <w:r w:rsidR="00E775A3" w:rsidRPr="00A7008D">
        <w:rPr>
          <w:b/>
          <w:sz w:val="20"/>
        </w:rPr>
        <w:fldChar w:fldCharType="end"/>
      </w:r>
      <w:r w:rsidR="00800E14">
        <w:t xml:space="preserve"> for a summary of </w:t>
      </w:r>
      <w:r w:rsidR="00D9290F">
        <w:t xml:space="preserve">circumstances which displace the presumption of author as owner. </w:t>
      </w:r>
    </w:p>
    <w:p w14:paraId="19FB3857" w14:textId="77AE5C44" w:rsidR="00347EBD" w:rsidRDefault="00E10E1F" w:rsidP="00E10E1F">
      <w:pPr>
        <w:pStyle w:val="Caption"/>
      </w:pPr>
      <w:r w:rsidRPr="00E10E1F">
        <w:t>Figure 3: Who owns copyright?</w:t>
      </w:r>
      <w:r w:rsidR="00572BF5" w:rsidRPr="007A2A82">
        <w:rPr>
          <w:noProof/>
        </w:rPr>
        <w:drawing>
          <wp:anchor distT="0" distB="0" distL="114300" distR="114300" simplePos="0" relativeHeight="251658246" behindDoc="1" locked="0" layoutInCell="1" allowOverlap="1" wp14:anchorId="58151CFE" wp14:editId="1710AAA0">
            <wp:simplePos x="0" y="0"/>
            <wp:positionH relativeFrom="margin">
              <wp:posOffset>-179824</wp:posOffset>
            </wp:positionH>
            <wp:positionV relativeFrom="paragraph">
              <wp:posOffset>228</wp:posOffset>
            </wp:positionV>
            <wp:extent cx="6143625" cy="3335020"/>
            <wp:effectExtent l="19050" t="38100" r="28575" b="0"/>
            <wp:wrapSquare wrapText="bothSides"/>
            <wp:docPr id="4"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0A635BF8" w14:textId="773BB516" w:rsidR="00F3239C" w:rsidRDefault="00F3239C" w:rsidP="00E10E1F">
      <w:pPr>
        <w:pageBreakBefore/>
      </w:pPr>
      <w:bookmarkStart w:id="49" w:name="_Ref44250001"/>
      <w:r w:rsidRPr="0083697A">
        <w:lastRenderedPageBreak/>
        <w:t xml:space="preserve">Copyright issues in </w:t>
      </w:r>
      <w:r>
        <w:t xml:space="preserve">Aboriginal and Torres Strait Islander </w:t>
      </w:r>
      <w:r w:rsidRPr="0083697A">
        <w:t xml:space="preserve">genomics </w:t>
      </w:r>
      <w:r>
        <w:t xml:space="preserve">may </w:t>
      </w:r>
      <w:r w:rsidRPr="0083697A">
        <w:t xml:space="preserve">arise in the following areas: </w:t>
      </w:r>
    </w:p>
    <w:p w14:paraId="626246F3" w14:textId="475E74DF" w:rsidR="00F3239C" w:rsidRPr="0083697A" w:rsidRDefault="00F3239C" w:rsidP="00E10E1F">
      <w:pPr>
        <w:pStyle w:val="ListBullet"/>
      </w:pPr>
      <w:r w:rsidRPr="0083697A">
        <w:t>Medical records</w:t>
      </w:r>
      <w:r>
        <w:t xml:space="preserve"> (see section</w:t>
      </w:r>
      <w:r w:rsidR="005C2BBA">
        <w:t xml:space="preserve"> </w:t>
      </w:r>
      <w:r w:rsidR="005C2BBA">
        <w:fldChar w:fldCharType="begin"/>
      </w:r>
      <w:r w:rsidR="005C2BBA">
        <w:instrText xml:space="preserve"> REF _Ref44255065 \r \h </w:instrText>
      </w:r>
      <w:r w:rsidR="005C2BBA">
        <w:fldChar w:fldCharType="separate"/>
      </w:r>
      <w:r w:rsidR="000B4085">
        <w:t>5.1.1</w:t>
      </w:r>
      <w:r w:rsidR="005C2BBA">
        <w:fldChar w:fldCharType="end"/>
      </w:r>
      <w:r>
        <w:t>)</w:t>
      </w:r>
    </w:p>
    <w:p w14:paraId="6F48CEE3" w14:textId="50DBFA3A" w:rsidR="00F3239C" w:rsidRDefault="00F3239C" w:rsidP="00E10E1F">
      <w:pPr>
        <w:pStyle w:val="ListBullet"/>
      </w:pPr>
      <w:r w:rsidRPr="0083697A">
        <w:t>Research and publication of genomic material</w:t>
      </w:r>
      <w:r>
        <w:t xml:space="preserve"> (see section </w:t>
      </w:r>
      <w:r w:rsidRPr="00A7008D">
        <w:rPr>
          <w:b/>
          <w:sz w:val="20"/>
        </w:rPr>
        <w:fldChar w:fldCharType="begin"/>
      </w:r>
      <w:r w:rsidRPr="00A7008D">
        <w:rPr>
          <w:b/>
          <w:sz w:val="20"/>
        </w:rPr>
        <w:instrText xml:space="preserve"> REF _Ref44250415 \r \h </w:instrText>
      </w:r>
      <w:r w:rsidRPr="00A7008D">
        <w:rPr>
          <w:b/>
          <w:sz w:val="20"/>
        </w:rPr>
      </w:r>
      <w:r w:rsidR="00E10E1F">
        <w:rPr>
          <w:b/>
          <w:sz w:val="20"/>
        </w:rPr>
        <w:instrText xml:space="preserve"> \* MERGEFORMAT </w:instrText>
      </w:r>
      <w:r w:rsidRPr="00A7008D">
        <w:rPr>
          <w:b/>
          <w:sz w:val="20"/>
        </w:rPr>
        <w:fldChar w:fldCharType="separate"/>
      </w:r>
      <w:r w:rsidR="000B4085">
        <w:rPr>
          <w:b/>
          <w:sz w:val="20"/>
        </w:rPr>
        <w:t>5.1.2</w:t>
      </w:r>
      <w:r w:rsidRPr="00A7008D">
        <w:rPr>
          <w:b/>
          <w:sz w:val="20"/>
        </w:rPr>
        <w:fldChar w:fldCharType="end"/>
      </w:r>
      <w:r>
        <w:t>)</w:t>
      </w:r>
    </w:p>
    <w:p w14:paraId="5735C8E8" w14:textId="221B6F6B" w:rsidR="00F3239C" w:rsidRPr="0083697A" w:rsidRDefault="00F3239C" w:rsidP="00E10E1F">
      <w:pPr>
        <w:pStyle w:val="ListBullet"/>
      </w:pPr>
      <w:r w:rsidRPr="0083697A">
        <w:t>People being filmed/interviewed and performers rights</w:t>
      </w:r>
      <w:r>
        <w:t xml:space="preserve"> (see section </w:t>
      </w:r>
      <w:r w:rsidRPr="00A7008D">
        <w:rPr>
          <w:b/>
          <w:sz w:val="20"/>
        </w:rPr>
        <w:fldChar w:fldCharType="begin"/>
      </w:r>
      <w:r w:rsidRPr="00A7008D">
        <w:rPr>
          <w:b/>
          <w:sz w:val="20"/>
        </w:rPr>
        <w:instrText xml:space="preserve"> REF _Ref44250539 \r \h </w:instrText>
      </w:r>
      <w:r w:rsidRPr="00A7008D">
        <w:rPr>
          <w:b/>
          <w:sz w:val="20"/>
        </w:rPr>
      </w:r>
      <w:r w:rsidR="00E10E1F">
        <w:rPr>
          <w:b/>
          <w:sz w:val="20"/>
        </w:rPr>
        <w:instrText xml:space="preserve"> \* MERGEFORMAT </w:instrText>
      </w:r>
      <w:r w:rsidRPr="00A7008D">
        <w:rPr>
          <w:b/>
          <w:sz w:val="20"/>
        </w:rPr>
        <w:fldChar w:fldCharType="separate"/>
      </w:r>
      <w:r w:rsidR="000B4085">
        <w:rPr>
          <w:b/>
          <w:sz w:val="20"/>
        </w:rPr>
        <w:t>5.1.3</w:t>
      </w:r>
      <w:r w:rsidRPr="00A7008D">
        <w:rPr>
          <w:b/>
          <w:sz w:val="20"/>
        </w:rPr>
        <w:fldChar w:fldCharType="end"/>
      </w:r>
      <w:r>
        <w:t>)</w:t>
      </w:r>
    </w:p>
    <w:p w14:paraId="45696298" w14:textId="118E2860" w:rsidR="00F3239C" w:rsidRPr="0083697A" w:rsidRDefault="00F3239C" w:rsidP="00E10E1F">
      <w:pPr>
        <w:pStyle w:val="ListBullet"/>
      </w:pPr>
      <w:r>
        <w:t xml:space="preserve">Copyright in DNA and gene sequencing (see section </w:t>
      </w:r>
      <w:r w:rsidRPr="00A7008D">
        <w:rPr>
          <w:b/>
          <w:sz w:val="20"/>
        </w:rPr>
        <w:fldChar w:fldCharType="begin"/>
      </w:r>
      <w:r w:rsidRPr="00A7008D">
        <w:rPr>
          <w:b/>
          <w:sz w:val="20"/>
        </w:rPr>
        <w:instrText xml:space="preserve"> REF _Ref44250463 \r \h </w:instrText>
      </w:r>
      <w:r w:rsidRPr="00A7008D">
        <w:rPr>
          <w:b/>
          <w:sz w:val="20"/>
        </w:rPr>
      </w:r>
      <w:r w:rsidR="00E10E1F">
        <w:rPr>
          <w:b/>
          <w:sz w:val="20"/>
        </w:rPr>
        <w:instrText xml:space="preserve"> \* MERGEFORMAT </w:instrText>
      </w:r>
      <w:r w:rsidRPr="00A7008D">
        <w:rPr>
          <w:b/>
          <w:sz w:val="20"/>
        </w:rPr>
        <w:fldChar w:fldCharType="separate"/>
      </w:r>
      <w:r w:rsidR="000B4085">
        <w:rPr>
          <w:b/>
          <w:sz w:val="20"/>
        </w:rPr>
        <w:t>5.1.4</w:t>
      </w:r>
      <w:r w:rsidRPr="00A7008D">
        <w:rPr>
          <w:b/>
          <w:sz w:val="20"/>
        </w:rPr>
        <w:fldChar w:fldCharType="end"/>
      </w:r>
      <w:r>
        <w:t>)</w:t>
      </w:r>
    </w:p>
    <w:p w14:paraId="5F260882" w14:textId="15F848FF" w:rsidR="00F3239C" w:rsidRDefault="00F3239C" w:rsidP="00E10E1F">
      <w:pPr>
        <w:pStyle w:val="ListBullet"/>
      </w:pPr>
      <w:r w:rsidRPr="0083697A">
        <w:t>Databases</w:t>
      </w:r>
      <w:r>
        <w:t xml:space="preserve"> (see section </w:t>
      </w:r>
      <w:r w:rsidRPr="00A7008D">
        <w:rPr>
          <w:b/>
          <w:sz w:val="20"/>
        </w:rPr>
        <w:fldChar w:fldCharType="begin"/>
      </w:r>
      <w:r w:rsidRPr="00A7008D">
        <w:rPr>
          <w:b/>
          <w:sz w:val="20"/>
        </w:rPr>
        <w:instrText xml:space="preserve"> REF _Ref44236318 \r \h </w:instrText>
      </w:r>
      <w:r w:rsidRPr="00A7008D">
        <w:rPr>
          <w:b/>
          <w:sz w:val="20"/>
        </w:rPr>
      </w:r>
      <w:r w:rsidRPr="00A7008D">
        <w:rPr>
          <w:b/>
          <w:sz w:val="20"/>
        </w:rPr>
        <w:fldChar w:fldCharType="separate"/>
      </w:r>
      <w:r w:rsidR="000B4085">
        <w:rPr>
          <w:b/>
          <w:sz w:val="20"/>
        </w:rPr>
        <w:t>5.1.5</w:t>
      </w:r>
      <w:r w:rsidRPr="00A7008D">
        <w:rPr>
          <w:b/>
          <w:sz w:val="20"/>
        </w:rPr>
        <w:fldChar w:fldCharType="end"/>
      </w:r>
      <w:r>
        <w:t>)</w:t>
      </w:r>
    </w:p>
    <w:p w14:paraId="55AD1827" w14:textId="3008DD7E" w:rsidR="00347EBD" w:rsidRPr="00F67476" w:rsidRDefault="00347EBD" w:rsidP="002B5F46">
      <w:pPr>
        <w:pStyle w:val="Heading3"/>
      </w:pPr>
      <w:bookmarkStart w:id="50" w:name="_Ref44255065"/>
      <w:bookmarkStart w:id="51" w:name="_Toc118824317"/>
      <w:r w:rsidRPr="00F67476">
        <w:rPr>
          <w:lang w:val="en-AU"/>
        </w:rPr>
        <w:t>Copyright and ownership of medical records – clinical setting</w:t>
      </w:r>
      <w:bookmarkEnd w:id="49"/>
      <w:bookmarkEnd w:id="50"/>
      <w:bookmarkEnd w:id="51"/>
    </w:p>
    <w:p w14:paraId="6C8472FF" w14:textId="77777777" w:rsidR="00347EBD" w:rsidRPr="00D94084" w:rsidRDefault="00347EBD" w:rsidP="00AC73DF">
      <w:pPr>
        <w:rPr>
          <w:szCs w:val="24"/>
        </w:rPr>
      </w:pPr>
      <w:r w:rsidRPr="00D94084">
        <w:rPr>
          <w:szCs w:val="24"/>
        </w:rPr>
        <w:t>The Australian courts have found that copyright can exist in patient/medical records however only when all the authors are identified and there has been the application of “independent intellectual effort” in the creation of the copyright works.</w:t>
      </w:r>
      <w:r w:rsidRPr="00D94084">
        <w:rPr>
          <w:rStyle w:val="FootnoteReference"/>
          <w:szCs w:val="24"/>
        </w:rPr>
        <w:footnoteReference w:id="18"/>
      </w:r>
      <w:r w:rsidRPr="00D94084">
        <w:rPr>
          <w:szCs w:val="24"/>
        </w:rPr>
        <w:t xml:space="preserve"> The application of independent intellectual effort in practice means that “</w:t>
      </w:r>
      <w:r w:rsidRPr="00D94084">
        <w:rPr>
          <w:color w:val="000000"/>
          <w:szCs w:val="24"/>
          <w:shd w:val="clear" w:color="auto" w:fill="FFFFFF"/>
        </w:rPr>
        <w:t xml:space="preserve">even the barest statement of a medical diagnosis” will have skills and expertise embedded in reaching that diagnosis”, however, </w:t>
      </w:r>
      <w:r w:rsidRPr="00D94084">
        <w:rPr>
          <w:szCs w:val="24"/>
        </w:rPr>
        <w:t>it does not give a person “an exclusive right to state or to describe particular facts”, such as writing the name of medication.</w:t>
      </w:r>
      <w:r w:rsidRPr="00D94084">
        <w:rPr>
          <w:rStyle w:val="FootnoteReference"/>
          <w:szCs w:val="24"/>
        </w:rPr>
        <w:footnoteReference w:id="19"/>
      </w:r>
      <w:r w:rsidRPr="00D94084">
        <w:rPr>
          <w:szCs w:val="24"/>
        </w:rPr>
        <w:t xml:space="preserve"> </w:t>
      </w:r>
      <w:r w:rsidRPr="00D94084">
        <w:rPr>
          <w:color w:val="000000"/>
          <w:szCs w:val="24"/>
          <w:shd w:val="clear" w:color="auto" w:fill="FFFFFF"/>
        </w:rPr>
        <w:t>To determine when health records will be subject to copyright, there is no blanket approach, instead the question of whether copyright subsists in particular medical records “can only be determined after careful examination of the records in question”.</w:t>
      </w:r>
      <w:r w:rsidRPr="00D94084">
        <w:rPr>
          <w:rStyle w:val="FootnoteReference"/>
          <w:color w:val="000000"/>
          <w:szCs w:val="24"/>
          <w:shd w:val="clear" w:color="auto" w:fill="FFFFFF"/>
        </w:rPr>
        <w:footnoteReference w:id="20"/>
      </w:r>
      <w:r w:rsidRPr="00D94084">
        <w:rPr>
          <w:color w:val="000000"/>
          <w:szCs w:val="24"/>
          <w:shd w:val="clear" w:color="auto" w:fill="FFFFFF"/>
        </w:rPr>
        <w:t xml:space="preserve"> </w:t>
      </w:r>
    </w:p>
    <w:p w14:paraId="1E8EE57A" w14:textId="01208028" w:rsidR="00347EBD" w:rsidRPr="009531F1" w:rsidRDefault="00677AA2" w:rsidP="00AC73DF">
      <w:pPr>
        <w:rPr>
          <w:szCs w:val="24"/>
          <w:shd w:val="clear" w:color="auto" w:fill="FFFFFF"/>
        </w:rPr>
      </w:pPr>
      <w:r w:rsidRPr="00D94084">
        <w:rPr>
          <w:szCs w:val="24"/>
          <w:shd w:val="clear" w:color="auto" w:fill="FFFFFF"/>
        </w:rPr>
        <w:t>Regardless of ownership, p</w:t>
      </w:r>
      <w:r w:rsidR="00B93130" w:rsidRPr="00D94084">
        <w:rPr>
          <w:szCs w:val="24"/>
          <w:shd w:val="clear" w:color="auto" w:fill="FFFFFF"/>
        </w:rPr>
        <w:t xml:space="preserve">atients </w:t>
      </w:r>
      <w:r w:rsidR="005853C2" w:rsidRPr="00D94084">
        <w:rPr>
          <w:szCs w:val="24"/>
          <w:shd w:val="clear" w:color="auto" w:fill="FFFFFF"/>
        </w:rPr>
        <w:t xml:space="preserve">still have rights to </w:t>
      </w:r>
      <w:r w:rsidR="00B93130" w:rsidRPr="00D94084">
        <w:rPr>
          <w:szCs w:val="24"/>
          <w:shd w:val="clear" w:color="auto" w:fill="FFFFFF"/>
        </w:rPr>
        <w:t xml:space="preserve"> access </w:t>
      </w:r>
      <w:r w:rsidRPr="00D94084">
        <w:rPr>
          <w:szCs w:val="24"/>
          <w:shd w:val="clear" w:color="auto" w:fill="FFFFFF"/>
        </w:rPr>
        <w:t xml:space="preserve">to their </w:t>
      </w:r>
      <w:r w:rsidR="00B93130" w:rsidRPr="00D94084">
        <w:rPr>
          <w:szCs w:val="24"/>
          <w:shd w:val="clear" w:color="auto" w:fill="FFFFFF"/>
        </w:rPr>
        <w:t>medical records</w:t>
      </w:r>
      <w:r w:rsidR="003F4E86" w:rsidRPr="00D94084">
        <w:rPr>
          <w:szCs w:val="24"/>
          <w:shd w:val="clear" w:color="auto" w:fill="FFFFFF"/>
        </w:rPr>
        <w:t xml:space="preserve">, </w:t>
      </w:r>
      <w:r w:rsidRPr="00D94084">
        <w:rPr>
          <w:szCs w:val="24"/>
          <w:shd w:val="clear" w:color="auto" w:fill="FFFFFF"/>
        </w:rPr>
        <w:t xml:space="preserve">refer to </w:t>
      </w:r>
      <w:r w:rsidR="003F4E86" w:rsidRPr="002B5F46">
        <w:rPr>
          <w:b/>
          <w:bCs/>
          <w:sz w:val="20"/>
          <w:szCs w:val="24"/>
          <w:shd w:val="clear" w:color="auto" w:fill="FFFFFF"/>
        </w:rPr>
        <w:fldChar w:fldCharType="begin"/>
      </w:r>
      <w:r w:rsidR="003F4E86" w:rsidRPr="002B5F46">
        <w:rPr>
          <w:b/>
          <w:bCs/>
          <w:sz w:val="20"/>
          <w:szCs w:val="24"/>
          <w:shd w:val="clear" w:color="auto" w:fill="FFFFFF"/>
        </w:rPr>
        <w:instrText xml:space="preserve"> REF _Ref39135537 \r \h  \* MERGEFORMAT </w:instrText>
      </w:r>
      <w:r w:rsidR="003F4E86" w:rsidRPr="002B5F46">
        <w:rPr>
          <w:b/>
          <w:bCs/>
          <w:sz w:val="20"/>
          <w:szCs w:val="24"/>
          <w:shd w:val="clear" w:color="auto" w:fill="FFFFFF"/>
        </w:rPr>
      </w:r>
      <w:r w:rsidR="003F4E86" w:rsidRPr="002B5F46">
        <w:rPr>
          <w:b/>
          <w:bCs/>
          <w:sz w:val="20"/>
          <w:szCs w:val="24"/>
          <w:shd w:val="clear" w:color="auto" w:fill="FFFFFF"/>
        </w:rPr>
        <w:fldChar w:fldCharType="separate"/>
      </w:r>
      <w:r w:rsidR="000B4085">
        <w:rPr>
          <w:b/>
          <w:bCs/>
          <w:sz w:val="20"/>
          <w:szCs w:val="24"/>
          <w:shd w:val="clear" w:color="auto" w:fill="FFFFFF"/>
        </w:rPr>
        <w:t>5.7</w:t>
      </w:r>
      <w:r w:rsidR="003F4E86" w:rsidRPr="002B5F46">
        <w:rPr>
          <w:b/>
          <w:bCs/>
          <w:sz w:val="20"/>
          <w:szCs w:val="24"/>
          <w:shd w:val="clear" w:color="auto" w:fill="FFFFFF"/>
        </w:rPr>
        <w:fldChar w:fldCharType="end"/>
      </w:r>
      <w:r w:rsidR="003F4E86" w:rsidRPr="002B5F46">
        <w:rPr>
          <w:bCs/>
          <w:szCs w:val="24"/>
          <w:shd w:val="clear" w:color="auto" w:fill="FFFFFF"/>
        </w:rPr>
        <w:t xml:space="preserve"> </w:t>
      </w:r>
      <w:r w:rsidR="003F4E86" w:rsidRPr="002B5F46">
        <w:rPr>
          <w:b/>
          <w:bCs/>
          <w:sz w:val="20"/>
          <w:szCs w:val="24"/>
          <w:shd w:val="clear" w:color="auto" w:fill="FFFFFF"/>
        </w:rPr>
        <w:fldChar w:fldCharType="begin"/>
      </w:r>
      <w:r w:rsidR="003F4E86" w:rsidRPr="002B5F46">
        <w:rPr>
          <w:b/>
          <w:bCs/>
          <w:sz w:val="20"/>
          <w:szCs w:val="24"/>
          <w:shd w:val="clear" w:color="auto" w:fill="FFFFFF"/>
        </w:rPr>
        <w:instrText xml:space="preserve"> REF _Ref39135542 \h  \* MERGEFORMAT </w:instrText>
      </w:r>
      <w:r w:rsidR="003F4E86" w:rsidRPr="002B5F46">
        <w:rPr>
          <w:b/>
          <w:bCs/>
          <w:sz w:val="20"/>
          <w:szCs w:val="24"/>
          <w:shd w:val="clear" w:color="auto" w:fill="FFFFFF"/>
        </w:rPr>
      </w:r>
      <w:r w:rsidR="003F4E86" w:rsidRPr="002B5F46">
        <w:rPr>
          <w:b/>
          <w:bCs/>
          <w:sz w:val="20"/>
          <w:szCs w:val="24"/>
          <w:shd w:val="clear" w:color="auto" w:fill="FFFFFF"/>
        </w:rPr>
        <w:fldChar w:fldCharType="separate"/>
      </w:r>
      <w:r w:rsidR="000B4085" w:rsidRPr="000B4085">
        <w:rPr>
          <w:b/>
          <w:bCs/>
          <w:sz w:val="20"/>
          <w:szCs w:val="24"/>
        </w:rPr>
        <w:t>Health records laws</w:t>
      </w:r>
      <w:r w:rsidR="003F4E86" w:rsidRPr="002B5F46">
        <w:rPr>
          <w:b/>
          <w:bCs/>
          <w:sz w:val="20"/>
          <w:szCs w:val="24"/>
          <w:shd w:val="clear" w:color="auto" w:fill="FFFFFF"/>
        </w:rPr>
        <w:fldChar w:fldCharType="end"/>
      </w:r>
      <w:r w:rsidRPr="00D94084">
        <w:rPr>
          <w:szCs w:val="24"/>
          <w:shd w:val="clear" w:color="auto" w:fill="FFFFFF"/>
        </w:rPr>
        <w:t xml:space="preserve"> where this </w:t>
      </w:r>
      <w:r w:rsidR="00322BE1" w:rsidRPr="00D94084">
        <w:rPr>
          <w:szCs w:val="24"/>
          <w:shd w:val="clear" w:color="auto" w:fill="FFFFFF"/>
        </w:rPr>
        <w:t>is</w:t>
      </w:r>
      <w:r w:rsidRPr="00D94084">
        <w:rPr>
          <w:szCs w:val="24"/>
          <w:shd w:val="clear" w:color="auto" w:fill="FFFFFF"/>
        </w:rPr>
        <w:t xml:space="preserve"> discussed further). </w:t>
      </w:r>
    </w:p>
    <w:p w14:paraId="6B0635B6" w14:textId="77777777" w:rsidR="00347EBD" w:rsidRPr="00F67476" w:rsidRDefault="00347EBD" w:rsidP="002B5F46">
      <w:pPr>
        <w:pStyle w:val="Heading3"/>
      </w:pPr>
      <w:bookmarkStart w:id="52" w:name="_Ref44250415"/>
      <w:bookmarkStart w:id="53" w:name="_Toc118824318"/>
      <w:r w:rsidRPr="00F67476">
        <w:rPr>
          <w:lang w:val="en-AU"/>
        </w:rPr>
        <w:t>Copyright in Research: Genomic Studies and Publications</w:t>
      </w:r>
      <w:bookmarkEnd w:id="52"/>
      <w:bookmarkEnd w:id="53"/>
    </w:p>
    <w:p w14:paraId="17AF8E1D" w14:textId="12003BEC" w:rsidR="00347EBD" w:rsidRDefault="00347EBD" w:rsidP="00AC73DF">
      <w:r w:rsidRPr="00D94084">
        <w:rPr>
          <w:szCs w:val="24"/>
        </w:rPr>
        <w:t xml:space="preserve">In the case of genomic research, copyright materials and subject matter are created by researchers including data, written reports, films and sound recordings. Whilst not protecting </w:t>
      </w:r>
      <w:r w:rsidR="00D645C6">
        <w:rPr>
          <w:szCs w:val="24"/>
        </w:rPr>
        <w:t xml:space="preserve">Aboriginal and Torres Strait Islander </w:t>
      </w:r>
      <w:r w:rsidRPr="00D94084">
        <w:rPr>
          <w:szCs w:val="24"/>
        </w:rPr>
        <w:t>Intellectual property holistically, copyright applies to written research and databases, software and content on websites. Ownership over published material will generally belong to either the employer or the author(s). As mentioned above, works created as a result of collaboration can give copyright protections to the donors or communities, depending on the consent agreement. Issues can arise when discussions of ownership are not embedded into the planning stage of project or raised at an appropriate time with Community</w:t>
      </w:r>
      <w:r w:rsidR="006C3189" w:rsidRPr="00D94084">
        <w:rPr>
          <w:szCs w:val="24"/>
        </w:rPr>
        <w:t xml:space="preserve">. </w:t>
      </w:r>
    </w:p>
    <w:p w14:paraId="44EBA396" w14:textId="1CA33BF3" w:rsidR="00347EBD" w:rsidRPr="00F67476" w:rsidRDefault="00347EBD" w:rsidP="002B5F46">
      <w:pPr>
        <w:pStyle w:val="Heading3"/>
      </w:pPr>
      <w:bookmarkStart w:id="54" w:name="_Ref44250539"/>
      <w:bookmarkStart w:id="55" w:name="_Toc118824319"/>
      <w:r w:rsidRPr="00F67476">
        <w:rPr>
          <w:lang w:val="en-AU"/>
        </w:rPr>
        <w:t xml:space="preserve">Copyright protection in </w:t>
      </w:r>
      <w:r w:rsidR="00982073" w:rsidRPr="00F67476">
        <w:rPr>
          <w:lang w:val="en-AU"/>
        </w:rPr>
        <w:t>f</w:t>
      </w:r>
      <w:r w:rsidRPr="00F67476">
        <w:rPr>
          <w:lang w:val="en-AU"/>
        </w:rPr>
        <w:t xml:space="preserve">ilm and </w:t>
      </w:r>
      <w:r w:rsidR="00982073" w:rsidRPr="00F67476">
        <w:rPr>
          <w:lang w:val="en-AU"/>
        </w:rPr>
        <w:t>s</w:t>
      </w:r>
      <w:r w:rsidRPr="00F67476">
        <w:rPr>
          <w:lang w:val="en-AU"/>
        </w:rPr>
        <w:t xml:space="preserve">ound </w:t>
      </w:r>
      <w:r w:rsidR="00982073" w:rsidRPr="00F67476">
        <w:rPr>
          <w:lang w:val="en-AU"/>
        </w:rPr>
        <w:t>r</w:t>
      </w:r>
      <w:r w:rsidRPr="00F67476">
        <w:rPr>
          <w:lang w:val="en-AU"/>
        </w:rPr>
        <w:t>ecordings</w:t>
      </w:r>
      <w:bookmarkEnd w:id="54"/>
      <w:bookmarkEnd w:id="55"/>
    </w:p>
    <w:p w14:paraId="7F92A0F7" w14:textId="77777777" w:rsidR="001012FC" w:rsidRDefault="004B4474" w:rsidP="00D80C98">
      <w:pPr>
        <w:rPr>
          <w:szCs w:val="24"/>
        </w:rPr>
      </w:pPr>
      <w:r>
        <w:rPr>
          <w:szCs w:val="24"/>
        </w:rPr>
        <w:t>As stated earlier, the owner of</w:t>
      </w:r>
      <w:r w:rsidR="00E56C10">
        <w:rPr>
          <w:szCs w:val="24"/>
        </w:rPr>
        <w:t xml:space="preserve"> the copyright in</w:t>
      </w:r>
      <w:r>
        <w:rPr>
          <w:szCs w:val="24"/>
        </w:rPr>
        <w:t xml:space="preserve"> </w:t>
      </w:r>
      <w:r w:rsidR="00982073">
        <w:rPr>
          <w:szCs w:val="24"/>
        </w:rPr>
        <w:t>film and sound recordings</w:t>
      </w:r>
      <w:r w:rsidR="00E56C10">
        <w:rPr>
          <w:szCs w:val="24"/>
        </w:rPr>
        <w:t>, is generally the make</w:t>
      </w:r>
      <w:r w:rsidR="004C5952">
        <w:rPr>
          <w:szCs w:val="24"/>
        </w:rPr>
        <w:t xml:space="preserve">r. Of course, this general rule can be altered </w:t>
      </w:r>
      <w:r w:rsidR="001012FC">
        <w:rPr>
          <w:szCs w:val="24"/>
        </w:rPr>
        <w:t xml:space="preserve">in a number of ways (e.g. legislative exception, or through agreement). </w:t>
      </w:r>
    </w:p>
    <w:p w14:paraId="6BB0E59D" w14:textId="137263B5" w:rsidR="00D80C98" w:rsidRPr="00D94084" w:rsidRDefault="001012FC" w:rsidP="00D80C98">
      <w:pPr>
        <w:rPr>
          <w:szCs w:val="24"/>
        </w:rPr>
      </w:pPr>
      <w:r>
        <w:rPr>
          <w:szCs w:val="24"/>
        </w:rPr>
        <w:t xml:space="preserve">Separate </w:t>
      </w:r>
      <w:r w:rsidR="00A54266">
        <w:rPr>
          <w:szCs w:val="24"/>
        </w:rPr>
        <w:t xml:space="preserve">to that, however, </w:t>
      </w:r>
      <w:r w:rsidR="00FE05CD">
        <w:rPr>
          <w:szCs w:val="24"/>
        </w:rPr>
        <w:t xml:space="preserve">are </w:t>
      </w:r>
      <w:r w:rsidR="00AB3E3C">
        <w:rPr>
          <w:szCs w:val="24"/>
        </w:rPr>
        <w:t>p</w:t>
      </w:r>
      <w:r w:rsidR="00A54266">
        <w:rPr>
          <w:szCs w:val="24"/>
        </w:rPr>
        <w:t xml:space="preserve">erformers </w:t>
      </w:r>
      <w:r w:rsidR="00AB3E3C">
        <w:rPr>
          <w:szCs w:val="24"/>
        </w:rPr>
        <w:t>r</w:t>
      </w:r>
      <w:r w:rsidR="00A54266">
        <w:rPr>
          <w:szCs w:val="24"/>
        </w:rPr>
        <w:t>ight</w:t>
      </w:r>
      <w:r w:rsidR="00071218">
        <w:rPr>
          <w:szCs w:val="24"/>
        </w:rPr>
        <w:t>s</w:t>
      </w:r>
      <w:r w:rsidR="00CD4389">
        <w:rPr>
          <w:szCs w:val="24"/>
        </w:rPr>
        <w:t xml:space="preserve">. </w:t>
      </w:r>
      <w:r w:rsidR="004C5952">
        <w:rPr>
          <w:szCs w:val="24"/>
        </w:rPr>
        <w:t xml:space="preserve"> </w:t>
      </w:r>
      <w:r w:rsidR="00D80C98" w:rsidRPr="00D94084">
        <w:rPr>
          <w:szCs w:val="24"/>
        </w:rPr>
        <w:t>Performers right</w:t>
      </w:r>
      <w:r w:rsidR="00071218">
        <w:rPr>
          <w:szCs w:val="24"/>
        </w:rPr>
        <w:t>s</w:t>
      </w:r>
      <w:r w:rsidR="00D80C98" w:rsidRPr="00D94084">
        <w:rPr>
          <w:szCs w:val="24"/>
        </w:rPr>
        <w:t xml:space="preserve"> under the </w:t>
      </w:r>
      <w:r w:rsidR="00D80C98" w:rsidRPr="00A701BC">
        <w:rPr>
          <w:i/>
          <w:iCs/>
          <w:szCs w:val="24"/>
        </w:rPr>
        <w:t>Copyright Act</w:t>
      </w:r>
      <w:r w:rsidR="00D80C98" w:rsidRPr="00D94084">
        <w:rPr>
          <w:i/>
          <w:szCs w:val="24"/>
        </w:rPr>
        <w:t xml:space="preserve"> </w:t>
      </w:r>
      <w:r w:rsidR="00D80C98" w:rsidRPr="00D94084">
        <w:rPr>
          <w:szCs w:val="24"/>
        </w:rPr>
        <w:t>provides three basic areas of protection: the right of consent, co-ownership of copyright in sound recordings, and moral rights.</w:t>
      </w:r>
    </w:p>
    <w:p w14:paraId="5A773F23" w14:textId="4ED65853" w:rsidR="00347EBD" w:rsidRPr="00D94084" w:rsidRDefault="00CB54F4" w:rsidP="00AC73DF">
      <w:pPr>
        <w:rPr>
          <w:szCs w:val="24"/>
        </w:rPr>
      </w:pPr>
      <w:r>
        <w:rPr>
          <w:szCs w:val="24"/>
        </w:rPr>
        <w:lastRenderedPageBreak/>
        <w:t xml:space="preserve">How does this apply to Indigenous Genomics? </w:t>
      </w:r>
      <w:r w:rsidR="00C96642">
        <w:rPr>
          <w:szCs w:val="24"/>
        </w:rPr>
        <w:t xml:space="preserve">Arguably, </w:t>
      </w:r>
      <w:r w:rsidR="00963FFF">
        <w:rPr>
          <w:szCs w:val="24"/>
        </w:rPr>
        <w:t>film and sound recordings of interviews with p</w:t>
      </w:r>
      <w:r w:rsidR="00347EBD" w:rsidRPr="00D94084">
        <w:rPr>
          <w:szCs w:val="24"/>
        </w:rPr>
        <w:t xml:space="preserve">atients or research subjects </w:t>
      </w:r>
      <w:r w:rsidR="00963FFF">
        <w:rPr>
          <w:szCs w:val="24"/>
        </w:rPr>
        <w:t xml:space="preserve">are performances. </w:t>
      </w:r>
      <w:r w:rsidR="00A94098">
        <w:rPr>
          <w:szCs w:val="24"/>
        </w:rPr>
        <w:t xml:space="preserve">This can give interviewees greater control over </w:t>
      </w:r>
      <w:r w:rsidR="00347EBD" w:rsidRPr="00D94084">
        <w:rPr>
          <w:szCs w:val="24"/>
        </w:rPr>
        <w:t>the film and sound recording</w:t>
      </w:r>
      <w:r w:rsidR="003218C3">
        <w:rPr>
          <w:szCs w:val="24"/>
        </w:rPr>
        <w:t xml:space="preserve">s made of them. </w:t>
      </w:r>
      <w:r w:rsidR="00347EBD" w:rsidRPr="00D94084">
        <w:rPr>
          <w:szCs w:val="24"/>
        </w:rPr>
        <w:t xml:space="preserve"> </w:t>
      </w:r>
      <w:r w:rsidR="00A12836">
        <w:rPr>
          <w:szCs w:val="24"/>
        </w:rPr>
        <w:t>For example, the right to consent</w:t>
      </w:r>
      <w:r w:rsidR="00F262C2">
        <w:rPr>
          <w:szCs w:val="24"/>
        </w:rPr>
        <w:t>, or not consent, to the recording in the first place</w:t>
      </w:r>
      <w:r w:rsidR="001C1D29">
        <w:rPr>
          <w:szCs w:val="24"/>
        </w:rPr>
        <w:t xml:space="preserve">. </w:t>
      </w:r>
    </w:p>
    <w:p w14:paraId="60E6AD1D" w14:textId="7FEAEBD3" w:rsidR="00A223D0" w:rsidRDefault="00F90133" w:rsidP="00AC73DF">
      <w:pPr>
        <w:rPr>
          <w:szCs w:val="24"/>
        </w:rPr>
      </w:pPr>
      <w:r>
        <w:rPr>
          <w:szCs w:val="24"/>
        </w:rPr>
        <w:t>Unpaid i</w:t>
      </w:r>
      <w:r w:rsidR="00A60E06">
        <w:rPr>
          <w:szCs w:val="24"/>
        </w:rPr>
        <w:t xml:space="preserve">nterviewees </w:t>
      </w:r>
      <w:r w:rsidR="004A4B27" w:rsidRPr="00D94084">
        <w:rPr>
          <w:szCs w:val="24"/>
        </w:rPr>
        <w:t>may also jointly own the copyright in the sound recording</w:t>
      </w:r>
      <w:r>
        <w:rPr>
          <w:szCs w:val="24"/>
        </w:rPr>
        <w:t xml:space="preserve">. </w:t>
      </w:r>
      <w:r w:rsidR="00BD348C">
        <w:rPr>
          <w:szCs w:val="24"/>
        </w:rPr>
        <w:t xml:space="preserve">For example, </w:t>
      </w:r>
      <w:r w:rsidR="001179BF">
        <w:rPr>
          <w:szCs w:val="24"/>
        </w:rPr>
        <w:t xml:space="preserve">where an unpaid interviewee </w:t>
      </w:r>
      <w:r w:rsidR="007075D6">
        <w:rPr>
          <w:szCs w:val="24"/>
        </w:rPr>
        <w:t xml:space="preserve">provides genomic information to an interviewer </w:t>
      </w:r>
      <w:r w:rsidR="00BB4DBE">
        <w:rPr>
          <w:szCs w:val="24"/>
        </w:rPr>
        <w:t xml:space="preserve">by talking about their </w:t>
      </w:r>
      <w:r w:rsidR="007075D6">
        <w:rPr>
          <w:szCs w:val="24"/>
        </w:rPr>
        <w:t>family or kinship knowledge</w:t>
      </w:r>
      <w:r w:rsidR="00AD1747">
        <w:rPr>
          <w:szCs w:val="24"/>
        </w:rPr>
        <w:t xml:space="preserve">, it is possible that the interviewee will share copyright in the recording. </w:t>
      </w:r>
    </w:p>
    <w:p w14:paraId="72680FB3" w14:textId="7033790A" w:rsidR="00034134" w:rsidRPr="001E66C0" w:rsidRDefault="001E14AC" w:rsidP="001E66C0">
      <w:pPr>
        <w:rPr>
          <w:b/>
          <w:sz w:val="20"/>
        </w:rPr>
      </w:pPr>
      <w:r>
        <w:rPr>
          <w:szCs w:val="24"/>
        </w:rPr>
        <w:t xml:space="preserve">See </w:t>
      </w:r>
      <w:r w:rsidR="003C38CB">
        <w:rPr>
          <w:szCs w:val="24"/>
        </w:rPr>
        <w:t>Table 5 for a more detailed summary of performers’ rights</w:t>
      </w:r>
      <w:r>
        <w:rPr>
          <w:szCs w:val="24"/>
        </w:rPr>
        <w:t xml:space="preserve"> </w:t>
      </w:r>
      <w:bookmarkStart w:id="56" w:name="_Ref44254612"/>
    </w:p>
    <w:p w14:paraId="317DC83B" w14:textId="5A4BA8F2" w:rsidR="007D284A" w:rsidRDefault="007D284A" w:rsidP="00E10E1F">
      <w:pPr>
        <w:pStyle w:val="Caption"/>
      </w:pPr>
      <w:r w:rsidRPr="00E10E1F">
        <w:t>Table</w:t>
      </w:r>
      <w:r>
        <w:t xml:space="preserv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5</w:t>
      </w:r>
      <w:r w:rsidRPr="00A7008D">
        <w:rPr>
          <w:sz w:val="20"/>
        </w:rPr>
        <w:fldChar w:fldCharType="end"/>
      </w:r>
      <w:r>
        <w:t xml:space="preserve">: </w:t>
      </w:r>
      <w:r w:rsidRPr="002B5F46">
        <w:rPr>
          <w:bCs/>
        </w:rPr>
        <w:t>Summary of</w:t>
      </w:r>
      <w:r>
        <w:t xml:space="preserve"> </w:t>
      </w:r>
      <w:r>
        <w:rPr>
          <w:bCs/>
        </w:rPr>
        <w:t>performers' rights</w:t>
      </w:r>
      <w:bookmarkEnd w:id="56"/>
    </w:p>
    <w:tbl>
      <w:tblPr>
        <w:tblStyle w:val="GridTable1Light"/>
        <w:tblW w:w="0" w:type="auto"/>
        <w:tblLook w:val="04A0" w:firstRow="1" w:lastRow="0" w:firstColumn="1" w:lastColumn="0" w:noHBand="0" w:noVBand="1"/>
        <w:tblCaption w:val="Summary of performers' rights"/>
        <w:tblDescription w:val="Table 5: Summary of performers' rights"/>
      </w:tblPr>
      <w:tblGrid>
        <w:gridCol w:w="2268"/>
        <w:gridCol w:w="6748"/>
      </w:tblGrid>
      <w:tr w:rsidR="008C4F90" w14:paraId="41D03039" w14:textId="77777777" w:rsidTr="00E10E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01903362" w14:textId="007C5E27" w:rsidR="008C4F90" w:rsidRDefault="008C4F90" w:rsidP="008C4F90">
            <w:pPr>
              <w:rPr>
                <w:szCs w:val="24"/>
              </w:rPr>
            </w:pPr>
            <w:r w:rsidRPr="00711734">
              <w:t xml:space="preserve">Issues of Concern </w:t>
            </w:r>
          </w:p>
        </w:tc>
        <w:tc>
          <w:tcPr>
            <w:tcW w:w="6748" w:type="dxa"/>
          </w:tcPr>
          <w:p w14:paraId="140FEBA7" w14:textId="3E34A07C" w:rsidR="008C4F90" w:rsidRDefault="008C4F90" w:rsidP="008C4F90">
            <w:pPr>
              <w:cnfStyle w:val="100000000000" w:firstRow="1" w:lastRow="0" w:firstColumn="0" w:lastColumn="0" w:oddVBand="0" w:evenVBand="0" w:oddHBand="0" w:evenHBand="0" w:firstRowFirstColumn="0" w:firstRowLastColumn="0" w:lastRowFirstColumn="0" w:lastRowLastColumn="0"/>
              <w:rPr>
                <w:szCs w:val="24"/>
              </w:rPr>
            </w:pPr>
            <w:r w:rsidRPr="00711734">
              <w:t xml:space="preserve">Key Legal Questions </w:t>
            </w:r>
          </w:p>
        </w:tc>
      </w:tr>
      <w:tr w:rsidR="008C4F90" w14:paraId="3F692E0F" w14:textId="77777777" w:rsidTr="00E10E1F">
        <w:tc>
          <w:tcPr>
            <w:cnfStyle w:val="001000000000" w:firstRow="0" w:lastRow="0" w:firstColumn="1" w:lastColumn="0" w:oddVBand="0" w:evenVBand="0" w:oddHBand="0" w:evenHBand="0" w:firstRowFirstColumn="0" w:firstRowLastColumn="0" w:lastRowFirstColumn="0" w:lastRowLastColumn="0"/>
            <w:tcW w:w="2268" w:type="dxa"/>
          </w:tcPr>
          <w:p w14:paraId="6AD6D5C8" w14:textId="4AE88092" w:rsidR="008C4F90" w:rsidRPr="002B5F46" w:rsidRDefault="007D284A" w:rsidP="008C4F90">
            <w:pPr>
              <w:rPr>
                <w:i/>
                <w:iCs/>
                <w:szCs w:val="24"/>
              </w:rPr>
            </w:pPr>
            <w:r w:rsidRPr="002B5F46">
              <w:rPr>
                <w:i/>
                <w:iCs/>
                <w:szCs w:val="24"/>
              </w:rPr>
              <w:t xml:space="preserve">Right of consent </w:t>
            </w:r>
          </w:p>
        </w:tc>
        <w:tc>
          <w:tcPr>
            <w:tcW w:w="6748" w:type="dxa"/>
          </w:tcPr>
          <w:p w14:paraId="48B6CFC0" w14:textId="77777777" w:rsidR="007D284A" w:rsidRPr="00D94084" w:rsidRDefault="007D284A" w:rsidP="007D284A">
            <w:pPr>
              <w:cnfStyle w:val="000000000000" w:firstRow="0" w:lastRow="0" w:firstColumn="0" w:lastColumn="0" w:oddVBand="0" w:evenVBand="0" w:oddHBand="0" w:evenHBand="0" w:firstRowFirstColumn="0" w:firstRowLastColumn="0" w:lastRowFirstColumn="0" w:lastRowLastColumn="0"/>
              <w:rPr>
                <w:szCs w:val="24"/>
              </w:rPr>
            </w:pPr>
            <w:r w:rsidRPr="00D94084">
              <w:rPr>
                <w:szCs w:val="24"/>
              </w:rPr>
              <w:t xml:space="preserve">The right of consent allows the performer to grant or refuse the recording, or grant or refuse communication of it to the public. Performers also have rights relating to unauthorised recordings. </w:t>
            </w:r>
          </w:p>
          <w:p w14:paraId="284CE6D2" w14:textId="77777777" w:rsidR="007D284A" w:rsidRPr="00D94084" w:rsidRDefault="007D284A" w:rsidP="007D284A">
            <w:pPr>
              <w:cnfStyle w:val="000000000000" w:firstRow="0" w:lastRow="0" w:firstColumn="0" w:lastColumn="0" w:oddVBand="0" w:evenVBand="0" w:oddHBand="0" w:evenHBand="0" w:firstRowFirstColumn="0" w:firstRowLastColumn="0" w:lastRowFirstColumn="0" w:lastRowLastColumn="0"/>
              <w:rPr>
                <w:szCs w:val="24"/>
              </w:rPr>
            </w:pPr>
            <w:r w:rsidRPr="00D94084">
              <w:rPr>
                <w:szCs w:val="24"/>
              </w:rPr>
              <w:t>In the context of Aboriginal and Torres Strait Islander genomic research, where a doctor or researcher requests permission to record an Aboriginal and Torres Strait Islander patient, the patient has the legal right to:</w:t>
            </w:r>
          </w:p>
          <w:p w14:paraId="293FD99C" w14:textId="77777777" w:rsidR="007D284A" w:rsidRDefault="007D284A" w:rsidP="00E10E1F">
            <w:pPr>
              <w:pStyle w:val="ListBullet"/>
              <w:cnfStyle w:val="000000000000" w:firstRow="0" w:lastRow="0" w:firstColumn="0" w:lastColumn="0" w:oddVBand="0" w:evenVBand="0" w:oddHBand="0" w:evenHBand="0" w:firstRowFirstColumn="0" w:firstRowLastColumn="0" w:lastRowFirstColumn="0" w:lastRowLastColumn="0"/>
            </w:pPr>
            <w:r>
              <w:t>refuse consent; and</w:t>
            </w:r>
          </w:p>
          <w:p w14:paraId="4ED43E5C" w14:textId="60BB4798" w:rsidR="008C4F90" w:rsidRPr="007E6C13" w:rsidRDefault="007D284A" w:rsidP="00E10E1F">
            <w:pPr>
              <w:pStyle w:val="ListBullet"/>
              <w:cnfStyle w:val="000000000000" w:firstRow="0" w:lastRow="0" w:firstColumn="0" w:lastColumn="0" w:oddVBand="0" w:evenVBand="0" w:oddHBand="0" w:evenHBand="0" w:firstRowFirstColumn="0" w:firstRowLastColumn="0" w:lastRowFirstColumn="0" w:lastRowLastColumn="0"/>
            </w:pPr>
            <w:r>
              <w:t>if consent is granted, place conditions on how the recording will be used.</w:t>
            </w:r>
            <w:r>
              <w:rPr>
                <w:rStyle w:val="FootnoteReference"/>
              </w:rPr>
              <w:footnoteReference w:id="21"/>
            </w:r>
            <w:r>
              <w:t xml:space="preserve"> </w:t>
            </w:r>
          </w:p>
        </w:tc>
      </w:tr>
      <w:tr w:rsidR="008C4F90" w14:paraId="34C46EE3" w14:textId="77777777" w:rsidTr="00E10E1F">
        <w:tc>
          <w:tcPr>
            <w:cnfStyle w:val="001000000000" w:firstRow="0" w:lastRow="0" w:firstColumn="1" w:lastColumn="0" w:oddVBand="0" w:evenVBand="0" w:oddHBand="0" w:evenHBand="0" w:firstRowFirstColumn="0" w:firstRowLastColumn="0" w:lastRowFirstColumn="0" w:lastRowLastColumn="0"/>
            <w:tcW w:w="2268" w:type="dxa"/>
          </w:tcPr>
          <w:p w14:paraId="4118B8BC" w14:textId="0BB68982" w:rsidR="008C4F90" w:rsidRPr="007E6C13" w:rsidRDefault="007D284A" w:rsidP="008C4F90">
            <w:pPr>
              <w:rPr>
                <w:rFonts w:eastAsiaTheme="majorEastAsia" w:cstheme="majorBidi"/>
                <w:i/>
                <w:color w:val="000000" w:themeColor="text1"/>
                <w:szCs w:val="24"/>
              </w:rPr>
            </w:pPr>
            <w:r w:rsidRPr="00D94084">
              <w:rPr>
                <w:rStyle w:val="Heading5Char"/>
                <w:sz w:val="22"/>
              </w:rPr>
              <w:t>Co-ownership of copyright in sound recordings</w:t>
            </w:r>
          </w:p>
        </w:tc>
        <w:tc>
          <w:tcPr>
            <w:tcW w:w="6748" w:type="dxa"/>
          </w:tcPr>
          <w:p w14:paraId="604BC46F" w14:textId="77777777" w:rsidR="007D284A" w:rsidRPr="00D94084" w:rsidRDefault="007D284A" w:rsidP="007D284A">
            <w:pPr>
              <w:cnfStyle w:val="000000000000" w:firstRow="0" w:lastRow="0" w:firstColumn="0" w:lastColumn="0" w:oddVBand="0" w:evenVBand="0" w:oddHBand="0" w:evenHBand="0" w:firstRowFirstColumn="0" w:firstRowLastColumn="0" w:lastRowFirstColumn="0" w:lastRowLastColumn="0"/>
              <w:rPr>
                <w:szCs w:val="24"/>
              </w:rPr>
            </w:pPr>
            <w:r w:rsidRPr="00D94084">
              <w:rPr>
                <w:szCs w:val="24"/>
              </w:rPr>
              <w:t>When a sound recording is made, copyright belongs to the maker of the record e.g. the doctor who presses ‘record’</w:t>
            </w:r>
            <w:r>
              <w:rPr>
                <w:szCs w:val="24"/>
              </w:rPr>
              <w:t xml:space="preserve"> or, more likely, the medical practice which owns the recording equipment</w:t>
            </w:r>
            <w:r w:rsidRPr="00D94084">
              <w:rPr>
                <w:szCs w:val="24"/>
              </w:rPr>
              <w:t>.</w:t>
            </w:r>
            <w:r w:rsidRPr="00D94084">
              <w:rPr>
                <w:rStyle w:val="FootnoteReference"/>
                <w:szCs w:val="24"/>
              </w:rPr>
              <w:footnoteReference w:id="22"/>
            </w:r>
          </w:p>
          <w:p w14:paraId="55BBB2C9" w14:textId="77777777" w:rsidR="007D284A" w:rsidRPr="00D94084" w:rsidRDefault="007D284A" w:rsidP="007D284A">
            <w:pPr>
              <w:cnfStyle w:val="000000000000" w:firstRow="0" w:lastRow="0" w:firstColumn="0" w:lastColumn="0" w:oddVBand="0" w:evenVBand="0" w:oddHBand="0" w:evenHBand="0" w:firstRowFirstColumn="0" w:firstRowLastColumn="0" w:lastRowFirstColumn="0" w:lastRowLastColumn="0"/>
              <w:rPr>
                <w:szCs w:val="24"/>
              </w:rPr>
            </w:pPr>
            <w:r w:rsidRPr="00D94084">
              <w:rPr>
                <w:szCs w:val="24"/>
              </w:rPr>
              <w:t xml:space="preserve">When sound recordings of live performances are made, and where the performer was not paid a fee, the performer will share copyright in the recording. This could apply where researchers make a sound recording of an Aboriginal or Torres Strait Islander donor, and the donation was unpaid. </w:t>
            </w:r>
          </w:p>
          <w:p w14:paraId="6C73E27B" w14:textId="74C5FA4B" w:rsidR="008C4F90" w:rsidRDefault="007D284A" w:rsidP="008C4F90">
            <w:pPr>
              <w:cnfStyle w:val="000000000000" w:firstRow="0" w:lastRow="0" w:firstColumn="0" w:lastColumn="0" w:oddVBand="0" w:evenVBand="0" w:oddHBand="0" w:evenHBand="0" w:firstRowFirstColumn="0" w:firstRowLastColumn="0" w:lastRowFirstColumn="0" w:lastRowLastColumn="0"/>
              <w:rPr>
                <w:szCs w:val="24"/>
              </w:rPr>
            </w:pPr>
            <w:r w:rsidRPr="00D94084">
              <w:rPr>
                <w:szCs w:val="24"/>
              </w:rPr>
              <w:t xml:space="preserve">Legal issues can therefore arise when information is recorded/collected and used in ways that the performer did not consider, or was not informed of, despite co-owning the copyright in the recoding. Where the performer is a donor or patient, this places obligations on the researcher to acknowledge the co-ownership of the patient over the recording, and seek their permission for any use of the recording. </w:t>
            </w:r>
          </w:p>
        </w:tc>
      </w:tr>
      <w:tr w:rsidR="008C4F90" w14:paraId="679D89D2" w14:textId="77777777" w:rsidTr="00E10E1F">
        <w:tc>
          <w:tcPr>
            <w:cnfStyle w:val="001000000000" w:firstRow="0" w:lastRow="0" w:firstColumn="1" w:lastColumn="0" w:oddVBand="0" w:evenVBand="0" w:oddHBand="0" w:evenHBand="0" w:firstRowFirstColumn="0" w:firstRowLastColumn="0" w:lastRowFirstColumn="0" w:lastRowLastColumn="0"/>
            <w:tcW w:w="2268" w:type="dxa"/>
          </w:tcPr>
          <w:p w14:paraId="6EDECB03" w14:textId="6A2006AE" w:rsidR="008C4F90" w:rsidRPr="007E6C13" w:rsidRDefault="007D284A" w:rsidP="008C4F90">
            <w:pPr>
              <w:rPr>
                <w:i/>
                <w:iCs/>
              </w:rPr>
            </w:pPr>
            <w:r w:rsidRPr="002B5F46">
              <w:rPr>
                <w:i/>
                <w:iCs/>
              </w:rPr>
              <w:lastRenderedPageBreak/>
              <w:t>Moral Rights</w:t>
            </w:r>
          </w:p>
        </w:tc>
        <w:tc>
          <w:tcPr>
            <w:tcW w:w="6748" w:type="dxa"/>
          </w:tcPr>
          <w:p w14:paraId="06B1B53D" w14:textId="77777777" w:rsidR="007D284A" w:rsidRPr="00D94084" w:rsidRDefault="007D284A" w:rsidP="007D284A">
            <w:pPr>
              <w:cnfStyle w:val="000000000000" w:firstRow="0" w:lastRow="0" w:firstColumn="0" w:lastColumn="0" w:oddVBand="0" w:evenVBand="0" w:oddHBand="0" w:evenHBand="0" w:firstRowFirstColumn="0" w:firstRowLastColumn="0" w:lastRowFirstColumn="0" w:lastRowLastColumn="0"/>
              <w:rPr>
                <w:szCs w:val="24"/>
              </w:rPr>
            </w:pPr>
            <w:r w:rsidRPr="00D94084">
              <w:rPr>
                <w:szCs w:val="24"/>
              </w:rPr>
              <w:t>Moral rights are different to copyright. Moral rights give the performer rights in relation to correct attribution of a performance, not to be falsely attributed, and integrity of performance.</w:t>
            </w:r>
            <w:r w:rsidRPr="00D94084">
              <w:rPr>
                <w:rStyle w:val="FootnoteReference"/>
                <w:szCs w:val="24"/>
              </w:rPr>
              <w:footnoteReference w:id="23"/>
            </w:r>
            <w:r w:rsidRPr="00D94084">
              <w:rPr>
                <w:szCs w:val="24"/>
              </w:rPr>
              <w:t xml:space="preserve"> </w:t>
            </w:r>
          </w:p>
          <w:p w14:paraId="6A828753" w14:textId="77777777" w:rsidR="007D284A" w:rsidRPr="00D94084" w:rsidRDefault="007D284A" w:rsidP="007D284A">
            <w:pPr>
              <w:cnfStyle w:val="000000000000" w:firstRow="0" w:lastRow="0" w:firstColumn="0" w:lastColumn="0" w:oddVBand="0" w:evenVBand="0" w:oddHBand="0" w:evenHBand="0" w:firstRowFirstColumn="0" w:firstRowLastColumn="0" w:lastRowFirstColumn="0" w:lastRowLastColumn="0"/>
              <w:rPr>
                <w:szCs w:val="24"/>
              </w:rPr>
            </w:pPr>
            <w:r w:rsidRPr="00D94084">
              <w:rPr>
                <w:szCs w:val="24"/>
              </w:rPr>
              <w:t xml:space="preserve">In the context of genomic research, donors or patents who have agreed to being recorded have the right to: </w:t>
            </w:r>
          </w:p>
          <w:p w14:paraId="2C8E74C3" w14:textId="77777777" w:rsidR="007D284A" w:rsidRDefault="007D284A" w:rsidP="00E10E1F">
            <w:pPr>
              <w:pStyle w:val="ListBullet"/>
              <w:cnfStyle w:val="000000000000" w:firstRow="0" w:lastRow="0" w:firstColumn="0" w:lastColumn="0" w:oddVBand="0" w:evenVBand="0" w:oddHBand="0" w:evenHBand="0" w:firstRowFirstColumn="0" w:firstRowLastColumn="0" w:lastRowFirstColumn="0" w:lastRowLastColumn="0"/>
            </w:pPr>
            <w:r>
              <w:t>be correctly attributed in the recording;</w:t>
            </w:r>
          </w:p>
          <w:p w14:paraId="70222F1C" w14:textId="77777777" w:rsidR="007D284A" w:rsidRDefault="007D284A" w:rsidP="00E10E1F">
            <w:pPr>
              <w:pStyle w:val="ListBullet"/>
              <w:cnfStyle w:val="000000000000" w:firstRow="0" w:lastRow="0" w:firstColumn="0" w:lastColumn="0" w:oddVBand="0" w:evenVBand="0" w:oddHBand="0" w:evenHBand="0" w:firstRowFirstColumn="0" w:firstRowLastColumn="0" w:lastRowFirstColumn="0" w:lastRowLastColumn="0"/>
            </w:pPr>
            <w:r>
              <w:t xml:space="preserve">not be incorrectly attributed (e.g. have someone else’s name listed as the person in the recording); and </w:t>
            </w:r>
          </w:p>
          <w:p w14:paraId="741F160B" w14:textId="6F741CF5" w:rsidR="008C4F90" w:rsidRPr="00E10E1F" w:rsidRDefault="007D284A" w:rsidP="00E10E1F">
            <w:pPr>
              <w:pStyle w:val="ListBullet"/>
              <w:cnfStyle w:val="000000000000" w:firstRow="0" w:lastRow="0" w:firstColumn="0" w:lastColumn="0" w:oddVBand="0" w:evenVBand="0" w:oddHBand="0" w:evenHBand="0" w:firstRowFirstColumn="0" w:firstRowLastColumn="0" w:lastRowFirstColumn="0" w:lastRowLastColumn="0"/>
            </w:pPr>
            <w:r>
              <w:t xml:space="preserve">not to have the recording altered in a way that is damaging to the donor/patient’s reputation. </w:t>
            </w:r>
          </w:p>
        </w:tc>
      </w:tr>
    </w:tbl>
    <w:p w14:paraId="5D825C7E" w14:textId="77777777" w:rsidR="00347EBD" w:rsidRPr="00F67476" w:rsidRDefault="00347EBD" w:rsidP="002B5F46">
      <w:pPr>
        <w:pStyle w:val="Heading3"/>
      </w:pPr>
      <w:bookmarkStart w:id="57" w:name="_Ref44250463"/>
      <w:bookmarkStart w:id="58" w:name="_Toc118824320"/>
      <w:r w:rsidRPr="00F67476">
        <w:rPr>
          <w:lang w:val="en-AU"/>
        </w:rPr>
        <w:t>Copyright in the Genome Sequencing - is DNA subject to copyright?</w:t>
      </w:r>
      <w:bookmarkEnd w:id="57"/>
      <w:bookmarkEnd w:id="58"/>
    </w:p>
    <w:p w14:paraId="6D232EE1" w14:textId="743C4937" w:rsidR="00347EBD" w:rsidRPr="00D94084" w:rsidRDefault="00347EBD" w:rsidP="00AC73DF">
      <w:pPr>
        <w:rPr>
          <w:szCs w:val="24"/>
        </w:rPr>
      </w:pPr>
      <w:r w:rsidRPr="00D94084">
        <w:rPr>
          <w:szCs w:val="24"/>
        </w:rPr>
        <w:t>Copyright over sequenced DNA is an area subject to continuous debate. In 2004 the Australian Law Reform Commission considered whether the DNA would be subject to copyright. The ALRC considered that “copyright could potentially subsist in the representation of a genetic sequence provided sufficient skill, labour and effort is involved in creating that expression” such as a diagram.</w:t>
      </w:r>
      <w:r w:rsidRPr="00D94084">
        <w:rPr>
          <w:rStyle w:val="FootnoteReference"/>
          <w:szCs w:val="24"/>
        </w:rPr>
        <w:footnoteReference w:id="24"/>
      </w:r>
      <w:r w:rsidRPr="00D94084">
        <w:rPr>
          <w:szCs w:val="24"/>
        </w:rPr>
        <w:t xml:space="preserve"> However, it considered th</w:t>
      </w:r>
      <w:r w:rsidR="00660FCF">
        <w:rPr>
          <w:szCs w:val="24"/>
        </w:rPr>
        <w:t>at</w:t>
      </w:r>
      <w:r w:rsidRPr="00D94084">
        <w:rPr>
          <w:szCs w:val="24"/>
        </w:rPr>
        <w:t xml:space="preserve"> a nucleotide or amino acid molecule in and of itself would probably not satisfy the requirements of a ‘literary work’ because it “provides no information, instruction or entertainment to human beings—unlike its written representation.</w:t>
      </w:r>
      <w:r w:rsidR="00C755B5" w:rsidRPr="00D94084">
        <w:rPr>
          <w:szCs w:val="24"/>
        </w:rPr>
        <w:t>”</w:t>
      </w:r>
      <w:r w:rsidRPr="00D94084">
        <w:rPr>
          <w:rStyle w:val="FootnoteReference"/>
          <w:szCs w:val="24"/>
        </w:rPr>
        <w:footnoteReference w:id="25"/>
      </w:r>
    </w:p>
    <w:p w14:paraId="79CA5729" w14:textId="21A705F0" w:rsidR="00347EBD" w:rsidRPr="00D94084" w:rsidRDefault="00347EBD" w:rsidP="00AC73DF">
      <w:pPr>
        <w:rPr>
          <w:szCs w:val="24"/>
        </w:rPr>
      </w:pPr>
      <w:r w:rsidRPr="00D94084">
        <w:rPr>
          <w:szCs w:val="24"/>
        </w:rPr>
        <w:t xml:space="preserve">In a another light, the High Court in </w:t>
      </w:r>
      <w:r w:rsidRPr="00D94084">
        <w:rPr>
          <w:i/>
          <w:szCs w:val="24"/>
        </w:rPr>
        <w:t xml:space="preserve">D’Arcy v Myriad Genetics </w:t>
      </w:r>
      <w:r w:rsidRPr="00D94084">
        <w:rPr>
          <w:szCs w:val="24"/>
        </w:rPr>
        <w:t>ruled unanimously against gene patents – the decision excluded from patent eligibility only isolated naturally-occurring gene sequences</w:t>
      </w:r>
      <w:r w:rsidR="002A208F" w:rsidRPr="00D94084">
        <w:rPr>
          <w:szCs w:val="24"/>
        </w:rPr>
        <w:t xml:space="preserve"> </w:t>
      </w:r>
      <w:r w:rsidRPr="00D94084">
        <w:rPr>
          <w:szCs w:val="24"/>
        </w:rPr>
        <w:t>and</w:t>
      </w:r>
      <w:r w:rsidR="002A208F" w:rsidRPr="00D94084">
        <w:rPr>
          <w:szCs w:val="24"/>
        </w:rPr>
        <w:t xml:space="preserve"> </w:t>
      </w:r>
      <w:r w:rsidRPr="00D94084">
        <w:rPr>
          <w:szCs w:val="24"/>
        </w:rPr>
        <w:t xml:space="preserve">non-naturally occurring gene sequences that encompass naturally-occurring genetic information – including artificially created sequences such as </w:t>
      </w:r>
      <w:r w:rsidR="00286042" w:rsidRPr="00D94084">
        <w:rPr>
          <w:szCs w:val="24"/>
        </w:rPr>
        <w:t>c</w:t>
      </w:r>
      <w:r w:rsidRPr="00D94084">
        <w:rPr>
          <w:szCs w:val="24"/>
        </w:rPr>
        <w:t>DNA.</w:t>
      </w:r>
      <w:r w:rsidRPr="00D94084">
        <w:rPr>
          <w:rStyle w:val="FootnoteReference"/>
          <w:szCs w:val="24"/>
        </w:rPr>
        <w:footnoteReference w:id="26"/>
      </w:r>
      <w:r w:rsidRPr="00D94084">
        <w:rPr>
          <w:szCs w:val="24"/>
        </w:rPr>
        <w:t xml:space="preserve"> This suggests that naturally-occurring genetic information or sequences would be considered facts, and therefore out of the scope of copyright protection once identified.</w:t>
      </w:r>
    </w:p>
    <w:p w14:paraId="627EAF9C" w14:textId="2E8C68DF" w:rsidR="00347EBD" w:rsidRPr="00D94084" w:rsidRDefault="000A53CB" w:rsidP="00AC73DF">
      <w:pPr>
        <w:rPr>
          <w:szCs w:val="24"/>
        </w:rPr>
      </w:pPr>
      <w:r>
        <w:rPr>
          <w:szCs w:val="24"/>
        </w:rPr>
        <w:t>All this is to say, that</w:t>
      </w:r>
      <w:r w:rsidR="007923A4">
        <w:rPr>
          <w:szCs w:val="24"/>
        </w:rPr>
        <w:t xml:space="preserve"> it currently appears that genes themselves are not considered </w:t>
      </w:r>
      <w:r w:rsidR="00E41E07">
        <w:rPr>
          <w:szCs w:val="24"/>
        </w:rPr>
        <w:t xml:space="preserve">subject to copyright protections. This means that Aboriginal and Torres Strait Islander individuals will not be able to use copyright law to </w:t>
      </w:r>
      <w:r w:rsidR="00347EBD" w:rsidRPr="00D94084">
        <w:rPr>
          <w:szCs w:val="24"/>
        </w:rPr>
        <w:t xml:space="preserve">exert control over their own individual DNA sequence and </w:t>
      </w:r>
      <w:r w:rsidR="0028603E">
        <w:rPr>
          <w:szCs w:val="24"/>
        </w:rPr>
        <w:t xml:space="preserve">protected it from </w:t>
      </w:r>
      <w:r w:rsidR="00347EBD" w:rsidRPr="00D94084">
        <w:rPr>
          <w:szCs w:val="24"/>
        </w:rPr>
        <w:t>misuse. Furthermore, reference genomes that are inherent to particular language groups or identifiable communities</w:t>
      </w:r>
      <w:r w:rsidR="00B34DF5">
        <w:rPr>
          <w:szCs w:val="24"/>
        </w:rPr>
        <w:t xml:space="preserve"> will probably not be able to use </w:t>
      </w:r>
      <w:r w:rsidR="000E51B1">
        <w:rPr>
          <w:szCs w:val="24"/>
        </w:rPr>
        <w:t xml:space="preserve">copyright </w:t>
      </w:r>
      <w:r w:rsidR="00B34DF5">
        <w:rPr>
          <w:szCs w:val="24"/>
        </w:rPr>
        <w:t xml:space="preserve">law as a means of exercising </w:t>
      </w:r>
      <w:r w:rsidR="00347EBD" w:rsidRPr="00D94084">
        <w:rPr>
          <w:szCs w:val="24"/>
        </w:rPr>
        <w:t xml:space="preserve">rights as a collective peoples </w:t>
      </w:r>
      <w:r w:rsidR="00D314ED">
        <w:rPr>
          <w:szCs w:val="24"/>
        </w:rPr>
        <w:t xml:space="preserve">over </w:t>
      </w:r>
      <w:r w:rsidR="00347EBD" w:rsidRPr="00D94084">
        <w:rPr>
          <w:szCs w:val="24"/>
        </w:rPr>
        <w:t>their reference genome.</w:t>
      </w:r>
    </w:p>
    <w:p w14:paraId="56B01558" w14:textId="77777777" w:rsidR="00347EBD" w:rsidRPr="00F67476" w:rsidRDefault="00347EBD" w:rsidP="002B5F46">
      <w:pPr>
        <w:pStyle w:val="Heading3"/>
      </w:pPr>
      <w:bookmarkStart w:id="59" w:name="_Ref44236318"/>
      <w:bookmarkStart w:id="60" w:name="_Toc118824321"/>
      <w:r w:rsidRPr="00F67476">
        <w:rPr>
          <w:lang w:val="en-AU"/>
        </w:rPr>
        <w:lastRenderedPageBreak/>
        <w:t>Databases and copyright</w:t>
      </w:r>
      <w:bookmarkEnd w:id="59"/>
      <w:bookmarkEnd w:id="60"/>
    </w:p>
    <w:p w14:paraId="3C2FC0FD" w14:textId="5AA57D9E" w:rsidR="00347EBD" w:rsidRPr="003375CC" w:rsidRDefault="00347EBD" w:rsidP="00AC73DF">
      <w:pPr>
        <w:rPr>
          <w:szCs w:val="24"/>
        </w:rPr>
      </w:pPr>
      <w:r w:rsidRPr="003375CC">
        <w:rPr>
          <w:szCs w:val="24"/>
        </w:rPr>
        <w:t>In Australia, copyright protections can exist in databases that comprise information</w:t>
      </w:r>
      <w:r w:rsidR="00060515" w:rsidRPr="003375CC">
        <w:rPr>
          <w:szCs w:val="24"/>
        </w:rPr>
        <w:t xml:space="preserve"> only</w:t>
      </w:r>
      <w:r w:rsidRPr="003375CC">
        <w:rPr>
          <w:szCs w:val="24"/>
        </w:rPr>
        <w:t xml:space="preserve">. The Court in </w:t>
      </w:r>
      <w:r w:rsidRPr="003375CC">
        <w:rPr>
          <w:i/>
          <w:szCs w:val="24"/>
        </w:rPr>
        <w:t xml:space="preserve">Desktop Marketing Systems Pty Ltd v Telstra Corporation Ltd </w:t>
      </w:r>
      <w:r w:rsidRPr="003375CC">
        <w:rPr>
          <w:szCs w:val="24"/>
        </w:rPr>
        <w:t xml:space="preserve">found that the compilation of numbers in a telephone directory would be considered copyright works as a whole based on the </w:t>
      </w:r>
      <w:r w:rsidR="00EA4E8A" w:rsidRPr="003375CC">
        <w:rPr>
          <w:szCs w:val="24"/>
        </w:rPr>
        <w:t>“</w:t>
      </w:r>
      <w:r w:rsidRPr="003375CC">
        <w:rPr>
          <w:szCs w:val="24"/>
        </w:rPr>
        <w:t>sweat of the brow</w:t>
      </w:r>
      <w:r w:rsidR="00EA4E8A" w:rsidRPr="003375CC">
        <w:rPr>
          <w:szCs w:val="24"/>
        </w:rPr>
        <w:t>”</w:t>
      </w:r>
      <w:r w:rsidRPr="003375CC">
        <w:rPr>
          <w:szCs w:val="24"/>
        </w:rPr>
        <w:t xml:space="preserve"> in obtaining and compiling the information.</w:t>
      </w:r>
      <w:r w:rsidRPr="003375CC">
        <w:rPr>
          <w:rStyle w:val="FootnoteReference"/>
          <w:szCs w:val="24"/>
        </w:rPr>
        <w:footnoteReference w:id="27"/>
      </w:r>
      <w:r w:rsidRPr="003375CC">
        <w:rPr>
          <w:szCs w:val="24"/>
        </w:rPr>
        <w:t xml:space="preserve"> As applied to genomic databases, disregarding whether DNA can be subject to copyright in and of itself, the compilation of a genomic database can be subject to copyright protections. This results in issues around data sovereignty</w:t>
      </w:r>
      <w:r w:rsidR="00DE2647">
        <w:rPr>
          <w:szCs w:val="24"/>
        </w:rPr>
        <w:t>: W</w:t>
      </w:r>
      <w:r w:rsidRPr="003375CC">
        <w:rPr>
          <w:szCs w:val="24"/>
        </w:rPr>
        <w:t xml:space="preserve">ho controls access </w:t>
      </w:r>
      <w:r w:rsidR="00DE2647">
        <w:rPr>
          <w:szCs w:val="24"/>
        </w:rPr>
        <w:t xml:space="preserve">to the </w:t>
      </w:r>
      <w:r w:rsidRPr="003375CC">
        <w:rPr>
          <w:szCs w:val="24"/>
        </w:rPr>
        <w:t>data</w:t>
      </w:r>
      <w:r w:rsidR="00DE2647">
        <w:rPr>
          <w:szCs w:val="24"/>
        </w:rPr>
        <w:t xml:space="preserve"> on the database? </w:t>
      </w:r>
      <w:r w:rsidR="00B941EA">
        <w:rPr>
          <w:szCs w:val="24"/>
        </w:rPr>
        <w:t xml:space="preserve">Who benefits from this access? </w:t>
      </w:r>
      <w:r w:rsidR="00883156">
        <w:rPr>
          <w:szCs w:val="24"/>
        </w:rPr>
        <w:t xml:space="preserve">How does benefit arising from research, return to community? </w:t>
      </w:r>
    </w:p>
    <w:p w14:paraId="13AD314D" w14:textId="2FAC4C1A" w:rsidR="00CD4D0C" w:rsidRPr="003375CC" w:rsidRDefault="009F73EE" w:rsidP="00AC73DF">
      <w:pPr>
        <w:rPr>
          <w:szCs w:val="24"/>
        </w:rPr>
      </w:pPr>
      <w:r>
        <w:rPr>
          <w:szCs w:val="24"/>
        </w:rPr>
        <w:t xml:space="preserve">There is a policy issue associated with recognising intellectual property right in databases: </w:t>
      </w:r>
      <w:r w:rsidR="00533845">
        <w:rPr>
          <w:szCs w:val="24"/>
        </w:rPr>
        <w:t xml:space="preserve">recognition of propriety rights must be balanced against the public’s </w:t>
      </w:r>
      <w:r w:rsidR="00857272">
        <w:rPr>
          <w:szCs w:val="24"/>
        </w:rPr>
        <w:t>need for open access to medical data</w:t>
      </w:r>
      <w:r w:rsidR="009B6411">
        <w:rPr>
          <w:szCs w:val="24"/>
        </w:rPr>
        <w:t xml:space="preserve"> needed to develop vaccines and medicine</w:t>
      </w:r>
      <w:r w:rsidR="00857272">
        <w:rPr>
          <w:szCs w:val="24"/>
        </w:rPr>
        <w:t xml:space="preserve">. </w:t>
      </w:r>
      <w:r w:rsidR="00DC4F79">
        <w:rPr>
          <w:szCs w:val="24"/>
        </w:rPr>
        <w:t>Historically, g</w:t>
      </w:r>
      <w:r w:rsidR="00347EBD" w:rsidRPr="003375CC">
        <w:rPr>
          <w:szCs w:val="24"/>
        </w:rPr>
        <w:t xml:space="preserve">enetic research has </w:t>
      </w:r>
      <w:r w:rsidR="00383EC7">
        <w:rPr>
          <w:szCs w:val="24"/>
        </w:rPr>
        <w:t xml:space="preserve">gravitated towards </w:t>
      </w:r>
      <w:r w:rsidR="00347EBD" w:rsidRPr="003375CC">
        <w:rPr>
          <w:szCs w:val="24"/>
        </w:rPr>
        <w:t>open access</w:t>
      </w:r>
      <w:r w:rsidR="00383EC7">
        <w:rPr>
          <w:szCs w:val="24"/>
        </w:rPr>
        <w:t xml:space="preserve"> and objections have been raised when </w:t>
      </w:r>
      <w:r w:rsidR="00A92B81" w:rsidRPr="003375CC">
        <w:rPr>
          <w:szCs w:val="24"/>
        </w:rPr>
        <w:t>limit</w:t>
      </w:r>
      <w:r w:rsidR="00A65046" w:rsidRPr="003375CC">
        <w:rPr>
          <w:szCs w:val="24"/>
        </w:rPr>
        <w:t xml:space="preserve">ations are placed on </w:t>
      </w:r>
      <w:r w:rsidR="00347EBD" w:rsidRPr="003375CC">
        <w:rPr>
          <w:szCs w:val="24"/>
        </w:rPr>
        <w:t>access to databases or samples</w:t>
      </w:r>
      <w:r w:rsidR="00A65046" w:rsidRPr="003375CC">
        <w:rPr>
          <w:szCs w:val="24"/>
        </w:rPr>
        <w:t xml:space="preserve"> that</w:t>
      </w:r>
      <w:r w:rsidR="00347EBD" w:rsidRPr="003375CC">
        <w:rPr>
          <w:szCs w:val="24"/>
        </w:rPr>
        <w:t xml:space="preserve"> could impact lifesaving research.</w:t>
      </w:r>
      <w:r w:rsidR="00347EBD" w:rsidRPr="003375CC">
        <w:rPr>
          <w:rStyle w:val="FootnoteReference"/>
          <w:szCs w:val="24"/>
        </w:rPr>
        <w:footnoteReference w:id="28"/>
      </w:r>
      <w:r w:rsidR="00347EBD" w:rsidRPr="003375CC">
        <w:rPr>
          <w:szCs w:val="24"/>
        </w:rPr>
        <w:t xml:space="preserve"> </w:t>
      </w:r>
    </w:p>
    <w:p w14:paraId="4537EC0A" w14:textId="7FF05237" w:rsidR="00347EBD" w:rsidRPr="008A01A8" w:rsidRDefault="00CD4D0C" w:rsidP="00AC73DF">
      <w:pPr>
        <w:rPr>
          <w:szCs w:val="24"/>
        </w:rPr>
      </w:pPr>
      <w:r w:rsidRPr="003375CC">
        <w:rPr>
          <w:szCs w:val="24"/>
        </w:rPr>
        <w:t>In the context of Aboriginal and Torres Strait Islander genomic research</w:t>
      </w:r>
      <w:r w:rsidR="00C95C49" w:rsidRPr="003375CC">
        <w:rPr>
          <w:szCs w:val="24"/>
        </w:rPr>
        <w:t xml:space="preserve">, could open access to existing databases </w:t>
      </w:r>
      <w:r w:rsidR="002F7964" w:rsidRPr="003375CC">
        <w:rPr>
          <w:szCs w:val="24"/>
        </w:rPr>
        <w:t xml:space="preserve">facilitate health outcomes, when restrictive intellectual property rights would slow innovation? Would open access to databases </w:t>
      </w:r>
      <w:r w:rsidR="00D57FC7" w:rsidRPr="003375CC">
        <w:rPr>
          <w:szCs w:val="24"/>
        </w:rPr>
        <w:t xml:space="preserve">undermine on-going ownership and control over Aboriginal and Torres Strait Islander control over samples and data? </w:t>
      </w:r>
      <w:r w:rsidR="006A2620" w:rsidRPr="003375CC">
        <w:rPr>
          <w:szCs w:val="24"/>
        </w:rPr>
        <w:t>The answer is potentially ‘yes’ to both questions</w:t>
      </w:r>
      <w:r w:rsidR="00975FCE">
        <w:rPr>
          <w:szCs w:val="24"/>
        </w:rPr>
        <w:t xml:space="preserve">. </w:t>
      </w:r>
    </w:p>
    <w:p w14:paraId="6D3DE1A3" w14:textId="77777777" w:rsidR="00D47F20" w:rsidRPr="00F67476" w:rsidRDefault="00D47F20" w:rsidP="00D47F20">
      <w:pPr>
        <w:pStyle w:val="Heading3"/>
        <w:rPr>
          <w:lang w:val="en-AU"/>
        </w:rPr>
      </w:pPr>
      <w:bookmarkStart w:id="61" w:name="_Toc118824322"/>
      <w:r w:rsidRPr="00F67476">
        <w:rPr>
          <w:lang w:val="en-AU"/>
        </w:rPr>
        <w:t>Exceptions for the use of copyright material</w:t>
      </w:r>
      <w:bookmarkEnd w:id="61"/>
    </w:p>
    <w:p w14:paraId="166408DE" w14:textId="77777777" w:rsidR="009D3B5B" w:rsidRDefault="00D47F20" w:rsidP="00D47F20">
      <w:pPr>
        <w:rPr>
          <w:szCs w:val="24"/>
        </w:rPr>
      </w:pPr>
      <w:r w:rsidRPr="00D94084">
        <w:rPr>
          <w:szCs w:val="24"/>
        </w:rPr>
        <w:t xml:space="preserve">Under the </w:t>
      </w:r>
      <w:r w:rsidRPr="00D94084">
        <w:rPr>
          <w:i/>
          <w:szCs w:val="24"/>
        </w:rPr>
        <w:t xml:space="preserve">Copyright </w:t>
      </w:r>
      <w:r w:rsidRPr="00D94084">
        <w:rPr>
          <w:szCs w:val="24"/>
        </w:rPr>
        <w:t>Act, there are exceptions that allow for the use of copyright material which otherwise would constitute copyright infringement, these are for ‘fair dealings’ and the ‘health use exception’.</w:t>
      </w:r>
      <w:r w:rsidRPr="00D94084">
        <w:rPr>
          <w:rStyle w:val="FootnoteReference"/>
          <w:szCs w:val="24"/>
        </w:rPr>
        <w:footnoteReference w:id="29"/>
      </w:r>
      <w:r w:rsidRPr="00D94084">
        <w:rPr>
          <w:szCs w:val="24"/>
        </w:rPr>
        <w:t xml:space="preserve"> </w:t>
      </w:r>
    </w:p>
    <w:p w14:paraId="323A8807" w14:textId="3BE20AED" w:rsidR="009D3B5B" w:rsidRDefault="00D47F20" w:rsidP="00D47F20">
      <w:pPr>
        <w:rPr>
          <w:szCs w:val="24"/>
        </w:rPr>
      </w:pPr>
      <w:r w:rsidRPr="00D94084">
        <w:rPr>
          <w:szCs w:val="24"/>
        </w:rPr>
        <w:t xml:space="preserve">The health use exception allows for use of copyright work in healthcare or related purposes, or permitted health or general situations authorised by the </w:t>
      </w:r>
      <w:r w:rsidRPr="00D94084">
        <w:rPr>
          <w:i/>
          <w:szCs w:val="24"/>
        </w:rPr>
        <w:t>Privacy Act 1988</w:t>
      </w:r>
      <w:r w:rsidR="00FE1C71">
        <w:rPr>
          <w:i/>
          <w:szCs w:val="24"/>
        </w:rPr>
        <w:t xml:space="preserve"> </w:t>
      </w:r>
      <w:r w:rsidR="00FE1C71">
        <w:rPr>
          <w:iCs/>
          <w:szCs w:val="24"/>
        </w:rPr>
        <w:t xml:space="preserve">(see section </w:t>
      </w:r>
      <w:r w:rsidR="00947689" w:rsidRPr="002B5F46">
        <w:rPr>
          <w:b/>
          <w:bCs/>
          <w:iCs/>
          <w:szCs w:val="24"/>
        </w:rPr>
        <w:fldChar w:fldCharType="begin"/>
      </w:r>
      <w:r w:rsidR="00947689" w:rsidRPr="002B5F46">
        <w:rPr>
          <w:b/>
          <w:bCs/>
          <w:iCs/>
          <w:szCs w:val="24"/>
        </w:rPr>
        <w:instrText xml:space="preserve"> REF _Ref39091888 \r \h </w:instrText>
      </w:r>
      <w:r w:rsidR="00947689">
        <w:rPr>
          <w:b/>
          <w:bCs/>
          <w:iCs/>
          <w:szCs w:val="24"/>
        </w:rPr>
        <w:instrText xml:space="preserve"> \* MERGEFORMAT </w:instrText>
      </w:r>
      <w:r w:rsidR="00947689" w:rsidRPr="002B5F46">
        <w:rPr>
          <w:b/>
          <w:bCs/>
          <w:iCs/>
          <w:szCs w:val="24"/>
        </w:rPr>
      </w:r>
      <w:r w:rsidR="00947689" w:rsidRPr="002B5F46">
        <w:rPr>
          <w:b/>
          <w:bCs/>
          <w:iCs/>
          <w:szCs w:val="24"/>
        </w:rPr>
        <w:fldChar w:fldCharType="separate"/>
      </w:r>
      <w:r w:rsidR="000B4085">
        <w:rPr>
          <w:b/>
          <w:bCs/>
          <w:iCs/>
          <w:szCs w:val="24"/>
        </w:rPr>
        <w:t>5.2</w:t>
      </w:r>
      <w:r w:rsidR="00947689" w:rsidRPr="002B5F46">
        <w:rPr>
          <w:b/>
          <w:bCs/>
          <w:iCs/>
          <w:szCs w:val="24"/>
        </w:rPr>
        <w:fldChar w:fldCharType="end"/>
      </w:r>
      <w:r w:rsidR="00947689">
        <w:rPr>
          <w:b/>
          <w:bCs/>
          <w:iCs/>
          <w:szCs w:val="24"/>
        </w:rPr>
        <w:t xml:space="preserve"> </w:t>
      </w:r>
      <w:r w:rsidR="00947689">
        <w:rPr>
          <w:iCs/>
          <w:szCs w:val="24"/>
        </w:rPr>
        <w:t>for more on privacy laws)</w:t>
      </w:r>
      <w:r w:rsidRPr="00D94084">
        <w:rPr>
          <w:szCs w:val="24"/>
        </w:rPr>
        <w:t>.</w:t>
      </w:r>
      <w:r w:rsidRPr="00D94084">
        <w:rPr>
          <w:rStyle w:val="FootnoteReference"/>
          <w:szCs w:val="24"/>
        </w:rPr>
        <w:footnoteReference w:id="30"/>
      </w:r>
      <w:r w:rsidRPr="00D94084">
        <w:rPr>
          <w:szCs w:val="24"/>
        </w:rPr>
        <w:t xml:space="preserve"> </w:t>
      </w:r>
    </w:p>
    <w:p w14:paraId="7A060FD9" w14:textId="72CE7720" w:rsidR="00D47F20" w:rsidRPr="00D94084" w:rsidRDefault="00D47F20" w:rsidP="00D47F20">
      <w:pPr>
        <w:rPr>
          <w:szCs w:val="24"/>
        </w:rPr>
      </w:pPr>
      <w:r w:rsidRPr="00D94084">
        <w:rPr>
          <w:szCs w:val="24"/>
        </w:rPr>
        <w:t xml:space="preserve">Fair dealing exceptions </w:t>
      </w:r>
      <w:r w:rsidR="0069626A">
        <w:rPr>
          <w:szCs w:val="24"/>
        </w:rPr>
        <w:t xml:space="preserve">exist for </w:t>
      </w:r>
      <w:r w:rsidRPr="00D94084">
        <w:rPr>
          <w:szCs w:val="24"/>
        </w:rPr>
        <w:t>research or study.</w:t>
      </w:r>
      <w:r w:rsidRPr="00D94084">
        <w:rPr>
          <w:rStyle w:val="FootnoteReference"/>
          <w:szCs w:val="24"/>
        </w:rPr>
        <w:footnoteReference w:id="31"/>
      </w:r>
      <w:r w:rsidRPr="00D94084">
        <w:rPr>
          <w:szCs w:val="24"/>
        </w:rPr>
        <w:t xml:space="preserve"> Section 40(2) of the </w:t>
      </w:r>
      <w:r w:rsidR="00835783" w:rsidRPr="00A859E8">
        <w:rPr>
          <w:i/>
          <w:szCs w:val="24"/>
        </w:rPr>
        <w:t xml:space="preserve">Copyright </w:t>
      </w:r>
      <w:r w:rsidRPr="00A859E8">
        <w:rPr>
          <w:i/>
          <w:szCs w:val="24"/>
        </w:rPr>
        <w:t>Act</w:t>
      </w:r>
      <w:r w:rsidRPr="00D94084">
        <w:rPr>
          <w:szCs w:val="24"/>
        </w:rPr>
        <w:t xml:space="preserve"> provides guidelines for determining whether the reproduction </w:t>
      </w:r>
      <w:r w:rsidR="00663D9E">
        <w:rPr>
          <w:szCs w:val="24"/>
        </w:rPr>
        <w:t>(</w:t>
      </w:r>
      <w:r w:rsidR="00A41B43">
        <w:rPr>
          <w:szCs w:val="24"/>
        </w:rPr>
        <w:t>in</w:t>
      </w:r>
      <w:r w:rsidRPr="00D94084">
        <w:rPr>
          <w:szCs w:val="24"/>
        </w:rPr>
        <w:t xml:space="preserve"> whole or part</w:t>
      </w:r>
      <w:r w:rsidR="00663D9E">
        <w:rPr>
          <w:szCs w:val="24"/>
        </w:rPr>
        <w:t>)</w:t>
      </w:r>
      <w:r w:rsidRPr="00D94084">
        <w:rPr>
          <w:szCs w:val="24"/>
        </w:rPr>
        <w:t xml:space="preserve"> </w:t>
      </w:r>
      <w:r w:rsidR="00663D9E">
        <w:rPr>
          <w:szCs w:val="24"/>
        </w:rPr>
        <w:t xml:space="preserve">is considered fair dealing for </w:t>
      </w:r>
      <w:r w:rsidRPr="00D94084">
        <w:rPr>
          <w:szCs w:val="24"/>
        </w:rPr>
        <w:t xml:space="preserve">research or study. </w:t>
      </w:r>
      <w:r w:rsidR="00242D88">
        <w:rPr>
          <w:szCs w:val="24"/>
        </w:rPr>
        <w:t xml:space="preserve">Factors considered </w:t>
      </w:r>
      <w:r w:rsidRPr="00D94084">
        <w:rPr>
          <w:szCs w:val="24"/>
        </w:rPr>
        <w:t>include:</w:t>
      </w:r>
    </w:p>
    <w:p w14:paraId="559B036C" w14:textId="77777777" w:rsidR="00D47F20" w:rsidRPr="002B5F46" w:rsidRDefault="00D47F20" w:rsidP="000B0D12">
      <w:pPr>
        <w:pStyle w:val="ListBullet"/>
      </w:pPr>
      <w:r w:rsidRPr="002B5F46">
        <w:t>the purpose and character of the dealing;</w:t>
      </w:r>
    </w:p>
    <w:p w14:paraId="36DF2F5C" w14:textId="77777777" w:rsidR="00D47F20" w:rsidRPr="002B5F46" w:rsidRDefault="00D47F20" w:rsidP="000B0D12">
      <w:pPr>
        <w:pStyle w:val="ListBullet"/>
      </w:pPr>
      <w:r w:rsidRPr="002B5F46">
        <w:t>the nature of the work or adaptation;</w:t>
      </w:r>
    </w:p>
    <w:p w14:paraId="2B28B031" w14:textId="77777777" w:rsidR="00D47F20" w:rsidRPr="002B5F46" w:rsidRDefault="00D47F20" w:rsidP="000B0D12">
      <w:pPr>
        <w:pStyle w:val="ListBullet"/>
      </w:pPr>
      <w:r w:rsidRPr="002B5F46">
        <w:lastRenderedPageBreak/>
        <w:t>the possibility of obtaining the work or adaptation within a reasonable time at an ordinary commercial price;</w:t>
      </w:r>
    </w:p>
    <w:p w14:paraId="52FC247C" w14:textId="77777777" w:rsidR="00D47F20" w:rsidRPr="002B5F46" w:rsidRDefault="00D47F20" w:rsidP="000B0D12">
      <w:pPr>
        <w:pStyle w:val="ListBullet"/>
      </w:pPr>
      <w:r w:rsidRPr="002B5F46">
        <w:t>the effect of the dealing upon the potential market for, or value of, the work or adaptation; and</w:t>
      </w:r>
    </w:p>
    <w:p w14:paraId="2E109D56" w14:textId="77777777" w:rsidR="00D47F20" w:rsidRPr="002B5F46" w:rsidRDefault="00D47F20" w:rsidP="000B0D12">
      <w:pPr>
        <w:pStyle w:val="ListBullet"/>
      </w:pPr>
      <w:r w:rsidRPr="002B5F46">
        <w:t>in a case where part only of the work or adaptation is reproduced—the amount and substantiality of the part copied taken in relation to the whole work or adaptation.</w:t>
      </w:r>
      <w:r w:rsidRPr="002B5F46">
        <w:rPr>
          <w:rStyle w:val="FootnoteReference"/>
          <w:rFonts w:eastAsiaTheme="majorEastAsia" w:cs="Arial"/>
          <w:color w:val="000000"/>
        </w:rPr>
        <w:footnoteReference w:id="32"/>
      </w:r>
    </w:p>
    <w:p w14:paraId="4E70C27C" w14:textId="2E079318" w:rsidR="00D47F20" w:rsidRPr="008A01A8" w:rsidRDefault="00D47F20" w:rsidP="00D47F20">
      <w:pPr>
        <w:rPr>
          <w:szCs w:val="24"/>
        </w:rPr>
      </w:pPr>
      <w:r w:rsidRPr="00D94084">
        <w:rPr>
          <w:szCs w:val="24"/>
        </w:rPr>
        <w:t xml:space="preserve">Fair </w:t>
      </w:r>
      <w:r>
        <w:rPr>
          <w:szCs w:val="24"/>
        </w:rPr>
        <w:t>dealing</w:t>
      </w:r>
      <w:r w:rsidRPr="00D94084">
        <w:rPr>
          <w:szCs w:val="24"/>
        </w:rPr>
        <w:t xml:space="preserve"> exceptions can therefore raise</w:t>
      </w:r>
      <w:r w:rsidR="00CE5845">
        <w:rPr>
          <w:szCs w:val="24"/>
        </w:rPr>
        <w:t xml:space="preserve"> significant</w:t>
      </w:r>
      <w:r w:rsidRPr="00D94084">
        <w:rPr>
          <w:szCs w:val="24"/>
        </w:rPr>
        <w:t xml:space="preserve"> issues </w:t>
      </w:r>
      <w:r w:rsidR="00CE5845">
        <w:rPr>
          <w:szCs w:val="24"/>
        </w:rPr>
        <w:t xml:space="preserve">in relation to control of </w:t>
      </w:r>
      <w:r w:rsidR="0001385A">
        <w:rPr>
          <w:szCs w:val="24"/>
        </w:rPr>
        <w:t xml:space="preserve">Aboriginal and Torres Strait Islander </w:t>
      </w:r>
      <w:r w:rsidRPr="00D94084">
        <w:rPr>
          <w:szCs w:val="24"/>
        </w:rPr>
        <w:t>genomic information</w:t>
      </w:r>
      <w:r w:rsidR="00CE5845">
        <w:rPr>
          <w:szCs w:val="24"/>
        </w:rPr>
        <w:t xml:space="preserve">. </w:t>
      </w:r>
      <w:r w:rsidR="001D6EAB">
        <w:rPr>
          <w:szCs w:val="24"/>
        </w:rPr>
        <w:t>Once</w:t>
      </w:r>
      <w:r w:rsidRPr="00D94084">
        <w:rPr>
          <w:szCs w:val="24"/>
        </w:rPr>
        <w:t xml:space="preserve"> copyright material </w:t>
      </w:r>
      <w:r w:rsidR="001D6EAB">
        <w:rPr>
          <w:szCs w:val="24"/>
        </w:rPr>
        <w:t xml:space="preserve">(containing genomic information) </w:t>
      </w:r>
      <w:r w:rsidRPr="00D94084">
        <w:rPr>
          <w:szCs w:val="24"/>
        </w:rPr>
        <w:t xml:space="preserve">is published, it becomes subject to the fair </w:t>
      </w:r>
      <w:r>
        <w:rPr>
          <w:szCs w:val="24"/>
        </w:rPr>
        <w:t>dealing</w:t>
      </w:r>
      <w:r w:rsidRPr="00D94084">
        <w:rPr>
          <w:szCs w:val="24"/>
        </w:rPr>
        <w:t xml:space="preserve"> exception</w:t>
      </w:r>
      <w:r w:rsidR="001D6EAB">
        <w:rPr>
          <w:szCs w:val="24"/>
        </w:rPr>
        <w:t xml:space="preserve">. </w:t>
      </w:r>
      <w:r w:rsidR="00B52635">
        <w:rPr>
          <w:szCs w:val="24"/>
        </w:rPr>
        <w:t>This diminishes community and custodian control over that information</w:t>
      </w:r>
      <w:r w:rsidRPr="00D94084">
        <w:rPr>
          <w:szCs w:val="24"/>
        </w:rPr>
        <w:t>.</w:t>
      </w:r>
      <w:r w:rsidRPr="00D94084">
        <w:rPr>
          <w:rStyle w:val="FootnoteReference"/>
          <w:szCs w:val="24"/>
        </w:rPr>
        <w:footnoteReference w:id="33"/>
      </w:r>
      <w:r w:rsidRPr="00D94084">
        <w:rPr>
          <w:szCs w:val="24"/>
        </w:rPr>
        <w:t xml:space="preserve"> </w:t>
      </w:r>
    </w:p>
    <w:p w14:paraId="0D6705AA" w14:textId="77777777" w:rsidR="00347EBD" w:rsidRPr="00F67476" w:rsidRDefault="00347EBD" w:rsidP="002B5F46">
      <w:pPr>
        <w:pStyle w:val="Heading3"/>
      </w:pPr>
      <w:bookmarkStart w:id="62" w:name="_Toc118824323"/>
      <w:r w:rsidRPr="00F67476">
        <w:rPr>
          <w:lang w:val="en-AU"/>
        </w:rPr>
        <w:t>Summary</w:t>
      </w:r>
      <w:bookmarkEnd w:id="62"/>
    </w:p>
    <w:p w14:paraId="154D8D0B" w14:textId="417F5174" w:rsidR="00A67044" w:rsidRPr="003375CC" w:rsidRDefault="009A2F36" w:rsidP="00AC73DF">
      <w:pPr>
        <w:rPr>
          <w:szCs w:val="24"/>
        </w:rPr>
      </w:pPr>
      <w:r w:rsidRPr="003375CC">
        <w:rPr>
          <w:szCs w:val="24"/>
        </w:rPr>
        <w:t>C</w:t>
      </w:r>
      <w:r w:rsidR="00347EBD" w:rsidRPr="003375CC">
        <w:rPr>
          <w:szCs w:val="24"/>
        </w:rPr>
        <w:t>opyright law gives exclusive rights to the creators of original work and the makers of other subject matter</w:t>
      </w:r>
      <w:r w:rsidR="002810CF" w:rsidRPr="003375CC">
        <w:rPr>
          <w:szCs w:val="24"/>
        </w:rPr>
        <w:t>. Databases (including</w:t>
      </w:r>
      <w:r w:rsidR="003F599D" w:rsidRPr="003375CC">
        <w:rPr>
          <w:szCs w:val="24"/>
        </w:rPr>
        <w:t xml:space="preserve"> those kept by biobanks etc) may be subject to copyright protection. However, the owners of that copyright will most likely be the </w:t>
      </w:r>
      <w:r w:rsidR="003D7059" w:rsidRPr="003375CC">
        <w:rPr>
          <w:szCs w:val="24"/>
        </w:rPr>
        <w:t xml:space="preserve">research institution who created the database. </w:t>
      </w:r>
      <w:r w:rsidR="00DC5D8A" w:rsidRPr="003375CC">
        <w:rPr>
          <w:szCs w:val="24"/>
        </w:rPr>
        <w:t xml:space="preserve">Genomic study, including the study of Aboriginal and Torres Strait Islander genomics, requires the collation of masses amount of data, and databases are </w:t>
      </w:r>
      <w:r w:rsidR="00C51DEA" w:rsidRPr="003375CC">
        <w:rPr>
          <w:szCs w:val="24"/>
        </w:rPr>
        <w:t>pivotal</w:t>
      </w:r>
      <w:r w:rsidR="00DC5D8A" w:rsidRPr="003375CC">
        <w:rPr>
          <w:szCs w:val="24"/>
        </w:rPr>
        <w:t xml:space="preserve"> in the management of that data. </w:t>
      </w:r>
      <w:r w:rsidR="008211C3" w:rsidRPr="003375CC">
        <w:rPr>
          <w:szCs w:val="24"/>
        </w:rPr>
        <w:t>It is clear then, that c</w:t>
      </w:r>
      <w:r w:rsidR="00DC5D8A" w:rsidRPr="003375CC">
        <w:rPr>
          <w:szCs w:val="24"/>
        </w:rPr>
        <w:t xml:space="preserve">ontrol over access and use of </w:t>
      </w:r>
      <w:r w:rsidR="008211C3" w:rsidRPr="003375CC">
        <w:rPr>
          <w:szCs w:val="24"/>
        </w:rPr>
        <w:t xml:space="preserve">genomics </w:t>
      </w:r>
      <w:r w:rsidR="00DC5D8A" w:rsidRPr="003375CC">
        <w:rPr>
          <w:szCs w:val="24"/>
        </w:rPr>
        <w:t>databases</w:t>
      </w:r>
      <w:r w:rsidR="00F74C45" w:rsidRPr="003375CC">
        <w:rPr>
          <w:szCs w:val="24"/>
        </w:rPr>
        <w:t xml:space="preserve"> </w:t>
      </w:r>
      <w:r w:rsidR="00AB3660" w:rsidRPr="003375CC">
        <w:rPr>
          <w:szCs w:val="24"/>
        </w:rPr>
        <w:t xml:space="preserve">engages issues of consent, privacy, </w:t>
      </w:r>
      <w:r w:rsidR="00C0657F" w:rsidRPr="003375CC">
        <w:rPr>
          <w:szCs w:val="24"/>
        </w:rPr>
        <w:t>consultation, and economic exploitation</w:t>
      </w:r>
      <w:r w:rsidR="0068354F" w:rsidRPr="003375CC">
        <w:rPr>
          <w:szCs w:val="24"/>
        </w:rPr>
        <w:t>.</w:t>
      </w:r>
    </w:p>
    <w:p w14:paraId="77F60498" w14:textId="2A3AF75E" w:rsidR="00E628D1" w:rsidRPr="003375CC" w:rsidRDefault="007E4361" w:rsidP="00AC73DF">
      <w:pPr>
        <w:rPr>
          <w:szCs w:val="24"/>
        </w:rPr>
      </w:pPr>
      <w:r w:rsidRPr="003375CC">
        <w:rPr>
          <w:szCs w:val="24"/>
        </w:rPr>
        <w:t>Data sovereignty and questions around copyright ownership and control over databases need to be discussed at the earliest stages of consultation and planning to ensure that donors and community know what they are consenting to and can make informed decisions</w:t>
      </w:r>
      <w:r w:rsidR="00380D4F" w:rsidRPr="003375CC">
        <w:rPr>
          <w:szCs w:val="24"/>
        </w:rPr>
        <w:t xml:space="preserve"> about whether to participate.</w:t>
      </w:r>
      <w:r w:rsidRPr="003375CC">
        <w:rPr>
          <w:szCs w:val="24"/>
        </w:rPr>
        <w:t xml:space="preserve"> </w:t>
      </w:r>
    </w:p>
    <w:p w14:paraId="0975C200" w14:textId="6D380439" w:rsidR="004A566D" w:rsidRPr="00F67476" w:rsidRDefault="000520B6" w:rsidP="002B5F46">
      <w:pPr>
        <w:pStyle w:val="Heading2"/>
        <w:rPr>
          <w:lang w:val="en-AU"/>
        </w:rPr>
      </w:pPr>
      <w:bookmarkStart w:id="63" w:name="_Ref39091888"/>
      <w:bookmarkStart w:id="64" w:name="_Toc118824324"/>
      <w:r w:rsidRPr="00F67476">
        <w:rPr>
          <w:lang w:val="en-AU"/>
        </w:rPr>
        <w:t xml:space="preserve">Privacy </w:t>
      </w:r>
      <w:r w:rsidR="00C65996" w:rsidRPr="00F67476">
        <w:rPr>
          <w:lang w:val="en-AU"/>
        </w:rPr>
        <w:t>and Personal Information</w:t>
      </w:r>
      <w:bookmarkEnd w:id="63"/>
      <w:bookmarkEnd w:id="64"/>
      <w:r w:rsidR="00C65996" w:rsidRPr="00F67476">
        <w:rPr>
          <w:lang w:val="en-AU"/>
        </w:rPr>
        <w:t xml:space="preserve"> </w:t>
      </w:r>
    </w:p>
    <w:p w14:paraId="05A0301A" w14:textId="73A2C8B2" w:rsidR="004A566D" w:rsidRPr="00F67476" w:rsidRDefault="004A566D" w:rsidP="002B5F46">
      <w:pPr>
        <w:pStyle w:val="Heading3"/>
      </w:pPr>
      <w:bookmarkStart w:id="65" w:name="_Ref44249981"/>
      <w:bookmarkStart w:id="66" w:name="_Toc118824325"/>
      <w:r w:rsidRPr="00F67476">
        <w:rPr>
          <w:lang w:val="en-AU"/>
        </w:rPr>
        <w:t xml:space="preserve">Australian Privacy Law and </w:t>
      </w:r>
      <w:r w:rsidR="00DB6780">
        <w:rPr>
          <w:lang w:val="en-AU"/>
        </w:rPr>
        <w:t xml:space="preserve">Aboriginal and Torres Strait Islander </w:t>
      </w:r>
      <w:r w:rsidRPr="00F67476">
        <w:rPr>
          <w:lang w:val="en-AU"/>
        </w:rPr>
        <w:t>Health Related Information</w:t>
      </w:r>
      <w:bookmarkEnd w:id="65"/>
      <w:bookmarkEnd w:id="66"/>
      <w:r w:rsidRPr="00F67476">
        <w:rPr>
          <w:lang w:val="en-AU"/>
        </w:rPr>
        <w:t xml:space="preserve"> </w:t>
      </w:r>
    </w:p>
    <w:p w14:paraId="6CDCF0F8" w14:textId="2AE80043" w:rsidR="000D399C" w:rsidRDefault="004A566D" w:rsidP="00AC73DF">
      <w:r w:rsidRPr="003375CC">
        <w:t xml:space="preserve">In Australia, the privacy rights of individuals in relation to the use, disclosure and collection of health information is regulated by a mix of state and federal legislation, common law, ethical guidelines and codes of practice. Whilst attempts have been made to come to a nationally consistent system of health privacy principles, there is yet to be a cohesive agreement between states and the </w:t>
      </w:r>
      <w:r w:rsidR="007A5283">
        <w:t>C</w:t>
      </w:r>
      <w:r w:rsidR="007A5283" w:rsidRPr="003375CC">
        <w:t xml:space="preserve">ommonwealth </w:t>
      </w:r>
      <w:r w:rsidRPr="003375CC">
        <w:t xml:space="preserve">on how this looks in practice. At a national level, the </w:t>
      </w:r>
      <w:r w:rsidRPr="002B5F46">
        <w:rPr>
          <w:i/>
          <w:iCs/>
        </w:rPr>
        <w:t xml:space="preserve">Privacy Act </w:t>
      </w:r>
      <w:r w:rsidR="00697AD8" w:rsidRPr="002B5F46">
        <w:rPr>
          <w:i/>
          <w:iCs/>
        </w:rPr>
        <w:t>19</w:t>
      </w:r>
      <w:r w:rsidR="00697AD8">
        <w:rPr>
          <w:i/>
          <w:iCs/>
        </w:rPr>
        <w:t>8</w:t>
      </w:r>
      <w:r w:rsidR="00697AD8" w:rsidRPr="002B5F46">
        <w:rPr>
          <w:i/>
          <w:iCs/>
        </w:rPr>
        <w:t xml:space="preserve">8 </w:t>
      </w:r>
      <w:r w:rsidRPr="002B5F46">
        <w:rPr>
          <w:i/>
          <w:iCs/>
        </w:rPr>
        <w:t>(Cth)</w:t>
      </w:r>
      <w:r w:rsidRPr="003375CC">
        <w:t xml:space="preserve"> (</w:t>
      </w:r>
      <w:r w:rsidRPr="00A859E8">
        <w:rPr>
          <w:i/>
        </w:rPr>
        <w:t>Privacy Act</w:t>
      </w:r>
      <w:r w:rsidRPr="003375CC">
        <w:t xml:space="preserve">) and the </w:t>
      </w:r>
      <w:r w:rsidRPr="00A859E8">
        <w:rPr>
          <w:i/>
        </w:rPr>
        <w:t>Australian Privacy Principles</w:t>
      </w:r>
      <w:r w:rsidRPr="003375CC">
        <w:t xml:space="preserve"> (</w:t>
      </w:r>
      <w:r w:rsidRPr="00A859E8">
        <w:rPr>
          <w:b/>
        </w:rPr>
        <w:t>APP</w:t>
      </w:r>
      <w:r w:rsidRPr="003375CC">
        <w:t>) sit at the centre and regulate the control of personal information by all private health service providers and the federal public sector</w:t>
      </w:r>
      <w:r w:rsidR="001527F8">
        <w:t xml:space="preserve">. States also have their own </w:t>
      </w:r>
      <w:r w:rsidRPr="003375CC">
        <w:t>legislation that provides another layer of compliance for their own public health systems.</w:t>
      </w:r>
      <w:r w:rsidR="00434EE3">
        <w:t xml:space="preserve"> See </w:t>
      </w:r>
      <w:r w:rsidR="00084302" w:rsidRPr="002B5F46">
        <w:rPr>
          <w:b/>
          <w:bCs/>
        </w:rPr>
        <w:fldChar w:fldCharType="begin"/>
      </w:r>
      <w:r w:rsidR="00084302" w:rsidRPr="002B5F46">
        <w:rPr>
          <w:b/>
          <w:bCs/>
        </w:rPr>
        <w:instrText xml:space="preserve"> REF _Ref44266911 \h </w:instrText>
      </w:r>
      <w:r w:rsidR="00084302">
        <w:rPr>
          <w:b/>
          <w:bCs/>
        </w:rPr>
        <w:instrText xml:space="preserve"> \* MERGEFORMAT </w:instrText>
      </w:r>
      <w:r w:rsidR="00084302" w:rsidRPr="002B5F46">
        <w:rPr>
          <w:b/>
          <w:bCs/>
        </w:rPr>
      </w:r>
      <w:r w:rsidR="00084302" w:rsidRPr="002B5F46">
        <w:rPr>
          <w:b/>
          <w:bCs/>
        </w:rPr>
        <w:fldChar w:fldCharType="separate"/>
      </w:r>
      <w:r w:rsidR="000B4085" w:rsidRPr="000B4085">
        <w:rPr>
          <w:b/>
          <w:bCs/>
        </w:rPr>
        <w:t xml:space="preserve">Figure </w:t>
      </w:r>
      <w:r w:rsidR="000B4085" w:rsidRPr="000B4085">
        <w:rPr>
          <w:b/>
          <w:bCs/>
          <w:noProof/>
        </w:rPr>
        <w:t>4</w:t>
      </w:r>
      <w:r w:rsidR="00084302" w:rsidRPr="002B5F46">
        <w:rPr>
          <w:b/>
          <w:bCs/>
        </w:rPr>
        <w:fldChar w:fldCharType="end"/>
      </w:r>
      <w:r w:rsidR="00084302">
        <w:t xml:space="preserve"> </w:t>
      </w:r>
      <w:r w:rsidR="00434EE3">
        <w:t xml:space="preserve">for a summary of national and state health legislation. </w:t>
      </w:r>
      <w:r w:rsidRPr="003375CC">
        <w:t xml:space="preserve"> </w:t>
      </w:r>
    </w:p>
    <w:p w14:paraId="579967CC" w14:textId="259E54DE" w:rsidR="00434EE3" w:rsidRDefault="00E515E0" w:rsidP="002B5F46">
      <w:pPr>
        <w:keepNext/>
        <w:jc w:val="center"/>
      </w:pPr>
      <w:r>
        <w:rPr>
          <w:noProof/>
        </w:rPr>
        <w:lastRenderedPageBreak/>
        <w:drawing>
          <wp:inline distT="0" distB="0" distL="0" distR="0" wp14:anchorId="462A95E6" wp14:editId="45B0C652">
            <wp:extent cx="3791203" cy="3694176"/>
            <wp:effectExtent l="0" t="0" r="0" b="1905"/>
            <wp:docPr id="30" name="Picture 30" descr="Figure 4: Summary of Australian Privacy Laws&#10;&#10;The Privacy Act 1988 (Cth)&#10;Privacy and personal Information Protection Act 1998 (NSW)&#10;Health Records and Information Privacy Act 2002 (NSW)&#10;Information Privacy Act (ACT) 2014&#10;Privacy and Data Protection Act 2014 (VIC)&#10;Health Records Act 2001 (VIC)&#10;Information Act 2002 (NT)&#10;Information Privacy Act 2009 (QLD)&#10;Personal Information and Protection Act 2004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4: Summary of Australian Privacy Laws&#10;&#10;The Privacy Act 1988 (Cth)&#10;Privacy and personal Information Protection Act 1998 (NSW)&#10;Health Records and Information Privacy Act 2002 (NSW)&#10;Information Privacy Act (ACT) 2014&#10;Privacy and Data Protection Act 2014 (VIC)&#10;Health Records Act 2001 (VIC)&#10;Information Act 2002 (NT)&#10;Information Privacy Act 2009 (QLD)&#10;Personal Information and Protection Act 2004 (TAS)"/>
                    <pic:cNvPicPr/>
                  </pic:nvPicPr>
                  <pic:blipFill>
                    <a:blip r:embed="rId22"/>
                    <a:stretch>
                      <a:fillRect/>
                    </a:stretch>
                  </pic:blipFill>
                  <pic:spPr>
                    <a:xfrm>
                      <a:off x="0" y="0"/>
                      <a:ext cx="3799056" cy="3701828"/>
                    </a:xfrm>
                    <a:prstGeom prst="rect">
                      <a:avLst/>
                    </a:prstGeom>
                  </pic:spPr>
                </pic:pic>
              </a:graphicData>
            </a:graphic>
          </wp:inline>
        </w:drawing>
      </w:r>
    </w:p>
    <w:p w14:paraId="69403B41" w14:textId="34524779" w:rsidR="009F7700" w:rsidRPr="00137AAB" w:rsidRDefault="00434EE3" w:rsidP="00137AAB">
      <w:pPr>
        <w:pStyle w:val="Caption"/>
      </w:pPr>
      <w:bookmarkStart w:id="67" w:name="_Ref44266911"/>
      <w:bookmarkStart w:id="68" w:name="_Toc45145516"/>
      <w:r>
        <w:t xml:space="preserve">Figure </w:t>
      </w:r>
      <w:r w:rsidR="003C7152">
        <w:fldChar w:fldCharType="begin"/>
      </w:r>
      <w:r w:rsidR="003C7152">
        <w:instrText xml:space="preserve"> SEQ Figure \* ARABIC </w:instrText>
      </w:r>
      <w:r w:rsidR="003C7152">
        <w:fldChar w:fldCharType="separate"/>
      </w:r>
      <w:r w:rsidR="000B4085">
        <w:rPr>
          <w:noProof/>
        </w:rPr>
        <w:t>4</w:t>
      </w:r>
      <w:r w:rsidR="003C7152">
        <w:rPr>
          <w:noProof/>
        </w:rPr>
        <w:fldChar w:fldCharType="end"/>
      </w:r>
      <w:bookmarkEnd w:id="67"/>
      <w:r>
        <w:t xml:space="preserve">: </w:t>
      </w:r>
      <w:r w:rsidRPr="002B5F46">
        <w:rPr>
          <w:bCs/>
        </w:rPr>
        <w:t>Summary of Australian Privacy laws</w:t>
      </w:r>
      <w:bookmarkEnd w:id="68"/>
    </w:p>
    <w:p w14:paraId="31A0B120" w14:textId="6C187193" w:rsidR="00EF0942" w:rsidRPr="002B5F46" w:rsidRDefault="00434EE3" w:rsidP="00434EE3">
      <w:pPr>
        <w:rPr>
          <w:rFonts w:cs="Arial"/>
          <w:shd w:val="clear" w:color="auto" w:fill="FFFFFF"/>
        </w:rPr>
      </w:pPr>
      <w:r w:rsidRPr="003375CC">
        <w:t xml:space="preserve">The </w:t>
      </w:r>
      <w:r w:rsidRPr="00A701BC">
        <w:rPr>
          <w:i/>
          <w:iCs/>
        </w:rPr>
        <w:t>Privacy Act</w:t>
      </w:r>
      <w:r w:rsidRPr="003375CC">
        <w:t xml:space="preserve"> empowers the individual to consent to the collection, use or disclosure of their health</w:t>
      </w:r>
      <w:r w:rsidRPr="00CA1C32">
        <w:rPr>
          <w:rFonts w:cs="Arial"/>
          <w:shd w:val="clear" w:color="auto" w:fill="FFFFFF"/>
        </w:rPr>
        <w:t xml:space="preserve"> </w:t>
      </w:r>
      <w:r w:rsidRPr="003375CC">
        <w:t>information</w:t>
      </w:r>
      <w:r w:rsidR="00133522">
        <w:t xml:space="preserve">. However, there are also situations in which information can be </w:t>
      </w:r>
      <w:r w:rsidR="00E84032">
        <w:t xml:space="preserve">used or disclosed without the individual’s consent. These are referred to as </w:t>
      </w:r>
      <w:r w:rsidRPr="003375CC">
        <w:t>‘permitted health situations</w:t>
      </w:r>
      <w:r w:rsidR="00F46951">
        <w:t>’</w:t>
      </w:r>
      <w:r w:rsidRPr="00CA1C32">
        <w:rPr>
          <w:rFonts w:cs="Arial"/>
          <w:shd w:val="clear" w:color="auto" w:fill="FFFFFF"/>
        </w:rPr>
        <w:t>.</w:t>
      </w:r>
      <w:r w:rsidRPr="00CA1C32">
        <w:rPr>
          <w:rStyle w:val="FootnoteReference"/>
          <w:rFonts w:cs="Arial"/>
          <w:shd w:val="clear" w:color="auto" w:fill="FFFFFF"/>
        </w:rPr>
        <w:footnoteReference w:id="34"/>
      </w:r>
      <w:r w:rsidRPr="00CA1C32">
        <w:rPr>
          <w:rFonts w:cs="Arial"/>
          <w:shd w:val="clear" w:color="auto" w:fill="FFFFFF"/>
        </w:rPr>
        <w:t xml:space="preserve"> </w:t>
      </w:r>
      <w:r>
        <w:rPr>
          <w:rFonts w:cs="Arial"/>
          <w:shd w:val="clear" w:color="auto" w:fill="FFFFFF"/>
        </w:rPr>
        <w:t xml:space="preserve"> </w:t>
      </w:r>
    </w:p>
    <w:p w14:paraId="65D1CDD6" w14:textId="77777777" w:rsidR="004A566D" w:rsidRPr="00F67476" w:rsidRDefault="004A566D" w:rsidP="002B5F46">
      <w:pPr>
        <w:pStyle w:val="Heading3"/>
      </w:pPr>
      <w:bookmarkStart w:id="69" w:name="_Toc118824326"/>
      <w:r w:rsidRPr="00F67476">
        <w:rPr>
          <w:lang w:val="en-AU"/>
        </w:rPr>
        <w:t>Where does genomic information fit in the Privacy framework?</w:t>
      </w:r>
      <w:bookmarkEnd w:id="69"/>
    </w:p>
    <w:p w14:paraId="1E1D6A6C" w14:textId="2F94FF3C" w:rsidR="00FB7003" w:rsidRDefault="004A566D" w:rsidP="00AC73DF">
      <w:r w:rsidRPr="003375CC">
        <w:t xml:space="preserve">Genomic information filters into the </w:t>
      </w:r>
      <w:r w:rsidRPr="00A701BC">
        <w:rPr>
          <w:i/>
          <w:iCs/>
        </w:rPr>
        <w:t>Privacy Act</w:t>
      </w:r>
      <w:r w:rsidRPr="003375CC">
        <w:t xml:space="preserve"> through the broad definition of ‘personal information’. </w:t>
      </w:r>
      <w:r w:rsidR="00F0787F">
        <w:t xml:space="preserve">Section 6(1) of the </w:t>
      </w:r>
      <w:r w:rsidR="00F0787F" w:rsidRPr="0092317F">
        <w:rPr>
          <w:i/>
        </w:rPr>
        <w:t>Privacy Act</w:t>
      </w:r>
      <w:r w:rsidR="00F0787F">
        <w:t xml:space="preserve"> defines personal information</w:t>
      </w:r>
      <w:r w:rsidR="00F0787F" w:rsidRPr="00CA1C32">
        <w:rPr>
          <w:rStyle w:val="FootnoteReference"/>
          <w:rFonts w:cs="Arial"/>
          <w:shd w:val="clear" w:color="auto" w:fill="FFFFFF"/>
        </w:rPr>
        <w:footnoteReference w:id="35"/>
      </w:r>
      <w:r w:rsidR="00F0787F">
        <w:t>:</w:t>
      </w:r>
      <w:r w:rsidR="00F0787F" w:rsidRPr="00F0787F">
        <w:rPr>
          <w:rStyle w:val="FootnoteReference"/>
          <w:rFonts w:cs="Arial"/>
          <w:shd w:val="clear" w:color="auto" w:fill="FFFFFF"/>
        </w:rPr>
        <w:t xml:space="preserve"> </w:t>
      </w:r>
    </w:p>
    <w:p w14:paraId="338069C7" w14:textId="0B47AC40" w:rsidR="00FB7003" w:rsidRDefault="00F63A37" w:rsidP="002B5F46">
      <w:pPr>
        <w:jc w:val="center"/>
      </w:pPr>
      <w:r>
        <w:rPr>
          <w:noProof/>
        </w:rPr>
        <w:drawing>
          <wp:inline distT="0" distB="0" distL="0" distR="0" wp14:anchorId="134CFA4B" wp14:editId="09420D2D">
            <wp:extent cx="4286250" cy="1628775"/>
            <wp:effectExtent l="0" t="0" r="0" b="9525"/>
            <wp:docPr id="5" name="Picture 5" descr="Personal Information means information, or an opinion, about an identified individual, or an individual who is reasonably identifiable.&#10;Information may still be personal information whether the information/opinion is true or not, and whether the information is recorded in material form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rsonal Information means information, or an opinion, about an identified individual, or an individual who is reasonably identifiable.&#10;Information may still be personal information whether the information/opinion is true or not, and whether the information is recorded in material form or not."/>
                    <pic:cNvPicPr/>
                  </pic:nvPicPr>
                  <pic:blipFill>
                    <a:blip r:embed="rId23"/>
                    <a:stretch>
                      <a:fillRect/>
                    </a:stretch>
                  </pic:blipFill>
                  <pic:spPr>
                    <a:xfrm>
                      <a:off x="0" y="0"/>
                      <a:ext cx="4286250" cy="1628775"/>
                    </a:xfrm>
                    <a:prstGeom prst="rect">
                      <a:avLst/>
                    </a:prstGeom>
                  </pic:spPr>
                </pic:pic>
              </a:graphicData>
            </a:graphic>
          </wp:inline>
        </w:drawing>
      </w:r>
    </w:p>
    <w:p w14:paraId="6BA0A59F" w14:textId="57E9ED49" w:rsidR="00091ECE" w:rsidRDefault="008A7EB4" w:rsidP="00AC73DF">
      <w:pPr>
        <w:rPr>
          <w:rFonts w:cs="Arial"/>
          <w:shd w:val="clear" w:color="auto" w:fill="FFFFFF"/>
        </w:rPr>
      </w:pPr>
      <w:r w:rsidRPr="002B5F46">
        <w:rPr>
          <w:rFonts w:cs="Arial"/>
          <w:i/>
          <w:iCs/>
          <w:shd w:val="clear" w:color="auto" w:fill="FFFFFF"/>
        </w:rPr>
        <w:lastRenderedPageBreak/>
        <w:t>Sensitive information</w:t>
      </w:r>
      <w:r>
        <w:rPr>
          <w:rFonts w:cs="Arial"/>
          <w:shd w:val="clear" w:color="auto" w:fill="FFFFFF"/>
        </w:rPr>
        <w:t xml:space="preserve"> is a sub-category of </w:t>
      </w:r>
      <w:r w:rsidRPr="002B5F46">
        <w:rPr>
          <w:rFonts w:cs="Arial"/>
          <w:i/>
          <w:iCs/>
          <w:shd w:val="clear" w:color="auto" w:fill="FFFFFF"/>
        </w:rPr>
        <w:t>Personal Information</w:t>
      </w:r>
      <w:r>
        <w:rPr>
          <w:rFonts w:cs="Arial"/>
          <w:shd w:val="clear" w:color="auto" w:fill="FFFFFF"/>
        </w:rPr>
        <w:t>.</w:t>
      </w:r>
      <w:r w:rsidR="00091ECE">
        <w:rPr>
          <w:rFonts w:cs="Arial"/>
          <w:shd w:val="clear" w:color="auto" w:fill="FFFFFF"/>
        </w:rPr>
        <w:t xml:space="preserve"> Sensitive information includes: </w:t>
      </w:r>
    </w:p>
    <w:p w14:paraId="374F5641" w14:textId="191D8BDD" w:rsidR="007635B9" w:rsidRDefault="00091ECE" w:rsidP="00137AAB">
      <w:pPr>
        <w:pStyle w:val="ListBullet"/>
        <w:rPr>
          <w:shd w:val="clear" w:color="auto" w:fill="FFFFFF"/>
        </w:rPr>
      </w:pPr>
      <w:r w:rsidRPr="002B5F46">
        <w:rPr>
          <w:b/>
          <w:bCs/>
          <w:shd w:val="clear" w:color="auto" w:fill="FFFFFF"/>
        </w:rPr>
        <w:t>Health information</w:t>
      </w:r>
      <w:r w:rsidR="007635B9">
        <w:rPr>
          <w:shd w:val="clear" w:color="auto" w:fill="FFFFFF"/>
        </w:rPr>
        <w:t xml:space="preserve">: </w:t>
      </w:r>
      <w:r w:rsidR="00383BC4">
        <w:rPr>
          <w:shd w:val="clear" w:color="auto" w:fill="FFFFFF"/>
        </w:rPr>
        <w:t>information or opinion about</w:t>
      </w:r>
      <w:r w:rsidR="007635B9">
        <w:rPr>
          <w:shd w:val="clear" w:color="auto" w:fill="FFFFFF"/>
        </w:rPr>
        <w:t>:</w:t>
      </w:r>
    </w:p>
    <w:p w14:paraId="2106B9D8" w14:textId="77777777" w:rsidR="00613881" w:rsidRDefault="00383BC4" w:rsidP="00137AAB">
      <w:pPr>
        <w:pStyle w:val="ListBullet2"/>
        <w:rPr>
          <w:shd w:val="clear" w:color="auto" w:fill="FFFFFF"/>
        </w:rPr>
      </w:pPr>
      <w:r>
        <w:rPr>
          <w:shd w:val="clear" w:color="auto" w:fill="FFFFFF"/>
        </w:rPr>
        <w:t>the health</w:t>
      </w:r>
      <w:r w:rsidR="005A135D">
        <w:rPr>
          <w:shd w:val="clear" w:color="auto" w:fill="FFFFFF"/>
        </w:rPr>
        <w:t xml:space="preserve"> </w:t>
      </w:r>
      <w:r w:rsidR="006843C2">
        <w:rPr>
          <w:shd w:val="clear" w:color="auto" w:fill="FFFFFF"/>
        </w:rPr>
        <w:t>of and individual</w:t>
      </w:r>
      <w:r w:rsidR="00613881">
        <w:rPr>
          <w:shd w:val="clear" w:color="auto" w:fill="FFFFFF"/>
        </w:rPr>
        <w:t xml:space="preserve">; or </w:t>
      </w:r>
      <w:r w:rsidR="006843C2">
        <w:rPr>
          <w:shd w:val="clear" w:color="auto" w:fill="FFFFFF"/>
        </w:rPr>
        <w:t xml:space="preserve"> </w:t>
      </w:r>
    </w:p>
    <w:p w14:paraId="72E0BAA0" w14:textId="797DD296" w:rsidR="00091ECE" w:rsidRPr="00B57271" w:rsidRDefault="005A135D" w:rsidP="00137AAB">
      <w:pPr>
        <w:pStyle w:val="ListBullet2"/>
        <w:rPr>
          <w:shd w:val="clear" w:color="auto" w:fill="FFFFFF"/>
        </w:rPr>
      </w:pPr>
      <w:r>
        <w:rPr>
          <w:shd w:val="clear" w:color="auto" w:fill="FFFFFF"/>
        </w:rPr>
        <w:t>genetic information</w:t>
      </w:r>
      <w:r w:rsidR="00383BC4">
        <w:rPr>
          <w:shd w:val="clear" w:color="auto" w:fill="FFFFFF"/>
        </w:rPr>
        <w:t xml:space="preserve"> of an individual</w:t>
      </w:r>
      <w:r w:rsidR="006843C2">
        <w:rPr>
          <w:shd w:val="clear" w:color="auto" w:fill="FFFFFF"/>
        </w:rPr>
        <w:t xml:space="preserve"> </w:t>
      </w:r>
      <w:r w:rsidR="00DB3652">
        <w:rPr>
          <w:shd w:val="clear" w:color="auto" w:fill="FFFFFF"/>
        </w:rPr>
        <w:t>in a form that is, or could be, predictive of the health of the individual or a genetic relative of the individual</w:t>
      </w:r>
      <w:r w:rsidR="00091ECE" w:rsidRPr="00B57271">
        <w:rPr>
          <w:shd w:val="clear" w:color="auto" w:fill="FFFFFF"/>
        </w:rPr>
        <w:t xml:space="preserve">; </w:t>
      </w:r>
    </w:p>
    <w:p w14:paraId="39CC018D" w14:textId="70B77283" w:rsidR="005050FA" w:rsidRPr="00B57271" w:rsidRDefault="00091ECE" w:rsidP="00137AAB">
      <w:pPr>
        <w:pStyle w:val="ListBullet"/>
        <w:rPr>
          <w:shd w:val="clear" w:color="auto" w:fill="FFFFFF"/>
        </w:rPr>
      </w:pPr>
      <w:r w:rsidRPr="002B5F46">
        <w:rPr>
          <w:shd w:val="clear" w:color="auto" w:fill="FFFFFF"/>
        </w:rPr>
        <w:t>Information about a person’s racial or ethnic origin</w:t>
      </w:r>
      <w:r w:rsidR="005050FA" w:rsidRPr="00B57271">
        <w:rPr>
          <w:shd w:val="clear" w:color="auto" w:fill="FFFFFF"/>
        </w:rPr>
        <w:t xml:space="preserve">; and </w:t>
      </w:r>
    </w:p>
    <w:p w14:paraId="7FE46B47" w14:textId="5C8A1E0F" w:rsidR="008A7EB4" w:rsidRDefault="005050FA" w:rsidP="00137AAB">
      <w:pPr>
        <w:pStyle w:val="ListBullet"/>
        <w:rPr>
          <w:shd w:val="clear" w:color="auto" w:fill="FFFFFF"/>
        </w:rPr>
      </w:pPr>
      <w:r w:rsidRPr="002B5F46">
        <w:rPr>
          <w:b/>
          <w:bCs/>
          <w:shd w:val="clear" w:color="auto" w:fill="FFFFFF"/>
        </w:rPr>
        <w:t>Genetic information</w:t>
      </w:r>
      <w:r w:rsidRPr="00B57271">
        <w:rPr>
          <w:shd w:val="clear" w:color="auto" w:fill="FFFFFF"/>
        </w:rPr>
        <w:t xml:space="preserve"> (when it does not already fall within the scope of ‘he</w:t>
      </w:r>
      <w:r w:rsidRPr="0085150B">
        <w:rPr>
          <w:shd w:val="clear" w:color="auto" w:fill="FFFFFF"/>
        </w:rPr>
        <w:t>alth information’)</w:t>
      </w:r>
      <w:r>
        <w:rPr>
          <w:shd w:val="clear" w:color="auto" w:fill="FFFFFF"/>
        </w:rPr>
        <w:t>.</w:t>
      </w:r>
      <w:r w:rsidR="00C56B29" w:rsidRPr="00CA1C32">
        <w:rPr>
          <w:rStyle w:val="FootnoteReference"/>
          <w:rFonts w:cs="Arial"/>
          <w:shd w:val="clear" w:color="auto" w:fill="FFFFFF"/>
        </w:rPr>
        <w:footnoteReference w:id="36"/>
      </w:r>
      <w:r>
        <w:rPr>
          <w:shd w:val="clear" w:color="auto" w:fill="FFFFFF"/>
        </w:rPr>
        <w:t xml:space="preserve"> </w:t>
      </w:r>
    </w:p>
    <w:p w14:paraId="4CB51BD7" w14:textId="457B16FB" w:rsidR="004B0537" w:rsidRPr="00F3631D" w:rsidRDefault="004B0537" w:rsidP="00F3631D">
      <w:pPr>
        <w:tabs>
          <w:tab w:val="left" w:pos="2552"/>
        </w:tabs>
        <w:rPr>
          <w:rFonts w:cs="Arial"/>
          <w:shd w:val="clear" w:color="auto" w:fill="FFFFFF"/>
        </w:rPr>
      </w:pPr>
      <w:r w:rsidRPr="003375CC">
        <w:t>See</w:t>
      </w:r>
      <w:r>
        <w:t xml:space="preserve"> </w:t>
      </w:r>
      <w:r>
        <w:fldChar w:fldCharType="begin"/>
      </w:r>
      <w:r>
        <w:instrText xml:space="preserve"> REF _Ref44411022 \h  \* MERGEFORMAT </w:instrText>
      </w:r>
      <w:r>
        <w:fldChar w:fldCharType="separate"/>
      </w:r>
      <w:r w:rsidR="000B4085" w:rsidRPr="000B4085">
        <w:rPr>
          <w:b/>
          <w:bCs/>
        </w:rPr>
        <w:t>Figure</w:t>
      </w:r>
      <w:r w:rsidR="000B4085">
        <w:t xml:space="preserve"> </w:t>
      </w:r>
      <w:r w:rsidR="000B4085" w:rsidRPr="000B4085">
        <w:rPr>
          <w:b/>
          <w:bCs/>
          <w:noProof/>
          <w:sz w:val="20"/>
        </w:rPr>
        <w:t>5</w:t>
      </w:r>
      <w:r>
        <w:fldChar w:fldCharType="end"/>
      </w:r>
      <w:r>
        <w:t xml:space="preserve"> </w:t>
      </w:r>
      <w:r w:rsidRPr="003375CC">
        <w:t>for a summary of this information.</w:t>
      </w:r>
      <w:r>
        <w:rPr>
          <w:rFonts w:cs="Arial"/>
          <w:shd w:val="clear" w:color="auto" w:fill="FFFFFF"/>
        </w:rPr>
        <w:t xml:space="preserve"> </w:t>
      </w:r>
    </w:p>
    <w:p w14:paraId="674912C8" w14:textId="77777777" w:rsidR="00DF14A9" w:rsidRDefault="009D2049" w:rsidP="002B5F46">
      <w:pPr>
        <w:keepNext/>
      </w:pPr>
      <w:r w:rsidRPr="002B5F46">
        <w:rPr>
          <w:noProof/>
        </w:rPr>
        <w:drawing>
          <wp:inline distT="0" distB="0" distL="0" distR="0" wp14:anchorId="7E7A6F38" wp14:editId="219C59B2">
            <wp:extent cx="4103481" cy="3458817"/>
            <wp:effectExtent l="0" t="0" r="0" b="8890"/>
            <wp:docPr id="19" name="Picture 19" descr="Figure 5: Classification of personal information&#10;&#10;Personal Information: Information or opinion about an identified, or reasonably identifiable individual&#10;&#10;Other types of personal information: for example, Credit information, employee record information, tax file information&#10;&#10;Sensitive Information: Includes information or opinion about an individual's racial or ethnic origin, religious beliefs, sexual orientation, or criminal record.&#10;&#10;Health Information: Includes genet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 Classification of personal information&#10;&#10;Personal Information: Information or opinion about an identified, or reasonably identifiable individual&#10;&#10;Other types of personal information: for example, Credit information, employee record information, tax file information&#10;&#10;Sensitive Information: Includes information or opinion about an individual's racial or ethnic origin, religious beliefs, sexual orientation, or criminal record.&#10;&#10;Health Information: Includes genetic information"/>
                    <pic:cNvPicPr/>
                  </pic:nvPicPr>
                  <pic:blipFill>
                    <a:blip r:embed="rId24"/>
                    <a:stretch>
                      <a:fillRect/>
                    </a:stretch>
                  </pic:blipFill>
                  <pic:spPr>
                    <a:xfrm>
                      <a:off x="0" y="0"/>
                      <a:ext cx="4125946" cy="3477752"/>
                    </a:xfrm>
                    <a:prstGeom prst="rect">
                      <a:avLst/>
                    </a:prstGeom>
                  </pic:spPr>
                </pic:pic>
              </a:graphicData>
            </a:graphic>
          </wp:inline>
        </w:drawing>
      </w:r>
    </w:p>
    <w:p w14:paraId="3B48A2BD" w14:textId="0F114FA0" w:rsidR="00322B99" w:rsidRPr="00DA5F7C" w:rsidRDefault="00DF14A9" w:rsidP="00137AAB">
      <w:pPr>
        <w:pStyle w:val="Caption"/>
      </w:pPr>
      <w:bookmarkStart w:id="70" w:name="_Ref44411022"/>
      <w:bookmarkStart w:id="71" w:name="_Ref44411005"/>
      <w:bookmarkStart w:id="72" w:name="_Toc45145517"/>
      <w:r>
        <w:t xml:space="preserve">Figure </w:t>
      </w:r>
      <w:r w:rsidRPr="00A7008D">
        <w:rPr>
          <w:sz w:val="20"/>
        </w:rPr>
        <w:fldChar w:fldCharType="begin"/>
      </w:r>
      <w:r w:rsidRPr="00A7008D">
        <w:rPr>
          <w:sz w:val="20"/>
        </w:rPr>
        <w:instrText xml:space="preserve"> SEQ Figure \* ARABIC </w:instrText>
      </w:r>
      <w:r w:rsidRPr="00A7008D">
        <w:rPr>
          <w:sz w:val="20"/>
        </w:rPr>
        <w:fldChar w:fldCharType="separate"/>
      </w:r>
      <w:r w:rsidR="000B4085">
        <w:rPr>
          <w:noProof/>
          <w:sz w:val="20"/>
        </w:rPr>
        <w:t>5</w:t>
      </w:r>
      <w:r w:rsidRPr="00A7008D">
        <w:rPr>
          <w:sz w:val="20"/>
        </w:rPr>
        <w:fldChar w:fldCharType="end"/>
      </w:r>
      <w:bookmarkEnd w:id="70"/>
      <w:r>
        <w:t>: Classification of personal information</w:t>
      </w:r>
      <w:bookmarkEnd w:id="71"/>
      <w:bookmarkEnd w:id="72"/>
    </w:p>
    <w:p w14:paraId="706AE05D" w14:textId="176DF8A0" w:rsidR="00847E9B" w:rsidRPr="00137AAB" w:rsidRDefault="00847E9B" w:rsidP="00137AAB">
      <w:pPr>
        <w:pStyle w:val="Heading5"/>
      </w:pPr>
      <w:r w:rsidRPr="00137AAB">
        <w:t xml:space="preserve">When is information about an individual? </w:t>
      </w:r>
    </w:p>
    <w:p w14:paraId="062F871E" w14:textId="57870180" w:rsidR="00830345" w:rsidRPr="00F55D8B" w:rsidRDefault="00830345" w:rsidP="00AC73DF">
      <w:r>
        <w:rPr>
          <w:rFonts w:cs="Arial"/>
          <w:shd w:val="clear" w:color="auto" w:fill="FFFFFF"/>
        </w:rPr>
        <w:t>Whether information is ‘about’ a person will depend on the circumstances.</w:t>
      </w:r>
      <w:r w:rsidRPr="00CA1C32">
        <w:rPr>
          <w:rStyle w:val="FootnoteReference"/>
          <w:rFonts w:cs="Arial"/>
        </w:rPr>
        <w:footnoteReference w:id="37"/>
      </w:r>
      <w:r w:rsidR="00692918">
        <w:rPr>
          <w:rFonts w:cs="Arial"/>
          <w:shd w:val="clear" w:color="auto" w:fill="FFFFFF"/>
        </w:rPr>
        <w:t xml:space="preserve"> Particular attention will be paid to whether the person is the subject matter of the information. It is possible for information to have several subject matters and still be the personal information </w:t>
      </w:r>
      <w:r w:rsidR="00692918">
        <w:rPr>
          <w:rFonts w:cs="Arial"/>
          <w:shd w:val="clear" w:color="auto" w:fill="FFFFFF"/>
        </w:rPr>
        <w:lastRenderedPageBreak/>
        <w:t>of an individual. In addition, information may still be deemed personal information if the data is de-identifie</w:t>
      </w:r>
      <w:r w:rsidR="00956619">
        <w:rPr>
          <w:rFonts w:cs="Arial"/>
          <w:shd w:val="clear" w:color="auto" w:fill="FFFFFF"/>
        </w:rPr>
        <w:t>d but is reasonably identifiable when collateral information is considered.</w:t>
      </w:r>
      <w:r w:rsidR="00956619" w:rsidRPr="00CA1C32">
        <w:rPr>
          <w:rStyle w:val="FootnoteReference"/>
          <w:rFonts w:cs="Arial"/>
        </w:rPr>
        <w:footnoteReference w:id="38"/>
      </w:r>
      <w:r w:rsidR="00692918">
        <w:rPr>
          <w:rFonts w:cs="Arial"/>
          <w:shd w:val="clear" w:color="auto" w:fill="FFFFFF"/>
        </w:rPr>
        <w:t xml:space="preserve"> </w:t>
      </w:r>
      <w:r>
        <w:rPr>
          <w:rFonts w:cs="Arial"/>
          <w:shd w:val="clear" w:color="auto" w:fill="FFFFFF"/>
        </w:rPr>
        <w:t xml:space="preserve"> </w:t>
      </w:r>
    </w:p>
    <w:p w14:paraId="14A744CE" w14:textId="6F034E40" w:rsidR="00AC73DF" w:rsidRPr="00AC73DF" w:rsidRDefault="002362DF" w:rsidP="00AC73DF">
      <w:pPr>
        <w:rPr>
          <w:rFonts w:cs="Arial"/>
          <w:shd w:val="clear" w:color="auto" w:fill="FFFFFF"/>
        </w:rPr>
      </w:pPr>
      <w:r w:rsidRPr="00AC73DF">
        <w:t>G</w:t>
      </w:r>
      <w:r w:rsidR="004A566D" w:rsidRPr="00AC73DF">
        <w:t>enetic information whilst highly personal</w:t>
      </w:r>
      <w:r w:rsidRPr="00AC73DF">
        <w:t xml:space="preserve">, </w:t>
      </w:r>
      <w:r w:rsidR="004A566D" w:rsidRPr="00AC73DF">
        <w:t xml:space="preserve">may also be </w:t>
      </w:r>
      <w:r w:rsidR="00310B67" w:rsidRPr="00AC73DF">
        <w:t xml:space="preserve">considered </w:t>
      </w:r>
      <w:r w:rsidR="004A566D" w:rsidRPr="00AC73DF">
        <w:t xml:space="preserve">the personal information of a relative. This cross-over leads to tensions between the individual’s right to privacy and </w:t>
      </w:r>
      <w:r w:rsidR="0033499F">
        <w:t xml:space="preserve">shared genomic information. For example, the genomic data of one person, could have implications for </w:t>
      </w:r>
      <w:r w:rsidR="000F4907">
        <w:t>a genetic relative</w:t>
      </w:r>
      <w:r w:rsidR="004A566D" w:rsidRPr="00CA1C32">
        <w:rPr>
          <w:rFonts w:cs="Arial"/>
          <w:shd w:val="clear" w:color="auto" w:fill="FFFFFF"/>
        </w:rPr>
        <w:t>.</w:t>
      </w:r>
      <w:r w:rsidR="004A566D" w:rsidRPr="00CA1C32">
        <w:rPr>
          <w:rStyle w:val="FootnoteReference"/>
          <w:rFonts w:cs="Arial"/>
          <w:shd w:val="clear" w:color="auto" w:fill="FFFFFF"/>
        </w:rPr>
        <w:footnoteReference w:id="39"/>
      </w:r>
      <w:r w:rsidR="004A566D">
        <w:rPr>
          <w:rFonts w:cs="Arial"/>
          <w:shd w:val="clear" w:color="auto" w:fill="FFFFFF"/>
        </w:rPr>
        <w:t xml:space="preserve"> </w:t>
      </w:r>
    </w:p>
    <w:p w14:paraId="768D02D5" w14:textId="25C712D1" w:rsidR="004A566D" w:rsidRPr="00F67476" w:rsidRDefault="004A566D" w:rsidP="002B5F46">
      <w:pPr>
        <w:pStyle w:val="Heading3"/>
      </w:pPr>
      <w:bookmarkStart w:id="73" w:name="_Toc118824327"/>
      <w:r w:rsidRPr="00F67476">
        <w:rPr>
          <w:lang w:val="en-AU"/>
        </w:rPr>
        <w:t>When is genomic</w:t>
      </w:r>
      <w:r w:rsidR="00167510" w:rsidRPr="00F67476">
        <w:rPr>
          <w:lang w:val="en-AU"/>
        </w:rPr>
        <w:t xml:space="preserve"> information</w:t>
      </w:r>
      <w:r w:rsidRPr="00F67476">
        <w:rPr>
          <w:lang w:val="en-AU"/>
        </w:rPr>
        <w:t xml:space="preserve"> not </w:t>
      </w:r>
      <w:r w:rsidR="00167510" w:rsidRPr="00F67476">
        <w:rPr>
          <w:lang w:val="en-AU"/>
        </w:rPr>
        <w:t xml:space="preserve">protected </w:t>
      </w:r>
      <w:r w:rsidRPr="00F67476">
        <w:rPr>
          <w:lang w:val="en-AU"/>
        </w:rPr>
        <w:t>by the Privacy Act?</w:t>
      </w:r>
      <w:bookmarkEnd w:id="73"/>
    </w:p>
    <w:p w14:paraId="172AAAC9" w14:textId="4A9A4CCE" w:rsidR="005C0380" w:rsidRPr="00AC73DF" w:rsidRDefault="004A566D" w:rsidP="00AC73DF">
      <w:r w:rsidRPr="00AC73DF">
        <w:t xml:space="preserve">The handling requirements of personal information only applies to individuals the </w:t>
      </w:r>
      <w:r w:rsidRPr="009959B3">
        <w:rPr>
          <w:i/>
        </w:rPr>
        <w:t>Privacy Act</w:t>
      </w:r>
      <w:r w:rsidRPr="00AC73DF">
        <w:t xml:space="preserve"> defines as natural person</w:t>
      </w:r>
      <w:r w:rsidR="000F4907">
        <w:t>s.</w:t>
      </w:r>
      <w:r w:rsidRPr="00AC73DF">
        <w:t xml:space="preserve"> </w:t>
      </w:r>
      <w:r w:rsidR="000F4907">
        <w:t>T</w:t>
      </w:r>
      <w:r w:rsidRPr="00AC73DF">
        <w:t>his excludes deceased individuals.</w:t>
      </w:r>
      <w:r w:rsidRPr="00CA1C32">
        <w:rPr>
          <w:rStyle w:val="FootnoteReference"/>
          <w:rFonts w:cs="Arial"/>
          <w:shd w:val="clear" w:color="auto" w:fill="FFFFFF"/>
        </w:rPr>
        <w:footnoteReference w:id="40"/>
      </w:r>
      <w:r>
        <w:rPr>
          <w:rFonts w:cs="Arial"/>
          <w:shd w:val="clear" w:color="auto" w:fill="FFFFFF"/>
        </w:rPr>
        <w:t xml:space="preserve"> </w:t>
      </w:r>
      <w:r w:rsidRPr="00AC73DF">
        <w:t>Information that is not about an individual, or</w:t>
      </w:r>
      <w:r w:rsidR="000F4907">
        <w:t xml:space="preserve"> information that has been stripped of identifying data </w:t>
      </w:r>
      <w:r w:rsidRPr="00AC73DF">
        <w:t>is not considered personal information.</w:t>
      </w:r>
      <w:r w:rsidRPr="00CA1C32">
        <w:rPr>
          <w:rStyle w:val="FootnoteReference"/>
          <w:rFonts w:cs="Arial"/>
          <w:shd w:val="clear" w:color="auto" w:fill="FFFFFF"/>
        </w:rPr>
        <w:footnoteReference w:id="41"/>
      </w:r>
      <w:r>
        <w:rPr>
          <w:rFonts w:cs="Arial"/>
          <w:shd w:val="clear" w:color="auto" w:fill="FFFFFF"/>
        </w:rPr>
        <w:t xml:space="preserve"> </w:t>
      </w:r>
      <w:r w:rsidRPr="00AC73DF">
        <w:t>However,</w:t>
      </w:r>
      <w:r w:rsidR="00B52ED1" w:rsidRPr="00AC73DF">
        <w:t xml:space="preserve"> </w:t>
      </w:r>
      <w:r w:rsidRPr="00AC73DF">
        <w:t xml:space="preserve">as </w:t>
      </w:r>
      <w:r w:rsidR="00B52ED1" w:rsidRPr="00AC73DF">
        <w:t xml:space="preserve">referred to above, </w:t>
      </w:r>
      <w:r w:rsidRPr="00AC73DF">
        <w:t>whether information is ‘about’ someone is determined on a case</w:t>
      </w:r>
      <w:r w:rsidR="000F4907">
        <w:t>-</w:t>
      </w:r>
      <w:r w:rsidRPr="00AC73DF">
        <w:t>by</w:t>
      </w:r>
      <w:r w:rsidR="000F4907">
        <w:t>-</w:t>
      </w:r>
      <w:r w:rsidRPr="00AC73DF">
        <w:t xml:space="preserve">case </w:t>
      </w:r>
      <w:r w:rsidR="00976602">
        <w:t>basis</w:t>
      </w:r>
      <w:r w:rsidR="005C0380" w:rsidRPr="00AC73DF">
        <w:t>.</w:t>
      </w:r>
      <w:r w:rsidRPr="00AC73DF">
        <w:t xml:space="preserve"> </w:t>
      </w:r>
    </w:p>
    <w:p w14:paraId="3BEE52CE" w14:textId="77777777" w:rsidR="00AC73DF" w:rsidRPr="00AC73DF" w:rsidRDefault="005C0380" w:rsidP="00AC73DF">
      <w:r w:rsidRPr="00AC73DF">
        <w:t>I</w:t>
      </w:r>
      <w:r w:rsidR="004A566D" w:rsidRPr="00AC73DF">
        <w:t xml:space="preserve">nformation that is about an individual who is deceased can still be personal information about a living relative, such as in the case of genetic information. </w:t>
      </w:r>
    </w:p>
    <w:p w14:paraId="52E312BD" w14:textId="2A6B6C7A" w:rsidR="004A566D" w:rsidRPr="00AC73DF" w:rsidRDefault="00405912" w:rsidP="00AC73DF">
      <w:pPr>
        <w:rPr>
          <w:rFonts w:cs="Arial"/>
          <w:shd w:val="clear" w:color="auto" w:fill="FFFFFF"/>
        </w:rPr>
      </w:pPr>
      <w:r>
        <w:t xml:space="preserve">In addition, </w:t>
      </w:r>
      <w:r w:rsidR="004A566D" w:rsidRPr="00AC73DF">
        <w:t xml:space="preserve">there is uncertainty whether whole-genome sequencing is </w:t>
      </w:r>
      <w:r w:rsidR="00296964">
        <w:t xml:space="preserve">necessarily de-identified. </w:t>
      </w:r>
      <w:r w:rsidR="00EC529D">
        <w:t>S</w:t>
      </w:r>
      <w:r w:rsidR="004A566D" w:rsidRPr="00AC73DF">
        <w:t xml:space="preserve">ome individuals have demonstrated that identity can still be </w:t>
      </w:r>
      <w:r w:rsidR="00EC529D">
        <w:t xml:space="preserve">identified </w:t>
      </w:r>
      <w:r w:rsidR="004A566D" w:rsidRPr="00AC73DF">
        <w:t xml:space="preserve">through cross-referencing </w:t>
      </w:r>
      <w:r w:rsidR="005C40BA">
        <w:t xml:space="preserve">seemingly </w:t>
      </w:r>
      <w:r w:rsidR="000719B2">
        <w:t>deidentified</w:t>
      </w:r>
      <w:r w:rsidR="005C40BA">
        <w:t xml:space="preserve"> genomic data </w:t>
      </w:r>
      <w:r w:rsidR="004A566D" w:rsidRPr="00AC73DF">
        <w:t>with publicly available information.</w:t>
      </w:r>
      <w:r w:rsidR="004A566D" w:rsidRPr="00CA1C32">
        <w:rPr>
          <w:rStyle w:val="FootnoteReference"/>
          <w:rFonts w:cs="Arial"/>
          <w:shd w:val="clear" w:color="auto" w:fill="FFFFFF"/>
        </w:rPr>
        <w:footnoteReference w:id="42"/>
      </w:r>
      <w:r w:rsidR="004A566D" w:rsidRPr="00CA1C32">
        <w:rPr>
          <w:rFonts w:cs="Arial"/>
          <w:shd w:val="clear" w:color="auto" w:fill="FFFFFF"/>
        </w:rPr>
        <w:t xml:space="preserve"> </w:t>
      </w:r>
    </w:p>
    <w:p w14:paraId="3AA64FE4" w14:textId="01FBC00D" w:rsidR="004A566D" w:rsidRPr="00CA1C32" w:rsidRDefault="004A566D" w:rsidP="00AC73DF">
      <w:r w:rsidRPr="00AC73DF">
        <w:t xml:space="preserve">In light of these risks, revisions have been made to </w:t>
      </w:r>
      <w:r w:rsidR="00923B41" w:rsidRPr="00A859E8">
        <w:rPr>
          <w:i/>
        </w:rPr>
        <w:t>National Statement for Ethical Conduct in Human Research</w:t>
      </w:r>
      <w:r w:rsidR="00923B41">
        <w:rPr>
          <w:i/>
        </w:rPr>
        <w:t xml:space="preserve"> </w:t>
      </w:r>
      <w:r w:rsidR="006921A2">
        <w:rPr>
          <w:i/>
          <w:iCs/>
        </w:rPr>
        <w:t xml:space="preserve">(The National Statement) </w:t>
      </w:r>
      <w:r w:rsidR="00923B41" w:rsidRPr="0097405E">
        <w:t xml:space="preserve"> </w:t>
      </w:r>
      <w:r w:rsidRPr="00AC73DF">
        <w:t>in an attempt to minimise the chance of this occurring by imposing an undertaking on researchers that they will not permit or attempt to reidentify genomic material.</w:t>
      </w:r>
      <w:r w:rsidRPr="00923B41">
        <w:rPr>
          <w:rStyle w:val="FootnoteReference"/>
          <w:rFonts w:cs="Arial"/>
          <w:shd w:val="clear" w:color="auto" w:fill="FFFFFF"/>
        </w:rPr>
        <w:footnoteReference w:id="43"/>
      </w:r>
      <w:r w:rsidRPr="00AC73DF">
        <w:t xml:space="preserve">  Despite this, there are still concerns that information can be reidentified, and whether or not </w:t>
      </w:r>
      <w:r w:rsidR="00923B41">
        <w:t xml:space="preserve">data </w:t>
      </w:r>
      <w:r w:rsidRPr="00AC73DF">
        <w:t xml:space="preserve">is ever truly de-identified in today’s age of information. </w:t>
      </w:r>
    </w:p>
    <w:p w14:paraId="1953AC6E" w14:textId="77777777" w:rsidR="004A566D" w:rsidRPr="00F67476" w:rsidRDefault="004A566D" w:rsidP="002B5F46">
      <w:pPr>
        <w:pStyle w:val="Heading3"/>
      </w:pPr>
      <w:bookmarkStart w:id="74" w:name="_Toc118824328"/>
      <w:r w:rsidRPr="00F67476">
        <w:rPr>
          <w:lang w:val="en-AU"/>
        </w:rPr>
        <w:t>Permitted Health Situations for the non-Consensual use of Health Information</w:t>
      </w:r>
      <w:bookmarkEnd w:id="74"/>
    </w:p>
    <w:p w14:paraId="3A0AC031" w14:textId="2B9C9FDD" w:rsidR="004A566D" w:rsidRPr="00CA1C32" w:rsidRDefault="004A566D" w:rsidP="00AC73DF">
      <w:pPr>
        <w:rPr>
          <w:rFonts w:cs="Arial"/>
          <w:color w:val="000000"/>
          <w:shd w:val="clear" w:color="auto" w:fill="FFFFFF"/>
        </w:rPr>
      </w:pPr>
      <w:r w:rsidRPr="00AC73DF">
        <w:t xml:space="preserve">The right to privacy in Australia is not an absolute right and as such the </w:t>
      </w:r>
      <w:r w:rsidRPr="009959B3">
        <w:rPr>
          <w:i/>
        </w:rPr>
        <w:t>Privacy Act</w:t>
      </w:r>
      <w:r w:rsidRPr="00AC73DF">
        <w:t xml:space="preserve"> and accompanying APP guidelines provide for five ‘permitted health situations’ for the non-</w:t>
      </w:r>
      <w:r w:rsidRPr="00AC73DF">
        <w:lastRenderedPageBreak/>
        <w:t>consensual collection, use or disclosure of health information.</w:t>
      </w:r>
      <w:r w:rsidRPr="00CA1C32">
        <w:rPr>
          <w:rStyle w:val="FootnoteReference"/>
          <w:rFonts w:cs="Arial"/>
          <w:color w:val="000000"/>
          <w:shd w:val="clear" w:color="auto" w:fill="FFFFFF"/>
        </w:rPr>
        <w:footnoteReference w:id="44"/>
      </w:r>
      <w:r w:rsidRPr="00CA1C32">
        <w:rPr>
          <w:rFonts w:cs="Arial"/>
          <w:color w:val="000000"/>
          <w:shd w:val="clear" w:color="auto" w:fill="FFFFFF"/>
        </w:rPr>
        <w:t xml:space="preserve"> </w:t>
      </w:r>
      <w:r w:rsidRPr="00AC73DF">
        <w:t>The five permitted health situations listed in s16B are:</w:t>
      </w:r>
      <w:r w:rsidRPr="00CA1C32">
        <w:rPr>
          <w:rStyle w:val="FootnoteReference"/>
          <w:rFonts w:cs="Arial"/>
          <w:color w:val="000000"/>
          <w:shd w:val="clear" w:color="auto" w:fill="FFFFFF"/>
        </w:rPr>
        <w:footnoteReference w:id="45"/>
      </w:r>
    </w:p>
    <w:p w14:paraId="497BF589" w14:textId="59D4995E" w:rsidR="004A566D" w:rsidRPr="00AC73DF" w:rsidRDefault="004A566D" w:rsidP="00240F94">
      <w:pPr>
        <w:pStyle w:val="ListNumber"/>
        <w:numPr>
          <w:ilvl w:val="0"/>
          <w:numId w:val="46"/>
        </w:numPr>
      </w:pPr>
      <w:r w:rsidRPr="00AC73DF">
        <w:t>collection of health information to provide a health service;</w:t>
      </w:r>
      <w:r w:rsidRPr="00AC73DF">
        <w:rPr>
          <w:rStyle w:val="FootnoteReference"/>
          <w:rFonts w:cs="Arial"/>
          <w:szCs w:val="20"/>
        </w:rPr>
        <w:footnoteReference w:id="46"/>
      </w:r>
    </w:p>
    <w:p w14:paraId="33876B87" w14:textId="4C0C88E2" w:rsidR="004A566D" w:rsidRPr="00AC73DF" w:rsidRDefault="004A566D" w:rsidP="00240F94">
      <w:pPr>
        <w:pStyle w:val="ListNumber"/>
      </w:pPr>
      <w:r w:rsidRPr="00AC73DF">
        <w:t>collection health information for certain research and other purposes;</w:t>
      </w:r>
      <w:r w:rsidRPr="00AC73DF">
        <w:rPr>
          <w:rStyle w:val="FootnoteReference"/>
          <w:rFonts w:cs="Arial"/>
          <w:szCs w:val="20"/>
        </w:rPr>
        <w:footnoteReference w:id="47"/>
      </w:r>
    </w:p>
    <w:p w14:paraId="6D34DCF4" w14:textId="00D7810A" w:rsidR="004A566D" w:rsidRPr="00AC73DF" w:rsidRDefault="004A566D" w:rsidP="00240F94">
      <w:pPr>
        <w:pStyle w:val="ListNumber"/>
      </w:pPr>
      <w:r w:rsidRPr="00AC73DF">
        <w:t>use o</w:t>
      </w:r>
      <w:r w:rsidR="00635094">
        <w:t>r</w:t>
      </w:r>
      <w:r w:rsidRPr="00AC73DF">
        <w:t xml:space="preserve"> disclosure of health information for certain research and other purposes;</w:t>
      </w:r>
      <w:r w:rsidRPr="00AC73DF">
        <w:rPr>
          <w:rStyle w:val="FootnoteReference"/>
          <w:rFonts w:cs="Arial"/>
          <w:szCs w:val="20"/>
        </w:rPr>
        <w:footnoteReference w:id="48"/>
      </w:r>
    </w:p>
    <w:p w14:paraId="200D5E59" w14:textId="46A75DDE" w:rsidR="004A566D" w:rsidRPr="00AC73DF" w:rsidRDefault="004A566D" w:rsidP="00240F94">
      <w:pPr>
        <w:pStyle w:val="ListNumber"/>
      </w:pPr>
      <w:r w:rsidRPr="00AC73DF">
        <w:t>use or disclosure of genetic information;</w:t>
      </w:r>
      <w:r w:rsidRPr="00AC73DF">
        <w:rPr>
          <w:rStyle w:val="FootnoteReference"/>
          <w:rFonts w:cs="Arial"/>
          <w:szCs w:val="20"/>
        </w:rPr>
        <w:footnoteReference w:id="49"/>
      </w:r>
      <w:r w:rsidR="008273C2">
        <w:t xml:space="preserve"> and </w:t>
      </w:r>
    </w:p>
    <w:p w14:paraId="3BE950C7" w14:textId="0D457376" w:rsidR="004A566D" w:rsidRPr="00AC73DF" w:rsidRDefault="004A566D" w:rsidP="00240F94">
      <w:pPr>
        <w:pStyle w:val="ListNumber"/>
      </w:pPr>
      <w:r w:rsidRPr="00AC73DF">
        <w:t>disclosure of health information for a secondary purpose to a responsible person for an individual.</w:t>
      </w:r>
      <w:r w:rsidRPr="00AC73DF">
        <w:rPr>
          <w:rStyle w:val="FootnoteReference"/>
          <w:rFonts w:cs="Arial"/>
          <w:szCs w:val="20"/>
        </w:rPr>
        <w:footnoteReference w:id="50"/>
      </w:r>
    </w:p>
    <w:p w14:paraId="55E51862" w14:textId="376895E7" w:rsidR="004F042E" w:rsidRPr="00CA1C32" w:rsidRDefault="004F042E" w:rsidP="002B5F46">
      <w:pPr>
        <w:rPr>
          <w:shd w:val="clear" w:color="auto" w:fill="FFFFFF"/>
        </w:rPr>
      </w:pPr>
      <w:r>
        <w:t>These permitted health situations are considered in more detail below.</w:t>
      </w:r>
    </w:p>
    <w:p w14:paraId="01D5AB92" w14:textId="77777777" w:rsidR="00D70574" w:rsidRDefault="004F042E" w:rsidP="00AC73DF">
      <w:r>
        <w:rPr>
          <w:noProof/>
        </w:rPr>
        <w:drawing>
          <wp:inline distT="0" distB="0" distL="0" distR="0" wp14:anchorId="1BBA4544" wp14:editId="2D083C6D">
            <wp:extent cx="5731510" cy="603885"/>
            <wp:effectExtent l="0" t="0" r="2540" b="5715"/>
            <wp:docPr id="9" name="Picture 9" descr="1. Collection: Provision of a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 Collection: Provision of a health service"/>
                    <pic:cNvPicPr/>
                  </pic:nvPicPr>
                  <pic:blipFill>
                    <a:blip r:embed="rId25"/>
                    <a:stretch>
                      <a:fillRect/>
                    </a:stretch>
                  </pic:blipFill>
                  <pic:spPr>
                    <a:xfrm>
                      <a:off x="0" y="0"/>
                      <a:ext cx="5731510" cy="603885"/>
                    </a:xfrm>
                    <a:prstGeom prst="rect">
                      <a:avLst/>
                    </a:prstGeom>
                  </pic:spPr>
                </pic:pic>
              </a:graphicData>
            </a:graphic>
          </wp:inline>
        </w:drawing>
      </w:r>
      <w:r w:rsidR="004A566D" w:rsidRPr="00AC73DF">
        <w:t xml:space="preserve">The first exception </w:t>
      </w:r>
      <w:r w:rsidR="00D70574">
        <w:t xml:space="preserve">allows for collection of health information about an individual or associated third party, in the provision of a health service to the individual. </w:t>
      </w:r>
    </w:p>
    <w:p w14:paraId="6E3DD17E" w14:textId="67E0F43D" w:rsidR="006762D7" w:rsidRDefault="00D70574" w:rsidP="00AC73DF">
      <w:pPr>
        <w:rPr>
          <w:rFonts w:cs="Arial"/>
          <w:color w:val="000000"/>
          <w:shd w:val="clear" w:color="auto" w:fill="FFFFFF"/>
        </w:rPr>
      </w:pPr>
      <w:r>
        <w:t>T</w:t>
      </w:r>
      <w:r w:rsidR="004A566D" w:rsidRPr="00AC73DF">
        <w:t>he collection</w:t>
      </w:r>
      <w:r w:rsidR="00A34F4A">
        <w:t xml:space="preserve"> of information about an individual</w:t>
      </w:r>
      <w:r w:rsidR="004A566D" w:rsidRPr="00AC73DF">
        <w:t xml:space="preserve"> is allowed if necessary for the provision of the health service to that individual and the collection is either required by law or collected in accordance with the rules established by </w:t>
      </w:r>
      <w:r w:rsidR="006762D7">
        <w:t xml:space="preserve">a </w:t>
      </w:r>
      <w:r w:rsidR="004A566D" w:rsidRPr="00AC73DF">
        <w:t xml:space="preserve">competent </w:t>
      </w:r>
      <w:r w:rsidR="006762D7">
        <w:t>health or medical body that deals with obligations of professional confidentiality</w:t>
      </w:r>
      <w:r w:rsidR="004A566D" w:rsidRPr="00CA1C32">
        <w:rPr>
          <w:rFonts w:cs="Arial"/>
          <w:color w:val="000000"/>
          <w:shd w:val="clear" w:color="auto" w:fill="FFFFFF"/>
        </w:rPr>
        <w:t>.</w:t>
      </w:r>
      <w:r w:rsidR="004A566D" w:rsidRPr="00CA1C32">
        <w:rPr>
          <w:rStyle w:val="FootnoteReference"/>
          <w:rFonts w:cs="Arial"/>
          <w:color w:val="000000"/>
          <w:shd w:val="clear" w:color="auto" w:fill="FFFFFF"/>
        </w:rPr>
        <w:footnoteReference w:id="51"/>
      </w:r>
      <w:r w:rsidR="004A566D" w:rsidRPr="00CA1C32">
        <w:rPr>
          <w:rFonts w:cs="Arial"/>
          <w:color w:val="000000"/>
          <w:shd w:val="clear" w:color="auto" w:fill="FFFFFF"/>
        </w:rPr>
        <w:t xml:space="preserve"> </w:t>
      </w:r>
    </w:p>
    <w:p w14:paraId="75DBBBDC" w14:textId="75A44A7F" w:rsidR="004A566D" w:rsidRPr="00AC73DF" w:rsidRDefault="006762D7" w:rsidP="00AC73DF">
      <w:r>
        <w:rPr>
          <w:rFonts w:cs="Arial"/>
          <w:color w:val="000000"/>
          <w:shd w:val="clear" w:color="auto" w:fill="FFFFFF"/>
        </w:rPr>
        <w:t xml:space="preserve">Collection of </w:t>
      </w:r>
      <w:r w:rsidR="004A566D" w:rsidRPr="00AC73DF">
        <w:t>health information about a</w:t>
      </w:r>
      <w:r>
        <w:t xml:space="preserve"> person associated with the individual and relevant to their </w:t>
      </w:r>
      <w:r w:rsidR="004A566D" w:rsidRPr="00AC73DF">
        <w:t xml:space="preserve">family, social or medical history of the patient </w:t>
      </w:r>
      <w:r>
        <w:t xml:space="preserve">is permitted where collection is necessary to </w:t>
      </w:r>
      <w:r w:rsidR="004A566D" w:rsidRPr="00AC73DF">
        <w:t>provide a health service to the patient.</w:t>
      </w:r>
    </w:p>
    <w:p w14:paraId="3ABB70B2" w14:textId="5F1AC62F" w:rsidR="004A566D" w:rsidRDefault="004F042E" w:rsidP="00AC73DF">
      <w:pPr>
        <w:rPr>
          <w:rFonts w:cs="Arial"/>
          <w:color w:val="000000"/>
          <w:shd w:val="clear" w:color="auto" w:fill="FFFFFF"/>
        </w:rPr>
      </w:pPr>
      <w:r>
        <w:rPr>
          <w:noProof/>
        </w:rPr>
        <w:drawing>
          <wp:inline distT="0" distB="0" distL="0" distR="0" wp14:anchorId="011C3B6A" wp14:editId="1431CD75">
            <wp:extent cx="5731510" cy="677545"/>
            <wp:effectExtent l="0" t="0" r="2540" b="8255"/>
            <wp:docPr id="10" name="Picture 10" descr="2. Collecti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 Collection: Research"/>
                    <pic:cNvPicPr/>
                  </pic:nvPicPr>
                  <pic:blipFill>
                    <a:blip r:embed="rId26"/>
                    <a:stretch>
                      <a:fillRect/>
                    </a:stretch>
                  </pic:blipFill>
                  <pic:spPr>
                    <a:xfrm>
                      <a:off x="0" y="0"/>
                      <a:ext cx="5731510" cy="677545"/>
                    </a:xfrm>
                    <a:prstGeom prst="rect">
                      <a:avLst/>
                    </a:prstGeom>
                  </pic:spPr>
                </pic:pic>
              </a:graphicData>
            </a:graphic>
          </wp:inline>
        </w:drawing>
      </w:r>
      <w:r w:rsidR="004A566D" w:rsidRPr="00AC73DF">
        <w:t xml:space="preserve">The collection of health information is permitted if it is related to research arising relevant to public health or safety, including statistics. </w:t>
      </w:r>
      <w:r w:rsidR="00A34F4A">
        <w:t xml:space="preserve">Collection without consent is only permissible where it is </w:t>
      </w:r>
      <w:r w:rsidR="004A566D" w:rsidRPr="00AC73DF">
        <w:t>impractical to obtain consent</w:t>
      </w:r>
      <w:r w:rsidR="00142404">
        <w:t xml:space="preserve">, and </w:t>
      </w:r>
      <w:r w:rsidR="004A566D" w:rsidRPr="00AC73DF">
        <w:t>de-identified</w:t>
      </w:r>
      <w:r w:rsidR="00930E8E">
        <w:t xml:space="preserve"> information </w:t>
      </w:r>
      <w:r w:rsidR="004A566D" w:rsidRPr="00AC73DF">
        <w:t>cannot serve the same purpose</w:t>
      </w:r>
      <w:r w:rsidR="004A566D" w:rsidRPr="00CA1C32">
        <w:rPr>
          <w:rFonts w:cs="Arial"/>
          <w:color w:val="000000"/>
          <w:shd w:val="clear" w:color="auto" w:fill="FFFFFF"/>
        </w:rPr>
        <w:t>.</w:t>
      </w:r>
      <w:r w:rsidR="004A566D" w:rsidRPr="00CA1C32">
        <w:rPr>
          <w:rStyle w:val="FootnoteReference"/>
          <w:rFonts w:cs="Arial"/>
          <w:color w:val="000000"/>
          <w:shd w:val="clear" w:color="auto" w:fill="FFFFFF"/>
        </w:rPr>
        <w:footnoteReference w:id="52"/>
      </w:r>
      <w:r w:rsidR="004A566D" w:rsidRPr="00CA1C32">
        <w:rPr>
          <w:rFonts w:cs="Arial"/>
          <w:color w:val="000000"/>
          <w:shd w:val="clear" w:color="auto" w:fill="FFFFFF"/>
        </w:rPr>
        <w:t xml:space="preserve"> </w:t>
      </w:r>
      <w:r w:rsidR="00A34F4A">
        <w:rPr>
          <w:rFonts w:cs="Arial"/>
          <w:color w:val="000000"/>
          <w:shd w:val="clear" w:color="auto" w:fill="FFFFFF"/>
        </w:rPr>
        <w:t xml:space="preserve">In addition, </w:t>
      </w:r>
      <w:r w:rsidR="004A566D" w:rsidRPr="00AC73DF">
        <w:t xml:space="preserve">the collection must be required by Australian law, in accordance with </w:t>
      </w:r>
      <w:r w:rsidR="004A566D" w:rsidRPr="00AC73DF">
        <w:lastRenderedPageBreak/>
        <w:t>rules established by health or medical bodies, or in accordance with guidelines approved under section 95A.</w:t>
      </w:r>
      <w:r w:rsidR="004A566D" w:rsidRPr="00CA1C32">
        <w:rPr>
          <w:rStyle w:val="FootnoteReference"/>
          <w:rFonts w:cs="Arial"/>
          <w:color w:val="000000"/>
          <w:shd w:val="clear" w:color="auto" w:fill="FFFFFF"/>
        </w:rPr>
        <w:footnoteReference w:id="53"/>
      </w:r>
    </w:p>
    <w:p w14:paraId="4A68029E" w14:textId="31C50D64" w:rsidR="004A566D" w:rsidRPr="00AC73DF" w:rsidRDefault="00901DF1" w:rsidP="00AC73DF">
      <w:r>
        <w:rPr>
          <w:noProof/>
        </w:rPr>
        <w:drawing>
          <wp:inline distT="0" distB="0" distL="0" distR="0" wp14:anchorId="0EF968A1" wp14:editId="0C4033F8">
            <wp:extent cx="5731510" cy="674370"/>
            <wp:effectExtent l="0" t="0" r="2540" b="0"/>
            <wp:docPr id="11" name="Picture 11" descr="3. Use of Disclosur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Use of Disclosure: Research"/>
                    <pic:cNvPicPr/>
                  </pic:nvPicPr>
                  <pic:blipFill>
                    <a:blip r:embed="rId27"/>
                    <a:stretch>
                      <a:fillRect/>
                    </a:stretch>
                  </pic:blipFill>
                  <pic:spPr>
                    <a:xfrm>
                      <a:off x="0" y="0"/>
                      <a:ext cx="5731510" cy="674370"/>
                    </a:xfrm>
                    <a:prstGeom prst="rect">
                      <a:avLst/>
                    </a:prstGeom>
                  </pic:spPr>
                </pic:pic>
              </a:graphicData>
            </a:graphic>
          </wp:inline>
        </w:drawing>
      </w:r>
      <w:r w:rsidR="004A566D" w:rsidRPr="00AC73DF">
        <w:t xml:space="preserve">Most relevant to the application of </w:t>
      </w:r>
      <w:r w:rsidR="00BD5938">
        <w:t xml:space="preserve">Aboriginal and Torres Strait Islander </w:t>
      </w:r>
      <w:r w:rsidR="004A566D" w:rsidRPr="00AC73DF">
        <w:t>health related genomics is the use or disclosure of health information for research. The legislation and APP guidelines allow for the disclosure of health information about an individual in a research capacity or for the compilation of analysis of statistics, relevant to public health or safety, and:</w:t>
      </w:r>
    </w:p>
    <w:p w14:paraId="13393614" w14:textId="77777777" w:rsidR="004A566D" w:rsidRPr="00AC73DF" w:rsidRDefault="004A566D" w:rsidP="00137AAB">
      <w:pPr>
        <w:pStyle w:val="ListBullet"/>
        <w:rPr>
          <w:lang w:eastAsia="en-AU"/>
        </w:rPr>
      </w:pPr>
      <w:r w:rsidRPr="00AC73DF">
        <w:rPr>
          <w:lang w:eastAsia="en-AU"/>
        </w:rPr>
        <w:t>it is impracticable for the organisation to obtain the individual’s consent to the use or disclosure; and</w:t>
      </w:r>
    </w:p>
    <w:p w14:paraId="14DC461B" w14:textId="255CC114" w:rsidR="004A566D" w:rsidRPr="00AC73DF" w:rsidRDefault="004A566D" w:rsidP="00137AAB">
      <w:pPr>
        <w:pStyle w:val="ListBullet"/>
        <w:rPr>
          <w:lang w:eastAsia="en-AU"/>
        </w:rPr>
      </w:pPr>
      <w:r w:rsidRPr="00AC73DF">
        <w:rPr>
          <w:lang w:eastAsia="en-AU"/>
        </w:rPr>
        <w:t>the use or disclosure is conducted in accordance with guidelines approved under section 95A for the purposes of this paragraph</w:t>
      </w:r>
      <w:r w:rsidR="00855992">
        <w:rPr>
          <w:lang w:eastAsia="en-AU"/>
        </w:rPr>
        <w:t xml:space="preserve"> (see </w:t>
      </w:r>
      <w:r w:rsidR="00855992" w:rsidRPr="002B5F46">
        <w:rPr>
          <w:b/>
          <w:bCs/>
          <w:lang w:eastAsia="en-AU"/>
        </w:rPr>
        <w:fldChar w:fldCharType="begin"/>
      </w:r>
      <w:r w:rsidR="00855992" w:rsidRPr="002B5F46">
        <w:rPr>
          <w:b/>
          <w:bCs/>
          <w:lang w:eastAsia="en-AU"/>
        </w:rPr>
        <w:instrText xml:space="preserve"> REF _Ref44434857 \h </w:instrText>
      </w:r>
      <w:r w:rsidR="00B57271">
        <w:rPr>
          <w:b/>
          <w:bCs/>
          <w:lang w:eastAsia="en-AU"/>
        </w:rPr>
        <w:instrText xml:space="preserve"> \* MERGEFORMAT </w:instrText>
      </w:r>
      <w:r w:rsidR="00855992" w:rsidRPr="002B5F46">
        <w:rPr>
          <w:b/>
          <w:bCs/>
          <w:lang w:eastAsia="en-AU"/>
        </w:rPr>
      </w:r>
      <w:r w:rsidR="00855992" w:rsidRPr="002B5F46">
        <w:rPr>
          <w:b/>
          <w:bCs/>
          <w:lang w:eastAsia="en-AU"/>
        </w:rPr>
        <w:fldChar w:fldCharType="separate"/>
      </w:r>
      <w:r w:rsidR="000B4085" w:rsidRPr="000B4085">
        <w:rPr>
          <w:b/>
          <w:bCs/>
        </w:rPr>
        <w:t xml:space="preserve">Figure </w:t>
      </w:r>
      <w:r w:rsidR="000B4085" w:rsidRPr="000B4085">
        <w:rPr>
          <w:b/>
          <w:bCs/>
          <w:noProof/>
        </w:rPr>
        <w:t>6</w:t>
      </w:r>
      <w:r w:rsidR="00855992" w:rsidRPr="002B5F46">
        <w:rPr>
          <w:b/>
          <w:bCs/>
          <w:lang w:eastAsia="en-AU"/>
        </w:rPr>
        <w:fldChar w:fldCharType="end"/>
      </w:r>
      <w:r w:rsidR="00855992">
        <w:rPr>
          <w:lang w:eastAsia="en-AU"/>
        </w:rPr>
        <w:t xml:space="preserve"> </w:t>
      </w:r>
      <w:r w:rsidR="00B57271">
        <w:rPr>
          <w:lang w:eastAsia="en-AU"/>
        </w:rPr>
        <w:t>for details of the s95A Guidelines prepared by the NHMRC)</w:t>
      </w:r>
      <w:r w:rsidR="00855992">
        <w:rPr>
          <w:lang w:eastAsia="en-AU"/>
        </w:rPr>
        <w:t xml:space="preserve"> </w:t>
      </w:r>
      <w:r w:rsidRPr="00AC73DF">
        <w:rPr>
          <w:lang w:eastAsia="en-AU"/>
        </w:rPr>
        <w:t>; and</w:t>
      </w:r>
    </w:p>
    <w:p w14:paraId="617A2D0F" w14:textId="62CDF4FC" w:rsidR="004A566D" w:rsidRDefault="004A566D" w:rsidP="00137AAB">
      <w:pPr>
        <w:pStyle w:val="ListBullet"/>
        <w:rPr>
          <w:lang w:eastAsia="en-AU"/>
        </w:rPr>
      </w:pPr>
      <w:r w:rsidRPr="00AC73DF">
        <w:rPr>
          <w:lang w:eastAsia="en-AU"/>
        </w:rPr>
        <w:t xml:space="preserve"> in the case of disclosure—the organisation reasonably believes that the recipient of the information will not disclose the information, or personal information derived from that information.</w:t>
      </w:r>
    </w:p>
    <w:p w14:paraId="28B11645" w14:textId="601A2CD3" w:rsidR="00855992" w:rsidRDefault="004D2EE7" w:rsidP="002B5F46">
      <w:pPr>
        <w:keepNext/>
      </w:pPr>
      <w:r>
        <w:rPr>
          <w:noProof/>
        </w:rPr>
        <w:drawing>
          <wp:inline distT="0" distB="0" distL="0" distR="0" wp14:anchorId="67367431" wp14:editId="169819C6">
            <wp:extent cx="5731510" cy="3349625"/>
            <wp:effectExtent l="0" t="0" r="2540" b="3175"/>
            <wp:docPr id="7" name="Picture 7" descr="Figure 6: S95A Guidelines&#10;&#10;S95A Guidelines for Australian Privacy Principles about health information&#10;&#10;The NHMRC Guidelines, issued under s95A, provide a framework for researchers, human research ethics committees (HRECs), and other parties clarified as:&#10;&#10;for the use, or disclosure to be consider 'necessary' for research, an HREC must determine that 'the outcome of the research activity would have an impact on or provide information about public health or public safety' and 'the relevant purpose of the research activity cannot be achieved by the collection, use, or disclosure of de-identified data'.&#10;&#10;The guidelines provide procedures to be followed when preparing proposals to submit to ethics committees. Currently, there is no dedicated Indigenous ethics committee of the NHMRC, and no requirement for all research committees to have Aboriginal and Torres Strait Islander representation. Although there are Indigenous ethics committees that while not part of NHMRC are registered and endorsed by NHMRC, for example:&#10;&#10;The Western Australian Aboriginal Health Ethics Committee (WAAHEC), which is coordinated by Aboriginal Health Council of WA;&#10;AIATSIS Human Research Ethics Committee; and&#10;Aboriginal Health and Medical Research Council of NSW.&#10;&#10;Does this provide sufficient safeguards or cultural critique to ensure that concerns are identified and discu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S95A Guidelines&#10;&#10;S95A Guidelines for Australian Privacy Principles about health information&#10;&#10;The NHMRC Guidelines, issued under s95A, provide a framework for researchers, human research ethics committees (HRECs), and other parties clarified as:&#10;&#10;for the use, or disclosure to be consider 'necessary' for research, an HREC must determine that 'the outcome of the research activity would have an impact on or provide information about public health or public safety' and 'the relevant purpose of the research activity cannot be achieved by the collection, use, or disclosure of de-identified data'.&#10;&#10;The guidelines provide procedures to be followed when preparing proposals to submit to ethics committees. Currently, there is no dedicated Indigenous ethics committee of the NHMRC, and no requirement for all research committees to have Aboriginal and Torres Strait Islander representation. Although there are Indigenous ethics committees that while not part of NHMRC are registered and endorsed by NHMRC, for example:&#10;&#10;The Western Australian Aboriginal Health Ethics Committee (WAAHEC), which is coordinated by Aboriginal Health Council of WA;&#10;AIATSIS Human Research Ethics Committee; and&#10;Aboriginal Health and Medical Research Council of NSW.&#10;&#10;Does this provide sufficient safeguards or cultural critique to ensure that concerns are identified and discussed?"/>
                    <pic:cNvPicPr/>
                  </pic:nvPicPr>
                  <pic:blipFill>
                    <a:blip r:embed="rId28"/>
                    <a:stretch>
                      <a:fillRect/>
                    </a:stretch>
                  </pic:blipFill>
                  <pic:spPr>
                    <a:xfrm>
                      <a:off x="0" y="0"/>
                      <a:ext cx="5731510" cy="3349625"/>
                    </a:xfrm>
                    <a:prstGeom prst="rect">
                      <a:avLst/>
                    </a:prstGeom>
                  </pic:spPr>
                </pic:pic>
              </a:graphicData>
            </a:graphic>
          </wp:inline>
        </w:drawing>
      </w:r>
    </w:p>
    <w:p w14:paraId="04F8B0FD" w14:textId="1C412B2E" w:rsidR="00855992" w:rsidRPr="00AC73DF" w:rsidRDefault="00855992" w:rsidP="00137AAB">
      <w:pPr>
        <w:pStyle w:val="Caption"/>
        <w:rPr>
          <w:lang w:eastAsia="en-AU"/>
        </w:rPr>
      </w:pPr>
      <w:bookmarkStart w:id="75" w:name="_Ref44434857"/>
      <w:bookmarkStart w:id="76" w:name="_Toc45145518"/>
      <w:r>
        <w:t xml:space="preserve">Figure </w:t>
      </w:r>
      <w:r w:rsidR="003C7152">
        <w:fldChar w:fldCharType="begin"/>
      </w:r>
      <w:r w:rsidR="003C7152">
        <w:instrText xml:space="preserve"> SEQ Figure \* ARABIC </w:instrText>
      </w:r>
      <w:r w:rsidR="003C7152">
        <w:fldChar w:fldCharType="separate"/>
      </w:r>
      <w:r w:rsidR="000B4085">
        <w:rPr>
          <w:noProof/>
        </w:rPr>
        <w:t>6</w:t>
      </w:r>
      <w:r w:rsidR="003C7152">
        <w:rPr>
          <w:noProof/>
        </w:rPr>
        <w:fldChar w:fldCharType="end"/>
      </w:r>
      <w:bookmarkEnd w:id="75"/>
      <w:r>
        <w:t xml:space="preserve">: </w:t>
      </w:r>
      <w:r>
        <w:rPr>
          <w:bCs/>
        </w:rPr>
        <w:t>Section 95A Guidelines</w:t>
      </w:r>
      <w:bookmarkEnd w:id="76"/>
    </w:p>
    <w:p w14:paraId="36D87A93" w14:textId="20B0DD04" w:rsidR="007F642E" w:rsidRPr="00CA1C32" w:rsidRDefault="007F642E" w:rsidP="007F642E">
      <w:r w:rsidRPr="00B46DBD">
        <w:t xml:space="preserve">Furthermore, the NHMRC Guidelines issued under s95A apply only to organisations and agencies subject to the </w:t>
      </w:r>
      <w:r w:rsidRPr="00B46DBD">
        <w:rPr>
          <w:i/>
        </w:rPr>
        <w:t>Privacy Act</w:t>
      </w:r>
      <w:r w:rsidRPr="00B46DBD">
        <w:t>. Therefore, there are gaps in the framework.</w:t>
      </w:r>
    </w:p>
    <w:p w14:paraId="5EFFEB1D" w14:textId="6690FD01" w:rsidR="004A566D" w:rsidRPr="00CA1C32" w:rsidRDefault="00901DF1" w:rsidP="002B5F46">
      <w:pPr>
        <w:rPr>
          <w:shd w:val="clear" w:color="auto" w:fill="FFFFFF"/>
        </w:rPr>
      </w:pPr>
      <w:r>
        <w:rPr>
          <w:noProof/>
        </w:rPr>
        <w:lastRenderedPageBreak/>
        <w:drawing>
          <wp:inline distT="0" distB="0" distL="0" distR="0" wp14:anchorId="0FA67CB6" wp14:editId="28C0080A">
            <wp:extent cx="5731510" cy="634365"/>
            <wp:effectExtent l="0" t="0" r="2540" b="0"/>
            <wp:docPr id="12" name="Picture 12" descr="4. Use or Disclosure: Genet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4. Use or Disclosure: Genetic information"/>
                    <pic:cNvPicPr/>
                  </pic:nvPicPr>
                  <pic:blipFill>
                    <a:blip r:embed="rId29"/>
                    <a:stretch>
                      <a:fillRect/>
                    </a:stretch>
                  </pic:blipFill>
                  <pic:spPr>
                    <a:xfrm>
                      <a:off x="0" y="0"/>
                      <a:ext cx="5731510" cy="634365"/>
                    </a:xfrm>
                    <a:prstGeom prst="rect">
                      <a:avLst/>
                    </a:prstGeom>
                  </pic:spPr>
                </pic:pic>
              </a:graphicData>
            </a:graphic>
          </wp:inline>
        </w:drawing>
      </w:r>
    </w:p>
    <w:p w14:paraId="4456C48B" w14:textId="0528F967" w:rsidR="000435A0" w:rsidRDefault="004A566D" w:rsidP="00AC73DF">
      <w:pPr>
        <w:rPr>
          <w:shd w:val="clear" w:color="auto" w:fill="FFFFFF"/>
        </w:rPr>
      </w:pPr>
      <w:r w:rsidRPr="00CA1C32">
        <w:rPr>
          <w:shd w:val="clear" w:color="auto" w:fill="FFFFFF"/>
        </w:rPr>
        <w:t xml:space="preserve">The use or disclosure of genetic information about an individual is permitted if in the process of treating an individual, genetic information becomes available that leads to a reasonable belief that the </w:t>
      </w:r>
      <w:r w:rsidRPr="00D96B14">
        <w:rPr>
          <w:shd w:val="clear" w:color="auto" w:fill="FFFFFF"/>
        </w:rPr>
        <w:t xml:space="preserve">use or disclosure is necessary to lessen or prevent a serious threat to </w:t>
      </w:r>
      <w:r w:rsidR="00CF75B8">
        <w:rPr>
          <w:shd w:val="clear" w:color="auto" w:fill="FFFFFF"/>
        </w:rPr>
        <w:t xml:space="preserve">the </w:t>
      </w:r>
      <w:r w:rsidRPr="00D96B14">
        <w:rPr>
          <w:shd w:val="clear" w:color="auto" w:fill="FFFFFF"/>
        </w:rPr>
        <w:t xml:space="preserve">life </w:t>
      </w:r>
      <w:r w:rsidR="00CF75B8">
        <w:rPr>
          <w:shd w:val="clear" w:color="auto" w:fill="FFFFFF"/>
        </w:rPr>
        <w:t>of</w:t>
      </w:r>
      <w:r w:rsidRPr="00D96B14">
        <w:rPr>
          <w:shd w:val="clear" w:color="auto" w:fill="FFFFFF"/>
        </w:rPr>
        <w:t xml:space="preserve"> </w:t>
      </w:r>
      <w:r w:rsidR="00CF75B8">
        <w:rPr>
          <w:shd w:val="clear" w:color="auto" w:fill="FFFFFF"/>
        </w:rPr>
        <w:t>the individual’s</w:t>
      </w:r>
      <w:r w:rsidR="00CF75B8" w:rsidRPr="00D96B14">
        <w:rPr>
          <w:shd w:val="clear" w:color="auto" w:fill="FFFFFF"/>
        </w:rPr>
        <w:t xml:space="preserve"> </w:t>
      </w:r>
      <w:r w:rsidRPr="00D96B14">
        <w:rPr>
          <w:shd w:val="clear" w:color="auto" w:fill="FFFFFF"/>
        </w:rPr>
        <w:t>genetic relative</w:t>
      </w:r>
      <w:r w:rsidR="009F0429">
        <w:rPr>
          <w:shd w:val="clear" w:color="auto" w:fill="FFFFFF"/>
        </w:rPr>
        <w:t>.</w:t>
      </w:r>
      <w:r w:rsidR="00CF75B8">
        <w:rPr>
          <w:shd w:val="clear" w:color="auto" w:fill="FFFFFF"/>
        </w:rPr>
        <w:t xml:space="preserve"> These are sometimes referred to as incidental </w:t>
      </w:r>
      <w:r w:rsidR="000435A0">
        <w:rPr>
          <w:shd w:val="clear" w:color="auto" w:fill="FFFFFF"/>
        </w:rPr>
        <w:t xml:space="preserve">findings (see section </w:t>
      </w:r>
      <w:r w:rsidR="000435A0" w:rsidRPr="002B5F46">
        <w:rPr>
          <w:b/>
          <w:bCs/>
          <w:shd w:val="clear" w:color="auto" w:fill="FFFFFF"/>
        </w:rPr>
        <w:fldChar w:fldCharType="begin"/>
      </w:r>
      <w:r w:rsidR="000435A0" w:rsidRPr="002B5F46">
        <w:rPr>
          <w:b/>
          <w:bCs/>
          <w:shd w:val="clear" w:color="auto" w:fill="FFFFFF"/>
        </w:rPr>
        <w:instrText xml:space="preserve"> REF _Ref39149289 \r \h </w:instrText>
      </w:r>
      <w:r w:rsidR="000435A0">
        <w:rPr>
          <w:b/>
          <w:bCs/>
          <w:shd w:val="clear" w:color="auto" w:fill="FFFFFF"/>
        </w:rPr>
        <w:instrText xml:space="preserve"> \* MERGEFORMAT </w:instrText>
      </w:r>
      <w:r w:rsidR="000435A0" w:rsidRPr="002B5F46">
        <w:rPr>
          <w:b/>
          <w:bCs/>
          <w:shd w:val="clear" w:color="auto" w:fill="FFFFFF"/>
        </w:rPr>
      </w:r>
      <w:r w:rsidR="000435A0" w:rsidRPr="002B5F46">
        <w:rPr>
          <w:b/>
          <w:bCs/>
          <w:shd w:val="clear" w:color="auto" w:fill="FFFFFF"/>
        </w:rPr>
        <w:fldChar w:fldCharType="separate"/>
      </w:r>
      <w:r w:rsidR="000B4085">
        <w:rPr>
          <w:b/>
          <w:bCs/>
          <w:shd w:val="clear" w:color="auto" w:fill="FFFFFF"/>
        </w:rPr>
        <w:t>4.6</w:t>
      </w:r>
      <w:r w:rsidR="000435A0" w:rsidRPr="002B5F46">
        <w:rPr>
          <w:b/>
          <w:bCs/>
          <w:shd w:val="clear" w:color="auto" w:fill="FFFFFF"/>
        </w:rPr>
        <w:fldChar w:fldCharType="end"/>
      </w:r>
      <w:r w:rsidR="000435A0">
        <w:rPr>
          <w:shd w:val="clear" w:color="auto" w:fill="FFFFFF"/>
        </w:rPr>
        <w:t xml:space="preserve"> for discussion of the social, cultural and ethical issues raised in relation to incidental findings). </w:t>
      </w:r>
    </w:p>
    <w:p w14:paraId="1AEBA66E" w14:textId="370C2B80" w:rsidR="004A566D" w:rsidRPr="00CA1C32" w:rsidRDefault="009F0429" w:rsidP="00AC73DF">
      <w:pPr>
        <w:rPr>
          <w:b/>
          <w:bCs/>
          <w:shd w:val="clear" w:color="auto" w:fill="FFFFFF"/>
        </w:rPr>
      </w:pPr>
      <w:r>
        <w:rPr>
          <w:shd w:val="clear" w:color="auto" w:fill="FFFFFF"/>
        </w:rPr>
        <w:t>In</w:t>
      </w:r>
      <w:r w:rsidR="00CF75B8">
        <w:rPr>
          <w:shd w:val="clear" w:color="auto" w:fill="FFFFFF"/>
        </w:rPr>
        <w:t xml:space="preserve"> these circumstances</w:t>
      </w:r>
      <w:r>
        <w:rPr>
          <w:shd w:val="clear" w:color="auto" w:fill="FFFFFF"/>
        </w:rPr>
        <w:t>,</w:t>
      </w:r>
      <w:r w:rsidR="004A566D" w:rsidRPr="00D96B14">
        <w:rPr>
          <w:shd w:val="clear" w:color="auto" w:fill="FFFFFF"/>
        </w:rPr>
        <w:t xml:space="preserve"> use or disclosure </w:t>
      </w:r>
      <w:r>
        <w:rPr>
          <w:shd w:val="clear" w:color="auto" w:fill="FFFFFF"/>
        </w:rPr>
        <w:t xml:space="preserve">must be in </w:t>
      </w:r>
      <w:r w:rsidR="004A566D" w:rsidRPr="00D96B14">
        <w:rPr>
          <w:shd w:val="clear" w:color="auto" w:fill="FFFFFF"/>
        </w:rPr>
        <w:t>accordance with</w:t>
      </w:r>
      <w:r>
        <w:rPr>
          <w:shd w:val="clear" w:color="auto" w:fill="FFFFFF"/>
        </w:rPr>
        <w:t xml:space="preserve"> the Guidelines approved under Section </w:t>
      </w:r>
      <w:r w:rsidR="004A566D" w:rsidRPr="00F623BE">
        <w:rPr>
          <w:shd w:val="clear" w:color="auto" w:fill="FFFFFF"/>
        </w:rPr>
        <w:t>95AA</w:t>
      </w:r>
      <w:r w:rsidR="004A566D" w:rsidRPr="00D96B14">
        <w:rPr>
          <w:shd w:val="clear" w:color="auto" w:fill="FFFFFF"/>
        </w:rPr>
        <w:t xml:space="preserve"> </w:t>
      </w:r>
      <w:r>
        <w:rPr>
          <w:shd w:val="clear" w:color="auto" w:fill="FFFFFF"/>
        </w:rPr>
        <w:t xml:space="preserve">of the </w:t>
      </w:r>
      <w:r w:rsidRPr="00D0755B">
        <w:rPr>
          <w:i/>
          <w:shd w:val="clear" w:color="auto" w:fill="FFFFFF"/>
        </w:rPr>
        <w:t>Privacy Act</w:t>
      </w:r>
      <w:r>
        <w:rPr>
          <w:shd w:val="clear" w:color="auto" w:fill="FFFFFF"/>
        </w:rPr>
        <w:t xml:space="preserve">, </w:t>
      </w:r>
      <w:r w:rsidR="004A566D" w:rsidRPr="00D96B14">
        <w:rPr>
          <w:shd w:val="clear" w:color="auto" w:fill="FFFFFF"/>
        </w:rPr>
        <w:t xml:space="preserve">issued by the </w:t>
      </w:r>
      <w:r w:rsidR="00C06463">
        <w:rPr>
          <w:shd w:val="clear" w:color="auto" w:fill="FFFFFF"/>
        </w:rPr>
        <w:t xml:space="preserve">NHMRC </w:t>
      </w:r>
      <w:r w:rsidR="00AF0D7B">
        <w:rPr>
          <w:shd w:val="clear" w:color="auto" w:fill="FFFFFF"/>
        </w:rPr>
        <w:t>(</w:t>
      </w:r>
      <w:r w:rsidR="00F55D8B" w:rsidRPr="00A80E81">
        <w:rPr>
          <w:shd w:val="clear" w:color="auto" w:fill="FFFFFF"/>
        </w:rPr>
        <w:t>see</w:t>
      </w:r>
      <w:r w:rsidR="000435A0">
        <w:rPr>
          <w:shd w:val="clear" w:color="auto" w:fill="FFFFFF"/>
        </w:rPr>
        <w:t xml:space="preserve"> section</w:t>
      </w:r>
      <w:r w:rsidR="00CF75B8">
        <w:rPr>
          <w:shd w:val="clear" w:color="auto" w:fill="FFFFFF"/>
        </w:rPr>
        <w:t xml:space="preserve"> </w:t>
      </w:r>
      <w:r w:rsidR="00CF75B8" w:rsidRPr="002B5F46">
        <w:rPr>
          <w:b/>
          <w:bCs/>
          <w:shd w:val="clear" w:color="auto" w:fill="FFFFFF"/>
        </w:rPr>
        <w:fldChar w:fldCharType="begin"/>
      </w:r>
      <w:r w:rsidR="00CF75B8" w:rsidRPr="002B5F46">
        <w:rPr>
          <w:b/>
          <w:bCs/>
          <w:shd w:val="clear" w:color="auto" w:fill="FFFFFF"/>
        </w:rPr>
        <w:instrText xml:space="preserve"> REF _Ref39149342 \r \h </w:instrText>
      </w:r>
      <w:r w:rsidR="000435A0">
        <w:rPr>
          <w:b/>
          <w:bCs/>
          <w:shd w:val="clear" w:color="auto" w:fill="FFFFFF"/>
        </w:rPr>
        <w:instrText xml:space="preserve"> \* MERGEFORMAT </w:instrText>
      </w:r>
      <w:r w:rsidR="00CF75B8" w:rsidRPr="002B5F46">
        <w:rPr>
          <w:b/>
          <w:bCs/>
          <w:shd w:val="clear" w:color="auto" w:fill="FFFFFF"/>
        </w:rPr>
      </w:r>
      <w:r w:rsidR="00CF75B8" w:rsidRPr="002B5F46">
        <w:rPr>
          <w:b/>
          <w:bCs/>
          <w:shd w:val="clear" w:color="auto" w:fill="FFFFFF"/>
        </w:rPr>
        <w:fldChar w:fldCharType="separate"/>
      </w:r>
      <w:r w:rsidR="000B4085">
        <w:rPr>
          <w:b/>
          <w:bCs/>
          <w:shd w:val="clear" w:color="auto" w:fill="FFFFFF"/>
        </w:rPr>
        <w:t>7.1</w:t>
      </w:r>
      <w:r w:rsidR="00CF75B8" w:rsidRPr="002B5F46">
        <w:rPr>
          <w:b/>
          <w:bCs/>
          <w:shd w:val="clear" w:color="auto" w:fill="FFFFFF"/>
        </w:rPr>
        <w:fldChar w:fldCharType="end"/>
      </w:r>
      <w:r w:rsidR="00CF75B8">
        <w:rPr>
          <w:shd w:val="clear" w:color="auto" w:fill="FFFFFF"/>
        </w:rPr>
        <w:t xml:space="preserve"> for more information on NHMRC Guidelines)</w:t>
      </w:r>
      <w:r w:rsidR="004A566D" w:rsidRPr="00AF0D7B">
        <w:rPr>
          <w:shd w:val="clear" w:color="auto" w:fill="FFFFFF"/>
        </w:rPr>
        <w:t>.</w:t>
      </w:r>
      <w:r w:rsidR="004A566D" w:rsidRPr="00D96B14">
        <w:rPr>
          <w:rStyle w:val="FootnoteReference"/>
          <w:rFonts w:cs="Arial"/>
          <w:color w:val="000000"/>
          <w:shd w:val="clear" w:color="auto" w:fill="FFFFFF"/>
        </w:rPr>
        <w:footnoteReference w:id="54"/>
      </w:r>
      <w:r w:rsidR="004A566D" w:rsidRPr="00D96B14">
        <w:rPr>
          <w:shd w:val="clear" w:color="auto" w:fill="FFFFFF"/>
        </w:rPr>
        <w:t xml:space="preserve">  </w:t>
      </w:r>
    </w:p>
    <w:p w14:paraId="4507CC86" w14:textId="5B5F9E49" w:rsidR="004A566D" w:rsidRPr="00E44107" w:rsidRDefault="004A566D" w:rsidP="00AC73DF">
      <w:pPr>
        <w:rPr>
          <w:b/>
          <w:bCs/>
          <w:shd w:val="clear" w:color="auto" w:fill="FFFFFF"/>
        </w:rPr>
      </w:pPr>
      <w:r w:rsidRPr="00CA1C32">
        <w:rPr>
          <w:shd w:val="clear" w:color="auto" w:fill="FFFFFF"/>
        </w:rPr>
        <w:t xml:space="preserve">The issues that arise in this instance were discussed during </w:t>
      </w:r>
      <w:r w:rsidR="000F23FA">
        <w:rPr>
          <w:shd w:val="clear" w:color="auto" w:fill="FFFFFF"/>
        </w:rPr>
        <w:t>discussions with the Advisory Panel</w:t>
      </w:r>
      <w:r w:rsidRPr="00CA1C32">
        <w:rPr>
          <w:shd w:val="clear" w:color="auto" w:fill="FFFFFF"/>
        </w:rPr>
        <w:t xml:space="preserve">. </w:t>
      </w:r>
      <w:r w:rsidR="000435A0">
        <w:rPr>
          <w:shd w:val="clear" w:color="auto" w:fill="FFFFFF"/>
        </w:rPr>
        <w:t>For example, i</w:t>
      </w:r>
      <w:r w:rsidRPr="00CA1C32">
        <w:rPr>
          <w:shd w:val="clear" w:color="auto" w:fill="FFFFFF"/>
        </w:rPr>
        <w:t xml:space="preserve">f a study is undertaken on an individual and some markers arise that may give rise to a reasonable belief that the recipient and/or a genetic relative may be at high risk for a rare disease or </w:t>
      </w:r>
      <w:r w:rsidR="000435A0">
        <w:rPr>
          <w:shd w:val="clear" w:color="auto" w:fill="FFFFFF"/>
        </w:rPr>
        <w:t>condition</w:t>
      </w:r>
      <w:r w:rsidRPr="00CA1C32">
        <w:rPr>
          <w:shd w:val="clear" w:color="auto" w:fill="FFFFFF"/>
        </w:rPr>
        <w:t xml:space="preserve">, then the treating physician may have reasonable </w:t>
      </w:r>
      <w:r w:rsidR="000174BF">
        <w:rPr>
          <w:shd w:val="clear" w:color="auto" w:fill="FFFFFF"/>
        </w:rPr>
        <w:t xml:space="preserve">grounds </w:t>
      </w:r>
      <w:r w:rsidRPr="00CA1C32">
        <w:rPr>
          <w:shd w:val="clear" w:color="auto" w:fill="FFFFFF"/>
        </w:rPr>
        <w:t xml:space="preserve">to disclose those findings to the relative. However, due to the lack of a genomic reference for </w:t>
      </w:r>
      <w:r w:rsidR="001A0052">
        <w:rPr>
          <w:shd w:val="clear" w:color="auto" w:fill="FFFFFF"/>
        </w:rPr>
        <w:t xml:space="preserve">Aboriginal and Torres Strait Islander </w:t>
      </w:r>
      <w:r w:rsidRPr="00CA1C32">
        <w:rPr>
          <w:shd w:val="clear" w:color="auto" w:fill="FFFFFF"/>
        </w:rPr>
        <w:t>peoples</w:t>
      </w:r>
      <w:r w:rsidR="001A0052">
        <w:rPr>
          <w:shd w:val="clear" w:color="auto" w:fill="FFFFFF"/>
        </w:rPr>
        <w:t xml:space="preserve"> t</w:t>
      </w:r>
      <w:r w:rsidR="004F2541">
        <w:rPr>
          <w:shd w:val="clear" w:color="auto" w:fill="FFFFFF"/>
        </w:rPr>
        <w:t xml:space="preserve">he probability of </w:t>
      </w:r>
      <w:r w:rsidRPr="00CA1C32">
        <w:rPr>
          <w:shd w:val="clear" w:color="auto" w:fill="FFFFFF"/>
        </w:rPr>
        <w:t xml:space="preserve">false positives/negatives </w:t>
      </w:r>
      <w:r w:rsidR="004F2541">
        <w:rPr>
          <w:shd w:val="clear" w:color="auto" w:fill="FFFFFF"/>
        </w:rPr>
        <w:t>increases</w:t>
      </w:r>
      <w:r w:rsidRPr="00CA1C32">
        <w:rPr>
          <w:shd w:val="clear" w:color="auto" w:fill="FFFFFF"/>
        </w:rPr>
        <w:t xml:space="preserve">. This can compel doctors to disclose </w:t>
      </w:r>
      <w:r w:rsidR="00AD417C">
        <w:rPr>
          <w:shd w:val="clear" w:color="auto" w:fill="FFFFFF"/>
        </w:rPr>
        <w:t xml:space="preserve">unnecessarily information </w:t>
      </w:r>
      <w:r w:rsidRPr="00CA1C32">
        <w:rPr>
          <w:shd w:val="clear" w:color="auto" w:fill="FFFFFF"/>
        </w:rPr>
        <w:t>which can lead to anxiety and distress for patients</w:t>
      </w:r>
      <w:r w:rsidR="00AD417C">
        <w:rPr>
          <w:shd w:val="clear" w:color="auto" w:fill="FFFFFF"/>
        </w:rPr>
        <w:t xml:space="preserve">, </w:t>
      </w:r>
      <w:r w:rsidRPr="00CA1C32">
        <w:rPr>
          <w:shd w:val="clear" w:color="auto" w:fill="FFFFFF"/>
        </w:rPr>
        <w:t xml:space="preserve">or </w:t>
      </w:r>
      <w:r w:rsidR="0093246F">
        <w:rPr>
          <w:shd w:val="clear" w:color="auto" w:fill="FFFFFF"/>
        </w:rPr>
        <w:t xml:space="preserve">alternatively </w:t>
      </w:r>
      <w:r w:rsidRPr="00CA1C32">
        <w:rPr>
          <w:shd w:val="clear" w:color="auto" w:fill="FFFFFF"/>
        </w:rPr>
        <w:t xml:space="preserve">not disclosing </w:t>
      </w:r>
      <w:r w:rsidR="005971A3">
        <w:rPr>
          <w:shd w:val="clear" w:color="auto" w:fill="FFFFFF"/>
        </w:rPr>
        <w:t xml:space="preserve">and putting the patient’s relatives at risk. </w:t>
      </w:r>
    </w:p>
    <w:p w14:paraId="5647AC8C" w14:textId="2347851E" w:rsidR="00212111" w:rsidRDefault="00901DF1">
      <w:r>
        <w:rPr>
          <w:noProof/>
        </w:rPr>
        <w:drawing>
          <wp:inline distT="0" distB="0" distL="0" distR="0" wp14:anchorId="17C3AB16" wp14:editId="7CD4169A">
            <wp:extent cx="5731510" cy="586105"/>
            <wp:effectExtent l="0" t="0" r="2540" b="4445"/>
            <wp:docPr id="13" name="Picture 13" descr="5. Use or Disclosure: For a secondary purpose to a responsib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5. Use or Disclosure: For a secondary purpose to a responsible person"/>
                    <pic:cNvPicPr/>
                  </pic:nvPicPr>
                  <pic:blipFill>
                    <a:blip r:embed="rId30"/>
                    <a:stretch>
                      <a:fillRect/>
                    </a:stretch>
                  </pic:blipFill>
                  <pic:spPr>
                    <a:xfrm>
                      <a:off x="0" y="0"/>
                      <a:ext cx="5731510" cy="586105"/>
                    </a:xfrm>
                    <a:prstGeom prst="rect">
                      <a:avLst/>
                    </a:prstGeom>
                  </pic:spPr>
                </pic:pic>
              </a:graphicData>
            </a:graphic>
          </wp:inline>
        </w:drawing>
      </w:r>
      <w:r w:rsidR="00F86778">
        <w:t xml:space="preserve">Under the </w:t>
      </w:r>
      <w:r w:rsidR="00F86778" w:rsidRPr="002B5F46">
        <w:rPr>
          <w:i/>
        </w:rPr>
        <w:t>Privacy Act</w:t>
      </w:r>
      <w:r w:rsidR="00F86778">
        <w:t xml:space="preserve">, a </w:t>
      </w:r>
      <w:r w:rsidR="00F86778" w:rsidRPr="002B5F46">
        <w:rPr>
          <w:i/>
        </w:rPr>
        <w:t>responsible person</w:t>
      </w:r>
      <w:r w:rsidR="00F86778">
        <w:t xml:space="preserve"> </w:t>
      </w:r>
      <w:r w:rsidR="00FF62F2">
        <w:t>for an individual is</w:t>
      </w:r>
      <w:r w:rsidR="00B7214D">
        <w:t xml:space="preserve"> a:</w:t>
      </w:r>
    </w:p>
    <w:p w14:paraId="486B0F6B" w14:textId="17160D7E" w:rsidR="00212111" w:rsidRPr="007E6C13" w:rsidRDefault="00212111" w:rsidP="00137AAB">
      <w:pPr>
        <w:pStyle w:val="ListBullet"/>
      </w:pPr>
      <w:r>
        <w:t>A</w:t>
      </w:r>
      <w:r w:rsidR="00B7214D">
        <w:t xml:space="preserve"> parent</w:t>
      </w:r>
      <w:r>
        <w:t xml:space="preserve"> </w:t>
      </w:r>
      <w:r w:rsidRPr="007E6C13">
        <w:t>of the individual</w:t>
      </w:r>
      <w:r w:rsidR="00EF71D8" w:rsidRPr="007E6C13">
        <w:t>;</w:t>
      </w:r>
      <w:r w:rsidRPr="007E6C13">
        <w:t xml:space="preserve"> </w:t>
      </w:r>
    </w:p>
    <w:p w14:paraId="7B6E8F23" w14:textId="441064A7" w:rsidR="00323BF8" w:rsidRPr="007E6C13" w:rsidRDefault="00212111" w:rsidP="00137AAB">
      <w:pPr>
        <w:pStyle w:val="ListBullet"/>
      </w:pPr>
      <w:r w:rsidRPr="007E6C13">
        <w:t xml:space="preserve">A child or </w:t>
      </w:r>
      <w:r w:rsidR="00384F6C" w:rsidRPr="007E6C13">
        <w:t>sibling</w:t>
      </w:r>
      <w:r w:rsidR="00FA3BE2" w:rsidRPr="007E6C13">
        <w:t xml:space="preserve"> of the individual if they are over 18 years old</w:t>
      </w:r>
      <w:r w:rsidR="00EF71D8" w:rsidRPr="007E6C13">
        <w:t>;</w:t>
      </w:r>
    </w:p>
    <w:p w14:paraId="13F3E99B" w14:textId="3E64EA6F" w:rsidR="00323BF8" w:rsidRPr="007E6C13" w:rsidRDefault="00323BF8" w:rsidP="00137AAB">
      <w:pPr>
        <w:pStyle w:val="ListBullet"/>
      </w:pPr>
      <w:r w:rsidRPr="007E6C13">
        <w:t>A spouse or de factor of the individual</w:t>
      </w:r>
      <w:r w:rsidR="00EF71D8" w:rsidRPr="007E6C13">
        <w:t>;</w:t>
      </w:r>
    </w:p>
    <w:p w14:paraId="02D69313" w14:textId="40826F7A" w:rsidR="008E7D0A" w:rsidRPr="007E6C13" w:rsidRDefault="008E7D0A" w:rsidP="00137AAB">
      <w:pPr>
        <w:pStyle w:val="ListBullet"/>
      </w:pPr>
      <w:r w:rsidRPr="007E6C13">
        <w:t>A relative of the individual who is at least 18 years old and a member of the individual’s household</w:t>
      </w:r>
      <w:r w:rsidR="00EF71D8" w:rsidRPr="007E6C13">
        <w:t>;</w:t>
      </w:r>
    </w:p>
    <w:p w14:paraId="55EFB220" w14:textId="797B1AAD" w:rsidR="00135BA7" w:rsidRPr="007E6C13" w:rsidRDefault="00135BA7" w:rsidP="00137AAB">
      <w:pPr>
        <w:pStyle w:val="ListBullet"/>
      </w:pPr>
      <w:r w:rsidRPr="007E6C13">
        <w:t>A guardian of the individual</w:t>
      </w:r>
      <w:r w:rsidR="00EF71D8" w:rsidRPr="007E6C13">
        <w:t>;</w:t>
      </w:r>
      <w:r w:rsidRPr="007E6C13">
        <w:t xml:space="preserve"> </w:t>
      </w:r>
    </w:p>
    <w:p w14:paraId="39304A66" w14:textId="02BB50AB" w:rsidR="00100336" w:rsidRPr="007E6C13" w:rsidRDefault="002522FB" w:rsidP="00137AAB">
      <w:pPr>
        <w:pStyle w:val="ListBullet"/>
      </w:pPr>
      <w:r w:rsidRPr="007E6C13">
        <w:t>A person exercising power of attorney for the individual</w:t>
      </w:r>
      <w:r w:rsidR="003B4C92" w:rsidRPr="007E6C13">
        <w:t xml:space="preserve"> (provided the power</w:t>
      </w:r>
      <w:r w:rsidR="00F57467" w:rsidRPr="007E6C13">
        <w:t xml:space="preserve">s granted include making </w:t>
      </w:r>
      <w:r w:rsidR="00100336" w:rsidRPr="007E6C13">
        <w:t>decisions about the individual’s health)</w:t>
      </w:r>
      <w:r w:rsidR="00EF71D8" w:rsidRPr="007E6C13">
        <w:t>;</w:t>
      </w:r>
      <w:r w:rsidR="00100336" w:rsidRPr="007E6C13">
        <w:t xml:space="preserve"> </w:t>
      </w:r>
    </w:p>
    <w:p w14:paraId="04F9445F" w14:textId="77777777" w:rsidR="003068F7" w:rsidRPr="007E6C13" w:rsidRDefault="003068F7" w:rsidP="00137AAB">
      <w:pPr>
        <w:pStyle w:val="ListBullet"/>
      </w:pPr>
      <w:r w:rsidRPr="007E6C13">
        <w:t xml:space="preserve">A person in an intimate personal relationship with the individual; or </w:t>
      </w:r>
    </w:p>
    <w:p w14:paraId="32296EC3" w14:textId="2C7FE242" w:rsidR="00F86778" w:rsidRPr="00B57271" w:rsidRDefault="003068F7" w:rsidP="00137AAB">
      <w:pPr>
        <w:pStyle w:val="ListBullet"/>
      </w:pPr>
      <w:r w:rsidRPr="007E6C13">
        <w:t>A person nominated</w:t>
      </w:r>
      <w:r>
        <w:t xml:space="preserve"> by the individual as their </w:t>
      </w:r>
      <w:r w:rsidR="00FE08E2">
        <w:t>in-case-of-emergency contact.</w:t>
      </w:r>
      <w:r w:rsidR="00240A63">
        <w:rPr>
          <w:rStyle w:val="FootnoteReference"/>
        </w:rPr>
        <w:footnoteReference w:id="55"/>
      </w:r>
      <w:r w:rsidR="00FE08E2">
        <w:t xml:space="preserve"> </w:t>
      </w:r>
      <w:r w:rsidR="00F86778">
        <w:t xml:space="preserve"> </w:t>
      </w:r>
    </w:p>
    <w:p w14:paraId="243F0402" w14:textId="7C984A21" w:rsidR="008B708A" w:rsidRDefault="00EE538E" w:rsidP="00137AAB">
      <w:r>
        <w:t xml:space="preserve">A </w:t>
      </w:r>
      <w:r w:rsidRPr="00137AAB">
        <w:t>permitted</w:t>
      </w:r>
      <w:r>
        <w:t xml:space="preserve"> health situation exists where an organisation providing health services to an individual</w:t>
      </w:r>
      <w:r w:rsidR="00A00FE7">
        <w:t xml:space="preserve">, discloses </w:t>
      </w:r>
      <w:r w:rsidR="001248DC">
        <w:t>information about the individual to their responsible person.</w:t>
      </w:r>
      <w:r>
        <w:t xml:space="preserve"> </w:t>
      </w:r>
      <w:r w:rsidR="004A05AB">
        <w:t xml:space="preserve">This is permitted on the condition that the individual is </w:t>
      </w:r>
      <w:r w:rsidR="00902EAA">
        <w:t xml:space="preserve">physically or legally incapable of giving </w:t>
      </w:r>
      <w:r w:rsidR="00E97B65">
        <w:t>consent to the disclosure</w:t>
      </w:r>
      <w:r w:rsidR="00D4251D">
        <w:t xml:space="preserve"> and </w:t>
      </w:r>
      <w:r w:rsidR="00F4403B">
        <w:t xml:space="preserve">the health service provider </w:t>
      </w:r>
      <w:r w:rsidR="007F2900">
        <w:t xml:space="preserve">is satisfied that the disclosure is </w:t>
      </w:r>
      <w:r w:rsidR="007F2900">
        <w:lastRenderedPageBreak/>
        <w:t>necessary for the individual’s care</w:t>
      </w:r>
      <w:r w:rsidR="00C56FE1">
        <w:t xml:space="preserve"> or treatment</w:t>
      </w:r>
      <w:r w:rsidR="00394669">
        <w:t xml:space="preserve"> or is made for compassionate reasons. </w:t>
      </w:r>
      <w:r w:rsidR="0061632E">
        <w:t xml:space="preserve">The disclosure is not permitted if the health service provider is aware (or should reasonable be aware) that the individual previous expressed a </w:t>
      </w:r>
      <w:r w:rsidR="00EF4E25">
        <w:t>wish for the disclosure not to be made.</w:t>
      </w:r>
      <w:r w:rsidR="00304B39">
        <w:rPr>
          <w:rStyle w:val="FootnoteReference"/>
        </w:rPr>
        <w:footnoteReference w:id="56"/>
      </w:r>
      <w:r w:rsidR="00EF4E25">
        <w:t xml:space="preserve"> </w:t>
      </w:r>
    </w:p>
    <w:p w14:paraId="36F6B2F7" w14:textId="09340A0F" w:rsidR="007738C6" w:rsidRPr="00F67476" w:rsidRDefault="007970F2" w:rsidP="002B5F46">
      <w:pPr>
        <w:pStyle w:val="Heading3"/>
      </w:pPr>
      <w:bookmarkStart w:id="77" w:name="_Toc118824329"/>
      <w:r w:rsidRPr="00F67476">
        <w:rPr>
          <w:lang w:val="en-AU"/>
        </w:rPr>
        <w:t>Does</w:t>
      </w:r>
      <w:r w:rsidR="007738C6" w:rsidRPr="00F67476">
        <w:rPr>
          <w:lang w:val="en-AU"/>
        </w:rPr>
        <w:t xml:space="preserve"> the Privacy Act </w:t>
      </w:r>
      <w:r w:rsidRPr="00F67476">
        <w:rPr>
          <w:lang w:val="en-AU"/>
        </w:rPr>
        <w:t>apply overseas?</w:t>
      </w:r>
      <w:bookmarkEnd w:id="77"/>
    </w:p>
    <w:p w14:paraId="04B004C4" w14:textId="4DFBCB58" w:rsidR="004A566D" w:rsidRPr="00CA1C32" w:rsidRDefault="004A566D" w:rsidP="00AC73DF">
      <w:r w:rsidRPr="00CA1C32">
        <w:t xml:space="preserve">The </w:t>
      </w:r>
      <w:r w:rsidRPr="002B5F46">
        <w:rPr>
          <w:i/>
        </w:rPr>
        <w:t>Privacy Act</w:t>
      </w:r>
      <w:r w:rsidRPr="00CA1C32">
        <w:t xml:space="preserve"> applies to entities that ‘hold’ the personal information of an individual</w:t>
      </w:r>
      <w:r w:rsidR="00197683">
        <w:t>.</w:t>
      </w:r>
      <w:r w:rsidRPr="00CA1C32">
        <w:t xml:space="preserve"> </w:t>
      </w:r>
      <w:r w:rsidR="00197683">
        <w:t>T</w:t>
      </w:r>
      <w:r w:rsidRPr="00CA1C32">
        <w:t>he Act defines ‘hold’ as having ‘possession or control’.</w:t>
      </w:r>
      <w:r w:rsidRPr="00CA1C32">
        <w:rPr>
          <w:rStyle w:val="FootnoteReference"/>
          <w:rFonts w:cs="Arial"/>
        </w:rPr>
        <w:footnoteReference w:id="57"/>
      </w:r>
      <w:r w:rsidRPr="00CA1C32">
        <w:t xml:space="preserve"> The </w:t>
      </w:r>
      <w:r w:rsidRPr="00CA1C32">
        <w:rPr>
          <w:i/>
          <w:iCs/>
        </w:rPr>
        <w:t>Privacy Act</w:t>
      </w:r>
      <w:r w:rsidRPr="00CA1C32">
        <w:t xml:space="preserve"> also applies extra-territorially </w:t>
      </w:r>
      <w:r>
        <w:t>thr</w:t>
      </w:r>
      <w:r w:rsidRPr="00CA1C32">
        <w:t xml:space="preserve">ough section 5B, extending </w:t>
      </w:r>
      <w:r w:rsidR="00A056F3">
        <w:t>to</w:t>
      </w:r>
      <w:r w:rsidRPr="00CA1C32">
        <w:t xml:space="preserve"> acts engaged overseas when there is an Australian link</w:t>
      </w:r>
      <w:r>
        <w:t>, this may be in the form an organisation or operator that is an Australian citizen, body corporate or Australian trust.</w:t>
      </w:r>
      <w:r>
        <w:rPr>
          <w:rStyle w:val="FootnoteReference"/>
          <w:rFonts w:cs="Arial"/>
        </w:rPr>
        <w:footnoteReference w:id="58"/>
      </w:r>
      <w:r w:rsidRPr="00CA1C32">
        <w:t xml:space="preserve"> In regard to the cross-border transfer of information,</w:t>
      </w:r>
      <w:r>
        <w:t xml:space="preserve"> entities disclosing</w:t>
      </w:r>
      <w:r w:rsidRPr="00CA1C32">
        <w:t xml:space="preserve"> personal information to an oversees entity, </w:t>
      </w:r>
      <w:r>
        <w:t>‘</w:t>
      </w:r>
      <w:r w:rsidRPr="00CA1C32">
        <w:rPr>
          <w:color w:val="000000"/>
          <w:shd w:val="clear" w:color="auto" w:fill="FFFFFF"/>
        </w:rPr>
        <w:t>must take such steps as are reasonable in the circumstances to ensure that the overseas recipient does not breach the Australian Privacy Principles in relation to that information</w:t>
      </w:r>
      <w:r>
        <w:rPr>
          <w:color w:val="000000"/>
          <w:shd w:val="clear" w:color="auto" w:fill="FFFFFF"/>
        </w:rPr>
        <w:t>’</w:t>
      </w:r>
      <w:r w:rsidRPr="00CA1C32">
        <w:rPr>
          <w:color w:val="000000"/>
          <w:shd w:val="clear" w:color="auto" w:fill="FFFFFF"/>
        </w:rPr>
        <w:t>.</w:t>
      </w:r>
      <w:r w:rsidRPr="00CA1C32">
        <w:rPr>
          <w:rStyle w:val="FootnoteReference"/>
          <w:rFonts w:cs="Arial"/>
          <w:color w:val="000000"/>
          <w:shd w:val="clear" w:color="auto" w:fill="FFFFFF"/>
        </w:rPr>
        <w:footnoteReference w:id="59"/>
      </w:r>
    </w:p>
    <w:p w14:paraId="6FB37B96" w14:textId="16F6E638" w:rsidR="004A566D" w:rsidRPr="00CA1C32" w:rsidRDefault="004A566D" w:rsidP="00AC73DF">
      <w:r w:rsidRPr="00CA1C32">
        <w:t xml:space="preserve">During </w:t>
      </w:r>
      <w:r w:rsidR="000275CA">
        <w:t xml:space="preserve">discussions with the Advisory Group </w:t>
      </w:r>
      <w:r w:rsidR="00095EFC">
        <w:t xml:space="preserve">concerns were raised that </w:t>
      </w:r>
      <w:r w:rsidRPr="00CA1C32">
        <w:t xml:space="preserve">Australia </w:t>
      </w:r>
      <w:r w:rsidR="00095EFC">
        <w:t xml:space="preserve">may lack </w:t>
      </w:r>
      <w:r w:rsidRPr="00CA1C32">
        <w:t xml:space="preserve">the infrastructure needed for largescale storage of genomic information. As such, much of the information must be stored </w:t>
      </w:r>
      <w:r w:rsidR="008F736F">
        <w:t>outside Australia,</w:t>
      </w:r>
      <w:r w:rsidRPr="00CA1C32">
        <w:t xml:space="preserve"> on the cloud</w:t>
      </w:r>
      <w:r w:rsidR="008F736F">
        <w:t xml:space="preserve"> or on other external servers. </w:t>
      </w:r>
      <w:r w:rsidR="009F6C16">
        <w:t xml:space="preserve">In addition, </w:t>
      </w:r>
      <w:r w:rsidR="004257DA">
        <w:t>it is common for academic journals to make it</w:t>
      </w:r>
      <w:r w:rsidR="003E4BB8">
        <w:t xml:space="preserve"> a requirement of</w:t>
      </w:r>
      <w:r w:rsidRPr="00CA1C32">
        <w:t xml:space="preserve"> </w:t>
      </w:r>
      <w:r w:rsidR="004257DA">
        <w:t xml:space="preserve">publication, that an article </w:t>
      </w:r>
      <w:r w:rsidR="00222950">
        <w:t xml:space="preserve">be </w:t>
      </w:r>
      <w:r w:rsidRPr="00CA1C32">
        <w:t>made publicly available</w:t>
      </w:r>
      <w:r w:rsidR="0071486E">
        <w:t>,</w:t>
      </w:r>
      <w:r w:rsidRPr="00CA1C32">
        <w:t xml:space="preserve"> or </w:t>
      </w:r>
      <w:r w:rsidR="0071486E">
        <w:t xml:space="preserve">be kept </w:t>
      </w:r>
      <w:r w:rsidRPr="00CA1C32">
        <w:t xml:space="preserve">on their servers. </w:t>
      </w:r>
      <w:r w:rsidR="00DB7D59">
        <w:t xml:space="preserve">In these circumstances compliance with </w:t>
      </w:r>
      <w:r w:rsidR="00442AB9" w:rsidRPr="00442AB9">
        <w:rPr>
          <w:i/>
          <w:iCs/>
        </w:rPr>
        <w:t>Privacy Act</w:t>
      </w:r>
      <w:r w:rsidR="00442AB9">
        <w:t xml:space="preserve"> can be challenging. </w:t>
      </w:r>
    </w:p>
    <w:p w14:paraId="6F8BB6EA" w14:textId="12228F23" w:rsidR="00733580" w:rsidRDefault="00C3212E" w:rsidP="00AC73DF">
      <w:r>
        <w:t xml:space="preserve">Digital storage of information is also vulnerable to </w:t>
      </w:r>
      <w:r w:rsidR="00BE4D47">
        <w:t>security breaches</w:t>
      </w:r>
      <w:r w:rsidR="004256E2">
        <w:t>:</w:t>
      </w:r>
      <w:r w:rsidR="004A566D" w:rsidRPr="00CA1C32">
        <w:t xml:space="preserve"> custodians of health related genomic information may be able to add in safeguards and limitations on access to the data held on the cloud or outside the country in accordance with </w:t>
      </w:r>
      <w:r w:rsidR="004A566D">
        <w:t>s1</w:t>
      </w:r>
      <w:r w:rsidR="004A566D" w:rsidRPr="00CA1C32">
        <w:t>6C</w:t>
      </w:r>
      <w:r w:rsidR="00A3431E">
        <w:t xml:space="preserve"> but </w:t>
      </w:r>
      <w:r w:rsidR="004A6393">
        <w:t>n</w:t>
      </w:r>
      <w:r w:rsidR="00C67B06">
        <w:t>evertheless, breaches of privacy, or misuse of data could still occur</w:t>
      </w:r>
      <w:r w:rsidR="004A566D" w:rsidRPr="00CA1C32">
        <w:t xml:space="preserve">. </w:t>
      </w:r>
    </w:p>
    <w:p w14:paraId="355489D3" w14:textId="3E2B4824" w:rsidR="004A566D" w:rsidRPr="00CA1C32" w:rsidRDefault="00814552" w:rsidP="00AC73DF">
      <w:r>
        <w:t xml:space="preserve">Another </w:t>
      </w:r>
      <w:r w:rsidR="00637785">
        <w:t>challenge to holding and controlling information arises in the context of funding.</w:t>
      </w:r>
      <w:r w:rsidR="00EA2991">
        <w:t xml:space="preserve"> </w:t>
      </w:r>
      <w:r w:rsidR="00AB5C0F">
        <w:t xml:space="preserve">Studies are generally funded on the understanding that results will be published. </w:t>
      </w:r>
      <w:r w:rsidR="001561C4">
        <w:t>H</w:t>
      </w:r>
      <w:r w:rsidR="004A566D" w:rsidRPr="00CA1C32">
        <w:t>owever</w:t>
      </w:r>
      <w:r w:rsidR="00B01754">
        <w:t>, publication</w:t>
      </w:r>
      <w:r w:rsidR="004A566D" w:rsidRPr="00CA1C32">
        <w:t xml:space="preserve"> involves sharing information</w:t>
      </w:r>
      <w:r w:rsidR="00EA3EEB">
        <w:t>,</w:t>
      </w:r>
      <w:r w:rsidR="004A566D" w:rsidRPr="00CA1C32">
        <w:t xml:space="preserve"> which may lead to </w:t>
      </w:r>
      <w:r w:rsidR="00740518">
        <w:t>its</w:t>
      </w:r>
      <w:r w:rsidR="004A566D" w:rsidRPr="00CA1C32">
        <w:t xml:space="preserve"> misuse. This is a sensitive topic area </w:t>
      </w:r>
      <w:r w:rsidR="00E6760F">
        <w:t xml:space="preserve">requiring careful consideration of risk management procedures. </w:t>
      </w:r>
      <w:r w:rsidR="00BD694C">
        <w:t xml:space="preserve">The risks must also be </w:t>
      </w:r>
      <w:r w:rsidR="001E18E6">
        <w:t>discussed</w:t>
      </w:r>
      <w:r w:rsidR="004A566D" w:rsidRPr="00CA1C32">
        <w:t xml:space="preserve"> with </w:t>
      </w:r>
      <w:r w:rsidR="001E18E6">
        <w:t xml:space="preserve">the </w:t>
      </w:r>
      <w:r w:rsidR="004A566D" w:rsidRPr="00CA1C32">
        <w:t>community</w:t>
      </w:r>
      <w:r w:rsidR="001E18E6">
        <w:t>;</w:t>
      </w:r>
      <w:r w:rsidR="004A566D" w:rsidRPr="00CA1C32">
        <w:t xml:space="preserve"> the positives, negatives and potential implications of publishing data</w:t>
      </w:r>
      <w:r w:rsidR="001E18E6">
        <w:t xml:space="preserve">. </w:t>
      </w:r>
    </w:p>
    <w:p w14:paraId="07382EBC" w14:textId="77777777" w:rsidR="004A566D" w:rsidRPr="00F67476" w:rsidRDefault="004A566D" w:rsidP="002B5F46">
      <w:pPr>
        <w:pStyle w:val="Heading3"/>
      </w:pPr>
      <w:bookmarkStart w:id="78" w:name="_Toc118824330"/>
      <w:r w:rsidRPr="00F67476">
        <w:rPr>
          <w:lang w:val="en-AU"/>
        </w:rPr>
        <w:t>Concluding Comments</w:t>
      </w:r>
      <w:bookmarkEnd w:id="78"/>
    </w:p>
    <w:p w14:paraId="116595ED" w14:textId="3976F59D" w:rsidR="004A566D" w:rsidRPr="00B24E5E" w:rsidRDefault="004A566D" w:rsidP="00AC73DF">
      <w:pPr>
        <w:rPr>
          <w:shd w:val="clear" w:color="auto" w:fill="FFFFFF"/>
        </w:rPr>
      </w:pPr>
      <w:r>
        <w:t xml:space="preserve">The </w:t>
      </w:r>
      <w:r w:rsidRPr="00D168B8">
        <w:rPr>
          <w:i/>
          <w:iCs/>
        </w:rPr>
        <w:t>Privacy Act</w:t>
      </w:r>
      <w:r>
        <w:t xml:space="preserve"> contains guidelines to allow for the non-consensual use of personal information for research purposes. This give researchers a large amount of discretion. For this reason, the framework has been criticised as ineffective. The use of guidelines to set the framework passes responsibility and discretion to individuals – the researchers, scientists and geneticists for example, who may or may not have expertise to identify cultural issues when dealing with Indigenous </w:t>
      </w:r>
      <w:r w:rsidRPr="00B24E5E">
        <w:t xml:space="preserve">health genomics. </w:t>
      </w:r>
      <w:r w:rsidRPr="008E5C92">
        <w:t xml:space="preserve">The </w:t>
      </w:r>
      <w:r w:rsidR="005721A2" w:rsidRPr="005721A2">
        <w:rPr>
          <w:shd w:val="clear" w:color="auto" w:fill="FFFFFF"/>
        </w:rPr>
        <w:t>Policies</w:t>
      </w:r>
      <w:r w:rsidR="005721A2">
        <w:rPr>
          <w:shd w:val="clear" w:color="auto" w:fill="FFFFFF"/>
        </w:rPr>
        <w:t>,</w:t>
      </w:r>
      <w:r w:rsidR="005721A2" w:rsidRPr="005721A2">
        <w:rPr>
          <w:shd w:val="clear" w:color="auto" w:fill="FFFFFF"/>
        </w:rPr>
        <w:t xml:space="preserve"> discussed in</w:t>
      </w:r>
      <w:r w:rsidRPr="005721A2">
        <w:rPr>
          <w:shd w:val="clear" w:color="auto" w:fill="FFFFFF"/>
        </w:rPr>
        <w:t xml:space="preserve"> Section</w:t>
      </w:r>
      <w:r w:rsidR="005721A2" w:rsidRPr="005721A2">
        <w:rPr>
          <w:shd w:val="clear" w:color="auto" w:fill="FFFFFF"/>
        </w:rPr>
        <w:t xml:space="preserve"> </w:t>
      </w:r>
      <w:r w:rsidR="005721A2" w:rsidRPr="00E978E1">
        <w:rPr>
          <w:b/>
          <w:shd w:val="clear" w:color="auto" w:fill="FFFFFF"/>
        </w:rPr>
        <w:fldChar w:fldCharType="begin"/>
      </w:r>
      <w:r w:rsidR="005721A2" w:rsidRPr="00E978E1">
        <w:rPr>
          <w:b/>
          <w:shd w:val="clear" w:color="auto" w:fill="FFFFFF"/>
        </w:rPr>
        <w:instrText xml:space="preserve"> REF _Ref39152698 \w \h  \* MERGEFORMAT </w:instrText>
      </w:r>
      <w:r w:rsidR="005721A2" w:rsidRPr="00E978E1">
        <w:rPr>
          <w:b/>
          <w:shd w:val="clear" w:color="auto" w:fill="FFFFFF"/>
        </w:rPr>
      </w:r>
      <w:r w:rsidR="005721A2" w:rsidRPr="00E978E1">
        <w:rPr>
          <w:b/>
          <w:shd w:val="clear" w:color="auto" w:fill="FFFFFF"/>
        </w:rPr>
        <w:fldChar w:fldCharType="separate"/>
      </w:r>
      <w:r w:rsidR="000B4085">
        <w:rPr>
          <w:b/>
          <w:shd w:val="clear" w:color="auto" w:fill="FFFFFF"/>
        </w:rPr>
        <w:t>7</w:t>
      </w:r>
      <w:r w:rsidR="005721A2" w:rsidRPr="00E978E1">
        <w:rPr>
          <w:b/>
          <w:shd w:val="clear" w:color="auto" w:fill="FFFFFF"/>
        </w:rPr>
        <w:fldChar w:fldCharType="end"/>
      </w:r>
      <w:r w:rsidRPr="008E5C92">
        <w:rPr>
          <w:shd w:val="clear" w:color="auto" w:fill="FFFFFF"/>
        </w:rPr>
        <w:t>,</w:t>
      </w:r>
      <w:r w:rsidRPr="00B24E5E">
        <w:rPr>
          <w:shd w:val="clear" w:color="auto" w:fill="FFFFFF"/>
        </w:rPr>
        <w:t xml:space="preserve"> can provide safeguards within themselves, however with a lack of a permanent national or state based representative(s) or </w:t>
      </w:r>
      <w:r w:rsidR="007F0757">
        <w:rPr>
          <w:shd w:val="clear" w:color="auto" w:fill="FFFFFF"/>
        </w:rPr>
        <w:t>a</w:t>
      </w:r>
      <w:r w:rsidR="00A157D0">
        <w:rPr>
          <w:shd w:val="clear" w:color="auto" w:fill="FFFFFF"/>
        </w:rPr>
        <w:t xml:space="preserve"> c</w:t>
      </w:r>
      <w:r w:rsidRPr="00B24E5E">
        <w:rPr>
          <w:shd w:val="clear" w:color="auto" w:fill="FFFFFF"/>
        </w:rPr>
        <w:t xml:space="preserve">ommittee on Indigenous genomic research, there </w:t>
      </w:r>
      <w:r w:rsidR="00B95810">
        <w:rPr>
          <w:shd w:val="clear" w:color="auto" w:fill="FFFFFF"/>
        </w:rPr>
        <w:t xml:space="preserve">remains </w:t>
      </w:r>
      <w:r w:rsidRPr="00B24E5E">
        <w:rPr>
          <w:shd w:val="clear" w:color="auto" w:fill="FFFFFF"/>
        </w:rPr>
        <w:t xml:space="preserve">a </w:t>
      </w:r>
      <w:r w:rsidRPr="00B24E5E">
        <w:rPr>
          <w:shd w:val="clear" w:color="auto" w:fill="FFFFFF"/>
        </w:rPr>
        <w:lastRenderedPageBreak/>
        <w:t xml:space="preserve">large possibility for research to be approved without an </w:t>
      </w:r>
      <w:r w:rsidR="00C43900">
        <w:rPr>
          <w:shd w:val="clear" w:color="auto" w:fill="FFFFFF"/>
        </w:rPr>
        <w:t xml:space="preserve">Aboriginal or Torres Strait Islander </w:t>
      </w:r>
      <w:r w:rsidRPr="00B24E5E">
        <w:rPr>
          <w:shd w:val="clear" w:color="auto" w:fill="FFFFFF"/>
        </w:rPr>
        <w:t>voice at the table to give light to potential cultural concerns within a proposal.</w:t>
      </w:r>
    </w:p>
    <w:p w14:paraId="7771271D" w14:textId="79688303" w:rsidR="004A566D" w:rsidRPr="00B24E5E" w:rsidRDefault="004A566D" w:rsidP="00F0664C">
      <w:pPr>
        <w:rPr>
          <w:shd w:val="clear" w:color="auto" w:fill="FFFFFF"/>
        </w:rPr>
      </w:pPr>
      <w:r w:rsidRPr="00B24E5E">
        <w:rPr>
          <w:shd w:val="clear" w:color="auto" w:fill="FFFFFF"/>
        </w:rPr>
        <w:t>A further key concern arise</w:t>
      </w:r>
      <w:r w:rsidR="000349F6">
        <w:rPr>
          <w:shd w:val="clear" w:color="auto" w:fill="FFFFFF"/>
        </w:rPr>
        <w:t>s</w:t>
      </w:r>
      <w:r w:rsidRPr="00B24E5E">
        <w:rPr>
          <w:shd w:val="clear" w:color="auto" w:fill="FFFFFF"/>
        </w:rPr>
        <w:t xml:space="preserve"> when the use or disclosure is authorised under Australian law or a Court/Tribunal order.</w:t>
      </w:r>
      <w:r w:rsidRPr="00B24E5E">
        <w:rPr>
          <w:rStyle w:val="FootnoteReference"/>
          <w:rFonts w:cs="Arial"/>
          <w:shd w:val="clear" w:color="auto" w:fill="FFFFFF"/>
        </w:rPr>
        <w:footnoteReference w:id="60"/>
      </w:r>
      <w:r w:rsidRPr="00B24E5E">
        <w:rPr>
          <w:shd w:val="clear" w:color="auto" w:fill="FFFFFF"/>
        </w:rPr>
        <w:t xml:space="preserve"> Throughout </w:t>
      </w:r>
      <w:r w:rsidR="00AB3A72">
        <w:rPr>
          <w:shd w:val="clear" w:color="auto" w:fill="FFFFFF"/>
        </w:rPr>
        <w:t xml:space="preserve">discussions with the Advisory Group </w:t>
      </w:r>
      <w:r w:rsidRPr="00B24E5E">
        <w:rPr>
          <w:shd w:val="clear" w:color="auto" w:fill="FFFFFF"/>
        </w:rPr>
        <w:t xml:space="preserve">the importance of consent </w:t>
      </w:r>
      <w:r w:rsidR="00F407C3">
        <w:rPr>
          <w:shd w:val="clear" w:color="auto" w:fill="FFFFFF"/>
        </w:rPr>
        <w:t xml:space="preserve">was clear, as was the </w:t>
      </w:r>
      <w:r w:rsidR="00752E40">
        <w:rPr>
          <w:shd w:val="clear" w:color="auto" w:fill="FFFFFF"/>
        </w:rPr>
        <w:t xml:space="preserve">importance of </w:t>
      </w:r>
      <w:r w:rsidRPr="00B24E5E">
        <w:rPr>
          <w:shd w:val="clear" w:color="auto" w:fill="FFFFFF"/>
        </w:rPr>
        <w:t xml:space="preserve">strict </w:t>
      </w:r>
      <w:r w:rsidR="00B62155">
        <w:rPr>
          <w:shd w:val="clear" w:color="auto" w:fill="FFFFFF"/>
        </w:rPr>
        <w:t xml:space="preserve">compliance with the parameters of consent </w:t>
      </w:r>
      <w:r w:rsidR="0048131F">
        <w:rPr>
          <w:shd w:val="clear" w:color="auto" w:fill="FFFFFF"/>
        </w:rPr>
        <w:t>as</w:t>
      </w:r>
      <w:r w:rsidR="009A0819">
        <w:rPr>
          <w:shd w:val="clear" w:color="auto" w:fill="FFFFFF"/>
        </w:rPr>
        <w:t xml:space="preserve"> essential </w:t>
      </w:r>
      <w:r w:rsidR="005D15B4">
        <w:rPr>
          <w:shd w:val="clear" w:color="auto" w:fill="FFFFFF"/>
        </w:rPr>
        <w:t xml:space="preserve">to </w:t>
      </w:r>
      <w:r w:rsidR="00FF574D">
        <w:rPr>
          <w:shd w:val="clear" w:color="auto" w:fill="FFFFFF"/>
        </w:rPr>
        <w:t>maintenance of</w:t>
      </w:r>
      <w:r w:rsidRPr="00B24E5E">
        <w:rPr>
          <w:shd w:val="clear" w:color="auto" w:fill="FFFFFF"/>
        </w:rPr>
        <w:t xml:space="preserve"> </w:t>
      </w:r>
      <w:r w:rsidR="00760540">
        <w:rPr>
          <w:shd w:val="clear" w:color="auto" w:fill="FFFFFF"/>
        </w:rPr>
        <w:t xml:space="preserve">community </w:t>
      </w:r>
      <w:r w:rsidR="00FF574D">
        <w:rPr>
          <w:shd w:val="clear" w:color="auto" w:fill="FFFFFF"/>
        </w:rPr>
        <w:t>trust</w:t>
      </w:r>
      <w:r w:rsidR="00760540">
        <w:rPr>
          <w:shd w:val="clear" w:color="auto" w:fill="FFFFFF"/>
        </w:rPr>
        <w:t>.</w:t>
      </w:r>
      <w:r w:rsidRPr="00B24E5E">
        <w:rPr>
          <w:shd w:val="clear" w:color="auto" w:fill="FFFFFF"/>
        </w:rPr>
        <w:t xml:space="preserve"> In </w:t>
      </w:r>
      <w:r w:rsidR="00951590">
        <w:rPr>
          <w:shd w:val="clear" w:color="auto" w:fill="FFFFFF"/>
        </w:rPr>
        <w:t>several</w:t>
      </w:r>
      <w:r w:rsidRPr="00B24E5E">
        <w:rPr>
          <w:shd w:val="clear" w:color="auto" w:fill="FFFFFF"/>
        </w:rPr>
        <w:t xml:space="preserve"> </w:t>
      </w:r>
      <w:r w:rsidR="00046BF0">
        <w:rPr>
          <w:shd w:val="clear" w:color="auto" w:fill="FFFFFF"/>
        </w:rPr>
        <w:t>discussion</w:t>
      </w:r>
      <w:r w:rsidR="00951590">
        <w:rPr>
          <w:shd w:val="clear" w:color="auto" w:fill="FFFFFF"/>
        </w:rPr>
        <w:t>s</w:t>
      </w:r>
      <w:r w:rsidRPr="00B24E5E">
        <w:rPr>
          <w:shd w:val="clear" w:color="auto" w:fill="FFFFFF"/>
        </w:rPr>
        <w:t xml:space="preserve">, </w:t>
      </w:r>
      <w:r w:rsidR="00046BF0">
        <w:rPr>
          <w:shd w:val="clear" w:color="auto" w:fill="FFFFFF"/>
        </w:rPr>
        <w:t xml:space="preserve">concern was raised about </w:t>
      </w:r>
      <w:r w:rsidRPr="00B24E5E">
        <w:rPr>
          <w:shd w:val="clear" w:color="auto" w:fill="FFFFFF"/>
        </w:rPr>
        <w:t xml:space="preserve">whether </w:t>
      </w:r>
      <w:r w:rsidR="00951590">
        <w:rPr>
          <w:shd w:val="clear" w:color="auto" w:fill="FFFFFF"/>
        </w:rPr>
        <w:t xml:space="preserve">genomic </w:t>
      </w:r>
      <w:r w:rsidRPr="00B24E5E">
        <w:rPr>
          <w:shd w:val="clear" w:color="auto" w:fill="FFFFFF"/>
        </w:rPr>
        <w:t>information could be used for criminal matters</w:t>
      </w:r>
      <w:r w:rsidR="00951590">
        <w:rPr>
          <w:shd w:val="clear" w:color="auto" w:fill="FFFFFF"/>
        </w:rPr>
        <w:t xml:space="preserve">, against donor and community wishes. </w:t>
      </w:r>
      <w:r w:rsidRPr="00B24E5E">
        <w:rPr>
          <w:shd w:val="clear" w:color="auto" w:fill="FFFFFF"/>
        </w:rPr>
        <w:t>Furthermore, serious concerns have been raised regarding potential registers around using genetics to determine connection to Country, such as in Native Title Cases and fear of moving down a blood quantum path as is seen in some First Nations communities in North America.</w:t>
      </w:r>
    </w:p>
    <w:p w14:paraId="760B997F" w14:textId="45F5952C" w:rsidR="004A566D" w:rsidRPr="00E44107" w:rsidRDefault="004A566D" w:rsidP="00AC73DF">
      <w:pPr>
        <w:rPr>
          <w:shd w:val="clear" w:color="auto" w:fill="FFFFFF"/>
        </w:rPr>
      </w:pPr>
      <w:r w:rsidRPr="00B24E5E">
        <w:rPr>
          <w:shd w:val="clear" w:color="auto" w:fill="FFFFFF"/>
        </w:rPr>
        <w:t xml:space="preserve">Given the misuse of Indigenous health information and mistreatment of Indigenous peoples, the </w:t>
      </w:r>
      <w:r w:rsidR="006F0918">
        <w:rPr>
          <w:shd w:val="clear" w:color="auto" w:fill="FFFFFF"/>
        </w:rPr>
        <w:t>Court</w:t>
      </w:r>
      <w:r w:rsidR="00667241">
        <w:rPr>
          <w:shd w:val="clear" w:color="auto" w:fill="FFFFFF"/>
        </w:rPr>
        <w:t>-</w:t>
      </w:r>
      <w:r w:rsidRPr="00B24E5E">
        <w:rPr>
          <w:shd w:val="clear" w:color="auto" w:fill="FFFFFF"/>
        </w:rPr>
        <w:t xml:space="preserve">ordered use of </w:t>
      </w:r>
      <w:r w:rsidR="00116E2F">
        <w:rPr>
          <w:shd w:val="clear" w:color="auto" w:fill="FFFFFF"/>
        </w:rPr>
        <w:t xml:space="preserve">Aboriginal and Torres Strait Islander </w:t>
      </w:r>
      <w:r w:rsidRPr="00B24E5E">
        <w:rPr>
          <w:shd w:val="clear" w:color="auto" w:fill="FFFFFF"/>
        </w:rPr>
        <w:t>genomic information without the consent of the community is a serious issue that can derail many advancements made in community trust towards genomics research</w:t>
      </w:r>
      <w:r w:rsidR="00010173">
        <w:rPr>
          <w:shd w:val="clear" w:color="auto" w:fill="FFFFFF"/>
        </w:rPr>
        <w:t xml:space="preserve"> and health care</w:t>
      </w:r>
      <w:r w:rsidRPr="00B24E5E">
        <w:rPr>
          <w:shd w:val="clear" w:color="auto" w:fill="FFFFFF"/>
        </w:rPr>
        <w:t>.</w:t>
      </w:r>
    </w:p>
    <w:p w14:paraId="5B8DB6A4" w14:textId="77777777" w:rsidR="00A97230" w:rsidRPr="00F67476" w:rsidRDefault="00A97230" w:rsidP="001875BF">
      <w:pPr>
        <w:pStyle w:val="Heading2"/>
        <w:rPr>
          <w:lang w:val="en-AU"/>
        </w:rPr>
      </w:pPr>
      <w:bookmarkStart w:id="79" w:name="_Ref45033033"/>
      <w:bookmarkStart w:id="80" w:name="_Toc118824331"/>
      <w:r w:rsidRPr="00F67476">
        <w:rPr>
          <w:lang w:val="en-AU"/>
        </w:rPr>
        <w:t>The Rights of Patients in a Clinical Setting</w:t>
      </w:r>
      <w:bookmarkEnd w:id="79"/>
      <w:bookmarkEnd w:id="80"/>
    </w:p>
    <w:p w14:paraId="2AB7ED60" w14:textId="11BAD052" w:rsidR="000D0236" w:rsidRDefault="005E48A9" w:rsidP="00FA1AD5">
      <w:pPr>
        <w:spacing w:before="240"/>
        <w:rPr>
          <w:rFonts w:cs="Arial"/>
        </w:rPr>
      </w:pPr>
      <w:r>
        <w:rPr>
          <w:rFonts w:cs="Arial"/>
        </w:rPr>
        <w:t>T</w:t>
      </w:r>
      <w:r w:rsidR="00A97230" w:rsidRPr="00E41A73">
        <w:rPr>
          <w:rFonts w:cs="Arial"/>
        </w:rPr>
        <w:t>he rights and privileges afforded to patients derive from common law, statute or the professional obligations of healthcare providers</w:t>
      </w:r>
      <w:r w:rsidR="00A97230" w:rsidRPr="00412927">
        <w:rPr>
          <w:rFonts w:cs="Arial"/>
          <w:sz w:val="18"/>
          <w:szCs w:val="20"/>
        </w:rPr>
        <w:t xml:space="preserve">. </w:t>
      </w:r>
      <w:r w:rsidR="000D0236" w:rsidRPr="00D037DD">
        <w:rPr>
          <w:rFonts w:cs="Arial"/>
        </w:rPr>
        <w:t xml:space="preserve">There is an important distinction between </w:t>
      </w:r>
      <w:r w:rsidR="009A3CA4" w:rsidRPr="00D037DD">
        <w:rPr>
          <w:rFonts w:cs="Arial"/>
        </w:rPr>
        <w:t xml:space="preserve">regulation through common law and statute, and regulations </w:t>
      </w:r>
      <w:r w:rsidR="00F93154" w:rsidRPr="00D037DD">
        <w:rPr>
          <w:rFonts w:cs="Arial"/>
        </w:rPr>
        <w:t>published by professional</w:t>
      </w:r>
      <w:r w:rsidR="00613A1E" w:rsidRPr="00D037DD">
        <w:rPr>
          <w:rFonts w:cs="Arial"/>
        </w:rPr>
        <w:t xml:space="preserve"> bodies</w:t>
      </w:r>
      <w:r w:rsidR="00E45865" w:rsidRPr="00D037DD">
        <w:rPr>
          <w:rFonts w:cs="Arial"/>
        </w:rPr>
        <w:t xml:space="preserve">. </w:t>
      </w:r>
      <w:r w:rsidR="00A97230" w:rsidRPr="00E41A73">
        <w:rPr>
          <w:rFonts w:cs="Arial"/>
        </w:rPr>
        <w:t>Th</w:t>
      </w:r>
      <w:r w:rsidR="006D1A94">
        <w:rPr>
          <w:rFonts w:cs="Arial"/>
        </w:rPr>
        <w:t>rough</w:t>
      </w:r>
      <w:r w:rsidR="00A97230" w:rsidRPr="00E41A73">
        <w:rPr>
          <w:rFonts w:cs="Arial"/>
        </w:rPr>
        <w:t xml:space="preserve"> common law and statute</w:t>
      </w:r>
      <w:r w:rsidR="007D4D1C">
        <w:rPr>
          <w:rFonts w:cs="Arial"/>
        </w:rPr>
        <w:t>,</w:t>
      </w:r>
      <w:r w:rsidR="00A97230" w:rsidRPr="00E41A73">
        <w:rPr>
          <w:rFonts w:cs="Arial"/>
        </w:rPr>
        <w:t xml:space="preserve"> the parliament and courts provide rights to patients. </w:t>
      </w:r>
      <w:r w:rsidR="0091678C">
        <w:rPr>
          <w:rFonts w:cs="Arial"/>
        </w:rPr>
        <w:t xml:space="preserve">However, </w:t>
      </w:r>
      <w:r w:rsidR="00894628">
        <w:rPr>
          <w:rFonts w:cs="Arial"/>
        </w:rPr>
        <w:t xml:space="preserve">professional standards regulations, </w:t>
      </w:r>
      <w:r w:rsidR="00697530">
        <w:rPr>
          <w:rFonts w:cs="Arial"/>
        </w:rPr>
        <w:t xml:space="preserve">published by professional bodies, are </w:t>
      </w:r>
      <w:r w:rsidR="00AE17A3">
        <w:rPr>
          <w:rFonts w:cs="Arial"/>
        </w:rPr>
        <w:t xml:space="preserve">methods of self-regulation setting minimum standards for professionals. </w:t>
      </w:r>
      <w:r w:rsidR="00735376">
        <w:rPr>
          <w:rFonts w:cs="Arial"/>
        </w:rPr>
        <w:t xml:space="preserve">Maintenance of professional standards </w:t>
      </w:r>
      <w:r w:rsidR="00BB761C">
        <w:rPr>
          <w:rFonts w:cs="Arial"/>
        </w:rPr>
        <w:t>upholds</w:t>
      </w:r>
      <w:r w:rsidR="00735376">
        <w:rPr>
          <w:rFonts w:cs="Arial"/>
        </w:rPr>
        <w:t xml:space="preserve"> the </w:t>
      </w:r>
      <w:r w:rsidR="00D037DD">
        <w:rPr>
          <w:rFonts w:cs="Arial"/>
        </w:rPr>
        <w:t>reputation and integrity of that profession</w:t>
      </w:r>
      <w:r w:rsidR="00BB761C">
        <w:rPr>
          <w:rFonts w:cs="Arial"/>
        </w:rPr>
        <w:t xml:space="preserve"> by</w:t>
      </w:r>
      <w:r w:rsidR="00A5238A">
        <w:rPr>
          <w:rFonts w:cs="Arial"/>
        </w:rPr>
        <w:t xml:space="preserve"> indirectly recognising patient rights</w:t>
      </w:r>
      <w:r w:rsidR="00D037DD">
        <w:rPr>
          <w:rFonts w:cs="Arial"/>
        </w:rPr>
        <w:t>.</w:t>
      </w:r>
    </w:p>
    <w:p w14:paraId="6E005269" w14:textId="53B21F6B" w:rsidR="001B286B" w:rsidRDefault="00F26A94" w:rsidP="00FA1AD5">
      <w:pPr>
        <w:spacing w:before="240"/>
        <w:rPr>
          <w:rFonts w:cs="Arial"/>
        </w:rPr>
      </w:pPr>
      <w:r>
        <w:rPr>
          <w:rFonts w:cs="Arial"/>
        </w:rPr>
        <w:t>That said, while</w:t>
      </w:r>
      <w:r w:rsidR="00A97230" w:rsidRPr="00E41A73">
        <w:rPr>
          <w:rFonts w:cs="Arial"/>
        </w:rPr>
        <w:t xml:space="preserve"> professional obligations may only result in indirect remedies, they can however force cultural change within an organisation</w:t>
      </w:r>
      <w:r w:rsidR="003F7E67">
        <w:rPr>
          <w:rFonts w:cs="Arial"/>
        </w:rPr>
        <w:t>.</w:t>
      </w:r>
      <w:r w:rsidR="00BA5940">
        <w:rPr>
          <w:rFonts w:cs="Arial"/>
        </w:rPr>
        <w:t xml:space="preserve"> I</w:t>
      </w:r>
      <w:r w:rsidR="00A97230" w:rsidRPr="00E41A73">
        <w:rPr>
          <w:rFonts w:cs="Arial"/>
        </w:rPr>
        <w:t xml:space="preserve">n the case of the healthcare system, </w:t>
      </w:r>
      <w:r w:rsidR="00290631">
        <w:rPr>
          <w:rFonts w:cs="Arial"/>
        </w:rPr>
        <w:t>professional standards</w:t>
      </w:r>
      <w:r w:rsidR="00A97230" w:rsidRPr="00E41A73">
        <w:rPr>
          <w:rFonts w:cs="Arial"/>
        </w:rPr>
        <w:t xml:space="preserve"> </w:t>
      </w:r>
      <w:r w:rsidR="00056405">
        <w:rPr>
          <w:rFonts w:cs="Arial"/>
        </w:rPr>
        <w:t>have the potential to</w:t>
      </w:r>
      <w:r w:rsidR="00A97230" w:rsidRPr="00E41A73">
        <w:rPr>
          <w:rFonts w:cs="Arial"/>
        </w:rPr>
        <w:t xml:space="preserve"> address the systematic</w:t>
      </w:r>
      <w:r w:rsidR="00C26153">
        <w:rPr>
          <w:rFonts w:cs="Arial"/>
        </w:rPr>
        <w:t xml:space="preserve"> </w:t>
      </w:r>
      <w:r w:rsidR="00861A88">
        <w:rPr>
          <w:rFonts w:cs="Arial"/>
        </w:rPr>
        <w:t xml:space="preserve">issues </w:t>
      </w:r>
      <w:r w:rsidR="00C26153">
        <w:rPr>
          <w:rFonts w:cs="Arial"/>
        </w:rPr>
        <w:t>faced</w:t>
      </w:r>
      <w:r w:rsidR="00A97230" w:rsidRPr="00E41A73">
        <w:rPr>
          <w:rFonts w:cs="Arial"/>
        </w:rPr>
        <w:t xml:space="preserve"> by </w:t>
      </w:r>
      <w:r w:rsidR="004820D9">
        <w:rPr>
          <w:rFonts w:cs="Arial"/>
        </w:rPr>
        <w:t xml:space="preserve">Aboriginal and Torres Strait Islander </w:t>
      </w:r>
      <w:r w:rsidR="00A97230" w:rsidRPr="00E41A73">
        <w:rPr>
          <w:rFonts w:cs="Arial"/>
        </w:rPr>
        <w:t xml:space="preserve">peoples. </w:t>
      </w:r>
    </w:p>
    <w:p w14:paraId="6AE64299" w14:textId="3ED60349" w:rsidR="005D58D8" w:rsidRDefault="00A97230" w:rsidP="00FA1AD5">
      <w:pPr>
        <w:spacing w:before="240"/>
        <w:rPr>
          <w:rFonts w:cs="Arial"/>
        </w:rPr>
      </w:pPr>
      <w:r w:rsidRPr="00E41A73">
        <w:rPr>
          <w:rFonts w:cs="Arial"/>
        </w:rPr>
        <w:t xml:space="preserve">For the purposes of this section, the patient rights will be split into </w:t>
      </w:r>
      <w:r w:rsidR="00B44CF8">
        <w:rPr>
          <w:rFonts w:cs="Arial"/>
        </w:rPr>
        <w:t xml:space="preserve">substantive </w:t>
      </w:r>
      <w:r w:rsidRPr="00E41A73">
        <w:rPr>
          <w:rFonts w:cs="Arial"/>
        </w:rPr>
        <w:t>rights and procedural rights</w:t>
      </w:r>
      <w:r w:rsidR="005D58D8">
        <w:rPr>
          <w:rFonts w:cs="Arial"/>
        </w:rPr>
        <w:t>:</w:t>
      </w:r>
      <w:r w:rsidRPr="00E41A73">
        <w:rPr>
          <w:rFonts w:cs="Arial"/>
        </w:rPr>
        <w:t xml:space="preserve"> </w:t>
      </w:r>
    </w:p>
    <w:p w14:paraId="22D5E41D" w14:textId="77777777" w:rsidR="00CC3DF9" w:rsidRDefault="00A97230" w:rsidP="007E6C13">
      <w:pPr/>
      <w:r w:rsidRPr="00BE15C4">
        <w:rPr>
          <w:b/>
        </w:rPr>
        <w:t>Substantive rights</w:t>
      </w:r>
      <w:r w:rsidRPr="00E41A73">
        <w:t xml:space="preserve"> are the basic rights and duties applying to individuals</w:t>
      </w:r>
      <w:r w:rsidR="00CC3DF9">
        <w:t>;</w:t>
      </w:r>
      <w:r w:rsidRPr="00E41A73">
        <w:t xml:space="preserve"> </w:t>
      </w:r>
    </w:p>
    <w:p w14:paraId="53FADD38" w14:textId="6AB2B369" w:rsidR="00A97230" w:rsidRPr="00BE15C4" w:rsidRDefault="00BE15C4" w:rsidP="007E6C13">
      <w:pPr/>
      <w:r w:rsidRPr="00BE15C4">
        <w:rPr>
          <w:b/>
          <w:bCs/>
        </w:rPr>
        <w:t>P</w:t>
      </w:r>
      <w:r w:rsidR="00A97230" w:rsidRPr="00BE15C4">
        <w:rPr>
          <w:b/>
          <w:bCs/>
        </w:rPr>
        <w:t>rocedural</w:t>
      </w:r>
      <w:r w:rsidR="00A97230" w:rsidRPr="00BE15C4">
        <w:rPr>
          <w:b/>
        </w:rPr>
        <w:t xml:space="preserve"> rights</w:t>
      </w:r>
      <w:r w:rsidR="00A97230" w:rsidRPr="00E41A73">
        <w:t xml:space="preserve"> are the rules and remedies available to enforce the substantive rights</w:t>
      </w:r>
    </w:p>
    <w:p w14:paraId="0C98390D" w14:textId="74D2B650" w:rsidR="00A118BF" w:rsidRPr="00F67476" w:rsidRDefault="00245B89" w:rsidP="00245B89">
      <w:pPr>
        <w:pStyle w:val="Heading3"/>
        <w:rPr>
          <w:rFonts w:cs="Arial"/>
          <w:lang w:val="en-AU"/>
        </w:rPr>
      </w:pPr>
      <w:bookmarkStart w:id="81" w:name="_Toc118824332"/>
      <w:r w:rsidRPr="00F67476">
        <w:rPr>
          <w:lang w:val="en-AU"/>
        </w:rPr>
        <w:t>Substantive Rights</w:t>
      </w:r>
      <w:bookmarkEnd w:id="81"/>
    </w:p>
    <w:p w14:paraId="23C92919" w14:textId="6374A2D9" w:rsidR="00A97230" w:rsidRPr="00412927" w:rsidRDefault="00A97230" w:rsidP="003A2BAD">
      <w:pPr>
        <w:spacing w:before="240"/>
        <w:rPr>
          <w:rFonts w:cs="Arial"/>
          <w:sz w:val="18"/>
          <w:szCs w:val="20"/>
        </w:rPr>
      </w:pPr>
      <w:r w:rsidRPr="00E41A73">
        <w:rPr>
          <w:rFonts w:cs="Arial"/>
        </w:rPr>
        <w:t>Patients have the following substantive right</w:t>
      </w:r>
      <w:r w:rsidRPr="00E41A73">
        <w:t>s:</w:t>
      </w:r>
      <w:r w:rsidRPr="00412927">
        <w:rPr>
          <w:rStyle w:val="FootnoteReference"/>
          <w:rFonts w:cs="Arial"/>
          <w:sz w:val="18"/>
          <w:szCs w:val="20"/>
        </w:rPr>
        <w:footnoteReference w:id="61"/>
      </w:r>
    </w:p>
    <w:p w14:paraId="773A6BDC" w14:textId="77777777" w:rsidR="00A97230" w:rsidRPr="00E41A73" w:rsidRDefault="00A97230" w:rsidP="00137AAB">
      <w:pPr>
        <w:pStyle w:val="ListNumber"/>
        <w:numPr>
          <w:ilvl w:val="0"/>
          <w:numId w:val="45"/>
        </w:numPr>
      </w:pPr>
      <w:r w:rsidRPr="00E41A73">
        <w:t>Right to be treated with reasonable medical care</w:t>
      </w:r>
    </w:p>
    <w:p w14:paraId="1748D794" w14:textId="77777777" w:rsidR="00A97230" w:rsidRPr="00E41A73" w:rsidRDefault="00A97230" w:rsidP="007E6C13">
      <w:pPr>
        <w:pStyle w:val="ListNumber"/>
      </w:pPr>
      <w:r w:rsidRPr="00E41A73">
        <w:t>Right of informed consent</w:t>
      </w:r>
    </w:p>
    <w:p w14:paraId="6082F798" w14:textId="045BC7EF" w:rsidR="00A97230" w:rsidRPr="00E41A73" w:rsidRDefault="00A97230" w:rsidP="007E6C13">
      <w:pPr>
        <w:pStyle w:val="ListNumber"/>
      </w:pPr>
      <w:r w:rsidRPr="00E41A73">
        <w:lastRenderedPageBreak/>
        <w:t>Right to confidentiality</w:t>
      </w:r>
    </w:p>
    <w:p w14:paraId="1B617037" w14:textId="77777777" w:rsidR="00A97230" w:rsidRPr="00E41A73" w:rsidRDefault="00A97230" w:rsidP="007E6C13">
      <w:pPr>
        <w:pStyle w:val="ListNumber"/>
      </w:pPr>
      <w:r w:rsidRPr="00E41A73">
        <w:t>Right to access medical records</w:t>
      </w:r>
    </w:p>
    <w:p w14:paraId="106B2C3E" w14:textId="77FE0010" w:rsidR="00A97230" w:rsidRPr="00E41A73" w:rsidRDefault="00A97230" w:rsidP="007E6C13">
      <w:pPr>
        <w:pStyle w:val="ListNumber"/>
      </w:pPr>
      <w:r w:rsidRPr="00E41A73">
        <w:t xml:space="preserve">Right to </w:t>
      </w:r>
      <w:r w:rsidR="009F7803">
        <w:t>refuse treatment</w:t>
      </w:r>
    </w:p>
    <w:p w14:paraId="740EC7BC" w14:textId="1DF7DB34" w:rsidR="00166202" w:rsidRPr="00166202" w:rsidRDefault="006D2015" w:rsidP="00166202">
      <w:pPr>
        <w:rPr>
          <w:rFonts w:cs="Arial"/>
          <w:sz w:val="18"/>
          <w:szCs w:val="20"/>
        </w:rPr>
      </w:pPr>
      <w:r>
        <w:rPr>
          <w:noProof/>
        </w:rPr>
        <w:drawing>
          <wp:inline distT="0" distB="0" distL="0" distR="0" wp14:anchorId="421FCF5E" wp14:editId="15B6FE0A">
            <wp:extent cx="5731510" cy="573405"/>
            <wp:effectExtent l="0" t="0" r="2540" b="0"/>
            <wp:docPr id="6" name="Picture 6" descr="1. Right to be treated with reasonable medic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 Right to be treated with reasonable medical care"/>
                    <pic:cNvPicPr/>
                  </pic:nvPicPr>
                  <pic:blipFill>
                    <a:blip r:embed="rId31"/>
                    <a:stretch>
                      <a:fillRect/>
                    </a:stretch>
                  </pic:blipFill>
                  <pic:spPr>
                    <a:xfrm>
                      <a:off x="0" y="0"/>
                      <a:ext cx="5731510" cy="573405"/>
                    </a:xfrm>
                    <a:prstGeom prst="rect">
                      <a:avLst/>
                    </a:prstGeom>
                  </pic:spPr>
                </pic:pic>
              </a:graphicData>
            </a:graphic>
          </wp:inline>
        </w:drawing>
      </w:r>
    </w:p>
    <w:p w14:paraId="017EA322" w14:textId="490BC3BD" w:rsidR="00512981" w:rsidRDefault="00A97230" w:rsidP="00A97230">
      <w:pPr>
        <w:rPr>
          <w:rFonts w:cs="Arial"/>
          <w:szCs w:val="20"/>
        </w:rPr>
      </w:pPr>
      <w:r w:rsidRPr="00412927">
        <w:rPr>
          <w:rFonts w:cs="Arial"/>
          <w:szCs w:val="20"/>
        </w:rPr>
        <w:t>The right to reasonable medical care is grounded in contract law</w:t>
      </w:r>
      <w:r w:rsidR="000A3C04">
        <w:rPr>
          <w:rFonts w:cs="Arial"/>
          <w:szCs w:val="20"/>
        </w:rPr>
        <w:t xml:space="preserve"> and </w:t>
      </w:r>
      <w:r w:rsidRPr="00412927">
        <w:rPr>
          <w:rFonts w:cs="Arial"/>
          <w:szCs w:val="20"/>
        </w:rPr>
        <w:t>tort</w:t>
      </w:r>
      <w:r w:rsidR="000A3C04">
        <w:rPr>
          <w:rFonts w:cs="Arial"/>
          <w:szCs w:val="20"/>
        </w:rPr>
        <w:t xml:space="preserve"> law (common law)</w:t>
      </w:r>
      <w:r w:rsidRPr="00412927">
        <w:rPr>
          <w:rFonts w:cs="Arial"/>
          <w:szCs w:val="20"/>
        </w:rPr>
        <w:t xml:space="preserve">, legislation and the professional obligations of a healthcare provider. </w:t>
      </w:r>
    </w:p>
    <w:p w14:paraId="736B92A8" w14:textId="0F6402E9" w:rsidR="00E917E7" w:rsidRPr="007E6C13" w:rsidRDefault="000A3C04" w:rsidP="007E6C13">
      <w:pPr>
        <w:pStyle w:val="Heading4"/>
      </w:pPr>
      <w:r w:rsidRPr="007E6C13">
        <w:t>Common law</w:t>
      </w:r>
    </w:p>
    <w:p w14:paraId="304D383F" w14:textId="375C851E" w:rsidR="00D21647" w:rsidRDefault="00A97230" w:rsidP="00A97230">
      <w:pPr>
        <w:rPr>
          <w:rFonts w:cs="Arial"/>
          <w:szCs w:val="20"/>
        </w:rPr>
      </w:pPr>
      <w:r w:rsidRPr="00412927">
        <w:rPr>
          <w:rFonts w:cs="Arial"/>
          <w:szCs w:val="20"/>
        </w:rPr>
        <w:t>The tort of negligence provides a clear duty of care, often established through contract, in a patient/doctor relationship</w:t>
      </w:r>
      <w:r w:rsidR="00943566">
        <w:rPr>
          <w:rFonts w:cs="Arial"/>
          <w:szCs w:val="20"/>
        </w:rPr>
        <w:t>.</w:t>
      </w:r>
      <w:r w:rsidRPr="00412927">
        <w:rPr>
          <w:rFonts w:cs="Arial"/>
          <w:szCs w:val="20"/>
        </w:rPr>
        <w:t xml:space="preserve"> </w:t>
      </w:r>
      <w:r w:rsidR="00943566">
        <w:rPr>
          <w:rFonts w:cs="Arial"/>
          <w:szCs w:val="20"/>
        </w:rPr>
        <w:t>S</w:t>
      </w:r>
      <w:r w:rsidRPr="00412927">
        <w:rPr>
          <w:rFonts w:cs="Arial"/>
          <w:szCs w:val="20"/>
        </w:rPr>
        <w:t xml:space="preserve">imilar duties </w:t>
      </w:r>
      <w:r w:rsidR="009E6678">
        <w:rPr>
          <w:rFonts w:cs="Arial"/>
          <w:szCs w:val="20"/>
        </w:rPr>
        <w:t>arise</w:t>
      </w:r>
      <w:r w:rsidRPr="00412927">
        <w:rPr>
          <w:rFonts w:cs="Arial"/>
          <w:szCs w:val="20"/>
        </w:rPr>
        <w:t xml:space="preserve"> between patients and other allied healthcare professional</w:t>
      </w:r>
      <w:r w:rsidR="00392DC1">
        <w:rPr>
          <w:rFonts w:cs="Arial"/>
          <w:szCs w:val="20"/>
        </w:rPr>
        <w:t>s</w:t>
      </w:r>
      <w:r w:rsidRPr="00412927">
        <w:rPr>
          <w:rFonts w:cs="Arial"/>
          <w:szCs w:val="20"/>
        </w:rPr>
        <w:t xml:space="preserve">. </w:t>
      </w:r>
    </w:p>
    <w:p w14:paraId="2869DFAE" w14:textId="4DB7DCCC" w:rsidR="0097041E" w:rsidRDefault="0097041E" w:rsidP="00A97230">
      <w:pPr>
        <w:rPr>
          <w:rFonts w:cs="Arial"/>
          <w:szCs w:val="20"/>
        </w:rPr>
      </w:pPr>
      <w:r w:rsidRPr="007E6C13">
        <w:rPr>
          <w:rFonts w:cs="Arial"/>
          <w:szCs w:val="20"/>
        </w:rPr>
        <w:t>Note:</w:t>
      </w:r>
      <w:r>
        <w:rPr>
          <w:rFonts w:cs="Arial"/>
          <w:szCs w:val="20"/>
        </w:rPr>
        <w:t xml:space="preserve"> </w:t>
      </w:r>
      <w:r w:rsidRPr="00412927">
        <w:rPr>
          <w:rFonts w:cs="Arial"/>
          <w:szCs w:val="20"/>
        </w:rPr>
        <w:t xml:space="preserve">This contractual relationship </w:t>
      </w:r>
      <w:r>
        <w:rPr>
          <w:rFonts w:cs="Arial"/>
          <w:szCs w:val="20"/>
        </w:rPr>
        <w:t xml:space="preserve">between patient and doctor, </w:t>
      </w:r>
      <w:r w:rsidRPr="00412927">
        <w:rPr>
          <w:rFonts w:cs="Arial"/>
          <w:szCs w:val="20"/>
        </w:rPr>
        <w:t xml:space="preserve">also provides remedies through the Australian Consumer Law in Sch 2 of the </w:t>
      </w:r>
      <w:r w:rsidRPr="00412927">
        <w:rPr>
          <w:rFonts w:cs="Arial"/>
          <w:i/>
          <w:iCs/>
          <w:szCs w:val="20"/>
        </w:rPr>
        <w:t>Competition and Consumer Act 2010</w:t>
      </w:r>
      <w:r w:rsidRPr="00412927">
        <w:rPr>
          <w:rFonts w:cs="Arial"/>
          <w:szCs w:val="20"/>
        </w:rPr>
        <w:t xml:space="preserve"> (Cth). This is discussed further </w:t>
      </w:r>
      <w:r w:rsidRPr="00412927">
        <w:rPr>
          <w:szCs w:val="20"/>
        </w:rPr>
        <w:t xml:space="preserve">in </w:t>
      </w:r>
      <w:r>
        <w:rPr>
          <w:szCs w:val="20"/>
        </w:rPr>
        <w:t>s</w:t>
      </w:r>
      <w:r w:rsidRPr="005721A2">
        <w:rPr>
          <w:szCs w:val="20"/>
        </w:rPr>
        <w:t>ection</w:t>
      </w:r>
      <w:r>
        <w:rPr>
          <w:szCs w:val="20"/>
        </w:rPr>
        <w:t xml:space="preserve"> </w:t>
      </w:r>
      <w:r w:rsidRPr="00AC1010">
        <w:rPr>
          <w:b/>
          <w:bCs/>
          <w:szCs w:val="20"/>
        </w:rPr>
        <w:fldChar w:fldCharType="begin"/>
      </w:r>
      <w:r w:rsidRPr="00AC1010">
        <w:rPr>
          <w:b/>
          <w:bCs/>
          <w:szCs w:val="20"/>
        </w:rPr>
        <w:instrText xml:space="preserve"> REF _Ref39152767 \r \h </w:instrText>
      </w:r>
      <w:r>
        <w:rPr>
          <w:b/>
          <w:bCs/>
          <w:szCs w:val="20"/>
        </w:rPr>
        <w:instrText xml:space="preserve"> \* MERGEFORMAT </w:instrText>
      </w:r>
      <w:r w:rsidRPr="00AC1010">
        <w:rPr>
          <w:b/>
          <w:bCs/>
          <w:szCs w:val="20"/>
        </w:rPr>
      </w:r>
      <w:r w:rsidRPr="00AC1010">
        <w:rPr>
          <w:b/>
          <w:bCs/>
          <w:szCs w:val="20"/>
        </w:rPr>
        <w:fldChar w:fldCharType="separate"/>
      </w:r>
      <w:r w:rsidR="000B4085">
        <w:rPr>
          <w:b/>
          <w:bCs/>
          <w:szCs w:val="20"/>
        </w:rPr>
        <w:t>5.5</w:t>
      </w:r>
      <w:r w:rsidRPr="00AC1010">
        <w:rPr>
          <w:b/>
          <w:bCs/>
          <w:szCs w:val="20"/>
        </w:rPr>
        <w:fldChar w:fldCharType="end"/>
      </w:r>
      <w:r>
        <w:rPr>
          <w:rFonts w:cs="Arial"/>
          <w:szCs w:val="20"/>
        </w:rPr>
        <w:t>.</w:t>
      </w:r>
      <w:r w:rsidRPr="00412927">
        <w:rPr>
          <w:rFonts w:cs="Arial"/>
          <w:szCs w:val="20"/>
        </w:rPr>
        <w:t xml:space="preserve"> </w:t>
      </w:r>
    </w:p>
    <w:p w14:paraId="1CF47965" w14:textId="7DFD988A" w:rsidR="0003077C" w:rsidRDefault="00A97230" w:rsidP="0003077C">
      <w:pPr>
        <w:rPr>
          <w:rFonts w:cs="Arial"/>
          <w:szCs w:val="20"/>
        </w:rPr>
      </w:pPr>
      <w:r w:rsidRPr="00412927">
        <w:rPr>
          <w:rFonts w:cs="Arial"/>
          <w:szCs w:val="20"/>
        </w:rPr>
        <w:t xml:space="preserve">Given that genomic research requires a large amount of reference data, class actions </w:t>
      </w:r>
      <w:r w:rsidR="009F45E4">
        <w:rPr>
          <w:rFonts w:cs="Arial"/>
          <w:szCs w:val="20"/>
        </w:rPr>
        <w:t>for breach of this right</w:t>
      </w:r>
      <w:r w:rsidRPr="00412927">
        <w:rPr>
          <w:rFonts w:cs="Arial"/>
          <w:szCs w:val="20"/>
        </w:rPr>
        <w:t xml:space="preserve">, </w:t>
      </w:r>
      <w:r w:rsidRPr="007F6504">
        <w:rPr>
          <w:rFonts w:cs="Arial"/>
          <w:szCs w:val="20"/>
        </w:rPr>
        <w:t>may</w:t>
      </w:r>
      <w:r w:rsidRPr="00412927">
        <w:rPr>
          <w:rFonts w:cs="Arial"/>
          <w:szCs w:val="20"/>
        </w:rPr>
        <w:t xml:space="preserve"> provide an avenue for dealing with </w:t>
      </w:r>
      <w:r w:rsidR="00E524C7">
        <w:rPr>
          <w:rFonts w:cs="Arial"/>
          <w:szCs w:val="20"/>
        </w:rPr>
        <w:t xml:space="preserve">large-scale </w:t>
      </w:r>
      <w:r w:rsidRPr="00412927">
        <w:rPr>
          <w:rFonts w:cs="Arial"/>
          <w:szCs w:val="20"/>
        </w:rPr>
        <w:t>misuse of samples or reference data.</w:t>
      </w:r>
      <w:r w:rsidRPr="00412927">
        <w:rPr>
          <w:rStyle w:val="FootnoteReference"/>
          <w:rFonts w:cs="Arial"/>
          <w:szCs w:val="20"/>
        </w:rPr>
        <w:footnoteReference w:id="62"/>
      </w:r>
      <w:r w:rsidRPr="00412927">
        <w:rPr>
          <w:rFonts w:cs="Arial"/>
          <w:szCs w:val="20"/>
        </w:rPr>
        <w:t xml:space="preserve"> Class actions usually occur when a manufacturer has a product on the market that has caused harm to these plaintiffs, such as defective surgical implants. It may be difficult to define the harm inflicted on the patients in genomic research if </w:t>
      </w:r>
      <w:r w:rsidRPr="00412927">
        <w:rPr>
          <w:szCs w:val="20"/>
        </w:rPr>
        <w:t>d</w:t>
      </w:r>
      <w:r w:rsidRPr="00412927">
        <w:rPr>
          <w:rFonts w:cs="Arial"/>
          <w:szCs w:val="20"/>
        </w:rPr>
        <w:t>ata is de-identified, however there may be avenues if data is used without consent in studies resulting in dignitary harms</w:t>
      </w:r>
      <w:r w:rsidRPr="00412927">
        <w:rPr>
          <w:szCs w:val="20"/>
        </w:rPr>
        <w:t>.</w:t>
      </w:r>
      <w:r w:rsidR="00952D1A">
        <w:rPr>
          <w:rStyle w:val="FootnoteReference"/>
          <w:szCs w:val="20"/>
        </w:rPr>
        <w:footnoteReference w:id="63"/>
      </w:r>
      <w:r w:rsidRPr="00412927">
        <w:rPr>
          <w:szCs w:val="20"/>
        </w:rPr>
        <w:t xml:space="preserve"> Such harms were inflicted on</w:t>
      </w:r>
      <w:r w:rsidRPr="00412927">
        <w:rPr>
          <w:rFonts w:cs="Arial"/>
          <w:szCs w:val="20"/>
        </w:rPr>
        <w:t xml:space="preserve"> the </w:t>
      </w:r>
      <w:r w:rsidRPr="00412927">
        <w:rPr>
          <w:rFonts w:cs="Arial"/>
          <w:i/>
          <w:iCs/>
          <w:szCs w:val="20"/>
        </w:rPr>
        <w:t>Havasupai People</w:t>
      </w:r>
      <w:r w:rsidRPr="00412927">
        <w:rPr>
          <w:szCs w:val="20"/>
        </w:rPr>
        <w:t xml:space="preserve"> following the misuse of their data by university researchers, this is discussed further in</w:t>
      </w:r>
      <w:r w:rsidRPr="00386FB6">
        <w:rPr>
          <w:rFonts w:cs="Arial"/>
        </w:rPr>
        <w:t xml:space="preserve"> </w:t>
      </w:r>
      <w:r w:rsidR="00DD58E3" w:rsidRPr="00386FB6">
        <w:rPr>
          <w:b/>
        </w:rPr>
        <w:fldChar w:fldCharType="begin"/>
      </w:r>
      <w:r w:rsidR="00DD58E3" w:rsidRPr="00386FB6">
        <w:rPr>
          <w:b/>
        </w:rPr>
        <w:instrText xml:space="preserve"> REF _Ref39152846 \w \h </w:instrText>
      </w:r>
      <w:r w:rsidR="00386FB6">
        <w:rPr>
          <w:b/>
        </w:rPr>
        <w:instrText xml:space="preserve"> \* MERGEFORMAT </w:instrText>
      </w:r>
      <w:r w:rsidR="00DD58E3" w:rsidRPr="00386FB6">
        <w:rPr>
          <w:b/>
        </w:rPr>
      </w:r>
      <w:r w:rsidR="00DD58E3" w:rsidRPr="00386FB6">
        <w:rPr>
          <w:b/>
        </w:rPr>
        <w:fldChar w:fldCharType="separate"/>
      </w:r>
      <w:r w:rsidR="000B4085">
        <w:rPr>
          <w:b/>
        </w:rPr>
        <w:t>9.2.5</w:t>
      </w:r>
      <w:r w:rsidR="00DD58E3" w:rsidRPr="00386FB6">
        <w:rPr>
          <w:b/>
        </w:rPr>
        <w:fldChar w:fldCharType="end"/>
      </w:r>
      <w:r w:rsidR="00DD58E3" w:rsidRPr="00386FB6">
        <w:t xml:space="preserve"> </w:t>
      </w:r>
      <w:r w:rsidR="00DD58E3" w:rsidRPr="00A7008D">
        <w:rPr>
          <w:b/>
          <w:sz w:val="20"/>
          <w:szCs w:val="20"/>
        </w:rPr>
        <w:fldChar w:fldCharType="begin"/>
      </w:r>
      <w:r w:rsidR="00DD58E3" w:rsidRPr="00A7008D">
        <w:rPr>
          <w:b/>
          <w:sz w:val="20"/>
          <w:szCs w:val="20"/>
        </w:rPr>
        <w:instrText xml:space="preserve"> REF _Ref39152849 \h </w:instrText>
      </w:r>
      <w:r w:rsidR="00DD58E3" w:rsidRPr="00A7008D">
        <w:rPr>
          <w:b/>
          <w:sz w:val="20"/>
          <w:szCs w:val="20"/>
        </w:rPr>
      </w:r>
      <w:r w:rsidR="00DD58E3" w:rsidRPr="00A7008D">
        <w:rPr>
          <w:b/>
          <w:sz w:val="20"/>
          <w:szCs w:val="20"/>
        </w:rPr>
        <w:fldChar w:fldCharType="separate"/>
      </w:r>
      <w:r w:rsidR="000B4085" w:rsidRPr="005338AB">
        <w:t>Havasupai</w:t>
      </w:r>
      <w:r w:rsidR="00DD58E3" w:rsidRPr="00A7008D">
        <w:rPr>
          <w:b/>
          <w:sz w:val="20"/>
          <w:szCs w:val="20"/>
        </w:rPr>
        <w:fldChar w:fldCharType="end"/>
      </w:r>
      <w:r w:rsidR="00DD58E3">
        <w:rPr>
          <w:rFonts w:cs="Arial"/>
          <w:szCs w:val="20"/>
        </w:rPr>
        <w:t>.</w:t>
      </w:r>
      <w:r w:rsidR="0003077C" w:rsidRPr="0003077C">
        <w:rPr>
          <w:rFonts w:cs="Arial"/>
          <w:szCs w:val="20"/>
        </w:rPr>
        <w:t xml:space="preserve"> </w:t>
      </w:r>
    </w:p>
    <w:p w14:paraId="0FBA1F43" w14:textId="06C6A741" w:rsidR="00A97230" w:rsidRPr="007E6C13" w:rsidRDefault="00A97230" w:rsidP="007E6C13">
      <w:pPr>
        <w:pStyle w:val="Heading4"/>
      </w:pPr>
      <w:r w:rsidRPr="007E6C13">
        <w:t xml:space="preserve">Legislation </w:t>
      </w:r>
    </w:p>
    <w:p w14:paraId="4D9326E6" w14:textId="0064E6B0" w:rsidR="00E219F6" w:rsidRDefault="00A97230" w:rsidP="00DD58E3">
      <w:pPr>
        <w:rPr>
          <w:rFonts w:cs="Arial"/>
          <w:szCs w:val="20"/>
        </w:rPr>
      </w:pPr>
      <w:r w:rsidRPr="00412927">
        <w:rPr>
          <w:szCs w:val="20"/>
        </w:rPr>
        <w:t xml:space="preserve">For patients </w:t>
      </w:r>
      <w:r w:rsidR="00124936">
        <w:rPr>
          <w:szCs w:val="20"/>
        </w:rPr>
        <w:t>receiving healthcare services</w:t>
      </w:r>
      <w:r w:rsidRPr="00412927">
        <w:rPr>
          <w:szCs w:val="20"/>
        </w:rPr>
        <w:t xml:space="preserve">, </w:t>
      </w:r>
      <w:r w:rsidRPr="00412927">
        <w:rPr>
          <w:rFonts w:cs="Arial"/>
          <w:szCs w:val="20"/>
        </w:rPr>
        <w:t>misleading and deceptive</w:t>
      </w:r>
      <w:r w:rsidR="00E047BD">
        <w:rPr>
          <w:rFonts w:cs="Arial"/>
          <w:szCs w:val="20"/>
        </w:rPr>
        <w:t xml:space="preserve"> </w:t>
      </w:r>
      <w:r w:rsidRPr="00412927">
        <w:rPr>
          <w:rFonts w:cs="Arial"/>
          <w:szCs w:val="20"/>
        </w:rPr>
        <w:t xml:space="preserve">conduct </w:t>
      </w:r>
      <w:r w:rsidR="000C5E96">
        <w:rPr>
          <w:rFonts w:cs="Arial"/>
          <w:szCs w:val="20"/>
        </w:rPr>
        <w:t>regulations</w:t>
      </w:r>
      <w:r w:rsidR="000C5E96" w:rsidRPr="00412927">
        <w:rPr>
          <w:rFonts w:cs="Arial"/>
          <w:szCs w:val="20"/>
        </w:rPr>
        <w:t xml:space="preserve"> </w:t>
      </w:r>
      <w:r w:rsidRPr="00412927">
        <w:rPr>
          <w:rFonts w:cs="Arial"/>
          <w:szCs w:val="20"/>
        </w:rPr>
        <w:t>can set standards on the service</w:t>
      </w:r>
      <w:r w:rsidRPr="00412927">
        <w:rPr>
          <w:szCs w:val="20"/>
        </w:rPr>
        <w:t>s</w:t>
      </w:r>
      <w:r w:rsidRPr="00412927">
        <w:rPr>
          <w:rFonts w:cs="Arial"/>
          <w:szCs w:val="20"/>
        </w:rPr>
        <w:t xml:space="preserve"> provided</w:t>
      </w:r>
      <w:r w:rsidR="005931E5">
        <w:rPr>
          <w:rFonts w:cs="Arial"/>
          <w:szCs w:val="20"/>
        </w:rPr>
        <w:t>,</w:t>
      </w:r>
      <w:r w:rsidRPr="00412927">
        <w:rPr>
          <w:rFonts w:cs="Arial"/>
          <w:szCs w:val="20"/>
        </w:rPr>
        <w:t xml:space="preserve"> and empower individuals to action against healthcare practitioners.</w:t>
      </w:r>
      <w:r w:rsidR="005B62F3">
        <w:rPr>
          <w:rFonts w:cs="Arial"/>
          <w:szCs w:val="20"/>
        </w:rPr>
        <w:t xml:space="preserve"> </w:t>
      </w:r>
      <w:r w:rsidR="00182085">
        <w:rPr>
          <w:rFonts w:cs="Arial"/>
          <w:szCs w:val="20"/>
        </w:rPr>
        <w:t xml:space="preserve">Australia has both national and </w:t>
      </w:r>
      <w:r w:rsidR="000C5859">
        <w:rPr>
          <w:rFonts w:cs="Arial"/>
          <w:szCs w:val="20"/>
        </w:rPr>
        <w:t>state-based</w:t>
      </w:r>
      <w:r w:rsidR="00711F27">
        <w:rPr>
          <w:rFonts w:cs="Arial"/>
          <w:szCs w:val="20"/>
        </w:rPr>
        <w:t xml:space="preserve"> legislation regulating the supply of goods and services</w:t>
      </w:r>
      <w:r w:rsidR="00A170AF">
        <w:rPr>
          <w:rFonts w:cs="Arial"/>
          <w:szCs w:val="20"/>
        </w:rPr>
        <w:t xml:space="preserve">, </w:t>
      </w:r>
      <w:r w:rsidR="00B362FA">
        <w:rPr>
          <w:rFonts w:cs="Arial"/>
          <w:szCs w:val="20"/>
        </w:rPr>
        <w:t xml:space="preserve">potentially </w:t>
      </w:r>
      <w:r w:rsidR="00A170AF">
        <w:rPr>
          <w:rFonts w:cs="Arial"/>
          <w:szCs w:val="20"/>
        </w:rPr>
        <w:t>including</w:t>
      </w:r>
      <w:r w:rsidR="008C38D0">
        <w:rPr>
          <w:rFonts w:cs="Arial"/>
          <w:szCs w:val="20"/>
        </w:rPr>
        <w:t xml:space="preserve"> </w:t>
      </w:r>
      <w:r w:rsidR="00B362FA">
        <w:rPr>
          <w:rFonts w:cs="Arial"/>
          <w:szCs w:val="20"/>
        </w:rPr>
        <w:t xml:space="preserve">some </w:t>
      </w:r>
      <w:r w:rsidR="008C38D0">
        <w:rPr>
          <w:rFonts w:cs="Arial"/>
          <w:szCs w:val="20"/>
        </w:rPr>
        <w:t>medical services. See section</w:t>
      </w:r>
      <w:r w:rsidR="00E219F6" w:rsidRPr="00C3766C">
        <w:rPr>
          <w:rFonts w:cs="Arial"/>
          <w:b/>
          <w:bCs/>
          <w:szCs w:val="20"/>
        </w:rPr>
        <w:t xml:space="preserve"> </w:t>
      </w:r>
      <w:r w:rsidR="00C3766C" w:rsidRPr="00C3766C">
        <w:rPr>
          <w:rFonts w:cs="Arial"/>
          <w:b/>
          <w:bCs/>
          <w:szCs w:val="20"/>
        </w:rPr>
        <w:fldChar w:fldCharType="begin"/>
      </w:r>
      <w:r w:rsidR="00C3766C" w:rsidRPr="00C3766C">
        <w:rPr>
          <w:rFonts w:cs="Arial"/>
          <w:b/>
          <w:bCs/>
          <w:szCs w:val="20"/>
        </w:rPr>
        <w:instrText xml:space="preserve"> REF _Ref39152767 \r \h </w:instrText>
      </w:r>
      <w:r w:rsidR="00C3766C">
        <w:rPr>
          <w:rFonts w:cs="Arial"/>
          <w:b/>
          <w:bCs/>
          <w:szCs w:val="20"/>
        </w:rPr>
        <w:instrText xml:space="preserve"> \* MERGEFORMAT </w:instrText>
      </w:r>
      <w:r w:rsidR="00C3766C" w:rsidRPr="00C3766C">
        <w:rPr>
          <w:rFonts w:cs="Arial"/>
          <w:b/>
          <w:bCs/>
          <w:szCs w:val="20"/>
        </w:rPr>
      </w:r>
      <w:r w:rsidR="00C3766C" w:rsidRPr="00C3766C">
        <w:rPr>
          <w:rFonts w:cs="Arial"/>
          <w:b/>
          <w:bCs/>
          <w:szCs w:val="20"/>
        </w:rPr>
        <w:fldChar w:fldCharType="separate"/>
      </w:r>
      <w:r w:rsidR="000B4085">
        <w:rPr>
          <w:rFonts w:cs="Arial"/>
          <w:b/>
          <w:bCs/>
          <w:szCs w:val="20"/>
        </w:rPr>
        <w:t>5.5</w:t>
      </w:r>
      <w:r w:rsidR="00C3766C" w:rsidRPr="00C3766C">
        <w:rPr>
          <w:rFonts w:cs="Arial"/>
          <w:b/>
          <w:bCs/>
          <w:szCs w:val="20"/>
        </w:rPr>
        <w:fldChar w:fldCharType="end"/>
      </w:r>
      <w:r w:rsidR="008C38D0">
        <w:rPr>
          <w:rFonts w:cs="Arial"/>
          <w:szCs w:val="20"/>
        </w:rPr>
        <w:t xml:space="preserve"> for more </w:t>
      </w:r>
      <w:r w:rsidR="00F06C40">
        <w:rPr>
          <w:rFonts w:cs="Arial"/>
          <w:szCs w:val="20"/>
        </w:rPr>
        <w:t xml:space="preserve">detailed overview of </w:t>
      </w:r>
      <w:r w:rsidR="007039E2">
        <w:rPr>
          <w:rFonts w:cs="Arial"/>
          <w:szCs w:val="20"/>
        </w:rPr>
        <w:t xml:space="preserve">Australia’s consumer law. </w:t>
      </w:r>
    </w:p>
    <w:p w14:paraId="052377FD" w14:textId="736C2B67" w:rsidR="00F07854" w:rsidRDefault="00A97230" w:rsidP="00A97230">
      <w:pPr>
        <w:rPr>
          <w:rFonts w:cs="Arial"/>
          <w:szCs w:val="20"/>
        </w:rPr>
      </w:pPr>
      <w:r w:rsidRPr="00412927">
        <w:rPr>
          <w:rFonts w:cs="Arial"/>
          <w:szCs w:val="20"/>
        </w:rPr>
        <w:t>Protection against discrimination is a key concern that constantly arises in the genomics field.</w:t>
      </w:r>
      <w:r w:rsidRPr="00412927">
        <w:rPr>
          <w:rStyle w:val="FootnoteReference"/>
          <w:rFonts w:cs="Arial"/>
          <w:szCs w:val="20"/>
        </w:rPr>
        <w:footnoteReference w:id="64"/>
      </w:r>
      <w:r w:rsidRPr="00412927">
        <w:rPr>
          <w:rFonts w:cs="Arial"/>
          <w:szCs w:val="20"/>
        </w:rPr>
        <w:t xml:space="preserve"> Importantly, all states and territories have anti-discrimination legislation in place which </w:t>
      </w:r>
      <w:r w:rsidRPr="00412927">
        <w:rPr>
          <w:rFonts w:cs="Arial"/>
          <w:szCs w:val="20"/>
        </w:rPr>
        <w:lastRenderedPageBreak/>
        <w:t>seeks to protect individuals from discrimination in the provision of services, including health services.</w:t>
      </w:r>
      <w:r w:rsidRPr="00412927">
        <w:rPr>
          <w:rStyle w:val="FootnoteReference"/>
          <w:rFonts w:cs="Arial"/>
          <w:szCs w:val="20"/>
        </w:rPr>
        <w:footnoteReference w:id="65"/>
      </w:r>
      <w:r w:rsidRPr="00412927">
        <w:rPr>
          <w:rFonts w:cs="Arial"/>
          <w:szCs w:val="20"/>
        </w:rPr>
        <w:t xml:space="preserve"> </w:t>
      </w:r>
    </w:p>
    <w:p w14:paraId="223F8868" w14:textId="294A91CB" w:rsidR="00EE1F34" w:rsidRDefault="00A97230" w:rsidP="00A97230">
      <w:pPr>
        <w:rPr>
          <w:rFonts w:cs="Arial"/>
          <w:szCs w:val="20"/>
        </w:rPr>
      </w:pPr>
      <w:r w:rsidRPr="00412927">
        <w:rPr>
          <w:szCs w:val="20"/>
        </w:rPr>
        <w:t xml:space="preserve">Consultations confirmed deep </w:t>
      </w:r>
      <w:r w:rsidRPr="00412927">
        <w:rPr>
          <w:rFonts w:cs="Arial"/>
          <w:szCs w:val="20"/>
        </w:rPr>
        <w:t>institutional racism inherent within the health system</w:t>
      </w:r>
      <w:r w:rsidRPr="00412927">
        <w:rPr>
          <w:szCs w:val="20"/>
        </w:rPr>
        <w:t xml:space="preserve"> </w:t>
      </w:r>
      <w:r w:rsidRPr="00412927">
        <w:rPr>
          <w:rFonts w:cs="Arial"/>
          <w:szCs w:val="20"/>
        </w:rPr>
        <w:t>from the pre-testing right through to the interpretation of results.</w:t>
      </w:r>
      <w:r w:rsidRPr="00412927">
        <w:rPr>
          <w:rStyle w:val="FootnoteReference"/>
          <w:rFonts w:cs="Arial"/>
          <w:szCs w:val="20"/>
        </w:rPr>
        <w:footnoteReference w:id="66"/>
      </w:r>
      <w:r w:rsidRPr="00412927">
        <w:rPr>
          <w:rFonts w:cs="Arial"/>
          <w:szCs w:val="20"/>
        </w:rPr>
        <w:t xml:space="preserve"> Experiences included not be</w:t>
      </w:r>
      <w:r w:rsidR="000D7D50">
        <w:rPr>
          <w:rFonts w:cs="Arial"/>
          <w:szCs w:val="20"/>
        </w:rPr>
        <w:t>ing</w:t>
      </w:r>
      <w:r w:rsidRPr="00412927">
        <w:rPr>
          <w:rFonts w:cs="Arial"/>
          <w:szCs w:val="20"/>
        </w:rPr>
        <w:t xml:space="preserve"> taken seriously when communicating symptoms to treating physicians and misdiagnosis based on race.  </w:t>
      </w:r>
      <w:r w:rsidR="0091172A">
        <w:rPr>
          <w:rFonts w:cs="Arial"/>
          <w:szCs w:val="20"/>
        </w:rPr>
        <w:t xml:space="preserve">The Advisory Group reported </w:t>
      </w:r>
      <w:r w:rsidRPr="00412927">
        <w:rPr>
          <w:rFonts w:cs="Arial"/>
          <w:szCs w:val="20"/>
        </w:rPr>
        <w:t xml:space="preserve">cases where children had been referred onto specialists because they were “funny looking” or in the case of children with brittle bones, not even referred to clinical genetic services and instead having the Department of Community Services called due to welfare concerns. </w:t>
      </w:r>
    </w:p>
    <w:p w14:paraId="40EB17AE" w14:textId="17C9FEF7" w:rsidR="00D91101" w:rsidRDefault="00207123" w:rsidP="00A97230">
      <w:pPr>
        <w:rPr>
          <w:rFonts w:cs="Arial"/>
          <w:szCs w:val="20"/>
        </w:rPr>
      </w:pPr>
      <w:r>
        <w:rPr>
          <w:rFonts w:cs="Arial"/>
          <w:szCs w:val="20"/>
        </w:rPr>
        <w:t xml:space="preserve">In additional to institutional racism, unconscious bias also plays a role. </w:t>
      </w:r>
      <w:r w:rsidR="004F4B12">
        <w:rPr>
          <w:rFonts w:cs="Arial"/>
          <w:szCs w:val="20"/>
        </w:rPr>
        <w:t xml:space="preserve">Unfortunately, it is </w:t>
      </w:r>
      <w:r w:rsidR="00707AAF">
        <w:rPr>
          <w:rFonts w:cs="Arial"/>
          <w:szCs w:val="20"/>
        </w:rPr>
        <w:t xml:space="preserve">common for </w:t>
      </w:r>
      <w:r w:rsidR="00FC4720">
        <w:rPr>
          <w:rFonts w:cs="Arial"/>
          <w:szCs w:val="20"/>
        </w:rPr>
        <w:t xml:space="preserve">doctors to </w:t>
      </w:r>
      <w:r w:rsidR="00671806">
        <w:rPr>
          <w:rFonts w:cs="Arial"/>
          <w:szCs w:val="20"/>
        </w:rPr>
        <w:t xml:space="preserve">fail to recognise </w:t>
      </w:r>
      <w:r w:rsidR="00315FE4">
        <w:rPr>
          <w:rFonts w:cs="Arial"/>
          <w:szCs w:val="20"/>
        </w:rPr>
        <w:t xml:space="preserve">symptoms </w:t>
      </w:r>
      <w:r w:rsidR="00F626F5">
        <w:rPr>
          <w:rFonts w:cs="Arial"/>
          <w:szCs w:val="20"/>
        </w:rPr>
        <w:t xml:space="preserve">in people </w:t>
      </w:r>
      <w:r w:rsidR="0006391A">
        <w:rPr>
          <w:rFonts w:cs="Arial"/>
          <w:szCs w:val="20"/>
        </w:rPr>
        <w:t>fr</w:t>
      </w:r>
      <w:r w:rsidR="002B6FF4">
        <w:rPr>
          <w:rFonts w:cs="Arial"/>
          <w:szCs w:val="20"/>
        </w:rPr>
        <w:t>om racial</w:t>
      </w:r>
      <w:r w:rsidR="000C6449">
        <w:rPr>
          <w:rFonts w:cs="Arial"/>
          <w:szCs w:val="20"/>
        </w:rPr>
        <w:t xml:space="preserve"> or cultural</w:t>
      </w:r>
      <w:r w:rsidR="002B6FF4">
        <w:rPr>
          <w:rFonts w:cs="Arial"/>
          <w:szCs w:val="20"/>
        </w:rPr>
        <w:t xml:space="preserve"> backgrounds </w:t>
      </w:r>
      <w:r w:rsidR="000C6449">
        <w:rPr>
          <w:rFonts w:cs="Arial"/>
          <w:szCs w:val="20"/>
        </w:rPr>
        <w:t xml:space="preserve">different from their own. </w:t>
      </w:r>
      <w:r w:rsidR="007B183F">
        <w:rPr>
          <w:rFonts w:cs="Arial"/>
          <w:szCs w:val="20"/>
        </w:rPr>
        <w:t xml:space="preserve">This can lead to misdiagnosis </w:t>
      </w:r>
      <w:r w:rsidR="00A97230" w:rsidRPr="00412927">
        <w:rPr>
          <w:rFonts w:cs="Arial"/>
          <w:szCs w:val="20"/>
        </w:rPr>
        <w:t>in Aboriginal people or those of non-European descent</w:t>
      </w:r>
      <w:r w:rsidR="00B60A14">
        <w:rPr>
          <w:rFonts w:cs="Arial"/>
          <w:szCs w:val="20"/>
        </w:rPr>
        <w:t xml:space="preserve">. Ironically, this results </w:t>
      </w:r>
      <w:r w:rsidR="00A0637F">
        <w:rPr>
          <w:rFonts w:cs="Arial"/>
          <w:szCs w:val="20"/>
        </w:rPr>
        <w:t xml:space="preserve">in </w:t>
      </w:r>
      <w:r w:rsidR="00A97230" w:rsidRPr="00412927">
        <w:rPr>
          <w:rFonts w:cs="Arial"/>
          <w:szCs w:val="20"/>
        </w:rPr>
        <w:t xml:space="preserve">Aboriginal people </w:t>
      </w:r>
      <w:r w:rsidR="00A0637F">
        <w:rPr>
          <w:rFonts w:cs="Arial"/>
          <w:szCs w:val="20"/>
        </w:rPr>
        <w:t xml:space="preserve">being </w:t>
      </w:r>
      <w:r w:rsidR="003E1656">
        <w:rPr>
          <w:rFonts w:cs="Arial"/>
          <w:szCs w:val="20"/>
        </w:rPr>
        <w:t xml:space="preserve">underrepresented </w:t>
      </w:r>
      <w:r w:rsidR="00A97230" w:rsidRPr="00412927">
        <w:rPr>
          <w:rFonts w:cs="Arial"/>
          <w:szCs w:val="20"/>
        </w:rPr>
        <w:t xml:space="preserve">in all areas </w:t>
      </w:r>
      <w:r w:rsidR="003E1656">
        <w:rPr>
          <w:rFonts w:cs="Arial"/>
          <w:szCs w:val="20"/>
        </w:rPr>
        <w:t xml:space="preserve">of the health service, </w:t>
      </w:r>
      <w:r w:rsidR="00A97230" w:rsidRPr="00412927">
        <w:rPr>
          <w:rFonts w:cs="Arial"/>
          <w:szCs w:val="20"/>
        </w:rPr>
        <w:t xml:space="preserve">except for misdiagnosis. </w:t>
      </w:r>
    </w:p>
    <w:p w14:paraId="37EAFD98" w14:textId="4C5334BA" w:rsidR="00A97230" w:rsidRPr="00412927" w:rsidRDefault="00A97230" w:rsidP="00A97230">
      <w:pPr>
        <w:rPr>
          <w:rFonts w:cs="Arial"/>
          <w:sz w:val="18"/>
          <w:szCs w:val="20"/>
        </w:rPr>
      </w:pPr>
      <w:r w:rsidRPr="00412927">
        <w:rPr>
          <w:rFonts w:cs="Arial"/>
          <w:szCs w:val="20"/>
        </w:rPr>
        <w:t>The issue is that despite the right to reasonable medical care</w:t>
      </w:r>
      <w:r w:rsidR="0098149A">
        <w:rPr>
          <w:rFonts w:cs="Arial"/>
          <w:szCs w:val="20"/>
        </w:rPr>
        <w:t>,</w:t>
      </w:r>
      <w:r w:rsidR="00D134A3">
        <w:rPr>
          <w:rFonts w:cs="Arial"/>
          <w:szCs w:val="20"/>
        </w:rPr>
        <w:t xml:space="preserve"> reinforced </w:t>
      </w:r>
      <w:r w:rsidRPr="00412927">
        <w:rPr>
          <w:rFonts w:cs="Arial"/>
          <w:szCs w:val="20"/>
        </w:rPr>
        <w:t>by anti-discrimination legislation, discrimination is still prevalent through institutionalised racism,</w:t>
      </w:r>
      <w:r w:rsidRPr="00412927">
        <w:rPr>
          <w:rFonts w:cs="Arial"/>
          <w:sz w:val="18"/>
          <w:szCs w:val="20"/>
        </w:rPr>
        <w:t xml:space="preserve"> </w:t>
      </w:r>
      <w:r w:rsidRPr="00E41A73">
        <w:rPr>
          <w:rFonts w:cs="Arial"/>
        </w:rPr>
        <w:t xml:space="preserve">unconscious bias and cultural insensitivity.  As the collection and use of Indigenous health related genomic information in the clinical and research setting increases, these issues </w:t>
      </w:r>
      <w:r w:rsidR="008F2CBB">
        <w:rPr>
          <w:rFonts w:cs="Arial"/>
        </w:rPr>
        <w:t xml:space="preserve">will </w:t>
      </w:r>
      <w:r w:rsidRPr="00E41A73">
        <w:rPr>
          <w:rFonts w:cs="Arial"/>
        </w:rPr>
        <w:t>increase if these issued are not actively engaged.</w:t>
      </w:r>
      <w:r w:rsidRPr="00412927">
        <w:rPr>
          <w:rFonts w:cs="Arial"/>
          <w:sz w:val="18"/>
          <w:szCs w:val="20"/>
        </w:rPr>
        <w:t xml:space="preserve"> </w:t>
      </w:r>
    </w:p>
    <w:p w14:paraId="4D0F8BDB" w14:textId="77777777" w:rsidR="00A97230" w:rsidRPr="007E6C13" w:rsidRDefault="00A97230" w:rsidP="007E6C13">
      <w:pPr>
        <w:pStyle w:val="Heading4"/>
      </w:pPr>
      <w:r w:rsidRPr="007E6C13">
        <w:t>Professional obligations</w:t>
      </w:r>
    </w:p>
    <w:p w14:paraId="68753004" w14:textId="44477491" w:rsidR="00A97230" w:rsidRPr="00412927" w:rsidRDefault="00A97230" w:rsidP="00A97230">
      <w:pPr>
        <w:rPr>
          <w:rFonts w:cs="Arial"/>
          <w:color w:val="333333"/>
          <w:szCs w:val="20"/>
          <w:shd w:val="clear" w:color="auto" w:fill="FFFFFF"/>
        </w:rPr>
      </w:pPr>
      <w:r w:rsidRPr="00E41A73">
        <w:rPr>
          <w:rFonts w:cs="Arial"/>
        </w:rPr>
        <w:t xml:space="preserve">The professional obligations of health practitioners grant patients an indirect remedy through complaints to professional bodies to enforce standards of reasonable care. The </w:t>
      </w:r>
      <w:r w:rsidRPr="00E41A73">
        <w:rPr>
          <w:rFonts w:cs="Arial"/>
          <w:i/>
          <w:iCs/>
        </w:rPr>
        <w:t xml:space="preserve">Medical </w:t>
      </w:r>
      <w:r w:rsidRPr="00412927">
        <w:rPr>
          <w:rFonts w:cs="Arial"/>
          <w:i/>
          <w:szCs w:val="20"/>
        </w:rPr>
        <w:t xml:space="preserve">Board of </w:t>
      </w:r>
      <w:r w:rsidRPr="00412927">
        <w:rPr>
          <w:rFonts w:cs="Arial"/>
          <w:i/>
          <w:color w:val="333333"/>
          <w:szCs w:val="20"/>
          <w:shd w:val="clear" w:color="auto" w:fill="FFFFFF"/>
        </w:rPr>
        <w:t>Australia’s Good Medical Practice: A Code of Conduct for Doctors in Australia</w:t>
      </w:r>
      <w:r w:rsidRPr="00412927">
        <w:rPr>
          <w:rFonts w:cs="Arial"/>
          <w:color w:val="333333"/>
          <w:szCs w:val="20"/>
          <w:shd w:val="clear" w:color="auto" w:fill="FFFFFF"/>
        </w:rPr>
        <w:t xml:space="preserve"> outlines “good patient care” in Section 2.2:</w:t>
      </w:r>
      <w:r w:rsidR="00D07260">
        <w:rPr>
          <w:rStyle w:val="FootnoteReference"/>
          <w:rFonts w:cs="Arial"/>
          <w:color w:val="333333"/>
          <w:szCs w:val="20"/>
          <w:shd w:val="clear" w:color="auto" w:fill="FFFFFF"/>
        </w:rPr>
        <w:footnoteReference w:id="67"/>
      </w:r>
    </w:p>
    <w:p w14:paraId="72BFF306" w14:textId="6A445B88" w:rsidR="00A97230" w:rsidRPr="00E41A73" w:rsidRDefault="006D2FF1" w:rsidP="007E6C13">
      <w:pPr/>
      <w:r>
        <w:t>r</w:t>
      </w:r>
      <w:r w:rsidR="00A97230" w:rsidRPr="00E41A73">
        <w:t>ecognising and working within the limits of the doctor’s competence and scope of practice</w:t>
      </w:r>
      <w:r>
        <w:t>;</w:t>
      </w:r>
    </w:p>
    <w:p w14:paraId="48DB2AC2" w14:textId="42605EC7" w:rsidR="00A97230" w:rsidRPr="00E41A73" w:rsidRDefault="006D2FF1" w:rsidP="007E6C13">
      <w:pPr/>
      <w:r>
        <w:t>e</w:t>
      </w:r>
      <w:r w:rsidR="00A97230" w:rsidRPr="00E41A73">
        <w:t>nsuring that the doctor has adequate knowledge and skills to provide safe clinical care</w:t>
      </w:r>
      <w:r>
        <w:t>;</w:t>
      </w:r>
    </w:p>
    <w:p w14:paraId="1B043ECD" w14:textId="5092AFC0" w:rsidR="00A97230" w:rsidRPr="00E41A73" w:rsidRDefault="006D2FF1" w:rsidP="007E6C13">
      <w:pPr/>
      <w:r>
        <w:t>m</w:t>
      </w:r>
      <w:r w:rsidR="00A97230" w:rsidRPr="00E41A73">
        <w:t>aintenance of adequate records</w:t>
      </w:r>
      <w:r>
        <w:t>;</w:t>
      </w:r>
    </w:p>
    <w:p w14:paraId="0CEA0EA6" w14:textId="49A47536" w:rsidR="00A97230" w:rsidRPr="00E41A73" w:rsidRDefault="006D2FF1" w:rsidP="007E6C13">
      <w:pPr/>
      <w:r>
        <w:t>t</w:t>
      </w:r>
      <w:r w:rsidR="00A97230" w:rsidRPr="00E41A73">
        <w:t>he balance of benefit and harm in all clinical-management decisions</w:t>
      </w:r>
      <w:r>
        <w:t>;</w:t>
      </w:r>
    </w:p>
    <w:p w14:paraId="0A40B76C" w14:textId="16E96E31" w:rsidR="00A97230" w:rsidRPr="00E41A73" w:rsidRDefault="006D2FF1" w:rsidP="007E6C13">
      <w:pPr/>
      <w:r>
        <w:t>c</w:t>
      </w:r>
      <w:r w:rsidR="00A97230" w:rsidRPr="00E41A73">
        <w:t>ommunicating effectively with patients</w:t>
      </w:r>
      <w:r>
        <w:t>;</w:t>
      </w:r>
    </w:p>
    <w:p w14:paraId="6FC957CA" w14:textId="54AC225B" w:rsidR="00A97230" w:rsidRPr="00E41A73" w:rsidRDefault="006D2FF1" w:rsidP="007E6C13">
      <w:pPr/>
      <w:r>
        <w:lastRenderedPageBreak/>
        <w:t>p</w:t>
      </w:r>
      <w:r w:rsidR="00A97230" w:rsidRPr="00E41A73">
        <w:t>roviding treatment options based on the best available information; and</w:t>
      </w:r>
    </w:p>
    <w:p w14:paraId="1A39CB02" w14:textId="193980EF" w:rsidR="00A97230" w:rsidRPr="00E41A73" w:rsidRDefault="006D2FF1" w:rsidP="007E6C13">
      <w:pPr/>
      <w:r>
        <w:t>t</w:t>
      </w:r>
      <w:r w:rsidR="00A97230" w:rsidRPr="00E41A73">
        <w:t>aking steps to alleviate patient symptoms and distress, whether or not a cure is possible</w:t>
      </w:r>
      <w:r w:rsidR="00A97230" w:rsidRPr="00E41A73">
        <w:rPr>
          <w:rFonts w:eastAsia="Times New Roman"/>
          <w:color w:val="333333"/>
          <w:lang w:eastAsia="en-AU"/>
        </w:rPr>
        <w:t>.</w:t>
      </w:r>
    </w:p>
    <w:p w14:paraId="16CA6003" w14:textId="18A1CBF9" w:rsidR="00A97230" w:rsidRDefault="00A97230" w:rsidP="00AF3522">
      <w:pPr>
        <w:shd w:val="clear" w:color="auto" w:fill="FFFFFF"/>
        <w:spacing w:after="240" w:line="240" w:lineRule="auto"/>
        <w:jc w:val="both"/>
        <w:rPr>
          <w:rFonts w:eastAsia="Times New Roman"/>
          <w:color w:val="333333"/>
          <w:lang w:eastAsia="en-AU"/>
        </w:rPr>
      </w:pPr>
      <w:r w:rsidRPr="00AF1FAA">
        <w:rPr>
          <w:rFonts w:eastAsia="Times New Roman"/>
          <w:color w:val="333333"/>
          <w:lang w:eastAsia="en-AU"/>
        </w:rPr>
        <w:t>These obligations</w:t>
      </w:r>
      <w:r w:rsidRPr="00412927">
        <w:rPr>
          <w:rFonts w:eastAsia="Times New Roman"/>
          <w:color w:val="333333"/>
          <w:sz w:val="18"/>
          <w:szCs w:val="20"/>
          <w:lang w:eastAsia="en-AU"/>
        </w:rPr>
        <w:t xml:space="preserve"> </w:t>
      </w:r>
      <w:r w:rsidRPr="00AF1FAA">
        <w:rPr>
          <w:rFonts w:eastAsia="Times New Roman"/>
          <w:color w:val="333333"/>
          <w:lang w:eastAsia="en-AU"/>
        </w:rPr>
        <w:t xml:space="preserve">provide additional protections for patients, and avenues </w:t>
      </w:r>
      <w:r w:rsidR="00B27176">
        <w:rPr>
          <w:rFonts w:eastAsia="Times New Roman"/>
          <w:color w:val="333333"/>
          <w:lang w:eastAsia="en-AU"/>
        </w:rPr>
        <w:t xml:space="preserve">to </w:t>
      </w:r>
      <w:r w:rsidRPr="00AF1FAA">
        <w:rPr>
          <w:rFonts w:eastAsia="Times New Roman"/>
          <w:color w:val="333333"/>
          <w:lang w:eastAsia="en-AU"/>
        </w:rPr>
        <w:t xml:space="preserve">ensure ethical and appropriate conduct for practitioners. </w:t>
      </w:r>
    </w:p>
    <w:p w14:paraId="25F41465" w14:textId="63150F71" w:rsidR="008516AC" w:rsidRPr="00AF3522" w:rsidRDefault="008516AC" w:rsidP="00AF3522">
      <w:pPr>
        <w:shd w:val="clear" w:color="auto" w:fill="FFFFFF"/>
        <w:spacing w:after="240" w:line="240" w:lineRule="auto"/>
        <w:jc w:val="both"/>
        <w:rPr>
          <w:rFonts w:eastAsia="Times New Roman" w:cs="Arial"/>
          <w:color w:val="333333"/>
          <w:sz w:val="18"/>
          <w:szCs w:val="20"/>
          <w:lang w:eastAsia="en-AU"/>
        </w:rPr>
      </w:pPr>
      <w:r>
        <w:rPr>
          <w:noProof/>
        </w:rPr>
        <w:drawing>
          <wp:inline distT="0" distB="0" distL="0" distR="0" wp14:anchorId="39FE476E" wp14:editId="07EEE77E">
            <wp:extent cx="5731510" cy="658495"/>
            <wp:effectExtent l="0" t="0" r="2540" b="8255"/>
            <wp:docPr id="8" name="Picture 8" descr="2. Right of informed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 Right of informed consent"/>
                    <pic:cNvPicPr/>
                  </pic:nvPicPr>
                  <pic:blipFill>
                    <a:blip r:embed="rId32"/>
                    <a:stretch>
                      <a:fillRect/>
                    </a:stretch>
                  </pic:blipFill>
                  <pic:spPr>
                    <a:xfrm>
                      <a:off x="0" y="0"/>
                      <a:ext cx="5731510" cy="658495"/>
                    </a:xfrm>
                    <a:prstGeom prst="rect">
                      <a:avLst/>
                    </a:prstGeom>
                  </pic:spPr>
                </pic:pic>
              </a:graphicData>
            </a:graphic>
          </wp:inline>
        </w:drawing>
      </w:r>
    </w:p>
    <w:p w14:paraId="6CD1FE05" w14:textId="04B02CE5" w:rsidR="00A97230" w:rsidRPr="00412927" w:rsidRDefault="00A97230" w:rsidP="00A97230">
      <w:pPr>
        <w:rPr>
          <w:rFonts w:cs="Arial"/>
          <w:sz w:val="18"/>
          <w:szCs w:val="20"/>
        </w:rPr>
      </w:pPr>
      <w:r w:rsidRPr="00AF1FAA">
        <w:rPr>
          <w:rFonts w:cs="Arial"/>
        </w:rPr>
        <w:t>Doctors and health professionals must get the prior informed consent of the patient before performing medical procedures. There are</w:t>
      </w:r>
      <w:r w:rsidRPr="00AF1FAA">
        <w:t xml:space="preserve"> </w:t>
      </w:r>
      <w:r w:rsidRPr="00AF1FAA">
        <w:rPr>
          <w:rFonts w:cs="Arial"/>
        </w:rPr>
        <w:t>certain exceptions to this rule</w:t>
      </w:r>
      <w:r w:rsidRPr="00412927">
        <w:rPr>
          <w:rFonts w:cs="Arial"/>
          <w:sz w:val="18"/>
          <w:szCs w:val="20"/>
        </w:rPr>
        <w:t>.</w:t>
      </w:r>
      <w:r w:rsidRPr="00412927">
        <w:rPr>
          <w:rStyle w:val="FootnoteReference"/>
          <w:rFonts w:cs="Arial"/>
          <w:sz w:val="18"/>
          <w:szCs w:val="20"/>
        </w:rPr>
        <w:footnoteReference w:id="68"/>
      </w:r>
    </w:p>
    <w:p w14:paraId="4F0B0917" w14:textId="2910E8F8" w:rsidR="00A97230" w:rsidRPr="00412927" w:rsidRDefault="00A97230" w:rsidP="00A97230">
      <w:pPr>
        <w:rPr>
          <w:rFonts w:cs="Arial"/>
          <w:color w:val="333333"/>
          <w:shd w:val="clear" w:color="auto" w:fill="FFFFFF"/>
        </w:rPr>
      </w:pPr>
      <w:r w:rsidRPr="00093E54">
        <w:rPr>
          <w:rFonts w:cs="Arial"/>
        </w:rPr>
        <w:t xml:space="preserve">Industry established professional obligations for informed </w:t>
      </w:r>
      <w:r w:rsidRPr="007714F0">
        <w:rPr>
          <w:rFonts w:cs="Arial"/>
        </w:rPr>
        <w:t>consent are set out in the Medical Board of Australia’s</w:t>
      </w:r>
      <w:r w:rsidRPr="007714F0">
        <w:rPr>
          <w:rFonts w:cs="Arial"/>
          <w:szCs w:val="20"/>
        </w:rPr>
        <w:t xml:space="preserve">, </w:t>
      </w:r>
      <w:r w:rsidRPr="007714F0">
        <w:rPr>
          <w:rFonts w:cs="Arial"/>
          <w:i/>
          <w:iCs/>
          <w:szCs w:val="20"/>
        </w:rPr>
        <w:t>A</w:t>
      </w:r>
      <w:r w:rsidRPr="007714F0">
        <w:rPr>
          <w:rFonts w:cs="Arial"/>
          <w:i/>
          <w:iCs/>
          <w:szCs w:val="20"/>
          <w:shd w:val="clear" w:color="auto" w:fill="FFFFFF"/>
        </w:rPr>
        <w:t>ustralia’s Good Medical Practice: A Code of Conduct for Doctors in Australia</w:t>
      </w:r>
      <w:r w:rsidRPr="007714F0">
        <w:rPr>
          <w:rStyle w:val="FootnoteReference"/>
          <w:rFonts w:cs="Arial"/>
          <w:i/>
          <w:iCs/>
          <w:szCs w:val="20"/>
          <w:shd w:val="clear" w:color="auto" w:fill="FFFFFF"/>
        </w:rPr>
        <w:footnoteReference w:id="69"/>
      </w:r>
      <w:r w:rsidRPr="007714F0">
        <w:rPr>
          <w:rFonts w:cs="Arial"/>
          <w:i/>
          <w:iCs/>
          <w:szCs w:val="20"/>
          <w:shd w:val="clear" w:color="auto" w:fill="FFFFFF"/>
        </w:rPr>
        <w:t xml:space="preserve"> </w:t>
      </w:r>
      <w:r w:rsidRPr="007714F0">
        <w:rPr>
          <w:rFonts w:cs="Arial"/>
          <w:szCs w:val="20"/>
          <w:shd w:val="clear" w:color="auto" w:fill="FFFFFF"/>
        </w:rPr>
        <w:t xml:space="preserve">and detailed in the guidelines issued by the National Health and Medical </w:t>
      </w:r>
      <w:r w:rsidR="009662E5">
        <w:rPr>
          <w:rFonts w:cs="Arial"/>
          <w:szCs w:val="20"/>
          <w:shd w:val="clear" w:color="auto" w:fill="FFFFFF"/>
        </w:rPr>
        <w:t>R</w:t>
      </w:r>
      <w:r w:rsidRPr="007714F0">
        <w:rPr>
          <w:rFonts w:cs="Arial"/>
          <w:szCs w:val="20"/>
          <w:shd w:val="clear" w:color="auto" w:fill="FFFFFF"/>
        </w:rPr>
        <w:t>esearch Council.</w:t>
      </w:r>
      <w:r w:rsidRPr="007714F0">
        <w:rPr>
          <w:rStyle w:val="FootnoteReference"/>
          <w:rFonts w:cs="Arial"/>
          <w:szCs w:val="20"/>
          <w:shd w:val="clear" w:color="auto" w:fill="FFFFFF"/>
        </w:rPr>
        <w:footnoteReference w:id="70"/>
      </w:r>
      <w:r w:rsidRPr="007714F0">
        <w:rPr>
          <w:rFonts w:cs="Arial"/>
          <w:szCs w:val="20"/>
          <w:shd w:val="clear" w:color="auto" w:fill="FFFFFF"/>
        </w:rPr>
        <w:t xml:space="preserve"> Section 3.5 of the Code states that informed consent is good medical practice that ensures the patient understands the benefits and risks involved. This involves:</w:t>
      </w:r>
      <w:r w:rsidRPr="007714F0">
        <w:rPr>
          <w:rStyle w:val="FootnoteReference"/>
          <w:rFonts w:cs="Arial"/>
          <w:szCs w:val="20"/>
          <w:shd w:val="clear" w:color="auto" w:fill="FFFFFF"/>
        </w:rPr>
        <w:footnoteReference w:id="71"/>
      </w:r>
    </w:p>
    <w:p w14:paraId="75689A2F" w14:textId="2AF4CB95" w:rsidR="00A97230" w:rsidRPr="008E5C92" w:rsidRDefault="00873CC8" w:rsidP="00137AAB">
      <w:pPr>
        <w:pStyle w:val="ListBullet"/>
      </w:pPr>
      <w:r>
        <w:t>p</w:t>
      </w:r>
      <w:r w:rsidR="00A97230" w:rsidRPr="00E02C49">
        <w:t>roviding information to patients in a way that they can understand before asking for their consent</w:t>
      </w:r>
      <w:r>
        <w:t>;</w:t>
      </w:r>
    </w:p>
    <w:p w14:paraId="48EFED51" w14:textId="14334BE3" w:rsidR="00A97230" w:rsidRPr="008E5C92" w:rsidRDefault="00873CC8" w:rsidP="00137AAB">
      <w:pPr>
        <w:pStyle w:val="ListBullet"/>
      </w:pPr>
      <w:r>
        <w:t>o</w:t>
      </w:r>
      <w:r w:rsidR="00A97230" w:rsidRPr="00E02C49">
        <w:t>btaining informed consent or other valid authority before the doctor undertakes any examination, investigation or provide</w:t>
      </w:r>
      <w:r w:rsidR="00691695">
        <w:t>s</w:t>
      </w:r>
      <w:r w:rsidR="00A97230" w:rsidRPr="00E02C49">
        <w:t xml:space="preserve"> treatment (except in an emergency), or before involving patients in teaching or research</w:t>
      </w:r>
      <w:r>
        <w:t>;</w:t>
      </w:r>
    </w:p>
    <w:p w14:paraId="62A879A6" w14:textId="1B935ABB" w:rsidR="00A97230" w:rsidRPr="00E02C49" w:rsidRDefault="00873CC8" w:rsidP="00137AAB">
      <w:pPr>
        <w:pStyle w:val="ListBullet"/>
      </w:pPr>
      <w:r>
        <w:t>e</w:t>
      </w:r>
      <w:r w:rsidR="00A97230" w:rsidRPr="00E02C49">
        <w:t>nsuring that patients are informed about the doctor’s fees and charges</w:t>
      </w:r>
      <w:r>
        <w:t>; and</w:t>
      </w:r>
    </w:p>
    <w:p w14:paraId="744FBE93" w14:textId="1E1C234E" w:rsidR="00A97230" w:rsidRPr="00E02C49" w:rsidRDefault="00873CC8" w:rsidP="00137AAB">
      <w:pPr>
        <w:pStyle w:val="ListBullet"/>
        <w:rPr>
          <w:rFonts w:eastAsia="Times New Roman"/>
          <w:color w:val="333333"/>
          <w:lang w:eastAsia="en-AU"/>
        </w:rPr>
      </w:pPr>
      <w:r>
        <w:t>w</w:t>
      </w:r>
      <w:r w:rsidR="00A97230" w:rsidRPr="00E02C49">
        <w:t xml:space="preserve">hen referring a patient for investigation or treatment, advising the patient that there may be </w:t>
      </w:r>
      <w:r w:rsidR="00A97230" w:rsidRPr="007714F0">
        <w:t xml:space="preserve">additional </w:t>
      </w:r>
      <w:r w:rsidR="00A97230" w:rsidRPr="007714F0">
        <w:rPr>
          <w:rFonts w:eastAsia="Times New Roman"/>
          <w:lang w:eastAsia="en-AU"/>
        </w:rPr>
        <w:t>costs, which patients may wish to clarify before proceeding.</w:t>
      </w:r>
    </w:p>
    <w:p w14:paraId="540A9A00" w14:textId="77777777" w:rsidR="00625BF3" w:rsidRDefault="00A97230" w:rsidP="00A97230">
      <w:pPr>
        <w:rPr>
          <w:rFonts w:cs="Arial"/>
        </w:rPr>
      </w:pPr>
      <w:r w:rsidRPr="00412927">
        <w:rPr>
          <w:rFonts w:cs="Arial"/>
        </w:rPr>
        <w:t xml:space="preserve">Failing to obtain consent can result in tort or criminal offences such as battery, assault or trespass against the person, and </w:t>
      </w:r>
      <w:r w:rsidRPr="00412927">
        <w:t xml:space="preserve">for </w:t>
      </w:r>
      <w:r w:rsidRPr="00412927">
        <w:rPr>
          <w:rFonts w:cs="Arial"/>
        </w:rPr>
        <w:t>health care providers being liable to be sued for damages.</w:t>
      </w:r>
      <w:r w:rsidRPr="00412927">
        <w:rPr>
          <w:rStyle w:val="FootnoteReference"/>
          <w:rFonts w:cs="Arial"/>
        </w:rPr>
        <w:footnoteReference w:id="72"/>
      </w:r>
      <w:r w:rsidRPr="00412927">
        <w:rPr>
          <w:rFonts w:cs="Arial"/>
        </w:rPr>
        <w:t xml:space="preserve"> As such, to obtain informed consent requires effective communication of ‘inherent risks’ associated with a treatment and the chances of those risks happening</w:t>
      </w:r>
      <w:r w:rsidR="00042C8A">
        <w:rPr>
          <w:rFonts w:cs="Arial"/>
        </w:rPr>
        <w:t>.</w:t>
      </w:r>
      <w:r w:rsidRPr="00412927">
        <w:rPr>
          <w:rFonts w:cs="Arial"/>
        </w:rPr>
        <w:t xml:space="preserve"> </w:t>
      </w:r>
      <w:r w:rsidR="00042C8A">
        <w:rPr>
          <w:rFonts w:cs="Arial"/>
        </w:rPr>
        <w:t>I</w:t>
      </w:r>
      <w:r w:rsidRPr="00412927">
        <w:rPr>
          <w:rFonts w:cs="Arial"/>
        </w:rPr>
        <w:t xml:space="preserve">t is not </w:t>
      </w:r>
      <w:r w:rsidR="007C41A8">
        <w:rPr>
          <w:rFonts w:cs="Arial"/>
        </w:rPr>
        <w:t xml:space="preserve">relevant </w:t>
      </w:r>
      <w:r w:rsidRPr="00412927">
        <w:rPr>
          <w:rFonts w:cs="Arial"/>
        </w:rPr>
        <w:t xml:space="preserve">whether risks </w:t>
      </w:r>
      <w:r w:rsidR="003D5A09">
        <w:rPr>
          <w:rFonts w:cs="Arial"/>
        </w:rPr>
        <w:t xml:space="preserve">actually </w:t>
      </w:r>
      <w:r w:rsidRPr="00412927">
        <w:rPr>
          <w:rFonts w:cs="Arial"/>
        </w:rPr>
        <w:t>materialise</w:t>
      </w:r>
      <w:r w:rsidR="001A31A1">
        <w:rPr>
          <w:rFonts w:cs="Arial"/>
        </w:rPr>
        <w:t xml:space="preserve"> or not</w:t>
      </w:r>
      <w:r w:rsidRPr="00412927">
        <w:rPr>
          <w:rFonts w:cs="Arial"/>
        </w:rPr>
        <w:t>.</w:t>
      </w:r>
      <w:r w:rsidRPr="00412927">
        <w:rPr>
          <w:rStyle w:val="FootnoteReference"/>
          <w:rFonts w:cs="Arial"/>
        </w:rPr>
        <w:footnoteReference w:id="73"/>
      </w:r>
      <w:r w:rsidRPr="00412927">
        <w:rPr>
          <w:rFonts w:cs="Arial"/>
        </w:rPr>
        <w:t xml:space="preserve"> </w:t>
      </w:r>
    </w:p>
    <w:p w14:paraId="324F1579" w14:textId="00D503CC" w:rsidR="00A97230" w:rsidRPr="00412927" w:rsidRDefault="00625BF3" w:rsidP="00A97230">
      <w:pPr>
        <w:rPr>
          <w:rFonts w:cs="Arial"/>
          <w:szCs w:val="20"/>
        </w:rPr>
      </w:pPr>
      <w:r>
        <w:rPr>
          <w:rFonts w:cs="Arial"/>
        </w:rPr>
        <w:lastRenderedPageBreak/>
        <w:t>T</w:t>
      </w:r>
      <w:r w:rsidR="00A97230" w:rsidRPr="00412927">
        <w:rPr>
          <w:rFonts w:cs="Arial"/>
        </w:rPr>
        <w:t>he harms associated with Indigenous health related genomics do not fit neatly in this concept</w:t>
      </w:r>
      <w:r w:rsidR="00F60FB9">
        <w:rPr>
          <w:rFonts w:cs="Arial"/>
        </w:rPr>
        <w:t>.</w:t>
      </w:r>
      <w:r w:rsidR="00046D65">
        <w:rPr>
          <w:rFonts w:cs="Arial"/>
        </w:rPr>
        <w:t xml:space="preserve"> </w:t>
      </w:r>
      <w:r w:rsidR="00E727A8">
        <w:rPr>
          <w:rFonts w:cs="Arial"/>
        </w:rPr>
        <w:t xml:space="preserve">The </w:t>
      </w:r>
      <w:r w:rsidR="00D174AC">
        <w:rPr>
          <w:rFonts w:cs="Arial"/>
        </w:rPr>
        <w:t xml:space="preserve">western view of harm focuses on </w:t>
      </w:r>
      <w:r w:rsidR="00C86D32">
        <w:rPr>
          <w:rFonts w:cs="Arial"/>
        </w:rPr>
        <w:t xml:space="preserve">physical </w:t>
      </w:r>
      <w:r w:rsidR="00221450">
        <w:rPr>
          <w:rFonts w:cs="Arial"/>
        </w:rPr>
        <w:t xml:space="preserve">illness or </w:t>
      </w:r>
      <w:r w:rsidR="00C86D32">
        <w:rPr>
          <w:rFonts w:cs="Arial"/>
        </w:rPr>
        <w:t>injury to the person</w:t>
      </w:r>
      <w:r w:rsidR="00221450">
        <w:rPr>
          <w:rFonts w:cs="Arial"/>
        </w:rPr>
        <w:t xml:space="preserve">, </w:t>
      </w:r>
      <w:r w:rsidR="00BB0C43">
        <w:rPr>
          <w:rFonts w:cs="Arial"/>
        </w:rPr>
        <w:t xml:space="preserve">e.g. </w:t>
      </w:r>
      <w:r w:rsidR="000B5982">
        <w:rPr>
          <w:rFonts w:cs="Arial"/>
        </w:rPr>
        <w:t xml:space="preserve">illness resulting from an </w:t>
      </w:r>
      <w:r w:rsidR="00437212">
        <w:rPr>
          <w:rFonts w:cs="Arial"/>
        </w:rPr>
        <w:t xml:space="preserve">infection following an operation. </w:t>
      </w:r>
      <w:r w:rsidR="006F5637">
        <w:rPr>
          <w:rFonts w:cs="Arial"/>
        </w:rPr>
        <w:t xml:space="preserve">From an </w:t>
      </w:r>
      <w:r w:rsidR="00194AF8">
        <w:rPr>
          <w:rFonts w:cs="Arial"/>
        </w:rPr>
        <w:t xml:space="preserve">Aboriginal and Torres Strait Islander </w:t>
      </w:r>
      <w:r w:rsidR="006F5637">
        <w:rPr>
          <w:rFonts w:cs="Arial"/>
        </w:rPr>
        <w:t>perspective</w:t>
      </w:r>
      <w:r w:rsidR="00E414F7">
        <w:rPr>
          <w:rFonts w:cs="Arial"/>
        </w:rPr>
        <w:t>,</w:t>
      </w:r>
      <w:r w:rsidR="006F5637">
        <w:rPr>
          <w:rFonts w:cs="Arial"/>
        </w:rPr>
        <w:t xml:space="preserve"> </w:t>
      </w:r>
      <w:r w:rsidR="00D12AAA">
        <w:rPr>
          <w:rFonts w:cs="Arial"/>
        </w:rPr>
        <w:t>the scope of harm can be much wide</w:t>
      </w:r>
      <w:r w:rsidR="007E7988">
        <w:rPr>
          <w:rFonts w:cs="Arial"/>
        </w:rPr>
        <w:t>r</w:t>
      </w:r>
      <w:r w:rsidR="00D12AAA">
        <w:rPr>
          <w:rFonts w:cs="Arial"/>
        </w:rPr>
        <w:t>, including spiritual and cultural harms.</w:t>
      </w:r>
      <w:r w:rsidR="00603115">
        <w:rPr>
          <w:rFonts w:cs="Arial"/>
        </w:rPr>
        <w:t xml:space="preserve"> Also, the </w:t>
      </w:r>
      <w:r w:rsidR="008138FC">
        <w:rPr>
          <w:rFonts w:cs="Arial"/>
        </w:rPr>
        <w:t xml:space="preserve">western definition of ‘physical’ is </w:t>
      </w:r>
      <w:r w:rsidR="007559A9">
        <w:rPr>
          <w:rFonts w:cs="Arial"/>
        </w:rPr>
        <w:t xml:space="preserve">more limited </w:t>
      </w:r>
      <w:r w:rsidR="007B0A00">
        <w:rPr>
          <w:rFonts w:cs="Arial"/>
        </w:rPr>
        <w:t xml:space="preserve">than it is </w:t>
      </w:r>
      <w:r w:rsidR="002F6595">
        <w:rPr>
          <w:rFonts w:cs="Arial"/>
        </w:rPr>
        <w:t xml:space="preserve">under customary law. </w:t>
      </w:r>
      <w:r w:rsidR="00080FB2">
        <w:rPr>
          <w:rFonts w:cs="Arial"/>
        </w:rPr>
        <w:t>F</w:t>
      </w:r>
      <w:r w:rsidR="00A97230" w:rsidRPr="00412927">
        <w:rPr>
          <w:rFonts w:cs="Arial"/>
        </w:rPr>
        <w:t xml:space="preserve">rom an </w:t>
      </w:r>
      <w:r w:rsidR="00D37D06">
        <w:rPr>
          <w:rFonts w:cs="Arial"/>
        </w:rPr>
        <w:t xml:space="preserve">Aboriginal and Torres Strait Islander </w:t>
      </w:r>
      <w:r w:rsidR="00A97230" w:rsidRPr="00412927">
        <w:rPr>
          <w:rFonts w:cs="Arial"/>
        </w:rPr>
        <w:t xml:space="preserve">perspective, your body and samples are still your person </w:t>
      </w:r>
      <w:r w:rsidR="00805763">
        <w:rPr>
          <w:rFonts w:cs="Arial"/>
        </w:rPr>
        <w:t xml:space="preserve">even after </w:t>
      </w:r>
      <w:r w:rsidR="00A97230" w:rsidRPr="00412927">
        <w:rPr>
          <w:rFonts w:cs="Arial"/>
        </w:rPr>
        <w:t xml:space="preserve">they leave the body, </w:t>
      </w:r>
      <w:r w:rsidR="00805763">
        <w:rPr>
          <w:rFonts w:cs="Arial"/>
        </w:rPr>
        <w:t xml:space="preserve">and </w:t>
      </w:r>
      <w:r w:rsidR="00A97230" w:rsidRPr="00412927">
        <w:rPr>
          <w:rFonts w:cs="Arial"/>
        </w:rPr>
        <w:t>spirit can still remain with those samples</w:t>
      </w:r>
      <w:r w:rsidR="002854B4">
        <w:rPr>
          <w:rFonts w:cs="Arial"/>
        </w:rPr>
        <w:t xml:space="preserve">; </w:t>
      </w:r>
      <w:r w:rsidR="00A97230" w:rsidRPr="00412927">
        <w:rPr>
          <w:rFonts w:cs="Arial"/>
        </w:rPr>
        <w:t>those samples carry your DNA and that of your ancestors.</w:t>
      </w:r>
      <w:r w:rsidR="00DF6F34">
        <w:rPr>
          <w:rFonts w:cs="Arial"/>
        </w:rPr>
        <w:t xml:space="preserve"> Misuse of these samples, </w:t>
      </w:r>
      <w:r w:rsidR="00550C33">
        <w:rPr>
          <w:rFonts w:cs="Arial"/>
        </w:rPr>
        <w:t>can result in significant harm</w:t>
      </w:r>
      <w:r w:rsidR="000D4E26">
        <w:rPr>
          <w:rFonts w:cs="Arial"/>
        </w:rPr>
        <w:t xml:space="preserve"> to </w:t>
      </w:r>
      <w:r w:rsidR="00FB782A">
        <w:rPr>
          <w:rFonts w:cs="Arial"/>
        </w:rPr>
        <w:t xml:space="preserve">Aboriginal and Torres Strait Islander </w:t>
      </w:r>
      <w:r w:rsidR="00B03D6A">
        <w:rPr>
          <w:rFonts w:cs="Arial"/>
        </w:rPr>
        <w:t>donors, their family and community.</w:t>
      </w:r>
      <w:r w:rsidR="00A97230" w:rsidRPr="00412927">
        <w:rPr>
          <w:rFonts w:cs="Arial"/>
        </w:rPr>
        <w:t xml:space="preserve"> </w:t>
      </w:r>
      <w:r w:rsidR="00000449">
        <w:rPr>
          <w:rFonts w:cs="Arial"/>
        </w:rPr>
        <w:t>These</w:t>
      </w:r>
      <w:r w:rsidR="00A97230" w:rsidRPr="00412927">
        <w:rPr>
          <w:rFonts w:cs="Arial"/>
        </w:rPr>
        <w:t xml:space="preserve"> harms </w:t>
      </w:r>
      <w:r w:rsidR="009D1DE5">
        <w:rPr>
          <w:rFonts w:cs="Arial"/>
        </w:rPr>
        <w:t xml:space="preserve">may </w:t>
      </w:r>
      <w:r w:rsidR="008C3452">
        <w:rPr>
          <w:rFonts w:cs="Arial"/>
        </w:rPr>
        <w:t>result in</w:t>
      </w:r>
      <w:r w:rsidR="009D1DE5">
        <w:rPr>
          <w:rFonts w:cs="Arial"/>
        </w:rPr>
        <w:t xml:space="preserve"> </w:t>
      </w:r>
      <w:r w:rsidR="00A97230" w:rsidRPr="00412927">
        <w:rPr>
          <w:rFonts w:cs="Arial"/>
        </w:rPr>
        <w:t>dignitary harms</w:t>
      </w:r>
      <w:r w:rsidR="00AD1981">
        <w:rPr>
          <w:rFonts w:cs="Arial"/>
        </w:rPr>
        <w:t xml:space="preserve">, </w:t>
      </w:r>
      <w:r w:rsidR="00E74CA0">
        <w:rPr>
          <w:rFonts w:cs="Arial"/>
        </w:rPr>
        <w:t>inequitable</w:t>
      </w:r>
      <w:r w:rsidR="00AD1981">
        <w:rPr>
          <w:rFonts w:cs="Arial"/>
        </w:rPr>
        <w:t xml:space="preserve"> access to medical benefits or </w:t>
      </w:r>
      <w:r w:rsidR="008C3452">
        <w:rPr>
          <w:rFonts w:cs="Arial"/>
        </w:rPr>
        <w:t>a lack of prior informed consent</w:t>
      </w:r>
      <w:r w:rsidR="00CA0A41">
        <w:rPr>
          <w:rFonts w:cs="Arial"/>
        </w:rPr>
        <w:t>.</w:t>
      </w:r>
      <w:r w:rsidR="00A97230" w:rsidRPr="00412927">
        <w:rPr>
          <w:rFonts w:cs="Arial"/>
        </w:rPr>
        <w:t xml:space="preserve"> Therefore, it is critical that patients are aware of what they are </w:t>
      </w:r>
      <w:r w:rsidR="00A97230" w:rsidRPr="00412927">
        <w:rPr>
          <w:rFonts w:cs="Arial"/>
          <w:szCs w:val="20"/>
        </w:rPr>
        <w:t xml:space="preserve">consenting to and what will happen with their sample. </w:t>
      </w:r>
    </w:p>
    <w:p w14:paraId="61A31C99" w14:textId="64DA1A35" w:rsidR="00A97230" w:rsidRPr="00A51ED1" w:rsidRDefault="00A97230" w:rsidP="002E4F7F">
      <w:pPr>
        <w:rPr>
          <w:rFonts w:cs="Arial"/>
          <w:sz w:val="20"/>
          <w:szCs w:val="20"/>
        </w:rPr>
      </w:pPr>
      <w:r w:rsidRPr="00412927">
        <w:rPr>
          <w:rFonts w:cs="Arial"/>
          <w:szCs w:val="20"/>
        </w:rPr>
        <w:t xml:space="preserve">Across most states, legislation often explicitly excludes liability arising in </w:t>
      </w:r>
      <w:r w:rsidR="00916CCD">
        <w:rPr>
          <w:rFonts w:cs="Arial"/>
          <w:szCs w:val="20"/>
        </w:rPr>
        <w:t>connection</w:t>
      </w:r>
      <w:r w:rsidRPr="00412927">
        <w:rPr>
          <w:rFonts w:cs="Arial"/>
          <w:szCs w:val="20"/>
        </w:rPr>
        <w:t xml:space="preserve"> with the giving of (or failure to give) a warning, advice or other information, in relation to the risk of harm to a person</w:t>
      </w:r>
      <w:r w:rsidR="00F01CAA">
        <w:rPr>
          <w:rFonts w:cs="Arial"/>
          <w:szCs w:val="20"/>
        </w:rPr>
        <w:t xml:space="preserve"> </w:t>
      </w:r>
      <w:r w:rsidR="0048116B">
        <w:rPr>
          <w:rFonts w:cs="Arial"/>
          <w:szCs w:val="20"/>
        </w:rPr>
        <w:t xml:space="preserve">in the </w:t>
      </w:r>
      <w:r w:rsidRPr="00412927">
        <w:rPr>
          <w:rFonts w:cs="Arial"/>
          <w:szCs w:val="20"/>
        </w:rPr>
        <w:t>provision of a professional service.</w:t>
      </w:r>
      <w:r w:rsidRPr="00412927">
        <w:rPr>
          <w:rStyle w:val="FootnoteReference"/>
          <w:rFonts w:cs="Arial"/>
          <w:szCs w:val="20"/>
        </w:rPr>
        <w:footnoteReference w:id="74"/>
      </w:r>
      <w:r w:rsidRPr="00412927">
        <w:rPr>
          <w:rFonts w:cs="Arial"/>
          <w:szCs w:val="20"/>
        </w:rPr>
        <w:t xml:space="preserve"> </w:t>
      </w:r>
      <w:r w:rsidRPr="00412927">
        <w:rPr>
          <w:szCs w:val="20"/>
        </w:rPr>
        <w:t>Instead,</w:t>
      </w:r>
      <w:r w:rsidRPr="00412927">
        <w:rPr>
          <w:rFonts w:cs="Arial"/>
          <w:szCs w:val="20"/>
        </w:rPr>
        <w:t xml:space="preserve"> the standard imposed derives from common law. The </w:t>
      </w:r>
      <w:r w:rsidR="0005203B">
        <w:rPr>
          <w:rFonts w:cs="Arial"/>
          <w:szCs w:val="20"/>
        </w:rPr>
        <w:t>High</w:t>
      </w:r>
      <w:r w:rsidRPr="00412927">
        <w:rPr>
          <w:rFonts w:cs="Arial"/>
          <w:szCs w:val="20"/>
        </w:rPr>
        <w:t xml:space="preserve"> Court in </w:t>
      </w:r>
      <w:r w:rsidRPr="00412927">
        <w:rPr>
          <w:rFonts w:cs="Arial"/>
          <w:i/>
          <w:iCs/>
          <w:szCs w:val="20"/>
        </w:rPr>
        <w:t>Rogers v Whitaker</w:t>
      </w:r>
      <w:r w:rsidRPr="00412927">
        <w:rPr>
          <w:rFonts w:cs="Arial"/>
          <w:szCs w:val="20"/>
        </w:rPr>
        <w:t xml:space="preserve"> </w:t>
      </w:r>
      <w:r w:rsidR="0005203B">
        <w:rPr>
          <w:rFonts w:cs="Arial"/>
          <w:szCs w:val="20"/>
        </w:rPr>
        <w:t xml:space="preserve">endorsed taking the </w:t>
      </w:r>
      <w:r w:rsidRPr="00412927">
        <w:rPr>
          <w:rFonts w:cs="Arial"/>
          <w:szCs w:val="20"/>
        </w:rPr>
        <w:t>following factors to take into consideration when determining what risks to disclose to the patient</w:t>
      </w:r>
      <w:r w:rsidR="000218A9">
        <w:rPr>
          <w:rFonts w:cs="Arial"/>
          <w:szCs w:val="20"/>
        </w:rPr>
        <w:t>:</w:t>
      </w:r>
      <w:r w:rsidR="0005203B">
        <w:rPr>
          <w:rFonts w:cs="Arial"/>
          <w:szCs w:val="20"/>
        </w:rPr>
        <w:t xml:space="preserve"> </w:t>
      </w:r>
      <w:r w:rsidR="002E4F7F" w:rsidRPr="002E4F7F">
        <w:rPr>
          <w:rFonts w:cs="Arial"/>
        </w:rPr>
        <w:t xml:space="preserve">patients </w:t>
      </w:r>
      <w:r w:rsidR="0005203B">
        <w:rPr>
          <w:rFonts w:cs="Arial"/>
          <w:szCs w:val="20"/>
        </w:rPr>
        <w:t xml:space="preserve">personality, </w:t>
      </w:r>
      <w:r w:rsidR="002E4F7F" w:rsidRPr="002E4F7F">
        <w:rPr>
          <w:rFonts w:cs="Arial"/>
        </w:rPr>
        <w:t>temperament</w:t>
      </w:r>
      <w:r w:rsidRPr="002E4F7F">
        <w:rPr>
          <w:rFonts w:cs="Arial"/>
        </w:rPr>
        <w:t xml:space="preserve"> and attitude</w:t>
      </w:r>
      <w:r w:rsidR="0005203B" w:rsidRPr="002E4F7F">
        <w:rPr>
          <w:rFonts w:cs="Arial"/>
        </w:rPr>
        <w:t>,</w:t>
      </w:r>
      <w:r w:rsidR="002E4F7F" w:rsidRPr="002E4F7F">
        <w:rPr>
          <w:rFonts w:cs="Arial"/>
        </w:rPr>
        <w:t xml:space="preserve"> patients</w:t>
      </w:r>
      <w:r w:rsidRPr="002E4F7F">
        <w:rPr>
          <w:rFonts w:cs="Arial"/>
        </w:rPr>
        <w:t xml:space="preserve"> level of understanding</w:t>
      </w:r>
      <w:r w:rsidR="002E4F7F" w:rsidRPr="002E4F7F">
        <w:rPr>
          <w:rFonts w:cs="Arial"/>
        </w:rPr>
        <w:t>, n</w:t>
      </w:r>
      <w:r w:rsidRPr="002E4F7F">
        <w:rPr>
          <w:rFonts w:cs="Arial"/>
        </w:rPr>
        <w:t xml:space="preserve">ature of the treatment </w:t>
      </w:r>
      <w:r w:rsidR="00D51226">
        <w:rPr>
          <w:rFonts w:cs="Arial"/>
        </w:rPr>
        <w:t>(</w:t>
      </w:r>
      <w:r w:rsidRPr="002E4F7F">
        <w:rPr>
          <w:rFonts w:cs="Arial"/>
        </w:rPr>
        <w:t xml:space="preserve">major procedures demanding </w:t>
      </w:r>
      <w:r w:rsidR="00D51226">
        <w:rPr>
          <w:rFonts w:cs="Arial"/>
        </w:rPr>
        <w:t xml:space="preserve">a </w:t>
      </w:r>
      <w:r w:rsidRPr="002E4F7F">
        <w:rPr>
          <w:rFonts w:cs="Arial"/>
        </w:rPr>
        <w:t>more detail</w:t>
      </w:r>
      <w:r w:rsidR="00D51226">
        <w:rPr>
          <w:rFonts w:cs="Arial"/>
        </w:rPr>
        <w:t>ed</w:t>
      </w:r>
      <w:r w:rsidRPr="002E4F7F">
        <w:rPr>
          <w:rFonts w:cs="Arial"/>
        </w:rPr>
        <w:t xml:space="preserve"> explanation</w:t>
      </w:r>
      <w:r w:rsidR="00D51226">
        <w:rPr>
          <w:rFonts w:cs="Arial"/>
        </w:rPr>
        <w:t>)</w:t>
      </w:r>
      <w:r w:rsidR="002E4F7F" w:rsidRPr="002E4F7F">
        <w:rPr>
          <w:rFonts w:cs="Arial"/>
        </w:rPr>
        <w:t xml:space="preserve"> and the likelihood</w:t>
      </w:r>
      <w:r w:rsidRPr="002E4F7F">
        <w:rPr>
          <w:rFonts w:cs="Arial"/>
        </w:rPr>
        <w:t xml:space="preserve"> of adverse effects resulting from treatment</w:t>
      </w:r>
      <w:r w:rsidR="002E4F7F" w:rsidRPr="002E4F7F">
        <w:rPr>
          <w:rFonts w:cs="Arial"/>
        </w:rPr>
        <w:t>.</w:t>
      </w:r>
      <w:r w:rsidR="002E4F7F" w:rsidRPr="002E4F7F">
        <w:rPr>
          <w:rStyle w:val="FootnoteReference"/>
          <w:rFonts w:cs="Arial"/>
          <w:i/>
        </w:rPr>
        <w:t xml:space="preserve"> </w:t>
      </w:r>
      <w:r w:rsidR="002E4F7F" w:rsidRPr="002E4F7F">
        <w:rPr>
          <w:rStyle w:val="FootnoteReference"/>
          <w:rFonts w:cs="Arial"/>
          <w:i/>
        </w:rPr>
        <w:footnoteReference w:id="75"/>
      </w:r>
    </w:p>
    <w:p w14:paraId="498D0D0C" w14:textId="42C412DB" w:rsidR="00A97230" w:rsidRPr="001647B1" w:rsidRDefault="00A97230" w:rsidP="00A97230">
      <w:pPr>
        <w:rPr>
          <w:rFonts w:cs="Arial"/>
        </w:rPr>
      </w:pPr>
      <w:r>
        <w:t xml:space="preserve">In addition to the above factors, the standard the law demands of medical practitioners in providing information, </w:t>
      </w:r>
      <w:r w:rsidR="002E4F7F">
        <w:t xml:space="preserve">was further </w:t>
      </w:r>
      <w:r w:rsidR="00257106">
        <w:t xml:space="preserve">clarified in </w:t>
      </w:r>
      <w:r w:rsidR="00257106">
        <w:rPr>
          <w:i/>
          <w:iCs/>
        </w:rPr>
        <w:t>Rosenberg v Percival</w:t>
      </w:r>
      <w:r>
        <w:rPr>
          <w:i/>
          <w:iCs/>
        </w:rPr>
        <w:t>:</w:t>
      </w:r>
      <w:r w:rsidRPr="00440F78">
        <w:rPr>
          <w:rStyle w:val="FootnoteReference"/>
          <w:rFonts w:cs="Arial"/>
          <w:i/>
          <w:iCs/>
        </w:rPr>
        <w:footnoteReference w:id="76"/>
      </w:r>
    </w:p>
    <w:p w14:paraId="433A5BAD" w14:textId="7611CB89" w:rsidR="00A97230" w:rsidRPr="00093E54" w:rsidRDefault="00A97230" w:rsidP="007E6C13">
      <w:pPr>
        <w:pStyle w:val="Quote"/>
      </w:pPr>
      <w:r w:rsidRPr="00093E54">
        <w:t xml:space="preserve">"a doctor has a duty to </w:t>
      </w:r>
      <w:r w:rsidRPr="007E6C13">
        <w:t>warn a patient of a material risk inherent in the proposed treatment; a risk is material if… a reasonable person in the patient's position, if warned of the risk, would be likely to attach significance to it or if the medical practitioner is or should reasonably be aware that the particular patient, if warned</w:t>
      </w:r>
      <w:r w:rsidRPr="00093E54">
        <w:t xml:space="preserve"> of the risk, would be likely to attach significance to it… </w:t>
      </w:r>
    </w:p>
    <w:p w14:paraId="113E23D8" w14:textId="555BF8FE" w:rsidR="00A268FD" w:rsidRPr="007E6C13" w:rsidRDefault="002F7B5D" w:rsidP="00A97230">
      <w:r>
        <w:rPr>
          <w:rFonts w:cs="Arial"/>
          <w:szCs w:val="20"/>
        </w:rPr>
        <w:t xml:space="preserve">In the context of </w:t>
      </w:r>
      <w:r w:rsidR="00A97230" w:rsidRPr="00412927">
        <w:rPr>
          <w:rFonts w:cs="Arial"/>
          <w:szCs w:val="20"/>
        </w:rPr>
        <w:t>Indigenous health related genomics</w:t>
      </w:r>
      <w:r w:rsidR="00507B6F">
        <w:rPr>
          <w:rFonts w:cs="Arial"/>
          <w:szCs w:val="20"/>
        </w:rPr>
        <w:t xml:space="preserve">, a material risk may arise </w:t>
      </w:r>
      <w:r w:rsidR="00491A44">
        <w:rPr>
          <w:rFonts w:cs="Arial"/>
          <w:szCs w:val="20"/>
        </w:rPr>
        <w:t>when</w:t>
      </w:r>
      <w:r w:rsidR="00A97230" w:rsidRPr="00412927">
        <w:rPr>
          <w:rFonts w:cs="Arial"/>
          <w:szCs w:val="20"/>
        </w:rPr>
        <w:t xml:space="preserve"> a patient </w:t>
      </w:r>
      <w:r w:rsidR="003127F4">
        <w:rPr>
          <w:rFonts w:cs="Arial"/>
          <w:szCs w:val="20"/>
        </w:rPr>
        <w:t xml:space="preserve">does </w:t>
      </w:r>
      <w:r w:rsidR="00A97230" w:rsidRPr="00412927">
        <w:rPr>
          <w:rFonts w:cs="Arial"/>
          <w:szCs w:val="20"/>
        </w:rPr>
        <w:t xml:space="preserve">not fully understand </w:t>
      </w:r>
      <w:r w:rsidR="001F63B0">
        <w:rPr>
          <w:rFonts w:cs="Arial"/>
          <w:szCs w:val="20"/>
        </w:rPr>
        <w:t xml:space="preserve">the scope of their consent. </w:t>
      </w:r>
      <w:r w:rsidR="008D3751">
        <w:rPr>
          <w:rFonts w:cs="Arial"/>
          <w:szCs w:val="20"/>
        </w:rPr>
        <w:t>This could occur</w:t>
      </w:r>
      <w:r w:rsidR="00A11FBE">
        <w:rPr>
          <w:rFonts w:cs="Arial"/>
          <w:szCs w:val="20"/>
        </w:rPr>
        <w:t xml:space="preserve"> when </w:t>
      </w:r>
      <w:r w:rsidR="00F52B69">
        <w:rPr>
          <w:rFonts w:cs="Arial"/>
          <w:szCs w:val="20"/>
        </w:rPr>
        <w:t>research outcomes are inadequately explained</w:t>
      </w:r>
      <w:r w:rsidR="00E06B49">
        <w:rPr>
          <w:rFonts w:cs="Arial"/>
          <w:szCs w:val="20"/>
        </w:rPr>
        <w:t>. This</w:t>
      </w:r>
      <w:r w:rsidR="00F56995">
        <w:rPr>
          <w:rFonts w:cs="Arial"/>
          <w:szCs w:val="20"/>
        </w:rPr>
        <w:t xml:space="preserve"> is likely </w:t>
      </w:r>
      <w:r w:rsidR="00E06B49">
        <w:rPr>
          <w:rFonts w:cs="Arial"/>
          <w:szCs w:val="20"/>
        </w:rPr>
        <w:t>if the research</w:t>
      </w:r>
      <w:r w:rsidR="00F56995">
        <w:rPr>
          <w:rFonts w:cs="Arial"/>
          <w:szCs w:val="20"/>
        </w:rPr>
        <w:t>er</w:t>
      </w:r>
      <w:r w:rsidR="00E06B49">
        <w:rPr>
          <w:rFonts w:cs="Arial"/>
          <w:szCs w:val="20"/>
        </w:rPr>
        <w:t xml:space="preserve"> or doctor has little or no understanding of the cultural and community implications of the research</w:t>
      </w:r>
      <w:r w:rsidR="00BB481C">
        <w:rPr>
          <w:rFonts w:cs="Arial"/>
          <w:szCs w:val="20"/>
        </w:rPr>
        <w:t>.</w:t>
      </w:r>
      <w:r w:rsidR="00E06B49">
        <w:rPr>
          <w:rFonts w:cs="Arial"/>
          <w:szCs w:val="20"/>
        </w:rPr>
        <w:t xml:space="preserve"> </w:t>
      </w:r>
      <w:r w:rsidR="00BB481C">
        <w:rPr>
          <w:rFonts w:cs="Arial"/>
          <w:szCs w:val="20"/>
        </w:rPr>
        <w:t xml:space="preserve">In those circumstances, the doctor may </w:t>
      </w:r>
      <w:r w:rsidR="00E26F47">
        <w:rPr>
          <w:rFonts w:cs="Arial"/>
          <w:szCs w:val="20"/>
        </w:rPr>
        <w:t xml:space="preserve">fail to </w:t>
      </w:r>
      <w:r w:rsidR="00C025F0">
        <w:rPr>
          <w:rFonts w:cs="Arial"/>
          <w:szCs w:val="20"/>
        </w:rPr>
        <w:t xml:space="preserve">provide all material information </w:t>
      </w:r>
      <w:r w:rsidR="00627DD6">
        <w:rPr>
          <w:rFonts w:cs="Arial"/>
          <w:szCs w:val="20"/>
        </w:rPr>
        <w:t>precisely</w:t>
      </w:r>
      <w:r w:rsidR="00A51DBA">
        <w:rPr>
          <w:rFonts w:cs="Arial"/>
          <w:szCs w:val="20"/>
        </w:rPr>
        <w:t xml:space="preserve"> because they don’t have the cultural background to know </w:t>
      </w:r>
      <w:r w:rsidR="00A51DBA" w:rsidRPr="007E6C13">
        <w:t>what is material.</w:t>
      </w:r>
    </w:p>
    <w:p w14:paraId="58E4B692" w14:textId="17F2B6D0" w:rsidR="009333DE" w:rsidRDefault="00CA6512" w:rsidP="00A97230">
      <w:pPr>
        <w:rPr>
          <w:rFonts w:cs="Arial"/>
          <w:szCs w:val="20"/>
        </w:rPr>
      </w:pPr>
      <w:r>
        <w:rPr>
          <w:rFonts w:cs="Arial"/>
          <w:szCs w:val="20"/>
        </w:rPr>
        <w:t xml:space="preserve">Consent under duress of moments of high emotional stress will also </w:t>
      </w:r>
      <w:r w:rsidR="00CF75E1">
        <w:rPr>
          <w:rFonts w:cs="Arial"/>
          <w:szCs w:val="20"/>
        </w:rPr>
        <w:t xml:space="preserve">undermined the effectiveness of the </w:t>
      </w:r>
      <w:r>
        <w:rPr>
          <w:rFonts w:cs="Arial"/>
          <w:szCs w:val="20"/>
        </w:rPr>
        <w:t xml:space="preserve">consent. For </w:t>
      </w:r>
      <w:r w:rsidR="00D338D3">
        <w:rPr>
          <w:rFonts w:cs="Arial"/>
          <w:szCs w:val="20"/>
        </w:rPr>
        <w:t xml:space="preserve">example, </w:t>
      </w:r>
      <w:r w:rsidR="00C24C82">
        <w:rPr>
          <w:rFonts w:cs="Arial"/>
          <w:szCs w:val="20"/>
        </w:rPr>
        <w:t xml:space="preserve">requesting </w:t>
      </w:r>
      <w:r w:rsidR="00491A44">
        <w:rPr>
          <w:szCs w:val="20"/>
        </w:rPr>
        <w:t>the donation of an umbilical cord right after birth</w:t>
      </w:r>
      <w:r w:rsidR="00380071">
        <w:rPr>
          <w:szCs w:val="20"/>
        </w:rPr>
        <w:t xml:space="preserve"> or donation of an individual’s body after death</w:t>
      </w:r>
      <w:r w:rsidR="00A97230" w:rsidRPr="00412927">
        <w:rPr>
          <w:rFonts w:cs="Arial"/>
          <w:szCs w:val="20"/>
        </w:rPr>
        <w:t>.</w:t>
      </w:r>
      <w:r w:rsidR="009333DE">
        <w:rPr>
          <w:rFonts w:cs="Arial"/>
          <w:szCs w:val="20"/>
        </w:rPr>
        <w:t xml:space="preserve"> Again, </w:t>
      </w:r>
      <w:r w:rsidR="00526344">
        <w:rPr>
          <w:rFonts w:cs="Arial"/>
          <w:szCs w:val="20"/>
        </w:rPr>
        <w:t xml:space="preserve">this could have a cultural dimension; </w:t>
      </w:r>
      <w:r w:rsidR="000A4473">
        <w:rPr>
          <w:rFonts w:cs="Arial"/>
          <w:szCs w:val="20"/>
        </w:rPr>
        <w:t xml:space="preserve">if the doctor does not have </w:t>
      </w:r>
      <w:r w:rsidR="002D6D9A">
        <w:rPr>
          <w:rFonts w:cs="Arial"/>
          <w:szCs w:val="20"/>
        </w:rPr>
        <w:t xml:space="preserve">an understanding of the community they could misjudge </w:t>
      </w:r>
      <w:r w:rsidR="00454922">
        <w:rPr>
          <w:rFonts w:cs="Arial"/>
          <w:szCs w:val="20"/>
        </w:rPr>
        <w:t xml:space="preserve">when the patient is under emotion stress </w:t>
      </w:r>
      <w:r w:rsidR="00F25796">
        <w:rPr>
          <w:rFonts w:cs="Arial"/>
          <w:szCs w:val="20"/>
        </w:rPr>
        <w:t>or is anxious about cultural harm.</w:t>
      </w:r>
    </w:p>
    <w:p w14:paraId="79A8443D" w14:textId="0BE64B4F" w:rsidR="00690328" w:rsidRDefault="00A97230" w:rsidP="00A97230">
      <w:pPr>
        <w:rPr>
          <w:rFonts w:cs="Arial"/>
          <w:szCs w:val="20"/>
        </w:rPr>
      </w:pPr>
      <w:r w:rsidRPr="00412927">
        <w:rPr>
          <w:rFonts w:cs="Arial"/>
          <w:szCs w:val="20"/>
        </w:rPr>
        <w:t>Informed consent is a core principle for ICIP self-determination. In the context of Indigenous health related genomics, it is critical that</w:t>
      </w:r>
      <w:r w:rsidR="00277D3A">
        <w:rPr>
          <w:rFonts w:cs="Arial"/>
          <w:szCs w:val="20"/>
        </w:rPr>
        <w:t xml:space="preserve"> Aboriginal and Torres Strait Islander </w:t>
      </w:r>
      <w:r w:rsidRPr="00412927">
        <w:rPr>
          <w:rFonts w:cs="Arial"/>
          <w:szCs w:val="20"/>
        </w:rPr>
        <w:t>patients and communit</w:t>
      </w:r>
      <w:r w:rsidR="009B4608">
        <w:rPr>
          <w:rFonts w:cs="Arial"/>
          <w:szCs w:val="20"/>
        </w:rPr>
        <w:t>ies</w:t>
      </w:r>
      <w:r w:rsidRPr="00412927">
        <w:rPr>
          <w:rFonts w:cs="Arial"/>
          <w:szCs w:val="20"/>
        </w:rPr>
        <w:t xml:space="preserve"> are provided with accurate</w:t>
      </w:r>
      <w:r w:rsidR="00270D98">
        <w:rPr>
          <w:rFonts w:cs="Arial"/>
          <w:szCs w:val="20"/>
        </w:rPr>
        <w:t xml:space="preserve"> and</w:t>
      </w:r>
      <w:r w:rsidRPr="00412927">
        <w:rPr>
          <w:rFonts w:cs="Arial"/>
          <w:szCs w:val="20"/>
        </w:rPr>
        <w:t xml:space="preserve"> relevant information on all proposed uses of </w:t>
      </w:r>
      <w:r w:rsidRPr="00412927">
        <w:rPr>
          <w:rFonts w:cs="Arial"/>
          <w:szCs w:val="20"/>
        </w:rPr>
        <w:lastRenderedPageBreak/>
        <w:t>their genomic material</w:t>
      </w:r>
      <w:r w:rsidR="00270D98">
        <w:rPr>
          <w:rFonts w:cs="Arial"/>
          <w:szCs w:val="20"/>
        </w:rPr>
        <w:t xml:space="preserve">. </w:t>
      </w:r>
      <w:r w:rsidR="00CA4B48">
        <w:rPr>
          <w:rFonts w:cs="Arial"/>
          <w:szCs w:val="20"/>
        </w:rPr>
        <w:t xml:space="preserve">Patients and community must be advised </w:t>
      </w:r>
      <w:r w:rsidR="005F2DF8">
        <w:rPr>
          <w:rFonts w:cs="Arial"/>
          <w:szCs w:val="20"/>
        </w:rPr>
        <w:t>about</w:t>
      </w:r>
      <w:r w:rsidR="00CA4B48">
        <w:rPr>
          <w:rFonts w:cs="Arial"/>
          <w:szCs w:val="20"/>
        </w:rPr>
        <w:t xml:space="preserve"> </w:t>
      </w:r>
      <w:r w:rsidRPr="00412927">
        <w:rPr>
          <w:rFonts w:cs="Arial"/>
          <w:szCs w:val="20"/>
        </w:rPr>
        <w:t>the implications of their consent.</w:t>
      </w:r>
      <w:r w:rsidRPr="00412927">
        <w:rPr>
          <w:rStyle w:val="FootnoteReference"/>
          <w:rFonts w:cs="Arial"/>
          <w:szCs w:val="20"/>
        </w:rPr>
        <w:footnoteReference w:id="77"/>
      </w:r>
      <w:r w:rsidRPr="00412927">
        <w:rPr>
          <w:rFonts w:cs="Arial"/>
          <w:szCs w:val="20"/>
        </w:rPr>
        <w:t xml:space="preserve"> </w:t>
      </w:r>
    </w:p>
    <w:p w14:paraId="1EE68DE8" w14:textId="33CE11D9" w:rsidR="00AC4DC6" w:rsidRDefault="00A97230" w:rsidP="00A97230">
      <w:pPr>
        <w:rPr>
          <w:rFonts w:cs="Arial"/>
          <w:szCs w:val="20"/>
        </w:rPr>
      </w:pPr>
      <w:r w:rsidRPr="00412927">
        <w:rPr>
          <w:rFonts w:cs="Arial"/>
          <w:szCs w:val="20"/>
        </w:rPr>
        <w:t xml:space="preserve">Given the long history of the exploitation of Indigenous </w:t>
      </w:r>
      <w:r w:rsidR="003636F7">
        <w:rPr>
          <w:rFonts w:cs="Arial"/>
          <w:szCs w:val="20"/>
        </w:rPr>
        <w:t>people</w:t>
      </w:r>
      <w:r w:rsidR="008576E2">
        <w:rPr>
          <w:rFonts w:cs="Arial"/>
          <w:szCs w:val="20"/>
        </w:rPr>
        <w:t>s</w:t>
      </w:r>
      <w:r w:rsidR="003636F7">
        <w:rPr>
          <w:rFonts w:cs="Arial"/>
          <w:szCs w:val="20"/>
        </w:rPr>
        <w:t xml:space="preserve"> and </w:t>
      </w:r>
      <w:r w:rsidRPr="00412927">
        <w:rPr>
          <w:rFonts w:cs="Arial"/>
          <w:szCs w:val="20"/>
        </w:rPr>
        <w:t>knowledge</w:t>
      </w:r>
      <w:r w:rsidR="003636F7">
        <w:rPr>
          <w:rFonts w:cs="Arial"/>
          <w:szCs w:val="20"/>
        </w:rPr>
        <w:t xml:space="preserve"> </w:t>
      </w:r>
      <w:r w:rsidRPr="00412927">
        <w:rPr>
          <w:rFonts w:cs="Arial"/>
          <w:szCs w:val="20"/>
        </w:rPr>
        <w:t xml:space="preserve">in the name of ‘science’, </w:t>
      </w:r>
      <w:r w:rsidR="005236AC">
        <w:rPr>
          <w:rFonts w:cs="Arial"/>
          <w:szCs w:val="20"/>
        </w:rPr>
        <w:t xml:space="preserve">dynamic, </w:t>
      </w:r>
      <w:r w:rsidRPr="00412927">
        <w:rPr>
          <w:rFonts w:cs="Arial"/>
          <w:szCs w:val="20"/>
        </w:rPr>
        <w:t xml:space="preserve">informed consent </w:t>
      </w:r>
      <w:r w:rsidR="005236AC">
        <w:rPr>
          <w:rFonts w:cs="Arial"/>
          <w:szCs w:val="20"/>
        </w:rPr>
        <w:t xml:space="preserve">from </w:t>
      </w:r>
      <w:r w:rsidR="00482B4F">
        <w:rPr>
          <w:rFonts w:cs="Arial"/>
          <w:szCs w:val="20"/>
        </w:rPr>
        <w:t xml:space="preserve">both </w:t>
      </w:r>
      <w:r w:rsidRPr="00412927">
        <w:rPr>
          <w:rFonts w:cs="Arial"/>
          <w:szCs w:val="20"/>
        </w:rPr>
        <w:t xml:space="preserve">individual and community is crucial to achieving positive outcomes. This makes informed consent one of the most, if not the most, important aspect of all medical care and relationships between institutional bodies and </w:t>
      </w:r>
      <w:r w:rsidR="007570C5">
        <w:rPr>
          <w:rFonts w:cs="Arial"/>
          <w:szCs w:val="20"/>
        </w:rPr>
        <w:t xml:space="preserve">Aboriginal and Torres Strait Islander </w:t>
      </w:r>
      <w:r w:rsidRPr="00412927">
        <w:rPr>
          <w:rFonts w:cs="Arial"/>
          <w:szCs w:val="20"/>
        </w:rPr>
        <w:t>peoples.</w:t>
      </w:r>
    </w:p>
    <w:p w14:paraId="5466BF82" w14:textId="7E7A45A0" w:rsidR="00F47292" w:rsidRDefault="00EA1612" w:rsidP="00A97230">
      <w:pPr>
        <w:rPr>
          <w:rFonts w:cs="Arial"/>
          <w:szCs w:val="20"/>
        </w:rPr>
      </w:pPr>
      <w:r>
        <w:rPr>
          <w:rFonts w:cs="Arial"/>
          <w:szCs w:val="20"/>
        </w:rPr>
        <w:t xml:space="preserve">The Advisory Group reported </w:t>
      </w:r>
      <w:r w:rsidR="00A97230" w:rsidRPr="00412927">
        <w:rPr>
          <w:rFonts w:cs="Arial"/>
          <w:szCs w:val="20"/>
        </w:rPr>
        <w:t xml:space="preserve">patients may go to a specialist to undertake testing based on a chronic disease or illness, </w:t>
      </w:r>
      <w:r w:rsidR="00CD2924">
        <w:rPr>
          <w:rFonts w:cs="Arial"/>
          <w:szCs w:val="20"/>
        </w:rPr>
        <w:t xml:space="preserve">without </w:t>
      </w:r>
      <w:r w:rsidR="00A97230" w:rsidRPr="00412927">
        <w:rPr>
          <w:rFonts w:cs="Arial"/>
          <w:szCs w:val="20"/>
        </w:rPr>
        <w:t xml:space="preserve">actually be aware of what they are fully consenting to </w:t>
      </w:r>
      <w:r w:rsidR="006A25B6">
        <w:rPr>
          <w:rFonts w:cs="Arial"/>
          <w:szCs w:val="20"/>
        </w:rPr>
        <w:t>beyond the straight forward diagnostic test.</w:t>
      </w:r>
      <w:r w:rsidR="002C25F6">
        <w:rPr>
          <w:rFonts w:cs="Arial"/>
          <w:szCs w:val="20"/>
        </w:rPr>
        <w:t xml:space="preserve"> Doctors </w:t>
      </w:r>
      <w:r w:rsidR="00627647">
        <w:rPr>
          <w:rFonts w:cs="Arial"/>
          <w:szCs w:val="20"/>
        </w:rPr>
        <w:t>need to ensure that patients are adequately informed</w:t>
      </w:r>
      <w:r w:rsidR="004116CE">
        <w:rPr>
          <w:rFonts w:cs="Arial"/>
          <w:szCs w:val="20"/>
        </w:rPr>
        <w:t xml:space="preserve"> and</w:t>
      </w:r>
      <w:r w:rsidR="00627647">
        <w:rPr>
          <w:rFonts w:cs="Arial"/>
          <w:szCs w:val="20"/>
        </w:rPr>
        <w:t xml:space="preserve"> </w:t>
      </w:r>
      <w:r w:rsidR="004116CE">
        <w:rPr>
          <w:rFonts w:cs="Arial"/>
          <w:szCs w:val="20"/>
        </w:rPr>
        <w:t>p</w:t>
      </w:r>
      <w:r w:rsidR="00460FEC">
        <w:rPr>
          <w:rFonts w:cs="Arial"/>
          <w:szCs w:val="20"/>
        </w:rPr>
        <w:t xml:space="preserve">atients need to understand if their diagnostic sample is going to be used for research. </w:t>
      </w:r>
      <w:r w:rsidR="002C782A">
        <w:rPr>
          <w:rFonts w:cs="Arial"/>
          <w:szCs w:val="20"/>
        </w:rPr>
        <w:t>This is increasingly relevant as the division between clinical and research practices are blurring</w:t>
      </w:r>
      <w:r w:rsidR="0060114D">
        <w:rPr>
          <w:rFonts w:cs="Arial"/>
          <w:szCs w:val="20"/>
        </w:rPr>
        <w:t>, and as diagnostic data is retained for research.</w:t>
      </w:r>
    </w:p>
    <w:p w14:paraId="03649D20" w14:textId="77777777" w:rsidR="00D72B23" w:rsidRDefault="00CB202D" w:rsidP="00A97230">
      <w:pPr>
        <w:rPr>
          <w:rFonts w:cs="Arial"/>
          <w:szCs w:val="20"/>
        </w:rPr>
      </w:pPr>
      <w:r>
        <w:rPr>
          <w:rFonts w:cs="Arial"/>
          <w:szCs w:val="20"/>
        </w:rPr>
        <w:t>To establish a legal claim</w:t>
      </w:r>
      <w:r w:rsidR="00A45216">
        <w:rPr>
          <w:rFonts w:cs="Arial"/>
          <w:szCs w:val="20"/>
        </w:rPr>
        <w:t xml:space="preserve"> </w:t>
      </w:r>
      <w:r w:rsidR="007D2775">
        <w:rPr>
          <w:rFonts w:cs="Arial"/>
          <w:szCs w:val="20"/>
        </w:rPr>
        <w:t>of lack of consent</w:t>
      </w:r>
      <w:r>
        <w:rPr>
          <w:rFonts w:cs="Arial"/>
          <w:szCs w:val="20"/>
        </w:rPr>
        <w:t xml:space="preserve"> under common law, </w:t>
      </w:r>
      <w:r w:rsidR="00A97230" w:rsidRPr="00412927">
        <w:rPr>
          <w:rFonts w:cs="Arial"/>
          <w:szCs w:val="20"/>
        </w:rPr>
        <w:t>patients must also establish causation</w:t>
      </w:r>
      <w:r w:rsidR="002F4940">
        <w:rPr>
          <w:rFonts w:cs="Arial"/>
          <w:szCs w:val="20"/>
        </w:rPr>
        <w:t xml:space="preserve">: </w:t>
      </w:r>
      <w:r w:rsidR="00A97230" w:rsidRPr="00412927">
        <w:rPr>
          <w:rFonts w:cs="Arial"/>
          <w:szCs w:val="20"/>
        </w:rPr>
        <w:t>that had the risk been communicated, they would not have gone ahead with the proposed treatment.</w:t>
      </w:r>
      <w:r w:rsidR="00A97230" w:rsidRPr="00412927">
        <w:rPr>
          <w:rStyle w:val="FootnoteReference"/>
          <w:rFonts w:cs="Arial"/>
          <w:szCs w:val="20"/>
        </w:rPr>
        <w:footnoteReference w:id="78"/>
      </w:r>
      <w:r w:rsidR="00A97230" w:rsidRPr="00412927">
        <w:rPr>
          <w:rFonts w:cs="Arial"/>
          <w:szCs w:val="20"/>
        </w:rPr>
        <w:t xml:space="preserve"> </w:t>
      </w:r>
    </w:p>
    <w:p w14:paraId="6229DB9D" w14:textId="038F7C17" w:rsidR="0051107C" w:rsidRDefault="00BB6B1F" w:rsidP="00A97230">
      <w:pPr>
        <w:rPr>
          <w:rFonts w:cs="Arial"/>
          <w:szCs w:val="20"/>
        </w:rPr>
      </w:pPr>
      <w:r>
        <w:rPr>
          <w:rFonts w:cs="Arial"/>
          <w:szCs w:val="20"/>
        </w:rPr>
        <w:t>Consider this hypothetical:</w:t>
      </w:r>
    </w:p>
    <w:p w14:paraId="22047684" w14:textId="77777777" w:rsidR="001A72A2" w:rsidRDefault="00BB6B1F" w:rsidP="007E6C13">
      <w:pPr>
        <w:pStyle w:val="Quote"/>
      </w:pPr>
      <w:r w:rsidRPr="0051107C">
        <w:t xml:space="preserve">A patient </w:t>
      </w:r>
      <w:r w:rsidR="001B7E63" w:rsidRPr="0051107C">
        <w:t xml:space="preserve">goes </w:t>
      </w:r>
      <w:r w:rsidR="001B7E63" w:rsidRPr="007E6C13">
        <w:t xml:space="preserve">to </w:t>
      </w:r>
      <w:r w:rsidR="00D72B23" w:rsidRPr="007E6C13">
        <w:t>his</w:t>
      </w:r>
      <w:r w:rsidR="001B7E63" w:rsidRPr="007E6C13">
        <w:t xml:space="preserve"> doctor for a diagnostic test. When </w:t>
      </w:r>
      <w:r w:rsidR="00D72B23" w:rsidRPr="007E6C13">
        <w:t xml:space="preserve">he </w:t>
      </w:r>
      <w:r w:rsidR="001B7E63" w:rsidRPr="007E6C13">
        <w:t xml:space="preserve">consents to have a blood sample taken, </w:t>
      </w:r>
      <w:r w:rsidR="002E44C5" w:rsidRPr="007E6C13">
        <w:t xml:space="preserve">he </w:t>
      </w:r>
      <w:r w:rsidR="00B11239" w:rsidRPr="007E6C13">
        <w:t xml:space="preserve">assumes </w:t>
      </w:r>
      <w:r w:rsidR="00265078" w:rsidRPr="007E6C13">
        <w:t xml:space="preserve">the sample will only be used to </w:t>
      </w:r>
      <w:r w:rsidR="006A034A" w:rsidRPr="007E6C13">
        <w:t xml:space="preserve">diagnose </w:t>
      </w:r>
      <w:r w:rsidR="00CE5917" w:rsidRPr="007E6C13">
        <w:t>his illness</w:t>
      </w:r>
      <w:r w:rsidR="006A034A" w:rsidRPr="007E6C13">
        <w:t xml:space="preserve">. </w:t>
      </w:r>
      <w:r w:rsidR="00E73E07" w:rsidRPr="007E6C13">
        <w:t>His</w:t>
      </w:r>
      <w:r w:rsidR="006A034A" w:rsidRPr="007E6C13">
        <w:t xml:space="preserve"> doctor does not give </w:t>
      </w:r>
      <w:r w:rsidR="00E73E07" w:rsidRPr="007E6C13">
        <w:t xml:space="preserve">him </w:t>
      </w:r>
      <w:r w:rsidR="006A034A" w:rsidRPr="007E6C13">
        <w:t xml:space="preserve">any further information on how the sample will be disposed of, or how </w:t>
      </w:r>
      <w:r w:rsidR="00B07451" w:rsidRPr="007E6C13">
        <w:t>his</w:t>
      </w:r>
      <w:r w:rsidR="006A034A" w:rsidRPr="007E6C13">
        <w:t xml:space="preserve"> data will be recorded. </w:t>
      </w:r>
      <w:r w:rsidR="005F6BA5" w:rsidRPr="007E6C13">
        <w:t xml:space="preserve">However, the consent form </w:t>
      </w:r>
      <w:r w:rsidR="00BA7152" w:rsidRPr="007E6C13">
        <w:t>he</w:t>
      </w:r>
      <w:r w:rsidR="005F6BA5" w:rsidRPr="007E6C13">
        <w:t xml:space="preserve"> signs </w:t>
      </w:r>
      <w:r w:rsidR="00A12BC6" w:rsidRPr="007E6C13">
        <w:t xml:space="preserve">explains in small print </w:t>
      </w:r>
      <w:r w:rsidR="00010E07" w:rsidRPr="007E6C13">
        <w:t xml:space="preserve">that </w:t>
      </w:r>
      <w:r w:rsidR="002D7D4D" w:rsidRPr="007E6C13">
        <w:t>his</w:t>
      </w:r>
      <w:r w:rsidR="009F5682" w:rsidRPr="007E6C13">
        <w:t xml:space="preserve"> sample will be retained</w:t>
      </w:r>
      <w:r w:rsidR="000E60D0" w:rsidRPr="007E6C13">
        <w:t xml:space="preserve">. </w:t>
      </w:r>
      <w:r w:rsidR="007A3939" w:rsidRPr="007E6C13">
        <w:t xml:space="preserve">The sample will be stored with </w:t>
      </w:r>
      <w:r w:rsidR="00E26944" w:rsidRPr="007E6C13">
        <w:t>his</w:t>
      </w:r>
      <w:r w:rsidR="007A3939" w:rsidRPr="007E6C13">
        <w:t xml:space="preserve"> </w:t>
      </w:r>
      <w:r w:rsidR="00515475" w:rsidRPr="007E6C13">
        <w:t xml:space="preserve">sex, age, </w:t>
      </w:r>
      <w:r w:rsidR="00D95D21" w:rsidRPr="007E6C13">
        <w:t xml:space="preserve">and </w:t>
      </w:r>
      <w:r w:rsidR="003B65B7" w:rsidRPr="007E6C13">
        <w:t xml:space="preserve">clan name. </w:t>
      </w:r>
      <w:r w:rsidR="00FA338A" w:rsidRPr="007E6C13">
        <w:t xml:space="preserve">By signing the consent form, </w:t>
      </w:r>
      <w:r w:rsidR="003F0393" w:rsidRPr="007E6C13">
        <w:t>he</w:t>
      </w:r>
      <w:r w:rsidR="00FA338A" w:rsidRPr="007E6C13">
        <w:t xml:space="preserve"> authorises the lab to use </w:t>
      </w:r>
      <w:r w:rsidR="005C048A" w:rsidRPr="007E6C13">
        <w:t>that sample for further</w:t>
      </w:r>
      <w:r w:rsidR="005C048A" w:rsidRPr="0051107C">
        <w:t xml:space="preserve"> testing. </w:t>
      </w:r>
    </w:p>
    <w:p w14:paraId="17EB0C77" w14:textId="5385B21D" w:rsidR="00EE6F0A" w:rsidRPr="0051107C" w:rsidRDefault="00B852B0" w:rsidP="007E6C13">
      <w:pPr>
        <w:pStyle w:val="Quote"/>
      </w:pPr>
      <w:r w:rsidRPr="0051107C">
        <w:t xml:space="preserve">The </w:t>
      </w:r>
      <w:r w:rsidR="00D72B23" w:rsidRPr="0051107C">
        <w:t>undiagnosed</w:t>
      </w:r>
      <w:r w:rsidRPr="0051107C">
        <w:t xml:space="preserve"> illness is giving </w:t>
      </w:r>
      <w:r w:rsidR="003B14EA" w:rsidRPr="0051107C">
        <w:t>him</w:t>
      </w:r>
      <w:r w:rsidRPr="0051107C">
        <w:t xml:space="preserve"> a splitting headache</w:t>
      </w:r>
      <w:r w:rsidR="00D72B23" w:rsidRPr="0051107C">
        <w:t xml:space="preserve">. </w:t>
      </w:r>
      <w:r w:rsidR="002267E2" w:rsidRPr="0051107C">
        <w:t>H</w:t>
      </w:r>
      <w:r w:rsidR="00D72B23" w:rsidRPr="0051107C">
        <w:t xml:space="preserve">e has known this doctor for years, and trusts that </w:t>
      </w:r>
      <w:r w:rsidR="002267E2" w:rsidRPr="0051107C">
        <w:t xml:space="preserve">she has explained all the relevant information. </w:t>
      </w:r>
      <w:r w:rsidR="002D5D64" w:rsidRPr="0051107C">
        <w:t xml:space="preserve">He signs the form without reading the small print. </w:t>
      </w:r>
    </w:p>
    <w:p w14:paraId="25F49BC6" w14:textId="2C05FB8E" w:rsidR="008240DE" w:rsidRPr="0051107C" w:rsidRDefault="00EE6F0A" w:rsidP="007E6C13">
      <w:pPr>
        <w:pStyle w:val="Quote"/>
      </w:pPr>
      <w:r w:rsidRPr="0051107C">
        <w:t>Several years later,</w:t>
      </w:r>
      <w:r w:rsidR="00754D6E">
        <w:t xml:space="preserve"> he</w:t>
      </w:r>
      <w:r w:rsidRPr="0051107C">
        <w:t xml:space="preserve"> </w:t>
      </w:r>
      <w:r w:rsidR="00E7327C" w:rsidRPr="0051107C">
        <w:t xml:space="preserve">hears </w:t>
      </w:r>
      <w:r w:rsidR="00EB46DC" w:rsidRPr="0051107C">
        <w:t xml:space="preserve">that the local university is </w:t>
      </w:r>
      <w:r w:rsidR="00C9755E" w:rsidRPr="0051107C">
        <w:t xml:space="preserve">conducting </w:t>
      </w:r>
      <w:r w:rsidR="005A755D" w:rsidRPr="0051107C">
        <w:t xml:space="preserve">a population </w:t>
      </w:r>
      <w:r w:rsidR="001A38C2" w:rsidRPr="0051107C">
        <w:t>study</w:t>
      </w:r>
      <w:r w:rsidR="00FD1DFA" w:rsidRPr="0051107C">
        <w:t xml:space="preserve">, with his clan as the subject. </w:t>
      </w:r>
      <w:r w:rsidR="00FB00BB" w:rsidRPr="0051107C">
        <w:t xml:space="preserve">His </w:t>
      </w:r>
      <w:r w:rsidR="001A6FCA" w:rsidRPr="0051107C">
        <w:t xml:space="preserve">Elders </w:t>
      </w:r>
      <w:r w:rsidR="00EB46DC" w:rsidRPr="0051107C">
        <w:t xml:space="preserve">or deeply offended by this study, and so is he. ‘Where </w:t>
      </w:r>
      <w:r w:rsidR="000C7A7E" w:rsidRPr="0051107C">
        <w:t xml:space="preserve">did they get the information?’, he thinks. And then he </w:t>
      </w:r>
      <w:r w:rsidR="008240DE" w:rsidRPr="0051107C">
        <w:t xml:space="preserve">thinks of his blood test several years ago. </w:t>
      </w:r>
    </w:p>
    <w:p w14:paraId="4F24EDF0" w14:textId="57118E2B" w:rsidR="007B0698" w:rsidRDefault="0052000F" w:rsidP="00A97230">
      <w:pPr>
        <w:rPr>
          <w:rFonts w:cs="Arial"/>
          <w:szCs w:val="20"/>
        </w:rPr>
      </w:pPr>
      <w:r>
        <w:rPr>
          <w:rFonts w:cs="Arial"/>
          <w:szCs w:val="20"/>
        </w:rPr>
        <w:t>In this scenario,</w:t>
      </w:r>
      <w:r w:rsidR="008C6F35">
        <w:rPr>
          <w:rFonts w:cs="Arial"/>
          <w:szCs w:val="20"/>
        </w:rPr>
        <w:t xml:space="preserve"> the</w:t>
      </w:r>
      <w:r w:rsidR="009964F8">
        <w:rPr>
          <w:rFonts w:cs="Arial"/>
          <w:szCs w:val="20"/>
        </w:rPr>
        <w:t xml:space="preserve"> </w:t>
      </w:r>
      <w:r w:rsidR="009549AA" w:rsidRPr="009549AA">
        <w:rPr>
          <w:rFonts w:cs="Arial"/>
          <w:szCs w:val="20"/>
        </w:rPr>
        <w:t>harm</w:t>
      </w:r>
      <w:r w:rsidR="009549AA">
        <w:rPr>
          <w:rFonts w:cs="Arial"/>
          <w:szCs w:val="20"/>
        </w:rPr>
        <w:t xml:space="preserve"> could be the cultural and social ramifications of the test – to the patient and his community. But to establish causation, the patient would need to demonstrate that </w:t>
      </w:r>
      <w:r w:rsidR="002163A3">
        <w:rPr>
          <w:rFonts w:cs="Arial"/>
          <w:szCs w:val="20"/>
        </w:rPr>
        <w:t>if he had been aware of the risk</w:t>
      </w:r>
      <w:r w:rsidR="00A30B6B">
        <w:rPr>
          <w:rFonts w:cs="Arial"/>
          <w:szCs w:val="20"/>
        </w:rPr>
        <w:t xml:space="preserve">, </w:t>
      </w:r>
      <w:r w:rsidR="00553E1C">
        <w:rPr>
          <w:rFonts w:cs="Arial"/>
          <w:szCs w:val="20"/>
        </w:rPr>
        <w:t>he would not have signed the consent form.</w:t>
      </w:r>
      <w:r w:rsidR="007A5560">
        <w:rPr>
          <w:rFonts w:cs="Arial"/>
          <w:szCs w:val="20"/>
        </w:rPr>
        <w:t xml:space="preserve"> </w:t>
      </w:r>
      <w:r w:rsidR="005139A9">
        <w:rPr>
          <w:rFonts w:cs="Arial"/>
          <w:szCs w:val="20"/>
        </w:rPr>
        <w:t xml:space="preserve">Put another way, </w:t>
      </w:r>
      <w:r w:rsidR="00B678A7">
        <w:rPr>
          <w:rFonts w:cs="Arial"/>
          <w:szCs w:val="20"/>
        </w:rPr>
        <w:t xml:space="preserve">he needs to be able to demonstrate that </w:t>
      </w:r>
      <w:r w:rsidR="005139A9">
        <w:rPr>
          <w:rFonts w:cs="Arial"/>
          <w:szCs w:val="20"/>
        </w:rPr>
        <w:t xml:space="preserve">the harm was caused by </w:t>
      </w:r>
      <w:r w:rsidR="003918CB">
        <w:rPr>
          <w:rFonts w:cs="Arial"/>
          <w:szCs w:val="20"/>
        </w:rPr>
        <w:t xml:space="preserve">the lack of adequate explanation about the scope of consent. </w:t>
      </w:r>
      <w:r w:rsidR="00553E1C">
        <w:rPr>
          <w:rFonts w:cs="Arial"/>
          <w:szCs w:val="20"/>
        </w:rPr>
        <w:t xml:space="preserve"> </w:t>
      </w:r>
    </w:p>
    <w:p w14:paraId="00B73612" w14:textId="77777777" w:rsidR="00A97230" w:rsidRPr="007E6C13" w:rsidRDefault="00A97230" w:rsidP="007E6C13">
      <w:pPr>
        <w:pStyle w:val="Heading4"/>
      </w:pPr>
      <w:r w:rsidRPr="007E6C13">
        <w:lastRenderedPageBreak/>
        <w:t>Invalidation of Consent</w:t>
      </w:r>
    </w:p>
    <w:p w14:paraId="15827CEF" w14:textId="77777777" w:rsidR="00A55051" w:rsidRPr="00747453" w:rsidRDefault="00A97230" w:rsidP="00A97230">
      <w:pPr>
        <w:rPr>
          <w:color w:val="000000" w:themeColor="text1"/>
          <w:szCs w:val="20"/>
        </w:rPr>
      </w:pPr>
      <w:r w:rsidRPr="00747453">
        <w:rPr>
          <w:rFonts w:cs="Arial"/>
          <w:color w:val="000000" w:themeColor="text1"/>
          <w:szCs w:val="20"/>
        </w:rPr>
        <w:t xml:space="preserve">In some instances, </w:t>
      </w:r>
      <w:r w:rsidRPr="00747453">
        <w:rPr>
          <w:color w:val="000000" w:themeColor="text1"/>
          <w:szCs w:val="20"/>
        </w:rPr>
        <w:t>the Courts</w:t>
      </w:r>
      <w:r w:rsidRPr="00747453">
        <w:rPr>
          <w:rFonts w:cs="Arial"/>
          <w:color w:val="000000" w:themeColor="text1"/>
          <w:szCs w:val="20"/>
        </w:rPr>
        <w:t xml:space="preserve"> have found that consent is invalidated if a health professional</w:t>
      </w:r>
      <w:r w:rsidR="00B47A02" w:rsidRPr="00747453">
        <w:rPr>
          <w:rFonts w:cs="Arial"/>
          <w:color w:val="000000" w:themeColor="text1"/>
          <w:szCs w:val="20"/>
        </w:rPr>
        <w:t>’s</w:t>
      </w:r>
      <w:r w:rsidRPr="00747453">
        <w:rPr>
          <w:rFonts w:cs="Arial"/>
          <w:color w:val="000000" w:themeColor="text1"/>
          <w:szCs w:val="20"/>
        </w:rPr>
        <w:t xml:space="preserve"> undisclosed purpose is solely non-therapeutic.</w:t>
      </w:r>
      <w:r w:rsidRPr="00747453">
        <w:rPr>
          <w:rStyle w:val="FootnoteReference"/>
          <w:rFonts w:cs="Arial"/>
          <w:color w:val="000000" w:themeColor="text1"/>
          <w:szCs w:val="20"/>
        </w:rPr>
        <w:footnoteReference w:id="79"/>
      </w:r>
      <w:r w:rsidRPr="00747453">
        <w:rPr>
          <w:rFonts w:cs="Arial"/>
          <w:color w:val="000000" w:themeColor="text1"/>
          <w:szCs w:val="20"/>
        </w:rPr>
        <w:t xml:space="preserve"> Additionally, if treatment is conveyed as necessary when in fact it is </w:t>
      </w:r>
      <w:r w:rsidR="009B7725" w:rsidRPr="00747453">
        <w:rPr>
          <w:rFonts w:cs="Arial"/>
          <w:color w:val="000000" w:themeColor="text1"/>
          <w:szCs w:val="20"/>
        </w:rPr>
        <w:t>unnecessary</w:t>
      </w:r>
      <w:r w:rsidRPr="00747453">
        <w:rPr>
          <w:rFonts w:cs="Arial"/>
          <w:color w:val="000000" w:themeColor="text1"/>
          <w:szCs w:val="20"/>
        </w:rPr>
        <w:t xml:space="preserve">, then consent </w:t>
      </w:r>
      <w:r w:rsidRPr="00747453">
        <w:rPr>
          <w:color w:val="000000" w:themeColor="text1"/>
          <w:szCs w:val="20"/>
        </w:rPr>
        <w:t>may</w:t>
      </w:r>
      <w:r w:rsidRPr="00747453">
        <w:rPr>
          <w:rFonts w:cs="Arial"/>
          <w:color w:val="000000" w:themeColor="text1"/>
          <w:szCs w:val="20"/>
        </w:rPr>
        <w:t xml:space="preserve"> also be vitiated.</w:t>
      </w:r>
      <w:r w:rsidRPr="00747453">
        <w:rPr>
          <w:rStyle w:val="FootnoteReference"/>
          <w:rFonts w:cs="Arial"/>
          <w:color w:val="000000" w:themeColor="text1"/>
          <w:szCs w:val="20"/>
        </w:rPr>
        <w:footnoteReference w:id="80"/>
      </w:r>
      <w:r w:rsidRPr="00747453">
        <w:rPr>
          <w:color w:val="000000" w:themeColor="text1"/>
          <w:szCs w:val="20"/>
        </w:rPr>
        <w:t xml:space="preserve"> </w:t>
      </w:r>
    </w:p>
    <w:p w14:paraId="65AAFA90" w14:textId="1023CC78" w:rsidR="009C3F02" w:rsidRPr="00747453" w:rsidRDefault="00A97230" w:rsidP="00A97230">
      <w:pPr>
        <w:rPr>
          <w:color w:val="000000" w:themeColor="text1"/>
          <w:szCs w:val="20"/>
          <w:shd w:val="clear" w:color="auto" w:fill="FFFFFF"/>
        </w:rPr>
      </w:pPr>
      <w:r w:rsidRPr="00747453">
        <w:rPr>
          <w:color w:val="000000" w:themeColor="text1"/>
          <w:szCs w:val="20"/>
        </w:rPr>
        <w:t>I</w:t>
      </w:r>
      <w:r w:rsidRPr="00747453">
        <w:rPr>
          <w:rFonts w:cs="Arial"/>
          <w:color w:val="000000" w:themeColor="text1"/>
          <w:szCs w:val="20"/>
        </w:rPr>
        <w:t xml:space="preserve">n practice however, </w:t>
      </w:r>
      <w:r w:rsidR="004120B9" w:rsidRPr="00747453">
        <w:rPr>
          <w:rFonts w:cs="Arial"/>
          <w:color w:val="000000" w:themeColor="text1"/>
          <w:szCs w:val="20"/>
        </w:rPr>
        <w:t>practitioners</w:t>
      </w:r>
      <w:r w:rsidR="00CB7FD6" w:rsidRPr="00747453">
        <w:rPr>
          <w:rFonts w:cs="Arial"/>
          <w:color w:val="000000" w:themeColor="text1"/>
          <w:szCs w:val="20"/>
        </w:rPr>
        <w:t xml:space="preserve"> may have non-</w:t>
      </w:r>
      <w:r w:rsidR="004120B9" w:rsidRPr="00747453">
        <w:rPr>
          <w:rFonts w:cs="Arial"/>
          <w:color w:val="000000" w:themeColor="text1"/>
          <w:szCs w:val="20"/>
        </w:rPr>
        <w:t>therapeutic</w:t>
      </w:r>
      <w:r w:rsidR="00E1323D" w:rsidRPr="00747453">
        <w:rPr>
          <w:rFonts w:cs="Arial"/>
          <w:color w:val="000000" w:themeColor="text1"/>
          <w:szCs w:val="20"/>
        </w:rPr>
        <w:t xml:space="preserve"> motivations </w:t>
      </w:r>
      <w:r w:rsidR="00380390" w:rsidRPr="00747453">
        <w:rPr>
          <w:rFonts w:cs="Arial"/>
          <w:color w:val="000000" w:themeColor="text1"/>
          <w:szCs w:val="20"/>
        </w:rPr>
        <w:t xml:space="preserve">for </w:t>
      </w:r>
      <w:r w:rsidR="004120B9" w:rsidRPr="00747453">
        <w:rPr>
          <w:rFonts w:cs="Arial"/>
          <w:color w:val="000000" w:themeColor="text1"/>
          <w:szCs w:val="20"/>
        </w:rPr>
        <w:t>recommending</w:t>
      </w:r>
      <w:r w:rsidR="00380390" w:rsidRPr="00747453">
        <w:rPr>
          <w:rFonts w:cs="Arial"/>
          <w:color w:val="000000" w:themeColor="text1"/>
          <w:szCs w:val="20"/>
        </w:rPr>
        <w:t xml:space="preserve"> a procedure</w:t>
      </w:r>
      <w:r w:rsidR="004120B9" w:rsidRPr="00747453">
        <w:rPr>
          <w:rFonts w:cs="Arial"/>
          <w:color w:val="000000" w:themeColor="text1"/>
          <w:szCs w:val="20"/>
        </w:rPr>
        <w:t xml:space="preserve"> (e.g. the income they receive from delivering medical service</w:t>
      </w:r>
      <w:r w:rsidR="00C65CF1" w:rsidRPr="00747453">
        <w:rPr>
          <w:rFonts w:cs="Arial"/>
          <w:color w:val="000000" w:themeColor="text1"/>
          <w:szCs w:val="20"/>
        </w:rPr>
        <w:t>s</w:t>
      </w:r>
      <w:r w:rsidR="004120B9" w:rsidRPr="00747453">
        <w:rPr>
          <w:rFonts w:cs="Arial"/>
          <w:color w:val="000000" w:themeColor="text1"/>
          <w:szCs w:val="20"/>
        </w:rPr>
        <w:t>)</w:t>
      </w:r>
      <w:r w:rsidRPr="00747453">
        <w:rPr>
          <w:color w:val="000000" w:themeColor="text1"/>
          <w:szCs w:val="20"/>
        </w:rPr>
        <w:t xml:space="preserve">. </w:t>
      </w:r>
      <w:r w:rsidR="00644348" w:rsidRPr="00747453">
        <w:rPr>
          <w:color w:val="000000" w:themeColor="text1"/>
          <w:szCs w:val="20"/>
        </w:rPr>
        <w:t xml:space="preserve">It remains an open legal question whether </w:t>
      </w:r>
      <w:r w:rsidRPr="00747453">
        <w:rPr>
          <w:rFonts w:cs="Arial"/>
          <w:color w:val="000000" w:themeColor="text1"/>
          <w:szCs w:val="20"/>
        </w:rPr>
        <w:t>“</w:t>
      </w:r>
      <w:r w:rsidRPr="00747453">
        <w:rPr>
          <w:rFonts w:cs="Arial"/>
          <w:color w:val="000000" w:themeColor="text1"/>
          <w:szCs w:val="20"/>
          <w:shd w:val="clear" w:color="auto" w:fill="FFFFFF"/>
        </w:rPr>
        <w:t>treatment which is exclusively non-therapeutic is sufficient</w:t>
      </w:r>
      <w:r w:rsidR="00747453" w:rsidRPr="00747453">
        <w:rPr>
          <w:rFonts w:cs="Arial"/>
          <w:color w:val="000000" w:themeColor="text1"/>
          <w:szCs w:val="20"/>
          <w:shd w:val="clear" w:color="auto" w:fill="FFFFFF"/>
        </w:rPr>
        <w:t xml:space="preserve"> [to invalidate consent]</w:t>
      </w:r>
      <w:r w:rsidRPr="00747453">
        <w:rPr>
          <w:rFonts w:cs="Arial"/>
          <w:color w:val="000000" w:themeColor="text1"/>
          <w:szCs w:val="20"/>
          <w:shd w:val="clear" w:color="auto" w:fill="FFFFFF"/>
        </w:rPr>
        <w:t>, or whether it must be accompanied by a fraudulent or reckless state of mind, in order for a patient’s consent to be invalid”.</w:t>
      </w:r>
      <w:r w:rsidRPr="00747453">
        <w:rPr>
          <w:rStyle w:val="FootnoteReference"/>
          <w:rFonts w:cs="Arial"/>
          <w:color w:val="000000" w:themeColor="text1"/>
          <w:szCs w:val="20"/>
          <w:shd w:val="clear" w:color="auto" w:fill="FFFFFF"/>
        </w:rPr>
        <w:footnoteReference w:id="81"/>
      </w:r>
      <w:r w:rsidRPr="00747453">
        <w:rPr>
          <w:color w:val="000000" w:themeColor="text1"/>
          <w:szCs w:val="20"/>
          <w:shd w:val="clear" w:color="auto" w:fill="FFFFFF"/>
        </w:rPr>
        <w:t xml:space="preserve"> </w:t>
      </w:r>
    </w:p>
    <w:p w14:paraId="75039A98" w14:textId="6FC810CC" w:rsidR="00586D10" w:rsidRDefault="00B23836" w:rsidP="00A97230">
      <w:pPr>
        <w:rPr>
          <w:rFonts w:cs="Arial"/>
          <w:color w:val="000000" w:themeColor="text1"/>
          <w:szCs w:val="20"/>
          <w:shd w:val="clear" w:color="auto" w:fill="FFFFFF"/>
        </w:rPr>
      </w:pPr>
      <w:r>
        <w:rPr>
          <w:rFonts w:cs="Arial"/>
          <w:color w:val="000000" w:themeColor="text1"/>
          <w:szCs w:val="20"/>
          <w:shd w:val="clear" w:color="auto" w:fill="FFFFFF"/>
        </w:rPr>
        <w:t xml:space="preserve">Even with the uncertainty, the case law to-date raises the question: </w:t>
      </w:r>
      <w:r w:rsidR="00B50C48">
        <w:rPr>
          <w:rFonts w:cs="Arial"/>
          <w:color w:val="000000" w:themeColor="text1"/>
          <w:szCs w:val="20"/>
          <w:shd w:val="clear" w:color="auto" w:fill="FFFFFF"/>
        </w:rPr>
        <w:t xml:space="preserve">if </w:t>
      </w:r>
      <w:r w:rsidR="001E5721">
        <w:rPr>
          <w:rFonts w:cs="Arial"/>
          <w:color w:val="000000" w:themeColor="text1"/>
          <w:szCs w:val="20"/>
          <w:shd w:val="clear" w:color="auto" w:fill="FFFFFF"/>
        </w:rPr>
        <w:t>practitioners</w:t>
      </w:r>
      <w:r w:rsidR="00DD1F93">
        <w:rPr>
          <w:rFonts w:cs="Arial"/>
          <w:color w:val="000000" w:themeColor="text1"/>
          <w:szCs w:val="20"/>
          <w:shd w:val="clear" w:color="auto" w:fill="FFFFFF"/>
        </w:rPr>
        <w:t xml:space="preserve"> are motivated by private commercial gain to</w:t>
      </w:r>
      <w:r w:rsidR="003C2862">
        <w:rPr>
          <w:rFonts w:cs="Arial"/>
          <w:color w:val="000000" w:themeColor="text1"/>
          <w:szCs w:val="20"/>
          <w:shd w:val="clear" w:color="auto" w:fill="FFFFFF"/>
        </w:rPr>
        <w:t xml:space="preserve"> take genomic samples from </w:t>
      </w:r>
      <w:r w:rsidR="00DD1F93">
        <w:rPr>
          <w:rFonts w:cs="Arial"/>
          <w:color w:val="000000" w:themeColor="text1"/>
          <w:szCs w:val="20"/>
          <w:shd w:val="clear" w:color="auto" w:fill="FFFFFF"/>
        </w:rPr>
        <w:t xml:space="preserve">Aboriginal </w:t>
      </w:r>
      <w:r w:rsidR="003C2862">
        <w:rPr>
          <w:rFonts w:cs="Arial"/>
          <w:color w:val="000000" w:themeColor="text1"/>
          <w:szCs w:val="20"/>
          <w:shd w:val="clear" w:color="auto" w:fill="FFFFFF"/>
        </w:rPr>
        <w:t>patients</w:t>
      </w:r>
      <w:r w:rsidR="002472A4">
        <w:rPr>
          <w:rFonts w:cs="Arial"/>
          <w:color w:val="000000" w:themeColor="text1"/>
          <w:szCs w:val="20"/>
          <w:shd w:val="clear" w:color="auto" w:fill="FFFFFF"/>
        </w:rPr>
        <w:t xml:space="preserve"> for non-therapeutic purposes</w:t>
      </w:r>
      <w:r w:rsidR="0044061A">
        <w:rPr>
          <w:rFonts w:cs="Arial"/>
          <w:color w:val="000000" w:themeColor="text1"/>
          <w:szCs w:val="20"/>
          <w:shd w:val="clear" w:color="auto" w:fill="FFFFFF"/>
        </w:rPr>
        <w:t xml:space="preserve"> </w:t>
      </w:r>
      <w:r w:rsidR="002472A4">
        <w:rPr>
          <w:rFonts w:cs="Arial"/>
          <w:color w:val="000000" w:themeColor="text1"/>
          <w:szCs w:val="20"/>
          <w:shd w:val="clear" w:color="auto" w:fill="FFFFFF"/>
        </w:rPr>
        <w:t xml:space="preserve">does this vitiate consent? </w:t>
      </w:r>
      <w:r w:rsidR="001E5721">
        <w:rPr>
          <w:rFonts w:cs="Arial"/>
          <w:color w:val="000000" w:themeColor="text1"/>
          <w:szCs w:val="20"/>
          <w:shd w:val="clear" w:color="auto" w:fill="FFFFFF"/>
        </w:rPr>
        <w:t xml:space="preserve"> </w:t>
      </w:r>
    </w:p>
    <w:p w14:paraId="5536227D" w14:textId="6F75B816" w:rsidR="00A97230" w:rsidRPr="00747453" w:rsidRDefault="008B3560" w:rsidP="00A97230">
      <w:pPr>
        <w:rPr>
          <w:rFonts w:cs="Arial"/>
          <w:color w:val="000000" w:themeColor="text1"/>
          <w:szCs w:val="20"/>
        </w:rPr>
      </w:pPr>
      <w:r>
        <w:rPr>
          <w:rFonts w:cs="Arial"/>
          <w:color w:val="000000" w:themeColor="text1"/>
          <w:szCs w:val="20"/>
          <w:shd w:val="clear" w:color="auto" w:fill="FFFFFF"/>
        </w:rPr>
        <w:t xml:space="preserve">These are key issues that </w:t>
      </w:r>
      <w:r>
        <w:rPr>
          <w:color w:val="000000" w:themeColor="text1"/>
          <w:szCs w:val="20"/>
          <w:shd w:val="clear" w:color="auto" w:fill="FFFFFF"/>
        </w:rPr>
        <w:t>p</w:t>
      </w:r>
      <w:r w:rsidR="00A97230" w:rsidRPr="00747453">
        <w:rPr>
          <w:color w:val="000000" w:themeColor="text1"/>
          <w:szCs w:val="20"/>
          <w:shd w:val="clear" w:color="auto" w:fill="FFFFFF"/>
        </w:rPr>
        <w:t xml:space="preserve">ractitioners and professional bodies </w:t>
      </w:r>
      <w:r>
        <w:rPr>
          <w:color w:val="000000" w:themeColor="text1"/>
          <w:szCs w:val="20"/>
          <w:shd w:val="clear" w:color="auto" w:fill="FFFFFF"/>
        </w:rPr>
        <w:t xml:space="preserve">must take into account when assessing whether </w:t>
      </w:r>
      <w:r w:rsidR="005875B8">
        <w:rPr>
          <w:color w:val="000000" w:themeColor="text1"/>
          <w:szCs w:val="20"/>
          <w:shd w:val="clear" w:color="auto" w:fill="FFFFFF"/>
        </w:rPr>
        <w:t xml:space="preserve">their consent processes for Aboriginal and Torres Strait Islander patients, amount to free, prior, informed consent. </w:t>
      </w:r>
    </w:p>
    <w:p w14:paraId="18D5F25D" w14:textId="7D814A9B" w:rsidR="00A97230" w:rsidRPr="00FD1C70" w:rsidRDefault="00B7362A" w:rsidP="00B7362A">
      <w:pPr>
        <w:rPr>
          <w:rFonts w:cs="Arial"/>
          <w:szCs w:val="20"/>
        </w:rPr>
      </w:pPr>
      <w:r>
        <w:rPr>
          <w:noProof/>
        </w:rPr>
        <w:drawing>
          <wp:inline distT="0" distB="0" distL="0" distR="0" wp14:anchorId="641820C8" wp14:editId="48F4AC77">
            <wp:extent cx="5731510" cy="680085"/>
            <wp:effectExtent l="0" t="0" r="2540" b="5715"/>
            <wp:docPr id="27" name="Picture 27" descr="3. Right to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3. Right to confidentiality"/>
                    <pic:cNvPicPr/>
                  </pic:nvPicPr>
                  <pic:blipFill>
                    <a:blip r:embed="rId33"/>
                    <a:stretch>
                      <a:fillRect/>
                    </a:stretch>
                  </pic:blipFill>
                  <pic:spPr>
                    <a:xfrm>
                      <a:off x="0" y="0"/>
                      <a:ext cx="5731510" cy="680085"/>
                    </a:xfrm>
                    <a:prstGeom prst="rect">
                      <a:avLst/>
                    </a:prstGeom>
                  </pic:spPr>
                </pic:pic>
              </a:graphicData>
            </a:graphic>
          </wp:inline>
        </w:drawing>
      </w:r>
    </w:p>
    <w:p w14:paraId="689B4085" w14:textId="2B1BDD36" w:rsidR="00A97230" w:rsidRPr="00412927" w:rsidRDefault="00A97230" w:rsidP="00A97230">
      <w:pPr>
        <w:rPr>
          <w:rFonts w:cs="Arial"/>
          <w:szCs w:val="20"/>
        </w:rPr>
      </w:pPr>
      <w:r w:rsidRPr="00412927">
        <w:rPr>
          <w:rFonts w:cs="Arial"/>
          <w:szCs w:val="20"/>
        </w:rPr>
        <w:t xml:space="preserve">The right to confidentiality of medical information is underpinned by both criminal and civil sanctions. Rights to confidentiality, also known as privacy rights, are discussed in detail in </w:t>
      </w:r>
      <w:r w:rsidR="00FD1C70">
        <w:rPr>
          <w:rFonts w:cs="Arial"/>
          <w:szCs w:val="20"/>
        </w:rPr>
        <w:t xml:space="preserve">paragraph </w:t>
      </w:r>
      <w:r w:rsidR="00FD1C70" w:rsidRPr="00A7008D">
        <w:rPr>
          <w:rFonts w:cs="Arial"/>
          <w:b/>
          <w:bCs/>
          <w:sz w:val="20"/>
          <w:szCs w:val="20"/>
        </w:rPr>
        <w:fldChar w:fldCharType="begin"/>
      </w:r>
      <w:r w:rsidR="00FD1C70" w:rsidRPr="00A7008D">
        <w:rPr>
          <w:rFonts w:cs="Arial"/>
          <w:b/>
          <w:bCs/>
          <w:sz w:val="20"/>
          <w:szCs w:val="20"/>
        </w:rPr>
        <w:instrText xml:space="preserve"> REF _Ref39091888 \w \h  \* MERGEFORMAT </w:instrText>
      </w:r>
      <w:r w:rsidR="00FD1C70" w:rsidRPr="00A7008D">
        <w:rPr>
          <w:rFonts w:cs="Arial"/>
          <w:b/>
          <w:bCs/>
          <w:sz w:val="20"/>
          <w:szCs w:val="20"/>
        </w:rPr>
      </w:r>
      <w:r w:rsidR="00FD1C70" w:rsidRPr="00A7008D">
        <w:rPr>
          <w:rFonts w:cs="Arial"/>
          <w:b/>
          <w:bCs/>
          <w:sz w:val="20"/>
          <w:szCs w:val="20"/>
        </w:rPr>
        <w:fldChar w:fldCharType="separate"/>
      </w:r>
      <w:r w:rsidR="000B4085">
        <w:rPr>
          <w:rFonts w:cs="Arial"/>
          <w:b/>
          <w:bCs/>
          <w:sz w:val="20"/>
          <w:szCs w:val="20"/>
        </w:rPr>
        <w:t>5.2</w:t>
      </w:r>
      <w:r w:rsidR="00FD1C70" w:rsidRPr="00A7008D">
        <w:rPr>
          <w:rFonts w:cs="Arial"/>
          <w:b/>
          <w:bCs/>
          <w:sz w:val="20"/>
          <w:szCs w:val="20"/>
        </w:rPr>
        <w:fldChar w:fldCharType="end"/>
      </w:r>
      <w:r w:rsidRPr="00412927">
        <w:rPr>
          <w:rFonts w:cs="Arial"/>
          <w:szCs w:val="20"/>
        </w:rPr>
        <w:t xml:space="preserve">. </w:t>
      </w:r>
    </w:p>
    <w:p w14:paraId="1481B78F" w14:textId="7DA714C4" w:rsidR="00A97230" w:rsidRDefault="00906C8E" w:rsidP="00A97230">
      <w:pPr>
        <w:rPr>
          <w:szCs w:val="20"/>
        </w:rPr>
      </w:pPr>
      <w:r>
        <w:rPr>
          <w:noProof/>
        </w:rPr>
        <w:drawing>
          <wp:inline distT="0" distB="0" distL="0" distR="0" wp14:anchorId="4E3E3379" wp14:editId="272BE28F">
            <wp:extent cx="5731510" cy="633730"/>
            <wp:effectExtent l="0" t="0" r="2540" b="0"/>
            <wp:docPr id="28" name="Picture 28" descr="4. Right to access medic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4. Right to access medical records"/>
                    <pic:cNvPicPr/>
                  </pic:nvPicPr>
                  <pic:blipFill>
                    <a:blip r:embed="rId34"/>
                    <a:stretch>
                      <a:fillRect/>
                    </a:stretch>
                  </pic:blipFill>
                  <pic:spPr>
                    <a:xfrm>
                      <a:off x="0" y="0"/>
                      <a:ext cx="5731510" cy="633730"/>
                    </a:xfrm>
                    <a:prstGeom prst="rect">
                      <a:avLst/>
                    </a:prstGeom>
                  </pic:spPr>
                </pic:pic>
              </a:graphicData>
            </a:graphic>
          </wp:inline>
        </w:drawing>
      </w:r>
      <w:r w:rsidR="00A97230" w:rsidRPr="00412927">
        <w:rPr>
          <w:szCs w:val="20"/>
        </w:rPr>
        <w:t xml:space="preserve">The </w:t>
      </w:r>
      <w:r w:rsidR="00A97230" w:rsidRPr="00412927">
        <w:rPr>
          <w:rFonts w:cs="Arial"/>
          <w:szCs w:val="20"/>
        </w:rPr>
        <w:t xml:space="preserve">High Court in </w:t>
      </w:r>
      <w:r w:rsidR="00A97230" w:rsidRPr="00412927">
        <w:rPr>
          <w:rFonts w:cs="Arial"/>
          <w:i/>
          <w:iCs/>
          <w:szCs w:val="20"/>
        </w:rPr>
        <w:t>Breen v William</w:t>
      </w:r>
      <w:r w:rsidR="00A97230" w:rsidRPr="00412927">
        <w:rPr>
          <w:i/>
          <w:iCs/>
          <w:szCs w:val="20"/>
        </w:rPr>
        <w:t>s</w:t>
      </w:r>
      <w:r w:rsidR="00A97230" w:rsidRPr="00412927">
        <w:rPr>
          <w:rFonts w:cs="Arial"/>
          <w:szCs w:val="20"/>
        </w:rPr>
        <w:t xml:space="preserve"> establishe</w:t>
      </w:r>
      <w:r w:rsidR="00A97230" w:rsidRPr="00412927">
        <w:rPr>
          <w:szCs w:val="20"/>
        </w:rPr>
        <w:t xml:space="preserve">d </w:t>
      </w:r>
      <w:r w:rsidR="00A97230" w:rsidRPr="00412927">
        <w:rPr>
          <w:rFonts w:cs="Arial"/>
          <w:szCs w:val="20"/>
        </w:rPr>
        <w:t>that records created by private medical practices, in the absence of specific legislation, are the ownership of that practice and that patients have no general right of access to those records or information in them.</w:t>
      </w:r>
      <w:r w:rsidR="00A97230" w:rsidRPr="00412927">
        <w:rPr>
          <w:rStyle w:val="FootnoteReference"/>
          <w:rFonts w:cs="Arial"/>
          <w:szCs w:val="20"/>
        </w:rPr>
        <w:footnoteReference w:id="82"/>
      </w:r>
      <w:r w:rsidR="00A97230" w:rsidRPr="00412927">
        <w:rPr>
          <w:rFonts w:cs="Arial"/>
          <w:szCs w:val="20"/>
        </w:rPr>
        <w:t xml:space="preserve"> </w:t>
      </w:r>
      <w:r w:rsidR="00A97230" w:rsidRPr="00412927">
        <w:rPr>
          <w:szCs w:val="20"/>
        </w:rPr>
        <w:t xml:space="preserve">Therefore, an </w:t>
      </w:r>
      <w:r w:rsidR="00A97230" w:rsidRPr="00412927">
        <w:rPr>
          <w:rFonts w:cs="Arial"/>
          <w:szCs w:val="20"/>
        </w:rPr>
        <w:t>individual’s</w:t>
      </w:r>
      <w:r w:rsidR="00A97230" w:rsidRPr="00412927">
        <w:rPr>
          <w:szCs w:val="20"/>
        </w:rPr>
        <w:t xml:space="preserve"> right to</w:t>
      </w:r>
      <w:r w:rsidR="00A97230" w:rsidRPr="00412927">
        <w:rPr>
          <w:rFonts w:cs="Arial"/>
          <w:szCs w:val="20"/>
        </w:rPr>
        <w:t xml:space="preserve"> access to their medical records depends firstly on what kind of health practice they attend</w:t>
      </w:r>
      <w:r w:rsidR="00CD6BC9">
        <w:rPr>
          <w:rFonts w:cs="Arial"/>
          <w:szCs w:val="20"/>
        </w:rPr>
        <w:t xml:space="preserve"> (public or private) </w:t>
      </w:r>
      <w:r w:rsidR="00A97230" w:rsidRPr="00412927">
        <w:rPr>
          <w:rFonts w:cs="Arial"/>
          <w:szCs w:val="20"/>
        </w:rPr>
        <w:t xml:space="preserve">and the information </w:t>
      </w:r>
      <w:r w:rsidR="00CD6BC9">
        <w:rPr>
          <w:rFonts w:cs="Arial"/>
          <w:szCs w:val="20"/>
        </w:rPr>
        <w:t>type of information contained within the records. See section</w:t>
      </w:r>
      <w:r w:rsidR="00CD6BC9" w:rsidRPr="003F5D4C">
        <w:rPr>
          <w:rFonts w:cs="Arial"/>
          <w:b/>
          <w:bCs/>
          <w:szCs w:val="20"/>
        </w:rPr>
        <w:t xml:space="preserve"> </w:t>
      </w:r>
      <w:r w:rsidR="000D0918" w:rsidRPr="003F5D4C">
        <w:rPr>
          <w:rFonts w:cs="Arial"/>
          <w:b/>
          <w:bCs/>
          <w:szCs w:val="20"/>
        </w:rPr>
        <w:fldChar w:fldCharType="begin"/>
      </w:r>
      <w:r w:rsidR="000D0918" w:rsidRPr="003F5D4C">
        <w:rPr>
          <w:rFonts w:cs="Arial"/>
          <w:b/>
          <w:bCs/>
          <w:szCs w:val="20"/>
        </w:rPr>
        <w:instrText xml:space="preserve"> REF _Ref39091888 \r \h </w:instrText>
      </w:r>
      <w:r w:rsidR="003F5D4C">
        <w:rPr>
          <w:rFonts w:cs="Arial"/>
          <w:b/>
          <w:bCs/>
          <w:szCs w:val="20"/>
        </w:rPr>
        <w:instrText xml:space="preserve"> \* MERGEFORMAT </w:instrText>
      </w:r>
      <w:r w:rsidR="000D0918" w:rsidRPr="003F5D4C">
        <w:rPr>
          <w:rFonts w:cs="Arial"/>
          <w:b/>
          <w:bCs/>
          <w:szCs w:val="20"/>
        </w:rPr>
      </w:r>
      <w:r w:rsidR="000D0918" w:rsidRPr="003F5D4C">
        <w:rPr>
          <w:rFonts w:cs="Arial"/>
          <w:b/>
          <w:bCs/>
          <w:szCs w:val="20"/>
        </w:rPr>
        <w:fldChar w:fldCharType="separate"/>
      </w:r>
      <w:r w:rsidR="000B4085">
        <w:rPr>
          <w:rFonts w:cs="Arial"/>
          <w:b/>
          <w:bCs/>
          <w:szCs w:val="20"/>
        </w:rPr>
        <w:t>5.2</w:t>
      </w:r>
      <w:r w:rsidR="000D0918" w:rsidRPr="003F5D4C">
        <w:rPr>
          <w:rFonts w:cs="Arial"/>
          <w:b/>
          <w:bCs/>
          <w:szCs w:val="20"/>
        </w:rPr>
        <w:fldChar w:fldCharType="end"/>
      </w:r>
      <w:r w:rsidR="000D0918">
        <w:rPr>
          <w:rFonts w:cs="Arial"/>
          <w:szCs w:val="20"/>
        </w:rPr>
        <w:t xml:space="preserve"> and </w:t>
      </w:r>
      <w:r w:rsidR="000D0918" w:rsidRPr="003F5D4C">
        <w:rPr>
          <w:rFonts w:cs="Arial"/>
          <w:b/>
          <w:bCs/>
          <w:szCs w:val="20"/>
        </w:rPr>
        <w:fldChar w:fldCharType="begin"/>
      </w:r>
      <w:r w:rsidR="000D0918" w:rsidRPr="003F5D4C">
        <w:rPr>
          <w:rFonts w:cs="Arial"/>
          <w:b/>
          <w:bCs/>
          <w:szCs w:val="20"/>
        </w:rPr>
        <w:instrText xml:space="preserve"> REF _Ref39135505 \r \h </w:instrText>
      </w:r>
      <w:r w:rsidR="003F5D4C">
        <w:rPr>
          <w:rFonts w:cs="Arial"/>
          <w:b/>
          <w:bCs/>
          <w:szCs w:val="20"/>
        </w:rPr>
        <w:instrText xml:space="preserve"> \* MERGEFORMAT </w:instrText>
      </w:r>
      <w:r w:rsidR="000D0918" w:rsidRPr="003F5D4C">
        <w:rPr>
          <w:rFonts w:cs="Arial"/>
          <w:b/>
          <w:bCs/>
          <w:szCs w:val="20"/>
        </w:rPr>
      </w:r>
      <w:r w:rsidR="000D0918" w:rsidRPr="003F5D4C">
        <w:rPr>
          <w:rFonts w:cs="Arial"/>
          <w:b/>
          <w:bCs/>
          <w:szCs w:val="20"/>
        </w:rPr>
        <w:fldChar w:fldCharType="separate"/>
      </w:r>
      <w:r w:rsidR="000B4085">
        <w:rPr>
          <w:rFonts w:cs="Arial"/>
          <w:b/>
          <w:bCs/>
          <w:szCs w:val="20"/>
        </w:rPr>
        <w:t>5.7</w:t>
      </w:r>
      <w:r w:rsidR="000D0918" w:rsidRPr="003F5D4C">
        <w:rPr>
          <w:rFonts w:cs="Arial"/>
          <w:b/>
          <w:bCs/>
          <w:szCs w:val="20"/>
        </w:rPr>
        <w:fldChar w:fldCharType="end"/>
      </w:r>
      <w:r w:rsidR="000D0918">
        <w:rPr>
          <w:rFonts w:cs="Arial"/>
          <w:szCs w:val="20"/>
        </w:rPr>
        <w:t xml:space="preserve"> for more information of the patient</w:t>
      </w:r>
      <w:r w:rsidR="003F5D4C">
        <w:rPr>
          <w:rFonts w:cs="Arial"/>
          <w:szCs w:val="20"/>
        </w:rPr>
        <w:t>s privacy rights, and rights under the MyHealth Records scheme introduced by the Commonwealth government</w:t>
      </w:r>
      <w:r w:rsidR="007B23EE">
        <w:rPr>
          <w:rFonts w:cs="Arial"/>
          <w:szCs w:val="20"/>
        </w:rPr>
        <w:t>.</w:t>
      </w:r>
    </w:p>
    <w:p w14:paraId="223A6CAA" w14:textId="0B16EDA5" w:rsidR="00B04A5C" w:rsidRDefault="00B45A57" w:rsidP="00A97230">
      <w:pPr>
        <w:rPr>
          <w:szCs w:val="20"/>
        </w:rPr>
      </w:pPr>
      <w:r>
        <w:rPr>
          <w:noProof/>
        </w:rPr>
        <w:drawing>
          <wp:inline distT="0" distB="0" distL="0" distR="0" wp14:anchorId="0E8834F3" wp14:editId="01F07328">
            <wp:extent cx="5731510" cy="471805"/>
            <wp:effectExtent l="0" t="0" r="2540" b="4445"/>
            <wp:docPr id="96" name="Picture 96" descr="5. Right to refus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5. Right to refuse treatment"/>
                    <pic:cNvPicPr/>
                  </pic:nvPicPr>
                  <pic:blipFill>
                    <a:blip r:embed="rId35"/>
                    <a:stretch>
                      <a:fillRect/>
                    </a:stretch>
                  </pic:blipFill>
                  <pic:spPr>
                    <a:xfrm>
                      <a:off x="0" y="0"/>
                      <a:ext cx="5731510" cy="471805"/>
                    </a:xfrm>
                    <a:prstGeom prst="rect">
                      <a:avLst/>
                    </a:prstGeom>
                  </pic:spPr>
                </pic:pic>
              </a:graphicData>
            </a:graphic>
          </wp:inline>
        </w:drawing>
      </w:r>
    </w:p>
    <w:p w14:paraId="60F9440E" w14:textId="70D62D4E" w:rsidR="00251768" w:rsidRDefault="00CE1B4B" w:rsidP="00251768">
      <w:pPr>
        <w:rPr>
          <w:rFonts w:cs="Arial"/>
          <w:szCs w:val="20"/>
        </w:rPr>
      </w:pPr>
      <w:r>
        <w:rPr>
          <w:rFonts w:cs="Arial"/>
          <w:szCs w:val="20"/>
        </w:rPr>
        <w:lastRenderedPageBreak/>
        <w:t xml:space="preserve">The right of a patient to refuse medical treatment is recognised </w:t>
      </w:r>
      <w:r w:rsidR="006E189B">
        <w:rPr>
          <w:rFonts w:cs="Arial"/>
          <w:szCs w:val="20"/>
        </w:rPr>
        <w:t xml:space="preserve">at an international level </w:t>
      </w:r>
      <w:r w:rsidR="00D72E1A">
        <w:rPr>
          <w:rFonts w:cs="Arial"/>
          <w:szCs w:val="20"/>
        </w:rPr>
        <w:t xml:space="preserve">under </w:t>
      </w:r>
      <w:r w:rsidR="00F13926">
        <w:rPr>
          <w:rFonts w:cs="Arial"/>
          <w:szCs w:val="20"/>
        </w:rPr>
        <w:t xml:space="preserve">Article 7 of </w:t>
      </w:r>
      <w:r w:rsidR="00D72E1A">
        <w:rPr>
          <w:rFonts w:cs="Arial"/>
          <w:szCs w:val="20"/>
        </w:rPr>
        <w:t xml:space="preserve">the </w:t>
      </w:r>
      <w:r w:rsidR="004772AA">
        <w:rPr>
          <w:rFonts w:cs="Arial"/>
          <w:i/>
          <w:iCs/>
          <w:szCs w:val="20"/>
        </w:rPr>
        <w:t>International Covenant on Civil and Political Rights</w:t>
      </w:r>
      <w:r w:rsidR="00F13926">
        <w:rPr>
          <w:rFonts w:cs="Arial"/>
          <w:i/>
          <w:iCs/>
          <w:szCs w:val="20"/>
        </w:rPr>
        <w:t>,</w:t>
      </w:r>
      <w:r w:rsidR="008D3730">
        <w:rPr>
          <w:rStyle w:val="FootnoteReference"/>
          <w:rFonts w:cs="Arial"/>
          <w:i/>
          <w:iCs/>
          <w:szCs w:val="20"/>
        </w:rPr>
        <w:footnoteReference w:id="83"/>
      </w:r>
      <w:r w:rsidR="00F13926">
        <w:rPr>
          <w:rFonts w:cs="Arial"/>
          <w:i/>
          <w:iCs/>
          <w:szCs w:val="20"/>
        </w:rPr>
        <w:t xml:space="preserve"> </w:t>
      </w:r>
      <w:r w:rsidR="0013183C">
        <w:rPr>
          <w:rFonts w:cs="Arial"/>
          <w:szCs w:val="20"/>
        </w:rPr>
        <w:t>and</w:t>
      </w:r>
      <w:r w:rsidR="006E189B">
        <w:rPr>
          <w:rFonts w:cs="Arial"/>
          <w:szCs w:val="20"/>
        </w:rPr>
        <w:t xml:space="preserve"> in common law</w:t>
      </w:r>
      <w:r w:rsidR="00894D93">
        <w:rPr>
          <w:rFonts w:cs="Arial"/>
          <w:szCs w:val="20"/>
        </w:rPr>
        <w:t xml:space="preserve"> in Australia</w:t>
      </w:r>
      <w:r w:rsidR="005533C1">
        <w:rPr>
          <w:rFonts w:cs="Arial"/>
          <w:szCs w:val="20"/>
        </w:rPr>
        <w:t>.</w:t>
      </w:r>
      <w:r w:rsidR="005533C1">
        <w:rPr>
          <w:rStyle w:val="FootnoteReference"/>
          <w:rFonts w:cs="Arial"/>
          <w:szCs w:val="20"/>
        </w:rPr>
        <w:footnoteReference w:id="84"/>
      </w:r>
      <w:r w:rsidR="00A8177D">
        <w:rPr>
          <w:rFonts w:cs="Arial"/>
          <w:szCs w:val="20"/>
        </w:rPr>
        <w:t xml:space="preserve"> </w:t>
      </w:r>
      <w:r w:rsidR="004A30C0">
        <w:rPr>
          <w:rFonts w:cs="Arial"/>
          <w:szCs w:val="20"/>
        </w:rPr>
        <w:t xml:space="preserve">Prima facie, </w:t>
      </w:r>
      <w:r w:rsidR="0036627D" w:rsidRPr="008B27E2">
        <w:rPr>
          <w:rFonts w:cs="Arial"/>
        </w:rPr>
        <w:t xml:space="preserve">adults are capable of deciding to consent </w:t>
      </w:r>
      <w:r w:rsidR="00713B13" w:rsidRPr="008B27E2">
        <w:rPr>
          <w:rFonts w:cs="Arial"/>
        </w:rPr>
        <w:t xml:space="preserve">to </w:t>
      </w:r>
      <w:r w:rsidR="0036627D" w:rsidRPr="008B27E2">
        <w:rPr>
          <w:rFonts w:cs="Arial"/>
        </w:rPr>
        <w:t xml:space="preserve">or </w:t>
      </w:r>
      <w:r w:rsidR="00713B13" w:rsidRPr="008B27E2">
        <w:rPr>
          <w:rFonts w:cs="Arial"/>
        </w:rPr>
        <w:t>refuse</w:t>
      </w:r>
      <w:r w:rsidR="0036627D" w:rsidRPr="008B27E2">
        <w:rPr>
          <w:rFonts w:cs="Arial"/>
        </w:rPr>
        <w:t xml:space="preserve"> </w:t>
      </w:r>
      <w:r w:rsidR="002425B5" w:rsidRPr="008B27E2">
        <w:rPr>
          <w:rFonts w:cs="Arial"/>
        </w:rPr>
        <w:t xml:space="preserve">medical </w:t>
      </w:r>
      <w:r w:rsidR="0036627D" w:rsidRPr="008B27E2">
        <w:rPr>
          <w:rFonts w:cs="Arial"/>
        </w:rPr>
        <w:t>treatment</w:t>
      </w:r>
      <w:r w:rsidR="00DC0560" w:rsidRPr="008B27E2">
        <w:rPr>
          <w:rFonts w:cs="Arial"/>
        </w:rPr>
        <w:t>.</w:t>
      </w:r>
      <w:r w:rsidR="00A0472B" w:rsidRPr="008B27E2">
        <w:rPr>
          <w:rStyle w:val="FootnoteReference"/>
          <w:rFonts w:cs="Arial"/>
        </w:rPr>
        <w:footnoteReference w:id="85"/>
      </w:r>
      <w:r w:rsidR="00DC0560" w:rsidRPr="008B27E2">
        <w:rPr>
          <w:rFonts w:cs="Arial"/>
        </w:rPr>
        <w:t xml:space="preserve"> </w:t>
      </w:r>
      <w:r w:rsidR="0066234D">
        <w:rPr>
          <w:rFonts w:cs="Arial"/>
        </w:rPr>
        <w:t>A</w:t>
      </w:r>
      <w:r w:rsidR="00A75A23" w:rsidRPr="008B27E2">
        <w:rPr>
          <w:rFonts w:cs="Arial"/>
        </w:rPr>
        <w:t>n adult is presumed to have the capacity to consent to or to </w:t>
      </w:r>
      <w:r w:rsidR="00A75A23" w:rsidRPr="00966455">
        <w:rPr>
          <w:rStyle w:val="EndnoteTextChar"/>
        </w:rPr>
        <w:t>refuse medical treatment</w:t>
      </w:r>
      <w:r w:rsidR="00A75A23" w:rsidRPr="008B27E2">
        <w:rPr>
          <w:rFonts w:cs="Arial"/>
        </w:rPr>
        <w:t> unless and until that presumption is rebutted’.</w:t>
      </w:r>
      <w:r w:rsidR="00A75A23" w:rsidRPr="008B27E2">
        <w:rPr>
          <w:rStyle w:val="FootnoteReference"/>
          <w:rFonts w:cs="Arial"/>
        </w:rPr>
        <w:footnoteReference w:id="86"/>
      </w:r>
      <w:r w:rsidR="008B27E2" w:rsidRPr="008B27E2">
        <w:rPr>
          <w:rFonts w:cs="Arial"/>
        </w:rPr>
        <w:t xml:space="preserve"> </w:t>
      </w:r>
      <w:r w:rsidR="00251768" w:rsidRPr="00F36840">
        <w:rPr>
          <w:rFonts w:cs="Arial"/>
          <w:szCs w:val="20"/>
        </w:rPr>
        <w:t>The</w:t>
      </w:r>
      <w:r w:rsidR="00251768">
        <w:rPr>
          <w:rFonts w:cs="Arial"/>
          <w:szCs w:val="20"/>
        </w:rPr>
        <w:t xml:space="preserve"> determination of whether an individual has capacity to consent is based upon whether they can:</w:t>
      </w:r>
      <w:r w:rsidR="00251768">
        <w:rPr>
          <w:rStyle w:val="FootnoteReference"/>
          <w:rFonts w:cs="Arial"/>
          <w:szCs w:val="20"/>
        </w:rPr>
        <w:footnoteReference w:id="87"/>
      </w:r>
    </w:p>
    <w:p w14:paraId="55B4C26C" w14:textId="4369CD3E" w:rsidR="00251768" w:rsidRDefault="00FB0CB4" w:rsidP="007E6C13">
      <w:pPr/>
      <w:r>
        <w:t>c</w:t>
      </w:r>
      <w:r w:rsidR="00251768">
        <w:t>omprehend and retain the information which is material to the decision and its consequences; or</w:t>
      </w:r>
    </w:p>
    <w:p w14:paraId="1293944F" w14:textId="2E741717" w:rsidR="00251768" w:rsidRPr="00714243" w:rsidRDefault="002C6ECB" w:rsidP="007E6C13">
      <w:pPr/>
      <w:r>
        <w:t>w</w:t>
      </w:r>
      <w:r w:rsidR="00251768">
        <w:t>eight and use the information as part of the process of making a decision.</w:t>
      </w:r>
    </w:p>
    <w:p w14:paraId="07A174D9" w14:textId="42AD63D4" w:rsidR="00F07D69" w:rsidRDefault="008B27E2" w:rsidP="00A97230">
      <w:pPr>
        <w:rPr>
          <w:rFonts w:cs="Arial"/>
          <w:szCs w:val="20"/>
        </w:rPr>
      </w:pPr>
      <w:r>
        <w:rPr>
          <w:rFonts w:cs="Arial"/>
        </w:rPr>
        <w:t>Th</w:t>
      </w:r>
      <w:r w:rsidR="00B06830">
        <w:rPr>
          <w:rFonts w:cs="Arial"/>
        </w:rPr>
        <w:t xml:space="preserve">e circumstances where this can be rebutted </w:t>
      </w:r>
      <w:r w:rsidR="00BB4E87" w:rsidRPr="008B27E2">
        <w:rPr>
          <w:rFonts w:cs="Arial"/>
          <w:szCs w:val="20"/>
        </w:rPr>
        <w:t>include</w:t>
      </w:r>
      <w:r w:rsidR="00F07D69" w:rsidRPr="008B27E2">
        <w:rPr>
          <w:rFonts w:cs="Arial"/>
          <w:szCs w:val="20"/>
        </w:rPr>
        <w:t>:</w:t>
      </w:r>
      <w:r w:rsidR="00F07D69" w:rsidRPr="008B27E2">
        <w:rPr>
          <w:rStyle w:val="FootnoteReference"/>
          <w:rFonts w:cs="Arial"/>
          <w:szCs w:val="20"/>
        </w:rPr>
        <w:t xml:space="preserve"> </w:t>
      </w:r>
      <w:r w:rsidR="00F07D69" w:rsidRPr="008B27E2">
        <w:rPr>
          <w:rStyle w:val="FootnoteReference"/>
          <w:rFonts w:cs="Arial"/>
          <w:szCs w:val="20"/>
        </w:rPr>
        <w:footnoteReference w:id="88"/>
      </w:r>
    </w:p>
    <w:p w14:paraId="3C91B73C" w14:textId="70DF3E28" w:rsidR="00F07D69" w:rsidRDefault="007B01CB" w:rsidP="007B2DFC">
      <w:pPr>
        <w:pStyle w:val="ListBullet"/>
      </w:pPr>
      <w:r w:rsidRPr="00F07D69">
        <w:t>emergenc</w:t>
      </w:r>
      <w:r w:rsidR="002D25F2" w:rsidRPr="00F07D69">
        <w:t>ies</w:t>
      </w:r>
      <w:r w:rsidR="00DC0560" w:rsidRPr="00F07D69">
        <w:t xml:space="preserve"> </w:t>
      </w:r>
      <w:r w:rsidR="002D25F2" w:rsidRPr="00F07D69">
        <w:t>when</w:t>
      </w:r>
      <w:r w:rsidR="002D2EB7" w:rsidRPr="00F07D69">
        <w:t xml:space="preserve"> it is not practicable to obtain consent</w:t>
      </w:r>
      <w:r w:rsidR="00F07D69">
        <w:t>;</w:t>
      </w:r>
    </w:p>
    <w:p w14:paraId="16A9F6B4" w14:textId="3F608A5B" w:rsidR="00F07D69" w:rsidRDefault="00295568" w:rsidP="007B2DFC">
      <w:pPr>
        <w:pStyle w:val="ListBullet"/>
      </w:pPr>
      <w:r w:rsidRPr="00F07D69">
        <w:t xml:space="preserve">when </w:t>
      </w:r>
      <w:r w:rsidR="00D52E10" w:rsidRPr="00F07D69">
        <w:t>a person has made an advanced care directive</w:t>
      </w:r>
      <w:r w:rsidR="00FF2455" w:rsidRPr="00F07D69">
        <w:t xml:space="preserve"> (e.g. do not resuscitate)</w:t>
      </w:r>
      <w:r w:rsidR="00F07D69">
        <w:t>;</w:t>
      </w:r>
    </w:p>
    <w:p w14:paraId="0C774940" w14:textId="4D582FBB" w:rsidR="00F07D69" w:rsidRDefault="00B61A9D" w:rsidP="007B2DFC">
      <w:pPr>
        <w:pStyle w:val="ListBullet"/>
      </w:pPr>
      <w:r w:rsidRPr="00F07D69">
        <w:t xml:space="preserve">if there is a genuine and reasonable doubt as </w:t>
      </w:r>
      <w:r w:rsidR="00FF2455" w:rsidRPr="00F07D69">
        <w:t>to</w:t>
      </w:r>
      <w:r w:rsidRPr="00F07D69">
        <w:t xml:space="preserve"> the validity of an advanced care </w:t>
      </w:r>
      <w:r w:rsidR="00FF2455" w:rsidRPr="00F07D69">
        <w:t>directive</w:t>
      </w:r>
      <w:r w:rsidR="00F07D69">
        <w:t>;</w:t>
      </w:r>
    </w:p>
    <w:p w14:paraId="40C5C901" w14:textId="617DA3C4" w:rsidR="00F07D69" w:rsidRDefault="005251A7" w:rsidP="007B2DFC">
      <w:pPr>
        <w:pStyle w:val="ListBullet"/>
      </w:pPr>
      <w:r>
        <w:t xml:space="preserve">by </w:t>
      </w:r>
      <w:r w:rsidR="00F36840">
        <w:t>a</w:t>
      </w:r>
      <w:r w:rsidR="003E4AFD" w:rsidRPr="00F07D69">
        <w:t xml:space="preserve"> spouse</w:t>
      </w:r>
      <w:r w:rsidR="00F07D69" w:rsidRPr="00F07D69">
        <w:t>, close friend or relative</w:t>
      </w:r>
      <w:r w:rsidR="003E4AFD" w:rsidRPr="00F07D69">
        <w:t xml:space="preserve"> of the </w:t>
      </w:r>
      <w:r w:rsidR="00F07D69" w:rsidRPr="00F07D69">
        <w:t>person</w:t>
      </w:r>
      <w:r w:rsidR="00F07D69">
        <w:t>;</w:t>
      </w:r>
    </w:p>
    <w:p w14:paraId="5997A123" w14:textId="5484CF74" w:rsidR="00F36840" w:rsidRDefault="00F36840" w:rsidP="007B2DFC">
      <w:pPr>
        <w:pStyle w:val="ListBullet"/>
      </w:pPr>
      <w:r>
        <w:t>b</w:t>
      </w:r>
      <w:r w:rsidR="00F07D69">
        <w:t>y the person</w:t>
      </w:r>
      <w:r w:rsidR="00F94109">
        <w:t>’</w:t>
      </w:r>
      <w:r w:rsidR="00F07D69">
        <w:t>s guardian</w:t>
      </w:r>
      <w:r>
        <w:t>;</w:t>
      </w:r>
    </w:p>
    <w:p w14:paraId="1C8963C1" w14:textId="6F7D47D5" w:rsidR="00F36840" w:rsidRDefault="00480017" w:rsidP="007B2DFC">
      <w:pPr>
        <w:pStyle w:val="ListBullet"/>
      </w:pPr>
      <w:r w:rsidRPr="00F07D69">
        <w:t>situation</w:t>
      </w:r>
      <w:r w:rsidR="00B61A9D" w:rsidRPr="00F07D69">
        <w:t>s</w:t>
      </w:r>
      <w:r w:rsidR="002E7B85" w:rsidRPr="00F07D69">
        <w:t xml:space="preserve"> permitted </w:t>
      </w:r>
      <w:r w:rsidR="00F0580C" w:rsidRPr="00F07D69">
        <w:t>by mental health related legislation</w:t>
      </w:r>
      <w:r w:rsidR="00251768">
        <w:t>;</w:t>
      </w:r>
      <w:r w:rsidR="000C351F">
        <w:t xml:space="preserve"> and </w:t>
      </w:r>
    </w:p>
    <w:p w14:paraId="248BC736" w14:textId="3E25278C" w:rsidR="00AA7D6B" w:rsidRDefault="004776D2" w:rsidP="007B2DFC">
      <w:pPr>
        <w:pStyle w:val="ListBullet"/>
      </w:pPr>
      <w:r>
        <w:t>n</w:t>
      </w:r>
      <w:r w:rsidR="00AA7D6B">
        <w:t xml:space="preserve">ext of kin, if they fall into a category listed above, </w:t>
      </w:r>
      <w:r w:rsidR="00891335">
        <w:t xml:space="preserve">under the </w:t>
      </w:r>
      <w:r w:rsidR="00891335" w:rsidRPr="0018312B">
        <w:rPr>
          <w:i/>
          <w:iCs/>
        </w:rPr>
        <w:t>Guardianship Act</w:t>
      </w:r>
      <w:r w:rsidR="00251768">
        <w:t>.</w:t>
      </w:r>
    </w:p>
    <w:p w14:paraId="5138947A" w14:textId="77777777" w:rsidR="00215C5D" w:rsidRDefault="00147331" w:rsidP="00F36840">
      <w:pPr>
        <w:rPr>
          <w:rFonts w:cs="Arial"/>
          <w:szCs w:val="20"/>
        </w:rPr>
      </w:pPr>
      <w:r>
        <w:rPr>
          <w:rFonts w:cs="Arial"/>
          <w:szCs w:val="20"/>
        </w:rPr>
        <w:t xml:space="preserve">In the context of Indigenous health genomics, </w:t>
      </w:r>
      <w:r w:rsidR="00CD21A1">
        <w:rPr>
          <w:rFonts w:cs="Arial"/>
          <w:szCs w:val="20"/>
        </w:rPr>
        <w:t>it is important that individuals and communit</w:t>
      </w:r>
      <w:r w:rsidR="00C709E9">
        <w:rPr>
          <w:rFonts w:cs="Arial"/>
          <w:szCs w:val="20"/>
        </w:rPr>
        <w:t>ies</w:t>
      </w:r>
      <w:r w:rsidR="00CD21A1">
        <w:rPr>
          <w:rFonts w:cs="Arial"/>
          <w:szCs w:val="20"/>
        </w:rPr>
        <w:t xml:space="preserve"> are aware of their rights to refuse treatment</w:t>
      </w:r>
      <w:r w:rsidR="004376C2">
        <w:rPr>
          <w:rFonts w:cs="Arial"/>
          <w:szCs w:val="20"/>
        </w:rPr>
        <w:t xml:space="preserve">. </w:t>
      </w:r>
    </w:p>
    <w:p w14:paraId="10F1A934" w14:textId="1D77B8AF" w:rsidR="00EF7193" w:rsidRDefault="006B3EA5" w:rsidP="00F36840">
      <w:pPr>
        <w:rPr>
          <w:rFonts w:cs="Arial"/>
          <w:szCs w:val="20"/>
        </w:rPr>
      </w:pPr>
      <w:r>
        <w:rPr>
          <w:rFonts w:cs="Arial"/>
          <w:szCs w:val="20"/>
        </w:rPr>
        <w:t>If medical treatment is forced on an individual</w:t>
      </w:r>
      <w:r w:rsidR="00EF7193">
        <w:rPr>
          <w:rFonts w:cs="Arial"/>
          <w:szCs w:val="20"/>
        </w:rPr>
        <w:t xml:space="preserve"> without </w:t>
      </w:r>
      <w:r w:rsidR="00873519">
        <w:rPr>
          <w:rFonts w:cs="Arial"/>
          <w:szCs w:val="20"/>
        </w:rPr>
        <w:t>their consent and a rebuttable presumption does not apply, there may be remedies available in the tort of battery</w:t>
      </w:r>
      <w:r w:rsidR="00D22FCE">
        <w:rPr>
          <w:rFonts w:cs="Arial"/>
          <w:szCs w:val="20"/>
        </w:rPr>
        <w:t>.</w:t>
      </w:r>
      <w:r w:rsidR="007F4EE0">
        <w:rPr>
          <w:rFonts w:cs="Arial"/>
          <w:szCs w:val="20"/>
        </w:rPr>
        <w:t xml:space="preserve"> </w:t>
      </w:r>
    </w:p>
    <w:p w14:paraId="57DEC716" w14:textId="6141EA45" w:rsidR="001D6BF9" w:rsidRPr="00F67476" w:rsidRDefault="003E480D" w:rsidP="003E480D">
      <w:pPr>
        <w:pStyle w:val="Heading3"/>
        <w:rPr>
          <w:rFonts w:cs="Arial"/>
          <w:szCs w:val="20"/>
          <w:lang w:val="en-AU"/>
        </w:rPr>
      </w:pPr>
      <w:bookmarkStart w:id="82" w:name="_Toc118824333"/>
      <w:r w:rsidRPr="00F67476">
        <w:rPr>
          <w:lang w:val="en-AU"/>
        </w:rPr>
        <w:t>Procedural Rights</w:t>
      </w:r>
      <w:bookmarkEnd w:id="82"/>
    </w:p>
    <w:p w14:paraId="6421A839" w14:textId="77777777" w:rsidR="00A262AA" w:rsidRDefault="00A97230" w:rsidP="00A97230">
      <w:pPr>
        <w:rPr>
          <w:rFonts w:cs="Arial"/>
          <w:szCs w:val="20"/>
        </w:rPr>
      </w:pPr>
      <w:r w:rsidRPr="00412927">
        <w:rPr>
          <w:rFonts w:cs="Arial"/>
          <w:szCs w:val="20"/>
        </w:rPr>
        <w:t>Procedural rights are the avenues in which individuals can enforce their substantive rights and seek remedies for harms. Despite there being no nationally unified regulatory body, there is a level of uniformity to disciplinary practices that can assist in a consistent approach to the regulation of substantive patient rights.</w:t>
      </w:r>
      <w:r w:rsidR="00C06F5D">
        <w:rPr>
          <w:rFonts w:cs="Arial"/>
          <w:szCs w:val="20"/>
        </w:rPr>
        <w:t xml:space="preserve"> A</w:t>
      </w:r>
      <w:r w:rsidRPr="00412927">
        <w:rPr>
          <w:rFonts w:cs="Arial"/>
          <w:szCs w:val="20"/>
        </w:rPr>
        <w:t>cross all jurisdictions, legislation that confers the ability to bring disciplinary proceedings by the relevant authority</w:t>
      </w:r>
      <w:r w:rsidR="00067218">
        <w:rPr>
          <w:rFonts w:cs="Arial"/>
          <w:szCs w:val="20"/>
        </w:rPr>
        <w:t>,</w:t>
      </w:r>
      <w:r w:rsidRPr="00412927">
        <w:rPr>
          <w:rFonts w:cs="Arial"/>
          <w:szCs w:val="20"/>
        </w:rPr>
        <w:t xml:space="preserve"> refers to</w:t>
      </w:r>
      <w:r w:rsidR="00A262AA">
        <w:rPr>
          <w:rFonts w:cs="Arial"/>
          <w:szCs w:val="20"/>
        </w:rPr>
        <w:t>:</w:t>
      </w:r>
      <w:r w:rsidRPr="00412927">
        <w:rPr>
          <w:rFonts w:cs="Arial"/>
          <w:szCs w:val="20"/>
        </w:rPr>
        <w:t xml:space="preserve"> </w:t>
      </w:r>
    </w:p>
    <w:p w14:paraId="5BE7F21D" w14:textId="77777777" w:rsidR="00A262AA" w:rsidRPr="00A262AA" w:rsidRDefault="00A97230" w:rsidP="007B2DFC">
      <w:pPr>
        <w:pStyle w:val="ListBullet"/>
      </w:pPr>
      <w:r w:rsidRPr="00A262AA">
        <w:t>professional misconduct</w:t>
      </w:r>
      <w:r w:rsidR="00A262AA" w:rsidRPr="00A262AA">
        <w:t>;</w:t>
      </w:r>
      <w:r w:rsidRPr="00A262AA">
        <w:t xml:space="preserve"> </w:t>
      </w:r>
    </w:p>
    <w:p w14:paraId="72452746" w14:textId="77777777" w:rsidR="00A262AA" w:rsidRPr="00A262AA" w:rsidRDefault="00A97230" w:rsidP="007B2DFC">
      <w:pPr>
        <w:pStyle w:val="ListBullet"/>
      </w:pPr>
      <w:r w:rsidRPr="00A262AA">
        <w:t>unsatisfactory professional conduct</w:t>
      </w:r>
      <w:r w:rsidR="00A262AA" w:rsidRPr="00A262AA">
        <w:t>; and/or</w:t>
      </w:r>
      <w:r w:rsidRPr="00A262AA">
        <w:t xml:space="preserve"> </w:t>
      </w:r>
    </w:p>
    <w:p w14:paraId="4A4FEED8" w14:textId="77777777" w:rsidR="00A262AA" w:rsidRPr="00A262AA" w:rsidRDefault="00A97230" w:rsidP="007E6C13">
      <w:pPr/>
      <w:r w:rsidRPr="00A262AA">
        <w:lastRenderedPageBreak/>
        <w:t>unprofessional conduct.</w:t>
      </w:r>
      <w:r w:rsidRPr="00412927">
        <w:rPr>
          <w:rStyle w:val="FootnoteReference"/>
          <w:rFonts w:cs="Arial"/>
          <w:szCs w:val="20"/>
        </w:rPr>
        <w:footnoteReference w:id="89"/>
      </w:r>
      <w:r w:rsidRPr="00A262AA">
        <w:t xml:space="preserve"> </w:t>
      </w:r>
    </w:p>
    <w:p w14:paraId="5113828D" w14:textId="10FE7730" w:rsidR="004E3AB1" w:rsidRDefault="00A97230" w:rsidP="00A97230">
      <w:pPr>
        <w:rPr>
          <w:rFonts w:cs="Arial"/>
          <w:szCs w:val="20"/>
        </w:rPr>
      </w:pPr>
      <w:r w:rsidRPr="00412927">
        <w:rPr>
          <w:rFonts w:cs="Arial"/>
          <w:szCs w:val="20"/>
        </w:rPr>
        <w:t>Under the National Registration and Accreditation Scheme, the Medical Board of Australia has disciplinary powers over registered health practitioners in all jurisdictions except for New South Wales and Queensland.</w:t>
      </w:r>
      <w:r w:rsidRPr="00412927">
        <w:rPr>
          <w:rStyle w:val="FootnoteReference"/>
          <w:rFonts w:cs="Arial"/>
          <w:szCs w:val="20"/>
        </w:rPr>
        <w:footnoteReference w:id="90"/>
      </w:r>
      <w:r w:rsidRPr="00412927">
        <w:rPr>
          <w:rFonts w:cs="Arial"/>
          <w:szCs w:val="20"/>
        </w:rPr>
        <w:t xml:space="preserve"> In New South Wales, health practitioners are disciplined by the Medical Council of NSW and in Queensland</w:t>
      </w:r>
      <w:r w:rsidR="001D6384">
        <w:rPr>
          <w:rFonts w:cs="Arial"/>
          <w:szCs w:val="20"/>
        </w:rPr>
        <w:t>,</w:t>
      </w:r>
      <w:r w:rsidRPr="00412927">
        <w:rPr>
          <w:rFonts w:cs="Arial"/>
          <w:szCs w:val="20"/>
        </w:rPr>
        <w:t xml:space="preserve"> the Health Ombudsman.</w:t>
      </w:r>
      <w:r w:rsidRPr="00412927">
        <w:rPr>
          <w:rStyle w:val="FootnoteReference"/>
          <w:rFonts w:cs="Arial"/>
          <w:szCs w:val="20"/>
        </w:rPr>
        <w:footnoteReference w:id="91"/>
      </w:r>
      <w:r w:rsidRPr="00412927">
        <w:rPr>
          <w:rFonts w:cs="Arial"/>
          <w:szCs w:val="20"/>
        </w:rPr>
        <w:t xml:space="preserve"> In addition to this, statutory health bodies, can in some circumstance also refer complaints between each other or produce reports to corresponding boards or the Medical Council of New South Wales.</w:t>
      </w:r>
      <w:r w:rsidRPr="00412927">
        <w:rPr>
          <w:rStyle w:val="FootnoteReference"/>
          <w:rFonts w:cs="Arial"/>
          <w:szCs w:val="20"/>
        </w:rPr>
        <w:footnoteReference w:id="92"/>
      </w:r>
      <w:r w:rsidRPr="00412927">
        <w:rPr>
          <w:rFonts w:cs="Arial"/>
          <w:szCs w:val="20"/>
        </w:rPr>
        <w:t xml:space="preserve"> </w:t>
      </w:r>
      <w:r w:rsidRPr="00412927">
        <w:rPr>
          <w:szCs w:val="20"/>
        </w:rPr>
        <w:t xml:space="preserve"> </w:t>
      </w:r>
      <w:r w:rsidRPr="00412927">
        <w:rPr>
          <w:rFonts w:cs="Arial"/>
          <w:szCs w:val="20"/>
        </w:rPr>
        <w:t xml:space="preserve">This approach ensures that if professional misconduct, or unprofessional conduct occurs in the collection and use of </w:t>
      </w:r>
      <w:r w:rsidR="00960059">
        <w:rPr>
          <w:rFonts w:cs="Arial"/>
          <w:szCs w:val="20"/>
        </w:rPr>
        <w:t>I</w:t>
      </w:r>
      <w:r w:rsidRPr="00412927">
        <w:rPr>
          <w:rFonts w:cs="Arial"/>
          <w:szCs w:val="20"/>
        </w:rPr>
        <w:t>ndigenous health related genomics by health practitioners or practices, then disciplinary proceedings can be bought to enforce the rights of patients.</w:t>
      </w:r>
    </w:p>
    <w:p w14:paraId="68B23FA1" w14:textId="5591014C" w:rsidR="00A97230" w:rsidRPr="00F67476" w:rsidRDefault="00A97230" w:rsidP="003E480D">
      <w:pPr>
        <w:pStyle w:val="Heading3"/>
        <w:rPr>
          <w:lang w:val="en-AU"/>
        </w:rPr>
      </w:pPr>
      <w:bookmarkStart w:id="83" w:name="_Toc118824334"/>
      <w:r w:rsidRPr="00F67476">
        <w:rPr>
          <w:lang w:val="en-AU"/>
        </w:rPr>
        <w:t>Conclusion</w:t>
      </w:r>
      <w:bookmarkEnd w:id="83"/>
    </w:p>
    <w:p w14:paraId="19587406" w14:textId="42DA3CE1" w:rsidR="008C7F8D" w:rsidRPr="00FF59F5" w:rsidRDefault="00A97230" w:rsidP="00AC73DF">
      <w:pPr>
        <w:rPr>
          <w:rFonts w:cs="Arial"/>
          <w:szCs w:val="20"/>
        </w:rPr>
      </w:pPr>
      <w:r w:rsidRPr="00412927">
        <w:rPr>
          <w:rFonts w:cs="Arial"/>
          <w:szCs w:val="20"/>
        </w:rPr>
        <w:t xml:space="preserve">Despite the lack of an entrenched system of rights for medical patients, there are a number professional, statutory, and common law obligations on doctors to ensure that patients receive an adequate standard of care from health practitioners and practices. Protections against purely non-therapeutic practices and requirements of informed consent provide some safeguard against unfair targeting of </w:t>
      </w:r>
      <w:r w:rsidR="00CF48F3">
        <w:rPr>
          <w:rFonts w:cs="Arial"/>
          <w:szCs w:val="20"/>
        </w:rPr>
        <w:t xml:space="preserve">Aboriginal and Torres Strait Islander </w:t>
      </w:r>
      <w:r w:rsidRPr="00412927">
        <w:rPr>
          <w:rFonts w:cs="Arial"/>
          <w:szCs w:val="20"/>
        </w:rPr>
        <w:t>patients, however greater education for patients and expectations of practitioners are needed in this area</w:t>
      </w:r>
      <w:r w:rsidRPr="00412927">
        <w:rPr>
          <w:szCs w:val="20"/>
        </w:rPr>
        <w:t xml:space="preserve">. The standards of informed consent appear to have the strongest grounding to safeguard against issues relating to wide ranging and vague consent parameters to the collection and use of </w:t>
      </w:r>
      <w:r w:rsidR="00991FCD">
        <w:rPr>
          <w:szCs w:val="20"/>
        </w:rPr>
        <w:t xml:space="preserve">Aboriginal and Torres Strait Islander </w:t>
      </w:r>
      <w:r w:rsidRPr="00412927">
        <w:rPr>
          <w:szCs w:val="20"/>
        </w:rPr>
        <w:t xml:space="preserve">health related </w:t>
      </w:r>
      <w:r w:rsidR="00B53FA5">
        <w:rPr>
          <w:szCs w:val="20"/>
        </w:rPr>
        <w:t>information</w:t>
      </w:r>
      <w:r w:rsidRPr="00412927">
        <w:rPr>
          <w:szCs w:val="20"/>
        </w:rPr>
        <w:t>. Furthermore, de</w:t>
      </w:r>
      <w:r w:rsidRPr="00412927">
        <w:rPr>
          <w:rFonts w:cs="Arial"/>
          <w:szCs w:val="20"/>
        </w:rPr>
        <w:t xml:space="preserve">spite not being nationally unified, the </w:t>
      </w:r>
      <w:r w:rsidRPr="00412927">
        <w:rPr>
          <w:rFonts w:cs="Arial"/>
          <w:i/>
          <w:iCs/>
          <w:szCs w:val="20"/>
        </w:rPr>
        <w:t>Health Practitioner Regulation National Law Act</w:t>
      </w:r>
      <w:r w:rsidRPr="00412927">
        <w:rPr>
          <w:rFonts w:cs="Arial"/>
          <w:szCs w:val="20"/>
        </w:rPr>
        <w:t xml:space="preserve"> operating across most states and territories </w:t>
      </w:r>
      <w:r w:rsidRPr="00412927">
        <w:rPr>
          <w:szCs w:val="20"/>
        </w:rPr>
        <w:t>provides</w:t>
      </w:r>
      <w:r w:rsidRPr="00412927">
        <w:rPr>
          <w:rFonts w:cs="Arial"/>
          <w:szCs w:val="20"/>
        </w:rPr>
        <w:t xml:space="preserve"> a strong </w:t>
      </w:r>
      <w:r w:rsidR="0030446C">
        <w:rPr>
          <w:rFonts w:cs="Arial"/>
          <w:szCs w:val="20"/>
        </w:rPr>
        <w:t>starting point</w:t>
      </w:r>
      <w:r w:rsidRPr="00412927">
        <w:rPr>
          <w:rFonts w:cs="Arial"/>
          <w:szCs w:val="20"/>
        </w:rPr>
        <w:t xml:space="preserve"> to be able to ensure nationally consistent </w:t>
      </w:r>
      <w:r w:rsidRPr="00412927">
        <w:rPr>
          <w:szCs w:val="20"/>
        </w:rPr>
        <w:t>approaches to regulation and enforcement of obligations.</w:t>
      </w:r>
    </w:p>
    <w:p w14:paraId="169FFA56" w14:textId="4C54FD75" w:rsidR="00856C9B" w:rsidRPr="00F67476" w:rsidRDefault="000520B6" w:rsidP="002B5F46">
      <w:pPr>
        <w:pStyle w:val="Heading2"/>
        <w:rPr>
          <w:lang w:val="en-AU"/>
        </w:rPr>
      </w:pPr>
      <w:bookmarkStart w:id="84" w:name="_Toc118824335"/>
      <w:r w:rsidRPr="00F67476">
        <w:rPr>
          <w:lang w:val="en-AU"/>
        </w:rPr>
        <w:t>IP and Commercialisation – Patents Act</w:t>
      </w:r>
      <w:bookmarkEnd w:id="84"/>
      <w:r w:rsidRPr="00F67476">
        <w:rPr>
          <w:lang w:val="en-AU"/>
        </w:rPr>
        <w:t xml:space="preserve"> </w:t>
      </w:r>
    </w:p>
    <w:p w14:paraId="16A29FF5" w14:textId="77777777" w:rsidR="0071062F" w:rsidRDefault="00856C9B" w:rsidP="002B5F46">
      <w:pPr>
        <w:rPr>
          <w:szCs w:val="20"/>
        </w:rPr>
      </w:pPr>
      <w:r w:rsidRPr="000D458E">
        <w:rPr>
          <w:szCs w:val="20"/>
        </w:rPr>
        <w:t>In the biotechnology sector, patents are critical to ensure a competitive and healthy industry</w:t>
      </w:r>
      <w:r w:rsidR="000F237D">
        <w:rPr>
          <w:szCs w:val="20"/>
        </w:rPr>
        <w:t>. Nevertheless,</w:t>
      </w:r>
      <w:r w:rsidRPr="000D458E">
        <w:rPr>
          <w:szCs w:val="20"/>
        </w:rPr>
        <w:t xml:space="preserve"> </w:t>
      </w:r>
      <w:r w:rsidR="000F237D">
        <w:rPr>
          <w:szCs w:val="20"/>
        </w:rPr>
        <w:t xml:space="preserve">in the context of </w:t>
      </w:r>
      <w:r w:rsidRPr="000D458E">
        <w:rPr>
          <w:szCs w:val="20"/>
        </w:rPr>
        <w:t xml:space="preserve">gene technology, there is a fine balance between invention and discovery of fact. </w:t>
      </w:r>
    </w:p>
    <w:p w14:paraId="3DD64DEA" w14:textId="16AED703" w:rsidR="00294614" w:rsidRDefault="00856C9B" w:rsidP="002B5F46">
      <w:pPr>
        <w:rPr>
          <w:szCs w:val="20"/>
        </w:rPr>
      </w:pPr>
      <w:r w:rsidRPr="000D458E">
        <w:rPr>
          <w:szCs w:val="20"/>
        </w:rPr>
        <w:lastRenderedPageBreak/>
        <w:t>Patent law provides incentive</w:t>
      </w:r>
      <w:r w:rsidR="00C206BB">
        <w:rPr>
          <w:szCs w:val="20"/>
        </w:rPr>
        <w:t>s</w:t>
      </w:r>
      <w:r w:rsidRPr="000D458E">
        <w:rPr>
          <w:szCs w:val="20"/>
        </w:rPr>
        <w:t xml:space="preserve"> for scientists and inventors to develop new and innovative technology by granting an exclusive 20 year monopoly to exploit their invention.</w:t>
      </w:r>
      <w:r w:rsidRPr="000D458E">
        <w:rPr>
          <w:rStyle w:val="FootnoteReference"/>
          <w:color w:val="000000"/>
          <w:szCs w:val="20"/>
          <w:shd w:val="clear" w:color="auto" w:fill="FFFFFF"/>
        </w:rPr>
        <w:footnoteReference w:id="93"/>
      </w:r>
      <w:r w:rsidRPr="000D458E">
        <w:rPr>
          <w:szCs w:val="20"/>
        </w:rPr>
        <w:t xml:space="preserve"> Patents can allow for highly advanced and technical medicines and diagnosis systems which can magnify the effectiveness and implementation of health care initiatives. For Indigenous peoples, this can have tremendous impacts to reduce the wide</w:t>
      </w:r>
      <w:r w:rsidR="00BB252C">
        <w:rPr>
          <w:szCs w:val="20"/>
        </w:rPr>
        <w:t xml:space="preserve"> gap in</w:t>
      </w:r>
      <w:r w:rsidRPr="000D458E">
        <w:rPr>
          <w:szCs w:val="20"/>
        </w:rPr>
        <w:t xml:space="preserve"> health and life expectancy</w:t>
      </w:r>
      <w:r w:rsidR="007055D9">
        <w:rPr>
          <w:szCs w:val="20"/>
        </w:rPr>
        <w:t>.</w:t>
      </w:r>
      <w:r w:rsidRPr="000D458E">
        <w:rPr>
          <w:szCs w:val="20"/>
        </w:rPr>
        <w:t xml:space="preserve"> </w:t>
      </w:r>
      <w:r w:rsidR="007055D9">
        <w:rPr>
          <w:szCs w:val="20"/>
        </w:rPr>
        <w:t>H</w:t>
      </w:r>
      <w:r w:rsidRPr="000D458E">
        <w:rPr>
          <w:szCs w:val="20"/>
        </w:rPr>
        <w:t>owever</w:t>
      </w:r>
      <w:r w:rsidR="007055D9">
        <w:rPr>
          <w:szCs w:val="20"/>
        </w:rPr>
        <w:t>,</w:t>
      </w:r>
      <w:r w:rsidRPr="000D458E">
        <w:rPr>
          <w:szCs w:val="20"/>
        </w:rPr>
        <w:t xml:space="preserve"> a system that allows patents of genes and genomic material could also expand the health gap due to financial costs of such medicines. </w:t>
      </w:r>
    </w:p>
    <w:p w14:paraId="0889A43D" w14:textId="23FF2D1D" w:rsidR="00144FA1" w:rsidRDefault="00FA1486" w:rsidP="002B5F46">
      <w:pPr>
        <w:rPr>
          <w:szCs w:val="20"/>
        </w:rPr>
      </w:pPr>
      <w:r>
        <w:rPr>
          <w:szCs w:val="20"/>
        </w:rPr>
        <w:t xml:space="preserve">Another </w:t>
      </w:r>
      <w:r w:rsidR="00511DBD">
        <w:rPr>
          <w:szCs w:val="20"/>
        </w:rPr>
        <w:t xml:space="preserve">risk </w:t>
      </w:r>
      <w:r>
        <w:rPr>
          <w:szCs w:val="20"/>
        </w:rPr>
        <w:t xml:space="preserve">is </w:t>
      </w:r>
      <w:r w:rsidR="00856C9B" w:rsidRPr="000D458E">
        <w:rPr>
          <w:szCs w:val="20"/>
        </w:rPr>
        <w:t>the possibility of biocolonialism of Indigenous genes and genomic information. Biocolonicalism refers to extending “the reach of the colonial process into the biomes and knowledge systems of Indigenous peoples in the search for marketable genetic resources and traditional knowledge”.</w:t>
      </w:r>
      <w:r w:rsidR="00856C9B" w:rsidRPr="000D458E">
        <w:rPr>
          <w:rStyle w:val="FootnoteReference"/>
          <w:szCs w:val="20"/>
        </w:rPr>
        <w:footnoteReference w:id="94"/>
      </w:r>
      <w:r w:rsidR="00856C9B" w:rsidRPr="000D458E">
        <w:rPr>
          <w:szCs w:val="20"/>
        </w:rPr>
        <w:t xml:space="preserve"> This is not a farfetched concept, as in Australia, non-Indigenous peoples and corporations have sought to </w:t>
      </w:r>
      <w:r w:rsidR="00106FF6">
        <w:rPr>
          <w:szCs w:val="20"/>
        </w:rPr>
        <w:t>register</w:t>
      </w:r>
      <w:r w:rsidR="00856C9B" w:rsidRPr="000D458E">
        <w:rPr>
          <w:szCs w:val="20"/>
        </w:rPr>
        <w:t xml:space="preserve"> patents over plant genetic resources and traditional medicines of </w:t>
      </w:r>
      <w:r w:rsidR="00447923">
        <w:rPr>
          <w:szCs w:val="20"/>
        </w:rPr>
        <w:t xml:space="preserve">Aboriginal and Torres Strait Islander </w:t>
      </w:r>
      <w:r w:rsidR="00856C9B" w:rsidRPr="000D458E">
        <w:rPr>
          <w:szCs w:val="20"/>
        </w:rPr>
        <w:t>peoples, along with their medicinal applications</w:t>
      </w:r>
      <w:r w:rsidR="00880BFF">
        <w:rPr>
          <w:szCs w:val="20"/>
        </w:rPr>
        <w:t xml:space="preserve">. </w:t>
      </w:r>
    </w:p>
    <w:p w14:paraId="5D30456B" w14:textId="239AE2AA" w:rsidR="00856C9B" w:rsidRPr="000D458E" w:rsidRDefault="00856C9B" w:rsidP="002B5F46">
      <w:pPr>
        <w:rPr>
          <w:szCs w:val="20"/>
        </w:rPr>
      </w:pPr>
      <w:r w:rsidRPr="000D458E">
        <w:rPr>
          <w:szCs w:val="20"/>
        </w:rPr>
        <w:t>This section will investigate the two types of patents in Australia, how they are granted, and the relevant case law</w:t>
      </w:r>
      <w:r w:rsidR="00B17702">
        <w:rPr>
          <w:szCs w:val="20"/>
        </w:rPr>
        <w:t xml:space="preserve"> </w:t>
      </w:r>
      <w:r w:rsidR="00720C51">
        <w:rPr>
          <w:szCs w:val="20"/>
        </w:rPr>
        <w:t xml:space="preserve">governing </w:t>
      </w:r>
      <w:r w:rsidR="00033245">
        <w:rPr>
          <w:szCs w:val="20"/>
        </w:rPr>
        <w:t xml:space="preserve">patenting in </w:t>
      </w:r>
      <w:r w:rsidR="00720C51">
        <w:rPr>
          <w:szCs w:val="20"/>
        </w:rPr>
        <w:t xml:space="preserve">the </w:t>
      </w:r>
      <w:r w:rsidRPr="000D458E">
        <w:rPr>
          <w:szCs w:val="20"/>
        </w:rPr>
        <w:t>genetic technology field. It will look to international examples of positive and negative experiences and consider the issues that arise in the development of gene technology patents.</w:t>
      </w:r>
    </w:p>
    <w:p w14:paraId="110EC07A" w14:textId="77777777" w:rsidR="00856C9B" w:rsidRPr="00F67476" w:rsidRDefault="00856C9B" w:rsidP="002B5F46">
      <w:pPr>
        <w:pStyle w:val="Heading3"/>
      </w:pPr>
      <w:bookmarkStart w:id="85" w:name="_Toc118824336"/>
      <w:r w:rsidRPr="00F67476">
        <w:rPr>
          <w:lang w:val="en-AU"/>
        </w:rPr>
        <w:t>Patents in Australia</w:t>
      </w:r>
      <w:bookmarkEnd w:id="85"/>
    </w:p>
    <w:p w14:paraId="2632815D" w14:textId="77777777" w:rsidR="001F05A8" w:rsidRDefault="00856C9B" w:rsidP="002B5F46">
      <w:pPr>
        <w:rPr>
          <w:szCs w:val="20"/>
        </w:rPr>
      </w:pPr>
      <w:r w:rsidRPr="000D458E">
        <w:rPr>
          <w:szCs w:val="20"/>
        </w:rPr>
        <w:t>Australia grants t</w:t>
      </w:r>
      <w:r w:rsidRPr="000D458E">
        <w:rPr>
          <w:color w:val="000000"/>
          <w:szCs w:val="20"/>
          <w:shd w:val="clear" w:color="auto" w:fill="FFFFFF"/>
        </w:rPr>
        <w:t xml:space="preserve">wo </w:t>
      </w:r>
      <w:r w:rsidRPr="000D458E">
        <w:rPr>
          <w:szCs w:val="20"/>
        </w:rPr>
        <w:t>types of patents, s</w:t>
      </w:r>
      <w:r w:rsidRPr="000D458E">
        <w:rPr>
          <w:i/>
          <w:iCs/>
          <w:szCs w:val="20"/>
        </w:rPr>
        <w:t>tandard</w:t>
      </w:r>
      <w:r w:rsidRPr="000D458E">
        <w:rPr>
          <w:szCs w:val="20"/>
        </w:rPr>
        <w:t xml:space="preserve"> and </w:t>
      </w:r>
      <w:r w:rsidRPr="000D458E">
        <w:rPr>
          <w:i/>
          <w:iCs/>
          <w:szCs w:val="20"/>
        </w:rPr>
        <w:t>innovation</w:t>
      </w:r>
      <w:r w:rsidRPr="000D458E">
        <w:rPr>
          <w:szCs w:val="20"/>
        </w:rPr>
        <w:t xml:space="preserve">, although innovation patents are due to be phased out by August 2021. </w:t>
      </w:r>
    </w:p>
    <w:p w14:paraId="6FAC070F" w14:textId="6CED6EE7" w:rsidR="001F05A8" w:rsidRDefault="001F05A8">
      <w:pPr>
        <w:pStyle w:val="Heading4"/>
      </w:pPr>
      <w:r>
        <w:t xml:space="preserve">Invention or innovation? </w:t>
      </w:r>
    </w:p>
    <w:p w14:paraId="709FF964" w14:textId="1B7F1041" w:rsidR="00FC5EC7" w:rsidRDefault="00856C9B" w:rsidP="002B5F46">
      <w:pPr>
        <w:rPr>
          <w:szCs w:val="20"/>
        </w:rPr>
      </w:pPr>
      <w:r w:rsidRPr="000D458E">
        <w:rPr>
          <w:szCs w:val="20"/>
        </w:rPr>
        <w:t>Standard patents grant 20 years</w:t>
      </w:r>
      <w:r w:rsidR="00D754E1">
        <w:rPr>
          <w:szCs w:val="20"/>
        </w:rPr>
        <w:t>’</w:t>
      </w:r>
      <w:r w:rsidRPr="000D458E">
        <w:rPr>
          <w:szCs w:val="20"/>
        </w:rPr>
        <w:t xml:space="preserve"> (up to 25 for pharmaceutical substances) protection for an invention. In order </w:t>
      </w:r>
      <w:r w:rsidR="00E033F7">
        <w:rPr>
          <w:szCs w:val="20"/>
        </w:rPr>
        <w:t xml:space="preserve">for </w:t>
      </w:r>
      <w:r w:rsidRPr="000D458E">
        <w:rPr>
          <w:szCs w:val="20"/>
        </w:rPr>
        <w:t>an invention to be patentable it must</w:t>
      </w:r>
      <w:r w:rsidR="007B264C">
        <w:rPr>
          <w:szCs w:val="20"/>
        </w:rPr>
        <w:t xml:space="preserve"> be</w:t>
      </w:r>
      <w:r w:rsidR="00F97328">
        <w:rPr>
          <w:szCs w:val="20"/>
        </w:rPr>
        <w:t xml:space="preserve"> novel and inventive when compared to the prior art base</w:t>
      </w:r>
      <w:r w:rsidR="00FE0087">
        <w:rPr>
          <w:szCs w:val="20"/>
        </w:rPr>
        <w:t>.</w:t>
      </w:r>
      <w:r w:rsidRPr="000D458E">
        <w:rPr>
          <w:rStyle w:val="FootnoteReference"/>
          <w:szCs w:val="20"/>
        </w:rPr>
        <w:footnoteReference w:id="95"/>
      </w:r>
      <w:r w:rsidRPr="000D458E">
        <w:rPr>
          <w:szCs w:val="20"/>
        </w:rPr>
        <w:t xml:space="preserve"> </w:t>
      </w:r>
    </w:p>
    <w:p w14:paraId="1E49A55A" w14:textId="29A9CDBB" w:rsidR="00F75CC5" w:rsidRDefault="00856C9B" w:rsidP="002B5F46">
      <w:pPr>
        <w:rPr>
          <w:szCs w:val="20"/>
        </w:rPr>
      </w:pPr>
      <w:r w:rsidRPr="000D458E">
        <w:rPr>
          <w:szCs w:val="20"/>
        </w:rPr>
        <w:t xml:space="preserve">On the other hand, </w:t>
      </w:r>
      <w:r w:rsidRPr="00DD3233">
        <w:rPr>
          <w:szCs w:val="20"/>
        </w:rPr>
        <w:t>innovation</w:t>
      </w:r>
      <w:r w:rsidRPr="000D458E">
        <w:rPr>
          <w:i/>
          <w:iCs/>
          <w:szCs w:val="20"/>
        </w:rPr>
        <w:t xml:space="preserve"> </w:t>
      </w:r>
      <w:r w:rsidRPr="000D458E">
        <w:rPr>
          <w:szCs w:val="20"/>
        </w:rPr>
        <w:t>patents last for up to eight years and are designed to protect inventions that do not quite meet the threshold of</w:t>
      </w:r>
      <w:r w:rsidR="00F9390D">
        <w:rPr>
          <w:szCs w:val="20"/>
        </w:rPr>
        <w:t xml:space="preserve"> </w:t>
      </w:r>
      <w:r w:rsidR="00367494">
        <w:rPr>
          <w:szCs w:val="20"/>
        </w:rPr>
        <w:t>‘</w:t>
      </w:r>
      <w:r w:rsidR="000B7F0A">
        <w:rPr>
          <w:szCs w:val="20"/>
        </w:rPr>
        <w:t>i</w:t>
      </w:r>
      <w:r w:rsidR="00511C06">
        <w:rPr>
          <w:szCs w:val="20"/>
        </w:rPr>
        <w:t xml:space="preserve">nventive’ but are nevertheless ‘innovative’. </w:t>
      </w:r>
      <w:r w:rsidRPr="000D458E">
        <w:rPr>
          <w:szCs w:val="20"/>
        </w:rPr>
        <w:t xml:space="preserve"> </w:t>
      </w:r>
      <w:r w:rsidR="000B7F0A">
        <w:rPr>
          <w:szCs w:val="20"/>
        </w:rPr>
        <w:t>S</w:t>
      </w:r>
      <w:r w:rsidRPr="000D458E">
        <w:rPr>
          <w:szCs w:val="20"/>
        </w:rPr>
        <w:t xml:space="preserve">tandard patents allow for </w:t>
      </w:r>
      <w:r w:rsidR="0086196E">
        <w:rPr>
          <w:szCs w:val="20"/>
        </w:rPr>
        <w:t>innovative</w:t>
      </w:r>
      <w:r w:rsidRPr="000D458E">
        <w:rPr>
          <w:szCs w:val="20"/>
        </w:rPr>
        <w:t xml:space="preserve"> concepts and processes, and incremental advancements on existing technology.</w:t>
      </w:r>
      <w:r w:rsidRPr="000D458E">
        <w:rPr>
          <w:rStyle w:val="FootnoteReference"/>
          <w:szCs w:val="20"/>
        </w:rPr>
        <w:footnoteReference w:id="96"/>
      </w:r>
      <w:r w:rsidRPr="000D458E">
        <w:rPr>
          <w:szCs w:val="20"/>
        </w:rPr>
        <w:t xml:space="preserve"> </w:t>
      </w:r>
    </w:p>
    <w:p w14:paraId="1E6C68FA" w14:textId="1FFA8170" w:rsidR="00AA6BEF" w:rsidRDefault="006F0966" w:rsidP="002B5F46">
      <w:pPr>
        <w:pStyle w:val="Heading4"/>
      </w:pPr>
      <w:r>
        <w:lastRenderedPageBreak/>
        <w:t>Manner of manufacture</w:t>
      </w:r>
    </w:p>
    <w:p w14:paraId="2100B33A" w14:textId="26ADA868" w:rsidR="006F0966" w:rsidRDefault="006F0966" w:rsidP="002B5F46">
      <w:pPr>
        <w:rPr>
          <w:szCs w:val="20"/>
        </w:rPr>
      </w:pPr>
      <w:r>
        <w:rPr>
          <w:szCs w:val="20"/>
        </w:rPr>
        <w:t xml:space="preserve">Both standard and </w:t>
      </w:r>
      <w:r w:rsidR="001B6105">
        <w:rPr>
          <w:szCs w:val="20"/>
        </w:rPr>
        <w:t xml:space="preserve">innovation </w:t>
      </w:r>
      <w:r w:rsidR="0060211C">
        <w:rPr>
          <w:szCs w:val="20"/>
        </w:rPr>
        <w:t>patents</w:t>
      </w:r>
      <w:r w:rsidR="001B6105">
        <w:rPr>
          <w:szCs w:val="20"/>
        </w:rPr>
        <w:t xml:space="preserve"> </w:t>
      </w:r>
      <w:r w:rsidR="00253903">
        <w:rPr>
          <w:szCs w:val="20"/>
        </w:rPr>
        <w:t>require that the invention</w:t>
      </w:r>
      <w:r w:rsidR="0060211C">
        <w:rPr>
          <w:szCs w:val="20"/>
        </w:rPr>
        <w:t xml:space="preserve"> </w:t>
      </w:r>
      <w:r w:rsidR="00CA090B">
        <w:rPr>
          <w:szCs w:val="20"/>
        </w:rPr>
        <w:t xml:space="preserve">is a </w:t>
      </w:r>
      <w:r w:rsidR="00B21D19">
        <w:rPr>
          <w:szCs w:val="20"/>
        </w:rPr>
        <w:t>‘</w:t>
      </w:r>
      <w:r w:rsidR="00CA090B">
        <w:rPr>
          <w:szCs w:val="20"/>
        </w:rPr>
        <w:t>manner of manufacture</w:t>
      </w:r>
      <w:r w:rsidR="00B21D19">
        <w:rPr>
          <w:szCs w:val="20"/>
        </w:rPr>
        <w:t>’</w:t>
      </w:r>
      <w:r w:rsidR="00CA090B">
        <w:rPr>
          <w:szCs w:val="20"/>
        </w:rPr>
        <w:t xml:space="preserve"> within the meaning of section 6 of the </w:t>
      </w:r>
      <w:r w:rsidR="00CA090B">
        <w:rPr>
          <w:i/>
          <w:iCs/>
          <w:szCs w:val="20"/>
        </w:rPr>
        <w:t>Statute of Monopolies</w:t>
      </w:r>
      <w:r w:rsidR="009642BB">
        <w:rPr>
          <w:i/>
          <w:iCs/>
          <w:szCs w:val="20"/>
        </w:rPr>
        <w:t xml:space="preserve"> </w:t>
      </w:r>
      <w:r w:rsidR="009642BB">
        <w:rPr>
          <w:szCs w:val="20"/>
        </w:rPr>
        <w:t>enacted in England in 1623.</w:t>
      </w:r>
      <w:r w:rsidR="0060761A">
        <w:rPr>
          <w:szCs w:val="20"/>
        </w:rPr>
        <w:t xml:space="preserve"> So, what </w:t>
      </w:r>
      <w:r w:rsidR="00A468D1">
        <w:rPr>
          <w:szCs w:val="20"/>
        </w:rPr>
        <w:t xml:space="preserve">is a </w:t>
      </w:r>
      <w:r w:rsidR="00F93AAB">
        <w:rPr>
          <w:szCs w:val="20"/>
        </w:rPr>
        <w:t>‘</w:t>
      </w:r>
      <w:r w:rsidR="00A468D1">
        <w:rPr>
          <w:szCs w:val="20"/>
        </w:rPr>
        <w:t>manner of manufacture</w:t>
      </w:r>
      <w:r w:rsidR="00F93AAB">
        <w:rPr>
          <w:szCs w:val="20"/>
        </w:rPr>
        <w:t>’</w:t>
      </w:r>
      <w:r w:rsidR="00462B32">
        <w:rPr>
          <w:szCs w:val="20"/>
        </w:rPr>
        <w:t xml:space="preserve"> </w:t>
      </w:r>
      <w:r w:rsidR="00E124DD">
        <w:rPr>
          <w:szCs w:val="20"/>
        </w:rPr>
        <w:t xml:space="preserve">that is appropriate for </w:t>
      </w:r>
      <w:r w:rsidR="00CE0694">
        <w:rPr>
          <w:szCs w:val="20"/>
        </w:rPr>
        <w:t xml:space="preserve">patent protection? </w:t>
      </w:r>
      <w:r w:rsidR="00F93AAB">
        <w:rPr>
          <w:szCs w:val="20"/>
        </w:rPr>
        <w:t xml:space="preserve"> </w:t>
      </w:r>
      <w:r w:rsidR="00A468D1">
        <w:rPr>
          <w:szCs w:val="20"/>
        </w:rPr>
        <w:t xml:space="preserve"> </w:t>
      </w:r>
      <w:r w:rsidR="009642BB">
        <w:rPr>
          <w:szCs w:val="20"/>
        </w:rPr>
        <w:t xml:space="preserve"> </w:t>
      </w:r>
      <w:r w:rsidR="00CA090B">
        <w:rPr>
          <w:i/>
          <w:iCs/>
          <w:szCs w:val="20"/>
        </w:rPr>
        <w:t xml:space="preserve"> </w:t>
      </w:r>
      <w:r w:rsidR="00253903">
        <w:rPr>
          <w:szCs w:val="20"/>
        </w:rPr>
        <w:t xml:space="preserve"> </w:t>
      </w:r>
    </w:p>
    <w:p w14:paraId="3FEFD566" w14:textId="1ECFC72A" w:rsidR="00727015" w:rsidRDefault="00A55E25" w:rsidP="002B5F46">
      <w:pPr>
        <w:rPr>
          <w:rFonts w:cs="Arial"/>
          <w:color w:val="000000"/>
          <w:spacing w:val="2"/>
          <w:szCs w:val="20"/>
        </w:rPr>
      </w:pPr>
      <w:r>
        <w:rPr>
          <w:szCs w:val="20"/>
        </w:rPr>
        <w:t xml:space="preserve">The meaning of </w:t>
      </w:r>
      <w:r w:rsidR="003055EC" w:rsidRPr="00811822">
        <w:rPr>
          <w:szCs w:val="20"/>
        </w:rPr>
        <w:t>manner of manufacture</w:t>
      </w:r>
      <w:r w:rsidR="003055EC" w:rsidRPr="008E5C92">
        <w:rPr>
          <w:szCs w:val="20"/>
        </w:rPr>
        <w:t xml:space="preserve"> </w:t>
      </w:r>
      <w:r w:rsidR="003055EC">
        <w:rPr>
          <w:szCs w:val="20"/>
        </w:rPr>
        <w:t>was</w:t>
      </w:r>
      <w:r w:rsidR="003055EC" w:rsidRPr="008E5C92">
        <w:rPr>
          <w:szCs w:val="20"/>
        </w:rPr>
        <w:t xml:space="preserve"> </w:t>
      </w:r>
      <w:r w:rsidR="003055EC">
        <w:rPr>
          <w:szCs w:val="20"/>
        </w:rPr>
        <w:t>first explained</w:t>
      </w:r>
      <w:r w:rsidR="003055EC" w:rsidRPr="008E5C92">
        <w:rPr>
          <w:szCs w:val="20"/>
        </w:rPr>
        <w:t xml:space="preserve"> in the decision of </w:t>
      </w:r>
      <w:r w:rsidR="003055EC" w:rsidRPr="008E5C92">
        <w:rPr>
          <w:i/>
          <w:iCs/>
          <w:szCs w:val="20"/>
        </w:rPr>
        <w:t xml:space="preserve">National Research Development Corporation v Commissioner </w:t>
      </w:r>
      <w:r w:rsidR="003055EC" w:rsidRPr="008E5C92">
        <w:rPr>
          <w:rFonts w:cs="Arial"/>
          <w:i/>
          <w:iCs/>
          <w:szCs w:val="20"/>
        </w:rPr>
        <w:t>of Patents (NRDC)</w:t>
      </w:r>
      <w:r w:rsidR="003055EC">
        <w:rPr>
          <w:rFonts w:cs="Arial"/>
          <w:i/>
          <w:iCs/>
          <w:szCs w:val="20"/>
        </w:rPr>
        <w:t>,</w:t>
      </w:r>
      <w:r w:rsidR="003055EC" w:rsidRPr="008E5C92">
        <w:rPr>
          <w:rStyle w:val="FootnoteReference"/>
          <w:rFonts w:cs="Arial"/>
          <w:szCs w:val="20"/>
        </w:rPr>
        <w:footnoteReference w:id="97"/>
      </w:r>
      <w:r w:rsidR="003055EC">
        <w:rPr>
          <w:rFonts w:cs="Arial"/>
          <w:i/>
          <w:iCs/>
          <w:szCs w:val="20"/>
        </w:rPr>
        <w:t xml:space="preserve"> </w:t>
      </w:r>
      <w:r w:rsidR="003055EC" w:rsidRPr="008E5C92">
        <w:t>a 1959 Australian case which upheld the validity of a patent for the use of previously unknown property of a known chemical to effect a new purpose</w:t>
      </w:r>
      <w:r w:rsidR="003055EC">
        <w:t>. This case</w:t>
      </w:r>
      <w:r w:rsidR="00A46D71">
        <w:t>,</w:t>
      </w:r>
      <w:r w:rsidR="003055EC" w:rsidRPr="008E5C92">
        <w:rPr>
          <w:rFonts w:cs="Arial"/>
          <w:szCs w:val="20"/>
        </w:rPr>
        <w:t xml:space="preserve"> discussed by the Australian Law Reform Commission in </w:t>
      </w:r>
      <w:r w:rsidR="003055EC" w:rsidRPr="008E5C92">
        <w:rPr>
          <w:rFonts w:cs="Arial"/>
          <w:i/>
          <w:iCs/>
          <w:szCs w:val="20"/>
        </w:rPr>
        <w:t>Genes and Ingenuity</w:t>
      </w:r>
      <w:r w:rsidR="00221A07">
        <w:rPr>
          <w:rFonts w:cs="Arial"/>
          <w:szCs w:val="20"/>
        </w:rPr>
        <w:t>,</w:t>
      </w:r>
      <w:r w:rsidR="00BA5C3E">
        <w:rPr>
          <w:rFonts w:cs="Arial"/>
          <w:szCs w:val="20"/>
        </w:rPr>
        <w:t xml:space="preserve"> </w:t>
      </w:r>
      <w:r w:rsidR="004A35FA">
        <w:rPr>
          <w:rFonts w:cs="Arial"/>
          <w:szCs w:val="20"/>
        </w:rPr>
        <w:t xml:space="preserve">considered that </w:t>
      </w:r>
      <w:r w:rsidR="00760688">
        <w:rPr>
          <w:rFonts w:cs="Arial"/>
          <w:szCs w:val="20"/>
        </w:rPr>
        <w:t xml:space="preserve">the </w:t>
      </w:r>
      <w:r w:rsidR="00EE36CD">
        <w:rPr>
          <w:rFonts w:cs="Arial"/>
          <w:szCs w:val="20"/>
        </w:rPr>
        <w:t xml:space="preserve">manner of </w:t>
      </w:r>
      <w:r w:rsidR="00806976">
        <w:rPr>
          <w:rFonts w:cs="Arial"/>
          <w:szCs w:val="20"/>
        </w:rPr>
        <w:t xml:space="preserve">manufacture </w:t>
      </w:r>
      <w:r w:rsidR="003055EC">
        <w:rPr>
          <w:rFonts w:cs="Arial"/>
          <w:szCs w:val="20"/>
        </w:rPr>
        <w:t>“</w:t>
      </w:r>
      <w:r w:rsidR="003055EC" w:rsidRPr="008E5C92">
        <w:rPr>
          <w:rFonts w:cs="Arial"/>
          <w:color w:val="000000"/>
          <w:spacing w:val="2"/>
          <w:szCs w:val="20"/>
        </w:rPr>
        <w:t>must belong to the ‘useful arts’ rather than the ‘fine arts’; it must provide a material advantage; and its value to the country must be in the field of economic endeavour”.</w:t>
      </w:r>
      <w:r w:rsidR="003055EC" w:rsidRPr="008E5C92">
        <w:rPr>
          <w:rStyle w:val="FootnoteReference"/>
          <w:rFonts w:cs="Arial"/>
          <w:color w:val="000000"/>
          <w:spacing w:val="2"/>
          <w:szCs w:val="20"/>
        </w:rPr>
        <w:footnoteReference w:id="98"/>
      </w:r>
      <w:r w:rsidR="003055EC">
        <w:rPr>
          <w:rFonts w:cs="Arial"/>
          <w:color w:val="000000"/>
          <w:spacing w:val="2"/>
          <w:szCs w:val="20"/>
        </w:rPr>
        <w:t xml:space="preserve"> </w:t>
      </w:r>
    </w:p>
    <w:p w14:paraId="52FF024D" w14:textId="77777777" w:rsidR="00184ED3" w:rsidRDefault="003055EC" w:rsidP="002B5F46">
      <w:pPr>
        <w:rPr>
          <w:rFonts w:cs="Arial"/>
          <w:color w:val="000000"/>
          <w:spacing w:val="2"/>
          <w:szCs w:val="20"/>
        </w:rPr>
      </w:pPr>
      <w:r>
        <w:rPr>
          <w:rFonts w:cs="Arial"/>
          <w:color w:val="000000"/>
          <w:spacing w:val="2"/>
          <w:szCs w:val="20"/>
        </w:rPr>
        <w:t>For patents related to</w:t>
      </w:r>
      <w:r w:rsidRPr="008E5C92">
        <w:rPr>
          <w:rFonts w:cs="Arial"/>
          <w:color w:val="000000"/>
          <w:spacing w:val="2"/>
          <w:szCs w:val="20"/>
        </w:rPr>
        <w:t xml:space="preserve"> cosmetic processes or changes to the appearance of the human body, </w:t>
      </w:r>
      <w:r>
        <w:rPr>
          <w:rFonts w:cs="Arial"/>
          <w:color w:val="000000"/>
          <w:spacing w:val="2"/>
          <w:szCs w:val="20"/>
        </w:rPr>
        <w:t>they</w:t>
      </w:r>
      <w:r w:rsidRPr="008E5C92">
        <w:rPr>
          <w:rFonts w:cs="Arial"/>
          <w:color w:val="000000"/>
          <w:spacing w:val="2"/>
          <w:szCs w:val="20"/>
        </w:rPr>
        <w:t xml:space="preserve"> will be allowed </w:t>
      </w:r>
      <w:r>
        <w:rPr>
          <w:rFonts w:cs="Arial"/>
          <w:color w:val="000000"/>
          <w:spacing w:val="2"/>
          <w:szCs w:val="20"/>
        </w:rPr>
        <w:t>if they h</w:t>
      </w:r>
      <w:r w:rsidRPr="008E5C92">
        <w:rPr>
          <w:rFonts w:cs="Arial"/>
          <w:color w:val="000000"/>
          <w:spacing w:val="2"/>
          <w:szCs w:val="20"/>
        </w:rPr>
        <w:t xml:space="preserve">ave a commercial application and satisfy the proper subject matter, for example a particular composition </w:t>
      </w:r>
      <w:r>
        <w:rPr>
          <w:rFonts w:cs="Arial"/>
          <w:color w:val="000000"/>
          <w:spacing w:val="2"/>
          <w:szCs w:val="20"/>
        </w:rPr>
        <w:t>in a process</w:t>
      </w:r>
      <w:r w:rsidRPr="008E5C92">
        <w:rPr>
          <w:rFonts w:cs="Arial"/>
          <w:color w:val="000000"/>
          <w:spacing w:val="2"/>
          <w:szCs w:val="20"/>
        </w:rPr>
        <w:t xml:space="preserve"> for improving the strength and elasticity of keratinous materials such as hair and nails.</w:t>
      </w:r>
      <w:r w:rsidRPr="008E5C92">
        <w:rPr>
          <w:rStyle w:val="FootnoteReference"/>
          <w:rFonts w:cs="Arial"/>
          <w:color w:val="000000"/>
          <w:spacing w:val="2"/>
          <w:szCs w:val="20"/>
        </w:rPr>
        <w:footnoteReference w:id="99"/>
      </w:r>
      <w:r w:rsidR="0082024A">
        <w:rPr>
          <w:rFonts w:cs="Arial"/>
          <w:color w:val="000000"/>
          <w:spacing w:val="2"/>
          <w:szCs w:val="20"/>
        </w:rPr>
        <w:t xml:space="preserve"> </w:t>
      </w:r>
    </w:p>
    <w:p w14:paraId="7DE4A531" w14:textId="42CA18A2" w:rsidR="003055EC" w:rsidRDefault="00B55D26" w:rsidP="002B5F46">
      <w:pPr>
        <w:rPr>
          <w:rFonts w:cs="Arial"/>
          <w:color w:val="000000"/>
          <w:spacing w:val="2"/>
        </w:rPr>
      </w:pPr>
      <w:r>
        <w:t>I</w:t>
      </w:r>
      <w:r w:rsidR="0082024A">
        <w:t xml:space="preserve">n </w:t>
      </w:r>
      <w:r w:rsidR="0082024A">
        <w:rPr>
          <w:i/>
          <w:iCs/>
        </w:rPr>
        <w:t xml:space="preserve">Anaesethetic Supply Pty Ltd v Rescare Ltd </w:t>
      </w:r>
      <w:r>
        <w:t xml:space="preserve">the Federal Court </w:t>
      </w:r>
      <w:r w:rsidR="0082024A">
        <w:t>considered whether a method of medical treatment constitutes a ‘manner of manufacture’, and if so, should</w:t>
      </w:r>
      <w:r w:rsidR="00D8236D">
        <w:t xml:space="preserve"> it otherwise be </w:t>
      </w:r>
      <w:r w:rsidR="0082024A">
        <w:t xml:space="preserve">excluded as </w:t>
      </w:r>
      <w:r w:rsidR="0082024A" w:rsidRPr="001A2F3A">
        <w:rPr>
          <w:rFonts w:cs="Arial"/>
          <w:color w:val="000000"/>
          <w:spacing w:val="2"/>
        </w:rPr>
        <w:t xml:space="preserve">‘generally inconvenient’ </w:t>
      </w:r>
      <w:r w:rsidR="00C150A9">
        <w:rPr>
          <w:rFonts w:cs="Arial"/>
          <w:color w:val="000000"/>
          <w:spacing w:val="2"/>
        </w:rPr>
        <w:t>to patent</w:t>
      </w:r>
      <w:r w:rsidR="0082024A" w:rsidRPr="001A2F3A">
        <w:rPr>
          <w:rFonts w:cs="Arial"/>
          <w:color w:val="000000"/>
          <w:spacing w:val="2"/>
        </w:rPr>
        <w:t>.</w:t>
      </w:r>
      <w:r w:rsidR="0082024A" w:rsidRPr="001A2F3A">
        <w:rPr>
          <w:rStyle w:val="FootnoteReference"/>
          <w:rFonts w:cs="Arial"/>
          <w:color w:val="000000"/>
          <w:spacing w:val="2"/>
        </w:rPr>
        <w:footnoteReference w:id="100"/>
      </w:r>
      <w:r w:rsidR="0082024A">
        <w:rPr>
          <w:rFonts w:cs="Arial"/>
          <w:color w:val="000000"/>
          <w:spacing w:val="2"/>
        </w:rPr>
        <w:t xml:space="preserve"> </w:t>
      </w:r>
      <w:r w:rsidR="004C39CB">
        <w:rPr>
          <w:rFonts w:cs="Arial"/>
          <w:color w:val="000000"/>
          <w:spacing w:val="2"/>
        </w:rPr>
        <w:t xml:space="preserve">The </w:t>
      </w:r>
      <w:r w:rsidR="004C39CB" w:rsidRPr="008E5C92">
        <w:rPr>
          <w:rFonts w:cs="Arial"/>
          <w:szCs w:val="20"/>
        </w:rPr>
        <w:t xml:space="preserve">Australian Law Reform Commission in </w:t>
      </w:r>
      <w:r w:rsidR="004C39CB" w:rsidRPr="008E5C92">
        <w:rPr>
          <w:rFonts w:cs="Arial"/>
          <w:i/>
          <w:iCs/>
          <w:szCs w:val="20"/>
        </w:rPr>
        <w:t>Genes and Ingenuity</w:t>
      </w:r>
      <w:r w:rsidR="004C39CB" w:rsidRPr="008E5C92">
        <w:rPr>
          <w:rFonts w:cs="Arial"/>
          <w:szCs w:val="20"/>
        </w:rPr>
        <w:t xml:space="preserve"> </w:t>
      </w:r>
      <w:r w:rsidR="00AF0D7B">
        <w:rPr>
          <w:rFonts w:cs="Arial"/>
          <w:szCs w:val="20"/>
        </w:rPr>
        <w:t>summarise</w:t>
      </w:r>
      <w:r w:rsidR="0079621B">
        <w:rPr>
          <w:rFonts w:cs="Arial"/>
          <w:szCs w:val="20"/>
        </w:rPr>
        <w:t xml:space="preserve"> </w:t>
      </w:r>
      <w:r w:rsidR="0082024A">
        <w:rPr>
          <w:rFonts w:cs="Arial"/>
          <w:color w:val="000000"/>
          <w:spacing w:val="2"/>
        </w:rPr>
        <w:t>Lockhart J</w:t>
      </w:r>
      <w:r w:rsidR="00F15A03">
        <w:rPr>
          <w:rFonts w:cs="Arial"/>
          <w:color w:val="000000"/>
          <w:spacing w:val="2"/>
        </w:rPr>
        <w:t>’s</w:t>
      </w:r>
      <w:r w:rsidR="006C7B7C">
        <w:rPr>
          <w:rFonts w:cs="Arial"/>
          <w:color w:val="000000"/>
          <w:spacing w:val="2"/>
        </w:rPr>
        <w:t xml:space="preserve"> view that </w:t>
      </w:r>
      <w:r w:rsidR="0082024A">
        <w:rPr>
          <w:rFonts w:cs="Arial"/>
          <w:color w:val="000000"/>
          <w:spacing w:val="2"/>
        </w:rPr>
        <w:t>there is “</w:t>
      </w:r>
      <w:r w:rsidR="0082024A" w:rsidRPr="00C96BCD">
        <w:rPr>
          <w:rFonts w:cs="Arial"/>
          <w:color w:val="000000"/>
          <w:spacing w:val="2"/>
        </w:rPr>
        <w:t>no reason in principle why a method of medical treatment should not be considered to be a manner of manufacture and thus patentable”.</w:t>
      </w:r>
      <w:r w:rsidR="0082024A" w:rsidRPr="00C96BCD">
        <w:rPr>
          <w:rStyle w:val="FootnoteReference"/>
          <w:rFonts w:cs="Arial"/>
          <w:color w:val="000000"/>
          <w:spacing w:val="2"/>
        </w:rPr>
        <w:footnoteReference w:id="101"/>
      </w:r>
      <w:r w:rsidR="0082024A" w:rsidRPr="00C96BCD">
        <w:rPr>
          <w:rFonts w:cs="Arial"/>
          <w:color w:val="000000"/>
          <w:spacing w:val="2"/>
        </w:rPr>
        <w:t xml:space="preserve"> </w:t>
      </w:r>
      <w:r w:rsidR="0079621B" w:rsidRPr="00C96BCD">
        <w:rPr>
          <w:rFonts w:cs="Arial"/>
          <w:color w:val="000000"/>
          <w:spacing w:val="2"/>
        </w:rPr>
        <w:t>As such, methods of medical treatment are considered a ‘manner of manufacture’.</w:t>
      </w:r>
    </w:p>
    <w:p w14:paraId="37286C81" w14:textId="61BEE244" w:rsidR="008B40FC" w:rsidRPr="00AF0D7B" w:rsidRDefault="00573D7B" w:rsidP="002B5F46">
      <w:pPr>
        <w:pStyle w:val="Heading4"/>
      </w:pPr>
      <w:r>
        <w:t xml:space="preserve">Patenting biological materials </w:t>
      </w:r>
    </w:p>
    <w:p w14:paraId="3D8FDAA7" w14:textId="0F7268E9" w:rsidR="00942707" w:rsidRDefault="003055EC" w:rsidP="002B5F46">
      <w:pPr>
        <w:rPr>
          <w:szCs w:val="20"/>
        </w:rPr>
      </w:pPr>
      <w:r w:rsidRPr="008E5C92">
        <w:rPr>
          <w:rFonts w:cs="Arial"/>
          <w:szCs w:val="20"/>
        </w:rPr>
        <w:t>Patents of biological materials however have controversially been allowed since</w:t>
      </w:r>
      <w:r w:rsidRPr="008E5C92">
        <w:rPr>
          <w:szCs w:val="20"/>
        </w:rPr>
        <w:t xml:space="preserve"> the 1980 US Case of </w:t>
      </w:r>
      <w:r w:rsidRPr="008E5C92">
        <w:rPr>
          <w:i/>
          <w:iCs/>
          <w:szCs w:val="20"/>
        </w:rPr>
        <w:t>Diamond v Chakrabatry</w:t>
      </w:r>
      <w:r w:rsidRPr="008E5C92">
        <w:rPr>
          <w:szCs w:val="20"/>
        </w:rPr>
        <w:t>.</w:t>
      </w:r>
      <w:r w:rsidRPr="008E5C92">
        <w:rPr>
          <w:rStyle w:val="FootnoteReference"/>
          <w:szCs w:val="20"/>
        </w:rPr>
        <w:footnoteReference w:id="102"/>
      </w:r>
      <w:r w:rsidRPr="008E5C92">
        <w:rPr>
          <w:szCs w:val="20"/>
        </w:rPr>
        <w:t xml:space="preserve"> Australia followed the ruling in </w:t>
      </w:r>
      <w:r w:rsidRPr="008E5C92">
        <w:rPr>
          <w:i/>
          <w:iCs/>
          <w:szCs w:val="20"/>
        </w:rPr>
        <w:t>Diamond v Chakbraty</w:t>
      </w:r>
      <w:r w:rsidRPr="008E5C92">
        <w:rPr>
          <w:szCs w:val="20"/>
        </w:rPr>
        <w:t xml:space="preserve"> in the case of </w:t>
      </w:r>
      <w:r w:rsidRPr="008E5C92">
        <w:rPr>
          <w:i/>
          <w:iCs/>
          <w:szCs w:val="20"/>
        </w:rPr>
        <w:t>Grain Pool of Western Australia v Commonwealth of Australia</w:t>
      </w:r>
      <w:r w:rsidRPr="008E5C92">
        <w:rPr>
          <w:szCs w:val="20"/>
        </w:rPr>
        <w:t>.</w:t>
      </w:r>
      <w:r w:rsidRPr="008E5C92">
        <w:rPr>
          <w:rStyle w:val="FootnoteReference"/>
          <w:szCs w:val="20"/>
        </w:rPr>
        <w:footnoteReference w:id="103"/>
      </w:r>
      <w:r w:rsidRPr="008E5C92">
        <w:rPr>
          <w:szCs w:val="20"/>
        </w:rPr>
        <w:t xml:space="preserve"> This case involved the patenting of bacteria, not human genetic material, but it opened up the pathway to patent living things that were inventions rather than just products of nature. </w:t>
      </w:r>
    </w:p>
    <w:p w14:paraId="1AB04BC2" w14:textId="7F60BF17" w:rsidR="00F75CC5" w:rsidRPr="002B5F46" w:rsidRDefault="003055EC" w:rsidP="002B5F46">
      <w:pPr>
        <w:rPr>
          <w:color w:val="000000" w:themeColor="text1"/>
          <w:szCs w:val="20"/>
        </w:rPr>
      </w:pPr>
      <w:r w:rsidRPr="002B5F46">
        <w:rPr>
          <w:color w:val="000000" w:themeColor="text1"/>
          <w:szCs w:val="20"/>
        </w:rPr>
        <w:t xml:space="preserve">Moving towards human genetic information, in 2015 the High Court in </w:t>
      </w:r>
      <w:r w:rsidRPr="002B5F46">
        <w:rPr>
          <w:i/>
          <w:iCs/>
          <w:color w:val="000000" w:themeColor="text1"/>
          <w:szCs w:val="20"/>
        </w:rPr>
        <w:t xml:space="preserve">D’Arcy v Myriad Genetics </w:t>
      </w:r>
      <w:r w:rsidRPr="002B5F46">
        <w:rPr>
          <w:color w:val="000000" w:themeColor="text1"/>
          <w:szCs w:val="20"/>
        </w:rPr>
        <w:t xml:space="preserve">handed down a landmark 7-0 judgement that determined patents which sought to </w:t>
      </w:r>
      <w:r w:rsidRPr="002B5F46">
        <w:rPr>
          <w:color w:val="000000" w:themeColor="text1"/>
          <w:szCs w:val="20"/>
        </w:rPr>
        <w:lastRenderedPageBreak/>
        <w:t>claim naturally occurring nucleotides, whether or not the isolate contain</w:t>
      </w:r>
      <w:r w:rsidR="00C14593" w:rsidRPr="002B5F46">
        <w:rPr>
          <w:color w:val="000000" w:themeColor="text1"/>
          <w:szCs w:val="20"/>
        </w:rPr>
        <w:t>ed</w:t>
      </w:r>
      <w:r w:rsidRPr="002B5F46">
        <w:rPr>
          <w:color w:val="000000" w:themeColor="text1"/>
          <w:szCs w:val="20"/>
        </w:rPr>
        <w:t xml:space="preserve"> other components and sequences, was not subject to patentability.</w:t>
      </w:r>
      <w:r w:rsidRPr="002B5F46">
        <w:rPr>
          <w:rStyle w:val="FootnoteReference"/>
          <w:color w:val="000000" w:themeColor="text1"/>
          <w:szCs w:val="20"/>
        </w:rPr>
        <w:footnoteReference w:id="104"/>
      </w:r>
    </w:p>
    <w:p w14:paraId="39F82663" w14:textId="332F6F0A" w:rsidR="00856C9B" w:rsidRPr="000D458E" w:rsidRDefault="00856C9B" w:rsidP="002B5F46">
      <w:pPr>
        <w:rPr>
          <w:szCs w:val="20"/>
        </w:rPr>
      </w:pPr>
      <w:r w:rsidRPr="000D458E">
        <w:rPr>
          <w:szCs w:val="20"/>
        </w:rPr>
        <w:t>The monopoly created by patents allow</w:t>
      </w:r>
      <w:r w:rsidR="00260C1D">
        <w:rPr>
          <w:szCs w:val="20"/>
        </w:rPr>
        <w:t xml:space="preserve">s </w:t>
      </w:r>
      <w:r w:rsidR="00442844">
        <w:rPr>
          <w:szCs w:val="20"/>
        </w:rPr>
        <w:t xml:space="preserve">companies to receive returns on their investment. </w:t>
      </w:r>
      <w:r w:rsidR="00F02900">
        <w:rPr>
          <w:szCs w:val="20"/>
        </w:rPr>
        <w:t xml:space="preserve">However, there is a </w:t>
      </w:r>
      <w:r w:rsidR="002F6AD5">
        <w:rPr>
          <w:szCs w:val="20"/>
        </w:rPr>
        <w:t xml:space="preserve">distinction between </w:t>
      </w:r>
      <w:r w:rsidR="002D5FC2">
        <w:rPr>
          <w:szCs w:val="20"/>
        </w:rPr>
        <w:t xml:space="preserve">inventions that are </w:t>
      </w:r>
      <w:r w:rsidRPr="000D458E">
        <w:rPr>
          <w:szCs w:val="20"/>
        </w:rPr>
        <w:t>created, and naturally occurring</w:t>
      </w:r>
      <w:r w:rsidR="00207A98">
        <w:rPr>
          <w:szCs w:val="20"/>
        </w:rPr>
        <w:t xml:space="preserve"> products</w:t>
      </w:r>
      <w:r w:rsidRPr="000D458E">
        <w:rPr>
          <w:szCs w:val="20"/>
        </w:rPr>
        <w:t>. Australia takes a strict approach when it comes to patentable biotechnology with human genomic information. Legislation states that human beings, and the biological processes for their generation are not patentable inventions.</w:t>
      </w:r>
      <w:r w:rsidRPr="000D458E">
        <w:rPr>
          <w:rStyle w:val="FootnoteReference"/>
          <w:szCs w:val="20"/>
        </w:rPr>
        <w:footnoteReference w:id="105"/>
      </w:r>
      <w:r w:rsidRPr="000D458E">
        <w:rPr>
          <w:szCs w:val="20"/>
        </w:rPr>
        <w:t xml:space="preserve"> </w:t>
      </w:r>
    </w:p>
    <w:p w14:paraId="552F23AA" w14:textId="77777777" w:rsidR="00856C9B" w:rsidRPr="00F67476" w:rsidRDefault="00856C9B">
      <w:pPr>
        <w:pStyle w:val="Heading3"/>
        <w:rPr>
          <w:lang w:val="en-AU"/>
        </w:rPr>
      </w:pPr>
      <w:bookmarkStart w:id="87" w:name="_Toc118824337"/>
      <w:r w:rsidRPr="00F67476">
        <w:rPr>
          <w:lang w:val="en-AU"/>
        </w:rPr>
        <w:t>Where does Australia stand with gene patenting?</w:t>
      </w:r>
      <w:bookmarkEnd w:id="87"/>
    </w:p>
    <w:p w14:paraId="04B1AA5B" w14:textId="2E01D0F1" w:rsidR="00A677BC" w:rsidRDefault="00415A55" w:rsidP="002B5F46">
      <w:pPr>
        <w:rPr>
          <w:szCs w:val="20"/>
        </w:rPr>
      </w:pPr>
      <w:r>
        <w:rPr>
          <w:szCs w:val="20"/>
        </w:rPr>
        <w:t xml:space="preserve">IP Australia’s Patent Office Manual of Practice and Procedure states </w:t>
      </w:r>
      <w:r w:rsidR="004A19AE">
        <w:rPr>
          <w:szCs w:val="20"/>
        </w:rPr>
        <w:t xml:space="preserve">two key questions </w:t>
      </w:r>
      <w:r w:rsidR="0057582D">
        <w:rPr>
          <w:szCs w:val="20"/>
        </w:rPr>
        <w:t xml:space="preserve">to determine the patentability of claims </w:t>
      </w:r>
      <w:r w:rsidR="00A07086">
        <w:rPr>
          <w:szCs w:val="20"/>
        </w:rPr>
        <w:t>directed to nuc</w:t>
      </w:r>
      <w:r w:rsidR="00FD7C18">
        <w:rPr>
          <w:szCs w:val="20"/>
        </w:rPr>
        <w:t>leic acids or genetic information</w:t>
      </w:r>
      <w:r w:rsidR="000C2F76">
        <w:rPr>
          <w:szCs w:val="20"/>
        </w:rPr>
        <w:t xml:space="preserve">: </w:t>
      </w:r>
    </w:p>
    <w:p w14:paraId="633EBF05" w14:textId="7E2880BA" w:rsidR="000C2F76" w:rsidRPr="005359C1" w:rsidRDefault="0061487A" w:rsidP="00FF0989">
      <w:pPr>
        <w:pStyle w:val="ListNumber"/>
        <w:numPr>
          <w:ilvl w:val="0"/>
          <w:numId w:val="31"/>
        </w:numPr>
      </w:pPr>
      <w:r w:rsidRPr="00AD64DB">
        <w:t>Wh</w:t>
      </w:r>
      <w:r w:rsidRPr="005359C1">
        <w:t>at is the substance of the claim?</w:t>
      </w:r>
      <w:r w:rsidR="00832E1A" w:rsidRPr="005359C1">
        <w:t>; and</w:t>
      </w:r>
      <w:r w:rsidRPr="005359C1">
        <w:t xml:space="preserve"> </w:t>
      </w:r>
    </w:p>
    <w:p w14:paraId="7C0529F8" w14:textId="50FA04E4" w:rsidR="0061487A" w:rsidRPr="005359C1" w:rsidRDefault="00832E1A" w:rsidP="007E6C13">
      <w:pPr>
        <w:pStyle w:val="ListNumber"/>
      </w:pPr>
      <w:r w:rsidRPr="00E21624">
        <w:t xml:space="preserve">Is the substance of the claim </w:t>
      </w:r>
      <w:r w:rsidRPr="004256AD">
        <w:t>“made</w:t>
      </w:r>
      <w:r w:rsidRPr="00F038F6">
        <w:t>”?</w:t>
      </w:r>
      <w:r w:rsidR="005359C1">
        <w:rPr>
          <w:rStyle w:val="FootnoteReference"/>
          <w:szCs w:val="20"/>
        </w:rPr>
        <w:footnoteReference w:id="106"/>
      </w:r>
      <w:r w:rsidRPr="005359C1">
        <w:t xml:space="preserve"> </w:t>
      </w:r>
    </w:p>
    <w:p w14:paraId="5D28B617" w14:textId="09E3F06E" w:rsidR="003822A5" w:rsidRDefault="00856C9B" w:rsidP="002B5F46">
      <w:pPr>
        <w:rPr>
          <w:szCs w:val="20"/>
        </w:rPr>
      </w:pPr>
      <w:r w:rsidRPr="008E5C92">
        <w:rPr>
          <w:szCs w:val="20"/>
        </w:rPr>
        <w:t xml:space="preserve">The case </w:t>
      </w:r>
      <w:r w:rsidR="008E1272">
        <w:rPr>
          <w:szCs w:val="20"/>
        </w:rPr>
        <w:t xml:space="preserve">of </w:t>
      </w:r>
      <w:r w:rsidR="008E1272">
        <w:rPr>
          <w:i/>
          <w:iCs/>
          <w:szCs w:val="20"/>
        </w:rPr>
        <w:t xml:space="preserve">D’Arcy v Myriad </w:t>
      </w:r>
      <w:r w:rsidR="008E1272" w:rsidRPr="00975BDF">
        <w:rPr>
          <w:i/>
          <w:iCs/>
          <w:szCs w:val="20"/>
        </w:rPr>
        <w:t>Genetics</w:t>
      </w:r>
      <w:r w:rsidRPr="000D458E">
        <w:rPr>
          <w:szCs w:val="20"/>
        </w:rPr>
        <w:t xml:space="preserve"> concerned a patent claim by the respondents Myriad Genetics, who were successful in detecting and isolating the BRCA1 gene from its naturally occurring cellular environment</w:t>
      </w:r>
      <w:r w:rsidR="00A91BAC">
        <w:rPr>
          <w:szCs w:val="20"/>
        </w:rPr>
        <w:t>. Once isolated</w:t>
      </w:r>
      <w:r w:rsidR="00343467">
        <w:rPr>
          <w:szCs w:val="20"/>
        </w:rPr>
        <w:t xml:space="preserve">, the </w:t>
      </w:r>
      <w:r w:rsidR="00177BF9">
        <w:rPr>
          <w:szCs w:val="20"/>
        </w:rPr>
        <w:t xml:space="preserve">mutations and components of the gene could be studied, </w:t>
      </w:r>
      <w:r w:rsidR="0033277C">
        <w:rPr>
          <w:szCs w:val="20"/>
        </w:rPr>
        <w:t xml:space="preserve">to assist in the </w:t>
      </w:r>
      <w:r w:rsidR="00097759">
        <w:rPr>
          <w:szCs w:val="20"/>
        </w:rPr>
        <w:t>diagnosis of</w:t>
      </w:r>
      <w:r w:rsidR="001834AD">
        <w:rPr>
          <w:szCs w:val="20"/>
        </w:rPr>
        <w:t xml:space="preserve">, </w:t>
      </w:r>
      <w:r w:rsidRPr="000D458E">
        <w:rPr>
          <w:szCs w:val="20"/>
        </w:rPr>
        <w:t>and determine susceptibility to</w:t>
      </w:r>
      <w:r w:rsidR="001834AD">
        <w:rPr>
          <w:szCs w:val="20"/>
        </w:rPr>
        <w:t>,</w:t>
      </w:r>
      <w:r w:rsidRPr="000D458E">
        <w:rPr>
          <w:szCs w:val="20"/>
        </w:rPr>
        <w:t xml:space="preserve"> breast and ovarian cancer.</w:t>
      </w:r>
      <w:r w:rsidRPr="000D458E">
        <w:rPr>
          <w:rStyle w:val="FootnoteReference"/>
          <w:szCs w:val="20"/>
        </w:rPr>
        <w:footnoteReference w:id="107"/>
      </w:r>
      <w:r w:rsidRPr="000D458E">
        <w:rPr>
          <w:szCs w:val="20"/>
        </w:rPr>
        <w:t xml:space="preserve"> In this case, D’Arcy argued the genes involved naturally occurring nucleic acids that were merely isolated, and failed to meet the ‘manner of manufacture’ test required for an ‘invention’ in s 18(1)(a) of the </w:t>
      </w:r>
      <w:r w:rsidRPr="000D458E">
        <w:rPr>
          <w:i/>
          <w:iCs/>
          <w:szCs w:val="20"/>
        </w:rPr>
        <w:t xml:space="preserve">Patents Act </w:t>
      </w:r>
      <w:r w:rsidRPr="000D458E">
        <w:rPr>
          <w:szCs w:val="20"/>
        </w:rPr>
        <w:t>1900 (Cth). In their judgement, Gageler and Nettle</w:t>
      </w:r>
      <w:r w:rsidRPr="008E5C92">
        <w:rPr>
          <w:szCs w:val="20"/>
        </w:rPr>
        <w:t xml:space="preserve"> </w:t>
      </w:r>
      <w:r w:rsidR="007179BE">
        <w:rPr>
          <w:szCs w:val="20"/>
        </w:rPr>
        <w:t>JJ</w:t>
      </w:r>
      <w:r w:rsidRPr="000D458E">
        <w:rPr>
          <w:szCs w:val="20"/>
        </w:rPr>
        <w:t xml:space="preserve"> observed that Myriad</w:t>
      </w:r>
      <w:r w:rsidR="00582E7F">
        <w:rPr>
          <w:szCs w:val="20"/>
        </w:rPr>
        <w:t>’</w:t>
      </w:r>
      <w:r w:rsidRPr="000D458E">
        <w:rPr>
          <w:szCs w:val="20"/>
        </w:rPr>
        <w:t xml:space="preserve">s claim was a </w:t>
      </w:r>
    </w:p>
    <w:p w14:paraId="5A62FD67" w14:textId="67E445D2" w:rsidR="003822A5" w:rsidRPr="002B5F46" w:rsidRDefault="00856C9B" w:rsidP="007E6C13">
      <w:pPr>
        <w:pStyle w:val="Quote"/>
        <w:rPr>
          <w:szCs w:val="18"/>
        </w:rPr>
      </w:pPr>
      <w:r w:rsidRPr="002B5F46">
        <w:rPr>
          <w:szCs w:val="18"/>
        </w:rPr>
        <w:t xml:space="preserve">claim for a monopoly over such isolated </w:t>
      </w:r>
      <w:r w:rsidRPr="007E6C13">
        <w:t>fragments of naturally occurring DNA as comprise the BRCA1 gene as are found upon examination to contain the (naturally occurring) specified mutations and polymorphisms</w:t>
      </w:r>
      <w:r w:rsidRPr="002B5F46">
        <w:rPr>
          <w:szCs w:val="18"/>
        </w:rPr>
        <w:t>.</w:t>
      </w:r>
      <w:r w:rsidRPr="002B5F46">
        <w:rPr>
          <w:rStyle w:val="FootnoteReference"/>
          <w:szCs w:val="18"/>
        </w:rPr>
        <w:footnoteReference w:id="108"/>
      </w:r>
      <w:r w:rsidRPr="002B5F46">
        <w:rPr>
          <w:szCs w:val="18"/>
        </w:rPr>
        <w:t xml:space="preserve"> </w:t>
      </w:r>
    </w:p>
    <w:p w14:paraId="534D975C" w14:textId="3B5773EA" w:rsidR="00C754E8" w:rsidRDefault="00856C9B" w:rsidP="002B5F46">
      <w:pPr>
        <w:rPr>
          <w:szCs w:val="20"/>
        </w:rPr>
      </w:pPr>
      <w:r w:rsidRPr="000D458E">
        <w:rPr>
          <w:szCs w:val="20"/>
        </w:rPr>
        <w:t xml:space="preserve">Furthermore, </w:t>
      </w:r>
      <w:r w:rsidRPr="008E5C92">
        <w:rPr>
          <w:szCs w:val="20"/>
        </w:rPr>
        <w:t>Gordon</w:t>
      </w:r>
      <w:r w:rsidR="00D13470">
        <w:rPr>
          <w:szCs w:val="20"/>
        </w:rPr>
        <w:t xml:space="preserve"> J, in a lone judgement </w:t>
      </w:r>
      <w:r w:rsidRPr="000D458E">
        <w:rPr>
          <w:szCs w:val="20"/>
        </w:rPr>
        <w:t xml:space="preserve"> went further to state </w:t>
      </w:r>
    </w:p>
    <w:p w14:paraId="44F23E3B" w14:textId="09DC664C" w:rsidR="00FB7EDA" w:rsidRPr="002B5F46" w:rsidRDefault="00856C9B" w:rsidP="007E6C13">
      <w:pPr>
        <w:pStyle w:val="Quote"/>
      </w:pPr>
      <w:r w:rsidRPr="002B5F46">
        <w:t>…the question in this appeal is whether an isolated nucleic acid which has one or more specific mutations or polymorphisms in the BRCA1 gene is a proper subject for the grant of a patent under s 18(1)(a) of the Patents Act 1990 (Cth) ("the Act"). The answer is no.</w:t>
      </w:r>
      <w:r w:rsidRPr="002B5F46">
        <w:rPr>
          <w:rStyle w:val="FootnoteReference"/>
          <w:szCs w:val="18"/>
        </w:rPr>
        <w:footnoteReference w:id="109"/>
      </w:r>
      <w:r w:rsidRPr="002B5F46">
        <w:t xml:space="preserve"> </w:t>
      </w:r>
    </w:p>
    <w:p w14:paraId="0F2C4C43" w14:textId="14F7819A" w:rsidR="00856C9B" w:rsidRPr="000D458E" w:rsidRDefault="008E5775" w:rsidP="002B5F46">
      <w:pPr>
        <w:rPr>
          <w:szCs w:val="20"/>
        </w:rPr>
      </w:pPr>
      <w:r>
        <w:rPr>
          <w:szCs w:val="20"/>
        </w:rPr>
        <w:t xml:space="preserve">In </w:t>
      </w:r>
      <w:r w:rsidR="006342C3">
        <w:rPr>
          <w:szCs w:val="20"/>
        </w:rPr>
        <w:t xml:space="preserve">summary, </w:t>
      </w:r>
      <w:r w:rsidR="00856C9B">
        <w:rPr>
          <w:szCs w:val="20"/>
        </w:rPr>
        <w:t xml:space="preserve">the substance of the claim </w:t>
      </w:r>
      <w:r w:rsidR="00856C9B" w:rsidRPr="000D458E">
        <w:rPr>
          <w:szCs w:val="20"/>
        </w:rPr>
        <w:t>was isolated naturally occurring information that reproduce</w:t>
      </w:r>
      <w:r w:rsidR="00E73282">
        <w:rPr>
          <w:szCs w:val="20"/>
        </w:rPr>
        <w:t>d</w:t>
      </w:r>
      <w:r w:rsidR="00856C9B" w:rsidRPr="000D458E">
        <w:rPr>
          <w:szCs w:val="20"/>
        </w:rPr>
        <w:t xml:space="preserve"> genomic DNA</w:t>
      </w:r>
      <w:r w:rsidR="00B402EF">
        <w:rPr>
          <w:szCs w:val="20"/>
        </w:rPr>
        <w:t xml:space="preserve"> information</w:t>
      </w:r>
      <w:r w:rsidR="00A87EE3">
        <w:rPr>
          <w:szCs w:val="20"/>
        </w:rPr>
        <w:t>. A</w:t>
      </w:r>
      <w:r w:rsidR="006342C3">
        <w:rPr>
          <w:szCs w:val="20"/>
        </w:rPr>
        <w:t>s this is a reproduction and naturally occurring, it could</w:t>
      </w:r>
      <w:r w:rsidR="00856C9B" w:rsidRPr="000D458E">
        <w:rPr>
          <w:szCs w:val="20"/>
        </w:rPr>
        <w:t xml:space="preserve"> not </w:t>
      </w:r>
      <w:r w:rsidR="006342C3">
        <w:rPr>
          <w:szCs w:val="20"/>
        </w:rPr>
        <w:t xml:space="preserve">be </w:t>
      </w:r>
      <w:r w:rsidR="00856C9B" w:rsidRPr="000D458E">
        <w:rPr>
          <w:szCs w:val="20"/>
        </w:rPr>
        <w:t>“made”</w:t>
      </w:r>
      <w:r w:rsidR="00441E2E">
        <w:rPr>
          <w:szCs w:val="20"/>
        </w:rPr>
        <w:t xml:space="preserve"> and therefore could not be </w:t>
      </w:r>
      <w:r w:rsidR="009D4B07">
        <w:rPr>
          <w:szCs w:val="20"/>
        </w:rPr>
        <w:t>granted a patent</w:t>
      </w:r>
      <w:r w:rsidR="00856C9B" w:rsidRPr="000D458E">
        <w:rPr>
          <w:szCs w:val="20"/>
        </w:rPr>
        <w:t xml:space="preserve">. </w:t>
      </w:r>
    </w:p>
    <w:p w14:paraId="14592048" w14:textId="77777777" w:rsidR="00FA18D7" w:rsidRDefault="00852B7F" w:rsidP="002B5F46">
      <w:pPr>
        <w:rPr>
          <w:i/>
          <w:iCs/>
          <w:szCs w:val="20"/>
        </w:rPr>
      </w:pPr>
      <w:r w:rsidRPr="002B5F46">
        <w:rPr>
          <w:szCs w:val="20"/>
        </w:rPr>
        <w:lastRenderedPageBreak/>
        <w:t>The</w:t>
      </w:r>
      <w:r>
        <w:rPr>
          <w:i/>
          <w:iCs/>
          <w:szCs w:val="20"/>
        </w:rPr>
        <w:t xml:space="preserve"> </w:t>
      </w:r>
      <w:r w:rsidR="00856C9B" w:rsidRPr="000D458E">
        <w:rPr>
          <w:i/>
          <w:iCs/>
          <w:szCs w:val="20"/>
        </w:rPr>
        <w:t>Myriad</w:t>
      </w:r>
      <w:r w:rsidR="00856C9B" w:rsidRPr="000D458E">
        <w:rPr>
          <w:szCs w:val="20"/>
        </w:rPr>
        <w:t xml:space="preserve"> case focused predominantly on the concept of patents over genetic information, rather than gene patenting generally and did not make findings with respect to patents directed at methods of production or diagnosis.  However, if a claim is directed towards a method or process that makes use of a nucleic acid molecule, such as a method of diagnosis and its practical application, then the substance of the claim will be the process.</w:t>
      </w:r>
      <w:r w:rsidR="00856C9B" w:rsidRPr="000D458E">
        <w:rPr>
          <w:rStyle w:val="FootnoteReference"/>
          <w:szCs w:val="20"/>
        </w:rPr>
        <w:footnoteReference w:id="110"/>
      </w:r>
      <w:r w:rsidR="00856C9B" w:rsidRPr="000D458E">
        <w:rPr>
          <w:szCs w:val="20"/>
        </w:rPr>
        <w:t xml:space="preserve"> This was discussed in the case of </w:t>
      </w:r>
      <w:r w:rsidR="00856C9B" w:rsidRPr="000D458E">
        <w:rPr>
          <w:i/>
          <w:iCs/>
          <w:szCs w:val="20"/>
        </w:rPr>
        <w:t>Meat &amp; Livestock Australia Limited v Cargill, Inc</w:t>
      </w:r>
      <w:r w:rsidR="00856C9B" w:rsidRPr="000D458E">
        <w:rPr>
          <w:rStyle w:val="FootnoteReference"/>
          <w:szCs w:val="20"/>
        </w:rPr>
        <w:footnoteReference w:id="111"/>
      </w:r>
      <w:r w:rsidR="00856C9B" w:rsidRPr="000D458E">
        <w:rPr>
          <w:i/>
          <w:iCs/>
          <w:szCs w:val="20"/>
        </w:rPr>
        <w:t xml:space="preserve"> </w:t>
      </w:r>
      <w:r w:rsidR="00856C9B" w:rsidRPr="000D458E">
        <w:rPr>
          <w:szCs w:val="20"/>
        </w:rPr>
        <w:t xml:space="preserve">where the patent involved the identification of genetic markers that correlated with favourable traits in livestock, and their application. This case differed to </w:t>
      </w:r>
      <w:r w:rsidR="00856C9B" w:rsidRPr="000D458E">
        <w:rPr>
          <w:i/>
          <w:iCs/>
          <w:szCs w:val="20"/>
        </w:rPr>
        <w:t>Myriad</w:t>
      </w:r>
      <w:r w:rsidR="00856C9B" w:rsidRPr="000D458E">
        <w:rPr>
          <w:szCs w:val="20"/>
        </w:rPr>
        <w:t xml:space="preserve"> in that </w:t>
      </w:r>
      <w:r w:rsidR="00856C9B" w:rsidRPr="000D458E">
        <w:rPr>
          <w:i/>
          <w:iCs/>
          <w:szCs w:val="20"/>
        </w:rPr>
        <w:t xml:space="preserve">Myriad </w:t>
      </w:r>
    </w:p>
    <w:p w14:paraId="167C5A06" w14:textId="36E9CCE4" w:rsidR="00FA18D7" w:rsidRPr="002B5F46" w:rsidRDefault="00856C9B" w:rsidP="007E6C13">
      <w:pPr>
        <w:pStyle w:val="Quote"/>
        <w:rPr>
          <w:szCs w:val="18"/>
        </w:rPr>
      </w:pPr>
      <w:r w:rsidRPr="002B5F46">
        <w:rPr>
          <w:szCs w:val="18"/>
        </w:rPr>
        <w:t xml:space="preserve">centred on the patentability of claims </w:t>
      </w:r>
      <w:r w:rsidRPr="007E6C13">
        <w:t>defining isolated naturally occurring gene sequences per se rather than methods of using gene sequences</w:t>
      </w:r>
      <w:r w:rsidRPr="002B5F46">
        <w:rPr>
          <w:szCs w:val="18"/>
        </w:rPr>
        <w:t>.</w:t>
      </w:r>
      <w:r w:rsidRPr="002B5F46">
        <w:rPr>
          <w:rStyle w:val="FootnoteReference"/>
          <w:szCs w:val="18"/>
        </w:rPr>
        <w:footnoteReference w:id="112"/>
      </w:r>
      <w:r w:rsidRPr="002B5F46">
        <w:rPr>
          <w:szCs w:val="18"/>
        </w:rPr>
        <w:t xml:space="preserve"> </w:t>
      </w:r>
    </w:p>
    <w:p w14:paraId="31766A3A" w14:textId="3A3821FA" w:rsidR="00856C9B" w:rsidRPr="000D458E" w:rsidRDefault="00856C9B" w:rsidP="002B5F46">
      <w:pPr>
        <w:rPr>
          <w:szCs w:val="20"/>
        </w:rPr>
      </w:pPr>
      <w:r w:rsidRPr="000D458E">
        <w:rPr>
          <w:szCs w:val="20"/>
        </w:rPr>
        <w:t>In determining if the substance of the claim has been “made”, examiners will compare the state of affairs prior to and after the application of the invention.</w:t>
      </w:r>
      <w:r w:rsidRPr="000D458E">
        <w:rPr>
          <w:rStyle w:val="FootnoteReference"/>
          <w:szCs w:val="20"/>
        </w:rPr>
        <w:footnoteReference w:id="113"/>
      </w:r>
      <w:r w:rsidRPr="000D458E">
        <w:rPr>
          <w:szCs w:val="20"/>
        </w:rPr>
        <w:t xml:space="preserve"> In the case of </w:t>
      </w:r>
      <w:r w:rsidRPr="000D458E">
        <w:rPr>
          <w:i/>
          <w:iCs/>
          <w:szCs w:val="20"/>
        </w:rPr>
        <w:t xml:space="preserve">Myriad, </w:t>
      </w:r>
      <w:r w:rsidRPr="000D458E">
        <w:rPr>
          <w:szCs w:val="20"/>
        </w:rPr>
        <w:t>because the application was for isolate nucleic acid that was the same as it was in the natural DNA, nothing was “made”. Therefore “acts of isolation, purification or synthesis are not enough to confer patentability”.</w:t>
      </w:r>
      <w:r w:rsidRPr="000D458E">
        <w:rPr>
          <w:rStyle w:val="FootnoteReference"/>
          <w:szCs w:val="20"/>
        </w:rPr>
        <w:footnoteReference w:id="114"/>
      </w:r>
      <w:r w:rsidR="00AB0968">
        <w:rPr>
          <w:szCs w:val="20"/>
        </w:rPr>
        <w:t xml:space="preserve"> This leaves open claims for diagnostic methods and </w:t>
      </w:r>
      <w:r w:rsidR="0091247F">
        <w:rPr>
          <w:szCs w:val="20"/>
        </w:rPr>
        <w:t>processes.</w:t>
      </w:r>
    </w:p>
    <w:p w14:paraId="26D5FC47" w14:textId="77777777" w:rsidR="00856C9B" w:rsidRPr="00F67476" w:rsidRDefault="00856C9B" w:rsidP="002B5F46">
      <w:pPr>
        <w:pStyle w:val="Heading3"/>
      </w:pPr>
      <w:bookmarkStart w:id="88" w:name="_Toc118824338"/>
      <w:r w:rsidRPr="00F67476">
        <w:rPr>
          <w:lang w:val="en-AU"/>
        </w:rPr>
        <w:t>Patents over diagnostic methods</w:t>
      </w:r>
      <w:bookmarkEnd w:id="88"/>
    </w:p>
    <w:p w14:paraId="1B57E47F" w14:textId="77777777" w:rsidR="00D302E6" w:rsidRDefault="00856C9B" w:rsidP="002B5F46">
      <w:pPr>
        <w:rPr>
          <w:rFonts w:cs="Arial"/>
          <w:shd w:val="clear" w:color="auto" w:fill="FFFFFF"/>
        </w:rPr>
      </w:pPr>
      <w:r w:rsidRPr="000D458E">
        <w:rPr>
          <w:szCs w:val="20"/>
        </w:rPr>
        <w:t xml:space="preserve">The Federal Court of Australia has recently handed down a decision in </w:t>
      </w:r>
      <w:r w:rsidRPr="000D458E">
        <w:rPr>
          <w:rStyle w:val="EndnoteTextChar"/>
          <w:rFonts w:cs="Arial"/>
          <w:shd w:val="clear" w:color="auto" w:fill="FFFFFF"/>
        </w:rPr>
        <w:t>Sequenom, Inc. v Ariosa Diagnostics, Inc</w:t>
      </w:r>
      <w:r w:rsidRPr="000D458E">
        <w:rPr>
          <w:rFonts w:cs="Arial"/>
          <w:szCs w:val="20"/>
          <w:shd w:val="clear" w:color="auto" w:fill="FFFFFF"/>
        </w:rPr>
        <w:t>. [2019] FCA 1011 that affirmed a patent for diagnostic methods that involve practical application of natural phenomena. The patent in dispute was</w:t>
      </w:r>
      <w:r w:rsidR="00FF177F" w:rsidRPr="00FF177F">
        <w:rPr>
          <w:rFonts w:cs="Arial"/>
          <w:shd w:val="clear" w:color="auto" w:fill="FFFFFF"/>
        </w:rPr>
        <w:t xml:space="preserve"> </w:t>
      </w:r>
    </w:p>
    <w:p w14:paraId="6933E116" w14:textId="47F9F8EB" w:rsidR="00856C9B" w:rsidRPr="002B5F46" w:rsidRDefault="00856C9B" w:rsidP="007E6C13">
      <w:pPr>
        <w:pStyle w:val="Quote"/>
        <w:rPr>
          <w:szCs w:val="18"/>
          <w:shd w:val="clear" w:color="auto" w:fill="FFFFFF"/>
        </w:rPr>
      </w:pPr>
      <w:r w:rsidRPr="002B5F46">
        <w:rPr>
          <w:rStyle w:val="EndnoteTextChar"/>
          <w:rFonts w:cs="Arial"/>
          <w:shd w:val="clear" w:color="auto" w:fill="FFFFFF"/>
        </w:rPr>
        <w:t xml:space="preserve">A detection method performed on a maternal serum or plasma sample from a pregnant female, which method </w:t>
      </w:r>
      <w:r w:rsidRPr="007E6C13">
        <w:rPr>
          <w:rStyle w:val="EndnoteTextChar"/>
          <w:szCs w:val="22"/>
        </w:rPr>
        <w:t>comprises</w:t>
      </w:r>
      <w:r w:rsidRPr="002B5F46">
        <w:rPr>
          <w:rStyle w:val="EndnoteTextChar"/>
          <w:rFonts w:cs="Arial"/>
          <w:shd w:val="clear" w:color="auto" w:fill="FFFFFF"/>
        </w:rPr>
        <w:t xml:space="preserve"> detecting the presence of a nucleic acid of foetal origin in the sample.</w:t>
      </w:r>
      <w:r w:rsidR="00FF177F" w:rsidRPr="002B5F46">
        <w:rPr>
          <w:rStyle w:val="FootnoteReference"/>
          <w:rFonts w:cs="Arial"/>
          <w:szCs w:val="20"/>
          <w:shd w:val="clear" w:color="auto" w:fill="FFFFFF"/>
        </w:rPr>
        <w:t xml:space="preserve"> </w:t>
      </w:r>
      <w:r w:rsidR="00FF177F" w:rsidRPr="002B5F46">
        <w:rPr>
          <w:rStyle w:val="FootnoteReference"/>
          <w:rFonts w:cs="Arial"/>
          <w:szCs w:val="20"/>
          <w:shd w:val="clear" w:color="auto" w:fill="FFFFFF"/>
        </w:rPr>
        <w:footnoteReference w:id="115"/>
      </w:r>
    </w:p>
    <w:p w14:paraId="064EF737" w14:textId="77777777" w:rsidR="00856C9B" w:rsidRPr="000D458E" w:rsidRDefault="00856C9B" w:rsidP="002B5F46">
      <w:pPr>
        <w:rPr>
          <w:szCs w:val="20"/>
        </w:rPr>
      </w:pPr>
      <w:r w:rsidRPr="000D458E">
        <w:rPr>
          <w:szCs w:val="20"/>
        </w:rPr>
        <w:t>The method in question which goes back to the substance of the claim, is that the invention:</w:t>
      </w:r>
      <w:r w:rsidRPr="000D458E">
        <w:rPr>
          <w:rStyle w:val="FootnoteReference"/>
          <w:szCs w:val="20"/>
        </w:rPr>
        <w:footnoteReference w:id="116"/>
      </w:r>
    </w:p>
    <w:p w14:paraId="1E6EB3E0" w14:textId="26442991" w:rsidR="00856C9B" w:rsidRPr="00AF1FAA" w:rsidRDefault="00C80E62" w:rsidP="007E6C13">
      <w:pPr>
        <w:pStyle w:val="Quote"/>
        <w:rPr>
          <w:rFonts w:cs="Arial"/>
          <w:szCs w:val="20"/>
        </w:rPr>
      </w:pPr>
      <w:r w:rsidRPr="00AF1FAA">
        <w:rPr>
          <w:rFonts w:cs="Arial"/>
          <w:szCs w:val="20"/>
          <w:shd w:val="clear" w:color="auto" w:fill="FFFFFF"/>
        </w:rPr>
        <w:t>A</w:t>
      </w:r>
      <w:r w:rsidR="00856C9B" w:rsidRPr="00AF1FAA">
        <w:rPr>
          <w:rFonts w:cs="Arial"/>
          <w:szCs w:val="20"/>
          <w:shd w:val="clear" w:color="auto" w:fill="FFFFFF"/>
        </w:rPr>
        <w:t xml:space="preserve">pplies and follows on from, but is different to, the identification of a natural phenomenon, namely </w:t>
      </w:r>
      <w:r w:rsidR="00856C9B" w:rsidRPr="007E6C13">
        <w:t>the presence of cffDNA in maternal blood…. the invention builds on, uses, practically applies and reduces to practice a discovered substance found in nature, namely, cffDNA in maternal blood, to provide a new, inventive, useful, artificial method of detection of cffDNA, and where the method</w:t>
      </w:r>
      <w:r w:rsidR="00856C9B" w:rsidRPr="00AF1FAA">
        <w:rPr>
          <w:rFonts w:cs="Arial"/>
          <w:szCs w:val="20"/>
          <w:shd w:val="clear" w:color="auto" w:fill="FFFFFF"/>
        </w:rPr>
        <w:t xml:space="preserve"> is of economic significance.</w:t>
      </w:r>
    </w:p>
    <w:p w14:paraId="099248EB" w14:textId="6ECDC81E" w:rsidR="00856C9B" w:rsidRPr="00856C9B" w:rsidRDefault="00856C9B" w:rsidP="002B5F46">
      <w:pPr>
        <w:rPr>
          <w:szCs w:val="20"/>
        </w:rPr>
      </w:pPr>
      <w:r w:rsidRPr="000D458E">
        <w:rPr>
          <w:szCs w:val="20"/>
        </w:rPr>
        <w:t xml:space="preserve">The result here is that if naturally occurring genomic information is identified in a naturally occurring state, then it cannot be patented. However, if a company invents a new and </w:t>
      </w:r>
      <w:r w:rsidRPr="000D458E">
        <w:rPr>
          <w:szCs w:val="20"/>
        </w:rPr>
        <w:lastRenderedPageBreak/>
        <w:t>innovative method for identifying DNA or aspects of DNA, then that method or diagnosis can be patented.</w:t>
      </w:r>
    </w:p>
    <w:p w14:paraId="4C0405F5" w14:textId="77777777" w:rsidR="00856C9B" w:rsidRPr="00F67476" w:rsidRDefault="00856C9B" w:rsidP="002B5F46">
      <w:pPr>
        <w:pStyle w:val="Heading3"/>
      </w:pPr>
      <w:bookmarkStart w:id="89" w:name="_Toc118824339"/>
      <w:r w:rsidRPr="00F67476">
        <w:rPr>
          <w:lang w:val="en-AU"/>
        </w:rPr>
        <w:t>Patents and Morality Debates</w:t>
      </w:r>
      <w:bookmarkEnd w:id="89"/>
    </w:p>
    <w:p w14:paraId="4E892B5E" w14:textId="0B2990F3" w:rsidR="00655146" w:rsidRDefault="00856C9B" w:rsidP="002B5F46">
      <w:pPr>
        <w:rPr>
          <w:rFonts w:cs="Arial"/>
          <w:szCs w:val="20"/>
        </w:rPr>
      </w:pPr>
      <w:r w:rsidRPr="000D458E">
        <w:rPr>
          <w:szCs w:val="20"/>
        </w:rPr>
        <w:t xml:space="preserve">In the United States case of </w:t>
      </w:r>
      <w:r w:rsidRPr="000D458E">
        <w:rPr>
          <w:i/>
          <w:iCs/>
          <w:szCs w:val="20"/>
        </w:rPr>
        <w:t>Myriad Genetics</w:t>
      </w:r>
      <w:r w:rsidRPr="000D458E">
        <w:rPr>
          <w:szCs w:val="20"/>
        </w:rPr>
        <w:t>, there was submissions of a</w:t>
      </w:r>
      <w:r w:rsidRPr="00AC730B">
        <w:rPr>
          <w:szCs w:val="20"/>
        </w:rPr>
        <w:t>micus curiae</w:t>
      </w:r>
      <w:r w:rsidRPr="000D458E">
        <w:rPr>
          <w:szCs w:val="20"/>
        </w:rPr>
        <w:t xml:space="preserve">, meaning “friend of the court”. A “friend of the court” is not a party to the case yet may have expertise or special interest in presenting submissions bearing to the questions on issue. One submission of amicus curiae </w:t>
      </w:r>
      <w:r w:rsidRPr="000D458E">
        <w:rPr>
          <w:rFonts w:cs="Arial"/>
          <w:szCs w:val="20"/>
        </w:rPr>
        <w:t xml:space="preserve">was submitted by George Kimbrell </w:t>
      </w:r>
      <w:r w:rsidRPr="008E5C92">
        <w:rPr>
          <w:rFonts w:cs="Arial"/>
          <w:szCs w:val="20"/>
        </w:rPr>
        <w:t xml:space="preserve">in </w:t>
      </w:r>
      <w:r w:rsidR="005E7C0F">
        <w:rPr>
          <w:rFonts w:cs="Arial"/>
          <w:szCs w:val="20"/>
        </w:rPr>
        <w:t>s</w:t>
      </w:r>
      <w:r w:rsidRPr="008E5C92">
        <w:rPr>
          <w:rFonts w:cs="Arial"/>
          <w:szCs w:val="20"/>
        </w:rPr>
        <w:t>upport of Plaintiff-Appellees.</w:t>
      </w:r>
      <w:r w:rsidRPr="000D458E">
        <w:rPr>
          <w:rFonts w:cs="Arial"/>
          <w:szCs w:val="20"/>
        </w:rPr>
        <w:t xml:space="preserve"> The arguments in this brief focused on the issue that products of nature at not patentable subject matter.</w:t>
      </w:r>
      <w:r w:rsidRPr="000D458E">
        <w:rPr>
          <w:rStyle w:val="FootnoteReference"/>
          <w:rFonts w:cs="Arial"/>
          <w:szCs w:val="20"/>
        </w:rPr>
        <w:footnoteReference w:id="117"/>
      </w:r>
      <w:r w:rsidRPr="000D458E">
        <w:rPr>
          <w:rFonts w:cs="Arial"/>
          <w:szCs w:val="20"/>
        </w:rPr>
        <w:t xml:space="preserve"> Kimbrell claimed that the information dictated by the gene is identical whether inside or outside the body,  privatisation of this genetic heritage of an individual </w:t>
      </w:r>
      <w:r w:rsidR="009E2967">
        <w:rPr>
          <w:rFonts w:cs="Arial"/>
          <w:szCs w:val="20"/>
        </w:rPr>
        <w:t>(</w:t>
      </w:r>
      <w:r w:rsidRPr="000D458E">
        <w:rPr>
          <w:rFonts w:cs="Arial"/>
          <w:szCs w:val="20"/>
        </w:rPr>
        <w:t>and gene patents of people in general</w:t>
      </w:r>
      <w:r w:rsidR="009E2967">
        <w:rPr>
          <w:rFonts w:cs="Arial"/>
          <w:szCs w:val="20"/>
        </w:rPr>
        <w:t>)</w:t>
      </w:r>
      <w:r w:rsidRPr="000D458E">
        <w:rPr>
          <w:rFonts w:cs="Arial"/>
          <w:szCs w:val="20"/>
        </w:rPr>
        <w:t xml:space="preserve"> create a system that</w:t>
      </w:r>
      <w:r w:rsidR="00655146">
        <w:rPr>
          <w:rFonts w:cs="Arial"/>
          <w:szCs w:val="20"/>
        </w:rPr>
        <w:t>:</w:t>
      </w:r>
      <w:r w:rsidRPr="000D458E">
        <w:rPr>
          <w:rFonts w:cs="Arial"/>
          <w:szCs w:val="20"/>
        </w:rPr>
        <w:t xml:space="preserve"> </w:t>
      </w:r>
    </w:p>
    <w:p w14:paraId="755D834C" w14:textId="2B7D5D0D" w:rsidR="00655146" w:rsidRPr="002B5F46" w:rsidRDefault="00856C9B" w:rsidP="007E6C13">
      <w:pPr>
        <w:pStyle w:val="Quote"/>
      </w:pPr>
      <w:r w:rsidRPr="002B5F46">
        <w:t xml:space="preserve">reduces </w:t>
      </w:r>
      <w:r w:rsidRPr="007E6C13">
        <w:t>people</w:t>
      </w:r>
      <w:r w:rsidRPr="002B5F46">
        <w:t xml:space="preserve"> as nothing more than “treasure troves” to be mined for private economic gain, violating the fundamental rights of indigenous peoples and patients.</w:t>
      </w:r>
      <w:r w:rsidRPr="002B5F46">
        <w:rPr>
          <w:rStyle w:val="FootnoteReference"/>
          <w:rFonts w:cs="Arial"/>
          <w:szCs w:val="18"/>
        </w:rPr>
        <w:footnoteReference w:id="118"/>
      </w:r>
      <w:r w:rsidRPr="002B5F46">
        <w:t xml:space="preserve"> </w:t>
      </w:r>
    </w:p>
    <w:p w14:paraId="516576BF" w14:textId="35A580B9" w:rsidR="00856C9B" w:rsidRPr="000D458E" w:rsidRDefault="00856C9B" w:rsidP="002B5F46">
      <w:pPr>
        <w:rPr>
          <w:szCs w:val="20"/>
        </w:rPr>
      </w:pPr>
      <w:r w:rsidRPr="000D458E">
        <w:rPr>
          <w:rFonts w:cs="Arial"/>
          <w:szCs w:val="20"/>
        </w:rPr>
        <w:t>In their brief, the Indigenous peoples Council on Biocolonialism argue</w:t>
      </w:r>
      <w:r w:rsidR="00F43791">
        <w:rPr>
          <w:rFonts w:cs="Arial"/>
          <w:szCs w:val="20"/>
        </w:rPr>
        <w:t>d</w:t>
      </w:r>
      <w:r w:rsidRPr="000D458E">
        <w:rPr>
          <w:rFonts w:cs="Arial"/>
          <w:szCs w:val="20"/>
        </w:rPr>
        <w:t xml:space="preserve"> that patents on Indigenous peoples’ gene facilitate the exploitation of Indigenous people and violate international law. The submission states the cultural importance of genes</w:t>
      </w:r>
      <w:r w:rsidR="003567C7">
        <w:rPr>
          <w:rFonts w:cs="Arial"/>
          <w:szCs w:val="20"/>
        </w:rPr>
        <w:t xml:space="preserve"> as</w:t>
      </w:r>
      <w:r w:rsidRPr="000D458E">
        <w:rPr>
          <w:rFonts w:cs="Arial"/>
          <w:szCs w:val="20"/>
        </w:rPr>
        <w:t>:</w:t>
      </w:r>
      <w:r w:rsidR="003C396E">
        <w:rPr>
          <w:rStyle w:val="FootnoteReference"/>
          <w:rFonts w:cs="Arial"/>
          <w:szCs w:val="20"/>
        </w:rPr>
        <w:footnoteReference w:id="119"/>
      </w:r>
    </w:p>
    <w:p w14:paraId="32E57103" w14:textId="49694F10" w:rsidR="00AB38DD" w:rsidRPr="005E53C6" w:rsidRDefault="00856C9B" w:rsidP="007E6C13">
      <w:pPr>
        <w:pStyle w:val="Quote"/>
      </w:pPr>
      <w:r w:rsidRPr="00AF1FAA">
        <w:t xml:space="preserve">fundamentally storehouses of information that has been passed down to each person from his or her ancestors, and that will be passed down to his or her children. For Indigenous groups, their genetic </w:t>
      </w:r>
      <w:r w:rsidRPr="007E6C13">
        <w:t>materials</w:t>
      </w:r>
      <w:r w:rsidRPr="00AF1FAA">
        <w:t xml:space="preserve"> hold traditional and spiritual significance.</w:t>
      </w:r>
    </w:p>
    <w:p w14:paraId="7ECC4D63" w14:textId="3D9267CE" w:rsidR="00856C9B" w:rsidRPr="000D458E" w:rsidRDefault="00E37372" w:rsidP="00A24315">
      <w:r>
        <w:t xml:space="preserve">Similar concerns </w:t>
      </w:r>
      <w:r w:rsidR="00856C9B" w:rsidRPr="000D458E">
        <w:t xml:space="preserve">were also raised in </w:t>
      </w:r>
      <w:r w:rsidR="00236D68">
        <w:t xml:space="preserve">consultation with </w:t>
      </w:r>
      <w:r w:rsidR="00856C9B" w:rsidRPr="000D458E">
        <w:t xml:space="preserve">the </w:t>
      </w:r>
      <w:r w:rsidR="00FB5584">
        <w:t>Advisory Group</w:t>
      </w:r>
      <w:r w:rsidR="00950796">
        <w:t xml:space="preserve"> </w:t>
      </w:r>
      <w:r w:rsidR="00A21F55">
        <w:t xml:space="preserve">in relation to </w:t>
      </w:r>
      <w:r w:rsidR="00856C9B" w:rsidRPr="000D458E">
        <w:t xml:space="preserve">blood in research </w:t>
      </w:r>
      <w:r w:rsidR="00FB5584">
        <w:t>and in</w:t>
      </w:r>
      <w:r w:rsidR="00856C9B" w:rsidRPr="000D458E">
        <w:t xml:space="preserve"> repatriation. This demonstrates the importance that blood holds for Indigenous peoples and the attachment to it. </w:t>
      </w:r>
      <w:r w:rsidR="00EB49A1">
        <w:t>P</w:t>
      </w:r>
      <w:r w:rsidR="00856C9B" w:rsidRPr="000D458E">
        <w:t xml:space="preserve">atents derived from the Indigenous genomic information are clearly </w:t>
      </w:r>
      <w:r w:rsidR="003443ED">
        <w:t xml:space="preserve">culturally sensitive </w:t>
      </w:r>
      <w:r w:rsidR="00856C9B" w:rsidRPr="000D458E">
        <w:t>and require free, prior informed consent and consultation.</w:t>
      </w:r>
    </w:p>
    <w:p w14:paraId="7EC1D010" w14:textId="3DC3958B" w:rsidR="00856C9B" w:rsidRPr="00F67476" w:rsidRDefault="00856C9B" w:rsidP="002B5F46">
      <w:pPr>
        <w:pStyle w:val="Heading3"/>
      </w:pPr>
      <w:bookmarkStart w:id="90" w:name="_Toc118824340"/>
      <w:r w:rsidRPr="00F67476">
        <w:rPr>
          <w:lang w:val="en-AU"/>
        </w:rPr>
        <w:t xml:space="preserve">Patents over existing </w:t>
      </w:r>
      <w:r w:rsidR="00AF730D">
        <w:rPr>
          <w:lang w:val="en-AU"/>
        </w:rPr>
        <w:t xml:space="preserve">Aboriginal and Torres Strait Islander </w:t>
      </w:r>
      <w:r w:rsidRPr="00F67476">
        <w:rPr>
          <w:lang w:val="en-AU"/>
        </w:rPr>
        <w:t>knowledge systems and practices</w:t>
      </w:r>
      <w:bookmarkEnd w:id="90"/>
      <w:r w:rsidRPr="00F67476">
        <w:rPr>
          <w:lang w:val="en-AU"/>
        </w:rPr>
        <w:t xml:space="preserve"> </w:t>
      </w:r>
    </w:p>
    <w:p w14:paraId="337EBF25" w14:textId="5E14EBBF" w:rsidR="00EA5F2D" w:rsidRDefault="00856C9B" w:rsidP="001C278F">
      <w:pPr>
        <w:rPr>
          <w:szCs w:val="20"/>
          <w:shd w:val="clear" w:color="auto" w:fill="FFFFFF" w:themeFill="background1"/>
        </w:rPr>
      </w:pPr>
      <w:r w:rsidRPr="000D458E">
        <w:rPr>
          <w:rFonts w:cs="Arial"/>
          <w:szCs w:val="20"/>
        </w:rPr>
        <w:t>Companies have sought and successfu</w:t>
      </w:r>
      <w:r w:rsidR="007F38B4">
        <w:rPr>
          <w:rFonts w:cs="Arial"/>
          <w:szCs w:val="20"/>
        </w:rPr>
        <w:t>l</w:t>
      </w:r>
      <w:r w:rsidRPr="000D458E">
        <w:rPr>
          <w:rFonts w:cs="Arial"/>
          <w:szCs w:val="20"/>
        </w:rPr>
        <w:t>l</w:t>
      </w:r>
      <w:r w:rsidR="007F38B4">
        <w:rPr>
          <w:rFonts w:cs="Arial"/>
          <w:szCs w:val="20"/>
        </w:rPr>
        <w:t>y</w:t>
      </w:r>
      <w:r w:rsidRPr="000D458E">
        <w:rPr>
          <w:rFonts w:cs="Arial"/>
          <w:szCs w:val="20"/>
        </w:rPr>
        <w:t xml:space="preserve"> patented </w:t>
      </w:r>
      <w:r w:rsidR="00A8003D">
        <w:rPr>
          <w:rFonts w:cs="Arial"/>
          <w:szCs w:val="20"/>
        </w:rPr>
        <w:t xml:space="preserve">Aboriginal and Torres Strait Islander </w:t>
      </w:r>
      <w:r w:rsidRPr="000D458E">
        <w:rPr>
          <w:rFonts w:cs="Arial"/>
          <w:szCs w:val="20"/>
        </w:rPr>
        <w:t xml:space="preserve">knowledge systems in Australia, sometimes with consent, although often without. </w:t>
      </w:r>
    </w:p>
    <w:p w14:paraId="13931A02" w14:textId="63F5A580" w:rsidR="00C40708" w:rsidRDefault="00856C9B" w:rsidP="002B5F46">
      <w:pPr>
        <w:rPr>
          <w:szCs w:val="20"/>
          <w:shd w:val="clear" w:color="auto" w:fill="FFFFFF" w:themeFill="background1"/>
        </w:rPr>
      </w:pPr>
      <w:r w:rsidRPr="000D458E">
        <w:rPr>
          <w:szCs w:val="20"/>
          <w:shd w:val="clear" w:color="auto" w:fill="FFFFFF" w:themeFill="background1"/>
        </w:rPr>
        <w:t xml:space="preserve">A non-consultative or </w:t>
      </w:r>
      <w:r w:rsidR="00231CF7">
        <w:rPr>
          <w:szCs w:val="20"/>
          <w:shd w:val="clear" w:color="auto" w:fill="FFFFFF" w:themeFill="background1"/>
        </w:rPr>
        <w:t>non-</w:t>
      </w:r>
      <w:r w:rsidRPr="000D458E">
        <w:rPr>
          <w:szCs w:val="20"/>
          <w:shd w:val="clear" w:color="auto" w:fill="FFFFFF" w:themeFill="background1"/>
        </w:rPr>
        <w:t>consensual patent over</w:t>
      </w:r>
      <w:r w:rsidR="00230E2A">
        <w:rPr>
          <w:szCs w:val="20"/>
          <w:shd w:val="clear" w:color="auto" w:fill="FFFFFF" w:themeFill="background1"/>
        </w:rPr>
        <w:t xml:space="preserve"> Aboriginal and Torres Strait Islander </w:t>
      </w:r>
      <w:r w:rsidRPr="000D458E">
        <w:rPr>
          <w:szCs w:val="20"/>
          <w:shd w:val="clear" w:color="auto" w:fill="FFFFFF" w:themeFill="background1"/>
        </w:rPr>
        <w:t xml:space="preserve">knowledge systems and processes not only prohibits </w:t>
      </w:r>
      <w:r w:rsidR="00AD78A0">
        <w:rPr>
          <w:szCs w:val="20"/>
          <w:shd w:val="clear" w:color="auto" w:fill="FFFFFF" w:themeFill="background1"/>
        </w:rPr>
        <w:t xml:space="preserve">Aboriginal and Torres Strait Islander </w:t>
      </w:r>
      <w:r w:rsidRPr="000D458E">
        <w:rPr>
          <w:szCs w:val="20"/>
          <w:shd w:val="clear" w:color="auto" w:fill="FFFFFF" w:themeFill="background1"/>
        </w:rPr>
        <w:t>peoples from utilising their existing traditions in a commercial context</w:t>
      </w:r>
      <w:r w:rsidR="00BB735D">
        <w:rPr>
          <w:szCs w:val="20"/>
          <w:shd w:val="clear" w:color="auto" w:fill="FFFFFF" w:themeFill="background1"/>
        </w:rPr>
        <w:t>,</w:t>
      </w:r>
      <w:r w:rsidRPr="000D458E">
        <w:rPr>
          <w:szCs w:val="20"/>
          <w:shd w:val="clear" w:color="auto" w:fill="FFFFFF" w:themeFill="background1"/>
        </w:rPr>
        <w:t xml:space="preserve"> but </w:t>
      </w:r>
      <w:r w:rsidR="00BB735D">
        <w:rPr>
          <w:szCs w:val="20"/>
          <w:shd w:val="clear" w:color="auto" w:fill="FFFFFF" w:themeFill="background1"/>
        </w:rPr>
        <w:t xml:space="preserve">also </w:t>
      </w:r>
      <w:r w:rsidRPr="000D458E">
        <w:rPr>
          <w:szCs w:val="20"/>
          <w:shd w:val="clear" w:color="auto" w:fill="FFFFFF" w:themeFill="background1"/>
        </w:rPr>
        <w:t xml:space="preserve">demonstrates a disregard or lack of understanding of </w:t>
      </w:r>
      <w:r w:rsidR="00AD78A0">
        <w:rPr>
          <w:szCs w:val="20"/>
          <w:shd w:val="clear" w:color="auto" w:fill="FFFFFF" w:themeFill="background1"/>
        </w:rPr>
        <w:t xml:space="preserve">Aboriginal and Torres Strait Islander </w:t>
      </w:r>
      <w:r w:rsidRPr="000D458E">
        <w:rPr>
          <w:szCs w:val="20"/>
          <w:shd w:val="clear" w:color="auto" w:fill="FFFFFF" w:themeFill="background1"/>
        </w:rPr>
        <w:t>knowledge systems by virtue of patents requiring an inventive step.</w:t>
      </w:r>
      <w:r>
        <w:rPr>
          <w:szCs w:val="20"/>
          <w:shd w:val="clear" w:color="auto" w:fill="FFFFFF" w:themeFill="background1"/>
        </w:rPr>
        <w:t xml:space="preserve"> </w:t>
      </w:r>
    </w:p>
    <w:p w14:paraId="0557CB46" w14:textId="500F4143" w:rsidR="00856C9B" w:rsidRPr="008E5C92" w:rsidRDefault="00856C9B" w:rsidP="001C278F">
      <w:pPr>
        <w:rPr>
          <w:shd w:val="clear" w:color="auto" w:fill="FFFFFF" w:themeFill="background1"/>
        </w:rPr>
      </w:pPr>
      <w:r>
        <w:rPr>
          <w:szCs w:val="20"/>
          <w:shd w:val="clear" w:color="auto" w:fill="FFFFFF" w:themeFill="background1"/>
        </w:rPr>
        <w:t>There are cases however where</w:t>
      </w:r>
      <w:r w:rsidR="00AD78A0">
        <w:rPr>
          <w:szCs w:val="20"/>
          <w:shd w:val="clear" w:color="auto" w:fill="FFFFFF" w:themeFill="background1"/>
        </w:rPr>
        <w:t xml:space="preserve"> Aboriginal and Torres Strait Islander </w:t>
      </w:r>
      <w:r>
        <w:rPr>
          <w:szCs w:val="20"/>
          <w:shd w:val="clear" w:color="auto" w:fill="FFFFFF" w:themeFill="background1"/>
        </w:rPr>
        <w:t>communities have successfully patented their knowledge systems with a commercial application</w:t>
      </w:r>
      <w:r w:rsidR="00F40FFD">
        <w:rPr>
          <w:szCs w:val="20"/>
          <w:shd w:val="clear" w:color="auto" w:fill="FFFFFF" w:themeFill="background1"/>
        </w:rPr>
        <w:t xml:space="preserve">. </w:t>
      </w:r>
      <w:r>
        <w:rPr>
          <w:szCs w:val="20"/>
          <w:shd w:val="clear" w:color="auto" w:fill="FFFFFF" w:themeFill="background1"/>
        </w:rPr>
        <w:t xml:space="preserve">This raises </w:t>
      </w:r>
      <w:r>
        <w:rPr>
          <w:szCs w:val="20"/>
          <w:shd w:val="clear" w:color="auto" w:fill="FFFFFF" w:themeFill="background1"/>
        </w:rPr>
        <w:lastRenderedPageBreak/>
        <w:t>the question,</w:t>
      </w:r>
      <w:r>
        <w:rPr>
          <w:szCs w:val="20"/>
        </w:rPr>
        <w:t xml:space="preserve"> s</w:t>
      </w:r>
      <w:r w:rsidRPr="0080205E">
        <w:t xml:space="preserve">hould patent law be supplemented with recognition of bioethical principles of informed consent and benefit sharing? </w:t>
      </w:r>
    </w:p>
    <w:p w14:paraId="5AE87032" w14:textId="77777777" w:rsidR="00856C9B" w:rsidRPr="00F67476" w:rsidRDefault="00856C9B" w:rsidP="002B5F46">
      <w:pPr>
        <w:pStyle w:val="Heading3"/>
      </w:pPr>
      <w:bookmarkStart w:id="91" w:name="_Toc118824341"/>
      <w:r w:rsidRPr="00F67476">
        <w:rPr>
          <w:lang w:val="en-AU"/>
        </w:rPr>
        <w:t>International Examples</w:t>
      </w:r>
      <w:bookmarkEnd w:id="91"/>
    </w:p>
    <w:p w14:paraId="532CCB17" w14:textId="31EACDFF" w:rsidR="00B271EB" w:rsidRDefault="00856C9B" w:rsidP="00A6556A">
      <w:pPr>
        <w:rPr>
          <w:szCs w:val="20"/>
          <w:shd w:val="clear" w:color="auto" w:fill="FFFFFF"/>
        </w:rPr>
      </w:pPr>
      <w:r w:rsidRPr="000D458E">
        <w:rPr>
          <w:szCs w:val="20"/>
        </w:rPr>
        <w:t>Looking towards legislative safeguards, New Zealand has a morality exclusion that states</w:t>
      </w:r>
      <w:r w:rsidR="00561319">
        <w:rPr>
          <w:szCs w:val="20"/>
        </w:rPr>
        <w:t>:</w:t>
      </w:r>
      <w:r w:rsidRPr="000D458E">
        <w:rPr>
          <w:szCs w:val="20"/>
        </w:rPr>
        <w:t xml:space="preserve"> “</w:t>
      </w:r>
      <w:r w:rsidRPr="000D458E">
        <w:rPr>
          <w:rFonts w:cs="Arial"/>
          <w:szCs w:val="20"/>
          <w:shd w:val="clear" w:color="auto" w:fill="FFFFFF"/>
        </w:rPr>
        <w:t>An invention is not a patentable invention if the commercial exploitation of the invention, so far as claimed in a claim, is contrary to… Morality”.</w:t>
      </w:r>
      <w:r w:rsidRPr="000D458E">
        <w:rPr>
          <w:rStyle w:val="FootnoteReference"/>
          <w:rFonts w:cs="Arial"/>
          <w:szCs w:val="20"/>
          <w:shd w:val="clear" w:color="auto" w:fill="FFFFFF"/>
        </w:rPr>
        <w:footnoteReference w:id="120"/>
      </w:r>
      <w:r w:rsidRPr="000D458E">
        <w:rPr>
          <w:rFonts w:cs="Arial"/>
          <w:szCs w:val="20"/>
          <w:shd w:val="clear" w:color="auto" w:fill="FFFFFF"/>
        </w:rPr>
        <w:t xml:space="preserve"> When considering </w:t>
      </w:r>
      <w:r>
        <w:rPr>
          <w:rFonts w:cs="Arial"/>
          <w:szCs w:val="20"/>
          <w:shd w:val="clear" w:color="auto" w:fill="FFFFFF"/>
        </w:rPr>
        <w:t>th</w:t>
      </w:r>
      <w:r w:rsidR="00BB735D">
        <w:rPr>
          <w:rFonts w:cs="Arial"/>
          <w:szCs w:val="20"/>
          <w:shd w:val="clear" w:color="auto" w:fill="FFFFFF"/>
        </w:rPr>
        <w:t>ese</w:t>
      </w:r>
      <w:r w:rsidRPr="000D458E">
        <w:rPr>
          <w:rFonts w:cs="Arial"/>
          <w:szCs w:val="20"/>
          <w:shd w:val="clear" w:color="auto" w:fill="FFFFFF"/>
        </w:rPr>
        <w:t xml:space="preserve"> exceptions, the </w:t>
      </w:r>
      <w:r w:rsidR="001C4FDB">
        <w:rPr>
          <w:rFonts w:cs="Arial"/>
          <w:szCs w:val="20"/>
          <w:shd w:val="clear" w:color="auto" w:fill="FFFFFF"/>
        </w:rPr>
        <w:t xml:space="preserve">Patent </w:t>
      </w:r>
      <w:r w:rsidRPr="000D458E">
        <w:rPr>
          <w:rFonts w:cs="Arial"/>
          <w:szCs w:val="20"/>
          <w:shd w:val="clear" w:color="auto" w:fill="FFFFFF"/>
        </w:rPr>
        <w:t xml:space="preserve">Commissioner may also seek advice from the </w:t>
      </w:r>
      <w:r w:rsidRPr="000D458E">
        <w:rPr>
          <w:szCs w:val="20"/>
          <w:shd w:val="clear" w:color="auto" w:fill="FFFFFF"/>
        </w:rPr>
        <w:t>Māori advisory committee or any person that the Commissioner considers appropriate.</w:t>
      </w:r>
      <w:r w:rsidRPr="000D458E">
        <w:rPr>
          <w:rStyle w:val="FootnoteReference"/>
          <w:szCs w:val="20"/>
          <w:shd w:val="clear" w:color="auto" w:fill="FFFFFF"/>
        </w:rPr>
        <w:footnoteReference w:id="121"/>
      </w:r>
      <w:r w:rsidRPr="000D458E">
        <w:rPr>
          <w:szCs w:val="20"/>
          <w:shd w:val="clear" w:color="auto" w:fill="FFFFFF"/>
        </w:rPr>
        <w:t xml:space="preserve"> This kind of discretion</w:t>
      </w:r>
      <w:r w:rsidR="00B17D4C">
        <w:rPr>
          <w:szCs w:val="20"/>
          <w:shd w:val="clear" w:color="auto" w:fill="FFFFFF"/>
        </w:rPr>
        <w:t xml:space="preserve">, </w:t>
      </w:r>
      <w:r w:rsidRPr="000D458E">
        <w:rPr>
          <w:szCs w:val="20"/>
          <w:shd w:val="clear" w:color="auto" w:fill="FFFFFF"/>
        </w:rPr>
        <w:t xml:space="preserve">whilst not a guaranteed safeguard, can certainly reduce issues or concerns around exploitation of Māori intellectual and cultural property, and provides a voice at the table to consider issues as and if they arise, rather than an afterthought. </w:t>
      </w:r>
    </w:p>
    <w:p w14:paraId="01B69FC8" w14:textId="2E4A0D12" w:rsidR="00856C9B" w:rsidRPr="000D458E" w:rsidRDefault="00856C9B" w:rsidP="002B5F46">
      <w:pPr>
        <w:rPr>
          <w:rFonts w:cs="Arial"/>
          <w:szCs w:val="20"/>
          <w:shd w:val="clear" w:color="auto" w:fill="FFFFFF"/>
        </w:rPr>
      </w:pPr>
      <w:r w:rsidRPr="000D458E">
        <w:rPr>
          <w:rFonts w:cs="Arial"/>
          <w:szCs w:val="20"/>
          <w:shd w:val="clear" w:color="auto" w:fill="FFFFFF"/>
        </w:rPr>
        <w:t>In addition to the morality exclusion</w:t>
      </w:r>
      <w:r w:rsidR="00633909">
        <w:rPr>
          <w:rFonts w:cs="Arial"/>
          <w:szCs w:val="20"/>
          <w:shd w:val="clear" w:color="auto" w:fill="FFFFFF"/>
        </w:rPr>
        <w:t>,</w:t>
      </w:r>
      <w:r w:rsidRPr="000D458E">
        <w:rPr>
          <w:rFonts w:cs="Arial"/>
          <w:szCs w:val="20"/>
          <w:shd w:val="clear" w:color="auto" w:fill="FFFFFF"/>
        </w:rPr>
        <w:t xml:space="preserve"> </w:t>
      </w:r>
      <w:r w:rsidR="002F5050">
        <w:rPr>
          <w:rFonts w:cs="Arial"/>
          <w:szCs w:val="20"/>
          <w:shd w:val="clear" w:color="auto" w:fill="FFFFFF"/>
        </w:rPr>
        <w:t xml:space="preserve">in New Zealand, </w:t>
      </w:r>
      <w:r w:rsidRPr="000D458E">
        <w:rPr>
          <w:rFonts w:cs="Arial"/>
          <w:szCs w:val="20"/>
          <w:shd w:val="clear" w:color="auto" w:fill="FFFFFF"/>
        </w:rPr>
        <w:t>patents cannot be claimed over:</w:t>
      </w:r>
    </w:p>
    <w:p w14:paraId="561C6670" w14:textId="77777777" w:rsidR="00856C9B" w:rsidRPr="00CC7398" w:rsidRDefault="00856C9B" w:rsidP="007E6C13">
      <w:pPr>
        <w:pStyle w:val="Quote"/>
      </w:pPr>
      <w:r w:rsidRPr="00CC7398">
        <w:t xml:space="preserve">Human beings, and </w:t>
      </w:r>
      <w:r w:rsidRPr="007E6C13">
        <w:t>biological</w:t>
      </w:r>
      <w:r w:rsidRPr="00CC7398">
        <w:t xml:space="preserve"> processes for their generation, an invention of a method of; treatment of human beings by surgery or therapy or diagnosis practised on human beings, is not a patentable invention; or a plant </w:t>
      </w:r>
      <w:r w:rsidRPr="002F5050">
        <w:t>variety.</w:t>
      </w:r>
      <w:r w:rsidRPr="002B5F46">
        <w:rPr>
          <w:rStyle w:val="FootnoteReference"/>
          <w:rFonts w:cs="Arial"/>
          <w:color w:val="000000"/>
          <w:szCs w:val="20"/>
        </w:rPr>
        <w:footnoteReference w:id="122"/>
      </w:r>
    </w:p>
    <w:p w14:paraId="1A92CC08" w14:textId="77777777" w:rsidR="00856C9B" w:rsidRPr="007E6C13" w:rsidRDefault="00856C9B" w:rsidP="007E6C13">
      <w:r w:rsidRPr="007E6C13">
        <w:t xml:space="preserve">This results in a high moral standard of patent ineligibility in the healthcare sector in New Zealand. </w:t>
      </w:r>
    </w:p>
    <w:p w14:paraId="4895ACBC" w14:textId="17CFC0F5" w:rsidR="00856C9B" w:rsidRPr="00856C9B" w:rsidRDefault="00704DB1" w:rsidP="002B5F46">
      <w:pPr>
        <w:rPr>
          <w:rFonts w:cs="Arial"/>
        </w:rPr>
      </w:pPr>
      <w:r>
        <w:t xml:space="preserve">Internationally, there have been cases of </w:t>
      </w:r>
      <w:r w:rsidR="00856C9B">
        <w:t>biopiracy</w:t>
      </w:r>
      <w:r w:rsidR="00EC279D">
        <w:t>. There is concern that such risks exist in Australia.</w:t>
      </w:r>
      <w:r w:rsidR="00295CBD">
        <w:t xml:space="preserve"> </w:t>
      </w:r>
      <w:r w:rsidR="00B634A6">
        <w:t xml:space="preserve">For example, there are concerns over the possibility of </w:t>
      </w:r>
      <w:r w:rsidR="00856C9B">
        <w:t xml:space="preserve">colonisation of genes by government entities and health organisations. In 1984 the Hagahai people from Papua New Guinea made contact with the outside world to request medical help. American anthropologist, Carol Jenkins, assisted and took blood samples for diagnosis and provided the Hagahai with medicine. </w:t>
      </w:r>
      <w:r w:rsidR="00B4323E">
        <w:t xml:space="preserve">Jenkins observed </w:t>
      </w:r>
      <w:r w:rsidR="00856C9B">
        <w:t xml:space="preserve">rare genetic characteristics </w:t>
      </w:r>
      <w:r w:rsidR="00B4323E">
        <w:t>in these diagnostic samples</w:t>
      </w:r>
      <w:r w:rsidR="00A0286F">
        <w:t xml:space="preserve"> </w:t>
      </w:r>
      <w:r w:rsidR="00856C9B">
        <w:t>that were resistant to certain types of leukemia. Looking to capitalise on this, the US National Institute of Health patented the donor’s gene line. As a result, the US Government owned the DNA of a non-US Citizen.</w:t>
      </w:r>
      <w:r w:rsidR="00856C9B" w:rsidRPr="00E7622C">
        <w:rPr>
          <w:rFonts w:cs="Arial"/>
        </w:rPr>
        <w:t xml:space="preserve"> </w:t>
      </w:r>
      <w:r w:rsidR="00856C9B" w:rsidRPr="00F61864">
        <w:rPr>
          <w:rFonts w:cs="Arial"/>
        </w:rPr>
        <w:t xml:space="preserve">The patents were removed in response to the public outrage however, this was a discretionary reaction. What concerns </w:t>
      </w:r>
      <w:r w:rsidR="006A14F6">
        <w:rPr>
          <w:rFonts w:cs="Arial"/>
        </w:rPr>
        <w:t>I</w:t>
      </w:r>
      <w:r w:rsidR="00856C9B" w:rsidRPr="00F61864">
        <w:rPr>
          <w:rFonts w:cs="Arial"/>
        </w:rPr>
        <w:t>ndigenous people is that there is no legal recourse for them to require removal from the patent register in circumstances where gene material is patented without their consent</w:t>
      </w:r>
      <w:r w:rsidR="00856C9B">
        <w:rPr>
          <w:rFonts w:cs="Arial"/>
        </w:rPr>
        <w:t xml:space="preserve">. </w:t>
      </w:r>
    </w:p>
    <w:p w14:paraId="311076AC" w14:textId="77777777" w:rsidR="00856C9B" w:rsidRPr="00F67476" w:rsidRDefault="00856C9B" w:rsidP="002B5F46">
      <w:pPr>
        <w:pStyle w:val="Heading3"/>
      </w:pPr>
      <w:bookmarkStart w:id="92" w:name="_Toc118824342"/>
      <w:r w:rsidRPr="00F67476">
        <w:rPr>
          <w:lang w:val="en-AU"/>
        </w:rPr>
        <w:t>Conclusion</w:t>
      </w:r>
      <w:bookmarkEnd w:id="92"/>
    </w:p>
    <w:p w14:paraId="2F95BE11" w14:textId="09452052" w:rsidR="00A658E5" w:rsidRPr="00CC7398" w:rsidRDefault="00856C9B" w:rsidP="002B5F46">
      <w:pPr>
        <w:rPr>
          <w:szCs w:val="20"/>
        </w:rPr>
      </w:pPr>
      <w:r w:rsidRPr="000D458E">
        <w:rPr>
          <w:szCs w:val="20"/>
        </w:rPr>
        <w:t xml:space="preserve">Legislative and common law safeguards against the commercialisation of genetic information in Australia appear to form a strong barrier against potential misuse of </w:t>
      </w:r>
      <w:r w:rsidR="00EC0E42">
        <w:rPr>
          <w:szCs w:val="20"/>
        </w:rPr>
        <w:t xml:space="preserve">Aboriginal and Torres Strait Islander </w:t>
      </w:r>
      <w:r w:rsidRPr="000D458E">
        <w:rPr>
          <w:szCs w:val="20"/>
        </w:rPr>
        <w:t>health related genomic information. Concerns may arise however if “new” processes are invented for detecting Indigenous genomic material</w:t>
      </w:r>
      <w:r w:rsidR="00BF0E02">
        <w:rPr>
          <w:szCs w:val="20"/>
        </w:rPr>
        <w:t xml:space="preserve">. </w:t>
      </w:r>
      <w:r w:rsidR="00406954">
        <w:rPr>
          <w:szCs w:val="20"/>
        </w:rPr>
        <w:t xml:space="preserve">If these processes are patentable, this could </w:t>
      </w:r>
      <w:r w:rsidR="00D062FF">
        <w:rPr>
          <w:szCs w:val="20"/>
        </w:rPr>
        <w:t xml:space="preserve">lead to monopolies </w:t>
      </w:r>
      <w:r w:rsidR="00272ACE">
        <w:rPr>
          <w:szCs w:val="20"/>
        </w:rPr>
        <w:t xml:space="preserve">in which </w:t>
      </w:r>
      <w:r w:rsidR="004D3C25">
        <w:rPr>
          <w:szCs w:val="20"/>
        </w:rPr>
        <w:t>delivery of treatment</w:t>
      </w:r>
      <w:r w:rsidR="001B0B58">
        <w:rPr>
          <w:szCs w:val="20"/>
        </w:rPr>
        <w:t xml:space="preserve"> is</w:t>
      </w:r>
      <w:r w:rsidR="004D3C25">
        <w:rPr>
          <w:szCs w:val="20"/>
        </w:rPr>
        <w:t xml:space="preserve"> </w:t>
      </w:r>
      <w:r w:rsidR="003635E6">
        <w:rPr>
          <w:szCs w:val="20"/>
        </w:rPr>
        <w:t xml:space="preserve">determined by </w:t>
      </w:r>
      <w:r w:rsidR="004D3C25">
        <w:rPr>
          <w:szCs w:val="20"/>
        </w:rPr>
        <w:t>commercial return</w:t>
      </w:r>
      <w:r w:rsidR="00975CE2">
        <w:rPr>
          <w:szCs w:val="20"/>
        </w:rPr>
        <w:t xml:space="preserve"> </w:t>
      </w:r>
      <w:r w:rsidR="003A0E08">
        <w:rPr>
          <w:szCs w:val="20"/>
        </w:rPr>
        <w:t xml:space="preserve">rather than equity and human rights to health care. </w:t>
      </w:r>
      <w:r w:rsidR="00140310">
        <w:rPr>
          <w:szCs w:val="20"/>
        </w:rPr>
        <w:t xml:space="preserve">This could </w:t>
      </w:r>
      <w:r w:rsidRPr="000D458E">
        <w:rPr>
          <w:szCs w:val="20"/>
        </w:rPr>
        <w:t>expand the already widened health gap or shut out</w:t>
      </w:r>
      <w:r w:rsidR="00900C58">
        <w:rPr>
          <w:szCs w:val="20"/>
        </w:rPr>
        <w:t xml:space="preserve"> Aboriginal and Torres Strait Islander peoples </w:t>
      </w:r>
      <w:r w:rsidRPr="000D458E">
        <w:rPr>
          <w:szCs w:val="20"/>
        </w:rPr>
        <w:t xml:space="preserve">who cannot afford such treatment. Australia may seek to resolve these issues by adopting a similar </w:t>
      </w:r>
      <w:r>
        <w:rPr>
          <w:szCs w:val="20"/>
        </w:rPr>
        <w:t xml:space="preserve">morality exclusion or discretion like </w:t>
      </w:r>
      <w:r w:rsidRPr="000D458E">
        <w:rPr>
          <w:szCs w:val="20"/>
        </w:rPr>
        <w:t xml:space="preserve">New Zealand, </w:t>
      </w:r>
      <w:r>
        <w:rPr>
          <w:szCs w:val="20"/>
        </w:rPr>
        <w:t xml:space="preserve">through </w:t>
      </w:r>
      <w:r>
        <w:rPr>
          <w:szCs w:val="20"/>
        </w:rPr>
        <w:lastRenderedPageBreak/>
        <w:t xml:space="preserve">legislative reform, or the introduction of patent guidelines for health researchers involved in the commercialisation stemming from </w:t>
      </w:r>
      <w:r w:rsidR="005A5E12">
        <w:rPr>
          <w:szCs w:val="20"/>
        </w:rPr>
        <w:t xml:space="preserve">Aboriginal and Torres Strait Islander </w:t>
      </w:r>
      <w:r>
        <w:rPr>
          <w:szCs w:val="20"/>
        </w:rPr>
        <w:t>genomic references.</w:t>
      </w:r>
    </w:p>
    <w:p w14:paraId="1DE65BD6" w14:textId="1400BA64" w:rsidR="000520B6" w:rsidRPr="00F67476" w:rsidRDefault="00A34FA0" w:rsidP="002B5F46">
      <w:pPr>
        <w:pStyle w:val="Heading2"/>
        <w:rPr>
          <w:lang w:val="en-AU"/>
        </w:rPr>
      </w:pPr>
      <w:bookmarkStart w:id="93" w:name="_Ref39152767"/>
      <w:bookmarkStart w:id="94" w:name="_Ref39152769"/>
      <w:bookmarkStart w:id="95" w:name="_Ref39152878"/>
      <w:bookmarkStart w:id="96" w:name="_Ref39152883"/>
      <w:bookmarkStart w:id="97" w:name="_Toc118824343"/>
      <w:r w:rsidRPr="00F67476">
        <w:rPr>
          <w:lang w:val="en-AU"/>
        </w:rPr>
        <w:t>Consumer law and consumption of health services</w:t>
      </w:r>
      <w:bookmarkEnd w:id="93"/>
      <w:bookmarkEnd w:id="94"/>
      <w:bookmarkEnd w:id="95"/>
      <w:bookmarkEnd w:id="96"/>
      <w:bookmarkEnd w:id="97"/>
      <w:r w:rsidRPr="00F67476">
        <w:rPr>
          <w:lang w:val="en-AU"/>
        </w:rPr>
        <w:t xml:space="preserve"> </w:t>
      </w:r>
    </w:p>
    <w:p w14:paraId="4F9922CC" w14:textId="18CFE8FA" w:rsidR="00B03417" w:rsidRDefault="009778A8" w:rsidP="00AC73DF">
      <w:bookmarkStart w:id="98" w:name="_Toc36194548"/>
      <w:r>
        <w:t xml:space="preserve">Medical professionals are bound by the </w:t>
      </w:r>
      <w:r w:rsidRPr="00A97E58">
        <w:rPr>
          <w:i/>
          <w:iCs/>
        </w:rPr>
        <w:t>Competition and Consumer Act 2010</w:t>
      </w:r>
      <w:r>
        <w:t xml:space="preserve">, and the Australian Consumer Law </w:t>
      </w:r>
      <w:r w:rsidR="00A97E58">
        <w:t xml:space="preserve">found in schedule 2 of the Act. </w:t>
      </w:r>
      <w:r w:rsidR="009C3A8A">
        <w:t xml:space="preserve">When </w:t>
      </w:r>
      <w:r w:rsidR="00806078">
        <w:t xml:space="preserve">doctors working in private practice treat Aboriginal and Torres Strait Islander patients, </w:t>
      </w:r>
      <w:r w:rsidR="000703CD">
        <w:t>they have certain obligations under this law. This includes when the doctors take samples from patients for diagnostic purposes</w:t>
      </w:r>
      <w:r w:rsidR="000255BD">
        <w:t xml:space="preserve"> using genomic science. </w:t>
      </w:r>
    </w:p>
    <w:p w14:paraId="7B2979EF" w14:textId="42DD2F95" w:rsidR="00E12730" w:rsidRDefault="00E12730" w:rsidP="00AC73DF">
      <w:r>
        <w:rPr>
          <w:noProof/>
        </w:rPr>
        <w:drawing>
          <wp:inline distT="0" distB="0" distL="0" distR="0" wp14:anchorId="3A774CCF" wp14:editId="206B711F">
            <wp:extent cx="4806000" cy="1620000"/>
            <wp:effectExtent l="0" t="0" r="0" b="0"/>
            <wp:docPr id="20" name="Picture 20" descr="Note: this Act will apply where the &quot;consumer&quot; (the patient) is receiving medical services from a doctor. For example, when they visit their GP or a specialist to receive medical care. It may not apply in all circumstances that involve the use or handling of Indigenous genomic samples 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ote: this Act will apply where the &quot;consumer&quot; (the patient) is receiving medical services from a doctor. For example, when they visit their GP or a specialist to receive medical care. It may not apply in all circumstances that involve the use or handling of Indigenous genomic samples or data."/>
                    <pic:cNvPicPr/>
                  </pic:nvPicPr>
                  <pic:blipFill>
                    <a:blip r:embed="rId36"/>
                    <a:stretch>
                      <a:fillRect/>
                    </a:stretch>
                  </pic:blipFill>
                  <pic:spPr>
                    <a:xfrm>
                      <a:off x="0" y="0"/>
                      <a:ext cx="4806000" cy="1620000"/>
                    </a:xfrm>
                    <a:prstGeom prst="rect">
                      <a:avLst/>
                    </a:prstGeom>
                  </pic:spPr>
                </pic:pic>
              </a:graphicData>
            </a:graphic>
          </wp:inline>
        </w:drawing>
      </w:r>
    </w:p>
    <w:p w14:paraId="0C3B3E68" w14:textId="78E52D52" w:rsidR="00DA5E90" w:rsidRPr="00F67476" w:rsidRDefault="00DA5E90" w:rsidP="002B5F46">
      <w:pPr>
        <w:pStyle w:val="Heading3"/>
      </w:pPr>
      <w:bookmarkStart w:id="99" w:name="_Toc118824344"/>
      <w:r w:rsidRPr="00F67476">
        <w:rPr>
          <w:lang w:val="en-AU"/>
        </w:rPr>
        <w:t>Misleading or deceptive conduct</w:t>
      </w:r>
      <w:r w:rsidR="00586CD0" w:rsidRPr="00F67476">
        <w:rPr>
          <w:lang w:val="en-AU"/>
        </w:rPr>
        <w:t xml:space="preserve"> or representations</w:t>
      </w:r>
      <w:bookmarkEnd w:id="99"/>
    </w:p>
    <w:p w14:paraId="6461E79A" w14:textId="79D15D9D" w:rsidR="00586CD0" w:rsidRDefault="00586CD0" w:rsidP="00AC73DF">
      <w:r>
        <w:t xml:space="preserve">Doctors </w:t>
      </w:r>
      <w:r w:rsidR="00C62AB8">
        <w:t xml:space="preserve">must not make false or misleading representations </w:t>
      </w:r>
      <w:r w:rsidR="004762F2">
        <w:t>or statements</w:t>
      </w:r>
      <w:r w:rsidR="00A11E18">
        <w:t>.</w:t>
      </w:r>
      <w:r w:rsidR="001A0C62">
        <w:rPr>
          <w:rStyle w:val="FootnoteReference"/>
        </w:rPr>
        <w:footnoteReference w:id="123"/>
      </w:r>
      <w:r w:rsidR="00A11E18">
        <w:t xml:space="preserve"> </w:t>
      </w:r>
      <w:r w:rsidR="006F302F">
        <w:t xml:space="preserve">The prohibition on </w:t>
      </w:r>
      <w:r w:rsidR="00036D7F">
        <w:t>false or misleading representations includes</w:t>
      </w:r>
      <w:r w:rsidR="00D24C51">
        <w:t xml:space="preserve"> representations that</w:t>
      </w:r>
      <w:r w:rsidR="00036D7F">
        <w:t xml:space="preserve">: </w:t>
      </w:r>
    </w:p>
    <w:p w14:paraId="3742D837" w14:textId="37A46F1A" w:rsidR="00A355F3" w:rsidRDefault="00036D7F" w:rsidP="00D36B3E">
      <w:pPr>
        <w:pStyle w:val="ListBullet"/>
      </w:pPr>
      <w:r>
        <w:t xml:space="preserve">services are of a particular standard, </w:t>
      </w:r>
      <w:r w:rsidR="00A355F3">
        <w:t>quality, value or grade,</w:t>
      </w:r>
    </w:p>
    <w:p w14:paraId="6E31907B" w14:textId="0C8C681D" w:rsidR="00A355F3" w:rsidRDefault="00531AB6" w:rsidP="00D36B3E">
      <w:pPr>
        <w:pStyle w:val="ListBullet"/>
      </w:pPr>
      <w:r>
        <w:t>purport to be a testimonial of any person relating to the service</w:t>
      </w:r>
      <w:r w:rsidR="00144A33">
        <w:t>, or</w:t>
      </w:r>
      <w:r>
        <w:t xml:space="preserve"> </w:t>
      </w:r>
    </w:p>
    <w:p w14:paraId="322FF012" w14:textId="14A7443A" w:rsidR="000771D2" w:rsidRDefault="000771D2" w:rsidP="00D36B3E">
      <w:pPr>
        <w:pStyle w:val="ListBullet"/>
      </w:pPr>
      <w:r>
        <w:t xml:space="preserve">the services have sponsorship, approval, </w:t>
      </w:r>
      <w:r w:rsidR="00D24C51">
        <w:t xml:space="preserve">or benefits </w:t>
      </w:r>
    </w:p>
    <w:p w14:paraId="50339414" w14:textId="012A77D9" w:rsidR="00C62AB8" w:rsidRPr="00A11E18" w:rsidRDefault="00C62AB8" w:rsidP="00AC73DF">
      <w:r>
        <w:t>Doctors are also prohibited from engaging in misleading or deceptive conduct, or in conduct likely to misleads or deceive.</w:t>
      </w:r>
      <w:r>
        <w:rPr>
          <w:rStyle w:val="FootnoteReference"/>
        </w:rPr>
        <w:footnoteReference w:id="124"/>
      </w:r>
      <w:r>
        <w:t xml:space="preserve"> This means that doctors must never mislead their patients, for example, about the nature of the procedures recommended or the possible outcomes. </w:t>
      </w:r>
      <w:r w:rsidR="00D507CF">
        <w:t xml:space="preserve">Conduct can be misleading, even when there has not been an actual misrepresentation made. </w:t>
      </w:r>
      <w:r w:rsidR="004F7432">
        <w:t xml:space="preserve">While there is not a general duty of disclosure, case law has certainly recognised that silence </w:t>
      </w:r>
      <w:r w:rsidR="009F677C">
        <w:t xml:space="preserve">in circumstances where matters ought reasonably to be </w:t>
      </w:r>
      <w:r w:rsidR="005E0AD2">
        <w:t>disclosed</w:t>
      </w:r>
      <w:r w:rsidR="009F677C">
        <w:t xml:space="preserve"> </w:t>
      </w:r>
      <w:r w:rsidR="005E0AD2">
        <w:t>can amount to misleading conduct.</w:t>
      </w:r>
      <w:r w:rsidR="005E0AD2">
        <w:rPr>
          <w:rStyle w:val="FootnoteReference"/>
        </w:rPr>
        <w:footnoteReference w:id="125"/>
      </w:r>
    </w:p>
    <w:p w14:paraId="2E13A1D6" w14:textId="614162BC" w:rsidR="00DA5E90" w:rsidRPr="00F67476" w:rsidRDefault="00DA5E90" w:rsidP="002B5F46">
      <w:pPr>
        <w:pStyle w:val="Heading3"/>
      </w:pPr>
      <w:bookmarkStart w:id="100" w:name="_Toc118824345"/>
      <w:r w:rsidRPr="00F67476">
        <w:rPr>
          <w:lang w:val="en-AU"/>
        </w:rPr>
        <w:t>Unconscionable Conduct</w:t>
      </w:r>
      <w:bookmarkEnd w:id="100"/>
    </w:p>
    <w:p w14:paraId="713A376E" w14:textId="244AC632" w:rsidR="00AC16CE" w:rsidRDefault="00AC16CE" w:rsidP="00AC73DF">
      <w:r>
        <w:t>Doc</w:t>
      </w:r>
      <w:r w:rsidR="00B47D29">
        <w:t>tors must not engage in unconscionable conduct.</w:t>
      </w:r>
      <w:r w:rsidR="00B47D29">
        <w:rPr>
          <w:rStyle w:val="FootnoteReference"/>
        </w:rPr>
        <w:footnoteReference w:id="126"/>
      </w:r>
      <w:r w:rsidR="00B47D29">
        <w:t xml:space="preserve"> </w:t>
      </w:r>
      <w:r w:rsidR="00822B49">
        <w:t xml:space="preserve">If unconscionable conduct is alleged, certain factors will be considered. </w:t>
      </w:r>
      <w:r w:rsidR="00291E40">
        <w:t xml:space="preserve">See </w:t>
      </w:r>
      <w:r w:rsidR="00291E40" w:rsidRPr="002B5F46">
        <w:rPr>
          <w:b/>
          <w:bCs/>
        </w:rPr>
        <w:fldChar w:fldCharType="begin"/>
      </w:r>
      <w:r w:rsidR="00291E40" w:rsidRPr="002B5F46">
        <w:rPr>
          <w:b/>
          <w:bCs/>
        </w:rPr>
        <w:instrText xml:space="preserve"> REF _Ref45011478 \h </w:instrText>
      </w:r>
      <w:r w:rsidR="00291E40">
        <w:rPr>
          <w:b/>
          <w:bCs/>
        </w:rPr>
        <w:instrText xml:space="preserve"> \* MERGEFORMAT </w:instrText>
      </w:r>
      <w:r w:rsidR="00291E40" w:rsidRPr="002B5F46">
        <w:rPr>
          <w:b/>
          <w:bCs/>
        </w:rPr>
      </w:r>
      <w:r w:rsidR="00291E40" w:rsidRPr="002B5F46">
        <w:rPr>
          <w:b/>
          <w:bCs/>
        </w:rPr>
        <w:fldChar w:fldCharType="separate"/>
      </w:r>
      <w:r w:rsidR="000B4085" w:rsidRPr="000B4085">
        <w:rPr>
          <w:b/>
          <w:bCs/>
        </w:rPr>
        <w:t xml:space="preserve">Figure </w:t>
      </w:r>
      <w:r w:rsidR="000B4085" w:rsidRPr="000B4085">
        <w:rPr>
          <w:b/>
          <w:bCs/>
          <w:noProof/>
        </w:rPr>
        <w:t>7</w:t>
      </w:r>
      <w:r w:rsidR="00291E40" w:rsidRPr="002B5F46">
        <w:rPr>
          <w:b/>
          <w:bCs/>
        </w:rPr>
        <w:fldChar w:fldCharType="end"/>
      </w:r>
      <w:r w:rsidR="00291E40">
        <w:t xml:space="preserve"> b</w:t>
      </w:r>
      <w:r w:rsidR="00822B49">
        <w:t xml:space="preserve">elow </w:t>
      </w:r>
      <w:r w:rsidR="00EF6E30">
        <w:t xml:space="preserve">for a list of </w:t>
      </w:r>
      <w:r w:rsidR="003D3889">
        <w:t>speculative questions that will be used to decide whether</w:t>
      </w:r>
      <w:r w:rsidR="00B114AD">
        <w:t xml:space="preserve"> conduct has been unconscionable</w:t>
      </w:r>
      <w:r w:rsidR="00A128EA">
        <w:t>.</w:t>
      </w:r>
      <w:r w:rsidR="00F662B2">
        <w:rPr>
          <w:rStyle w:val="FootnoteReference"/>
        </w:rPr>
        <w:footnoteReference w:id="127"/>
      </w:r>
      <w:r w:rsidR="00A128EA">
        <w:t xml:space="preserve"> </w:t>
      </w:r>
    </w:p>
    <w:p w14:paraId="2BD07CAB" w14:textId="36805C1F" w:rsidR="00291E40" w:rsidRDefault="00A233B5" w:rsidP="002B5F46">
      <w:pPr>
        <w:keepNext/>
      </w:pPr>
      <w:r>
        <w:rPr>
          <w:noProof/>
        </w:rPr>
        <w:lastRenderedPageBreak/>
        <w:drawing>
          <wp:inline distT="0" distB="0" distL="0" distR="0" wp14:anchorId="14600307" wp14:editId="4BF6A1C3">
            <wp:extent cx="5731510" cy="3938270"/>
            <wp:effectExtent l="0" t="0" r="2540" b="5080"/>
            <wp:docPr id="2" name="Picture 2" descr="Figure 7: Was the conduct unconscionable? Factors to consider&#10;&#10;Was the conduct unconscionable?&#10;&#10;Was the patient at some kind disadvantage? E.g. was there a language barrier? Did they understand what the procedure was they were consent to?&#10;&#10;Was the patient able to understand any documents they were shown that related to the procedure? E.g. the consent form?&#10;&#10;Did the doctor exert undue influence on the patient? I.e. did the doctor pressure the patient into it?&#10;&#10;Did the doctor deliver medical services to the patient with care and skill consistent with the level of care and skill they use when providing service to other patients?&#10;&#10;Did the doctor disclose all relevant risk of the procedure to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Was the conduct unconscionable? Factors to consider&#10;&#10;Was the conduct unconscionable?&#10;&#10;Was the patient at some kind disadvantage? E.g. was there a language barrier? Did they understand what the procedure was they were consent to?&#10;&#10;Was the patient able to understand any documents they were shown that related to the procedure? E.g. the consent form?&#10;&#10;Did the doctor exert undue influence on the patient? I.e. did the doctor pressure the patient into it?&#10;&#10;Did the doctor deliver medical services to the patient with care and skill consistent with the level of care and skill they use when providing service to other patients?&#10;&#10;Did the doctor disclose all relevant risk of the procedure to the patient?"/>
                    <pic:cNvPicPr/>
                  </pic:nvPicPr>
                  <pic:blipFill>
                    <a:blip r:embed="rId37"/>
                    <a:stretch>
                      <a:fillRect/>
                    </a:stretch>
                  </pic:blipFill>
                  <pic:spPr>
                    <a:xfrm>
                      <a:off x="0" y="0"/>
                      <a:ext cx="5731510" cy="3938270"/>
                    </a:xfrm>
                    <a:prstGeom prst="rect">
                      <a:avLst/>
                    </a:prstGeom>
                  </pic:spPr>
                </pic:pic>
              </a:graphicData>
            </a:graphic>
          </wp:inline>
        </w:drawing>
      </w:r>
    </w:p>
    <w:p w14:paraId="4EA89235" w14:textId="67647E74" w:rsidR="00F662B2" w:rsidRDefault="00291E40" w:rsidP="00D36B3E">
      <w:pPr>
        <w:pStyle w:val="Caption"/>
      </w:pPr>
      <w:bookmarkStart w:id="101" w:name="_Ref45011478"/>
      <w:bookmarkStart w:id="102" w:name="_Ref45011470"/>
      <w:bookmarkStart w:id="103" w:name="_Toc45145519"/>
      <w:r>
        <w:t xml:space="preserve">Figure </w:t>
      </w:r>
      <w:r w:rsidR="003C7152">
        <w:fldChar w:fldCharType="begin"/>
      </w:r>
      <w:r w:rsidR="003C7152">
        <w:instrText xml:space="preserve"> SEQ Figure \* ARABIC </w:instrText>
      </w:r>
      <w:r w:rsidR="003C7152">
        <w:fldChar w:fldCharType="separate"/>
      </w:r>
      <w:r w:rsidR="000B4085">
        <w:rPr>
          <w:noProof/>
        </w:rPr>
        <w:t>7</w:t>
      </w:r>
      <w:r w:rsidR="003C7152">
        <w:rPr>
          <w:noProof/>
        </w:rPr>
        <w:fldChar w:fldCharType="end"/>
      </w:r>
      <w:bookmarkEnd w:id="101"/>
      <w:r>
        <w:t>: Was the conduct unconscionable? Factors to consider</w:t>
      </w:r>
      <w:bookmarkEnd w:id="102"/>
      <w:bookmarkEnd w:id="103"/>
    </w:p>
    <w:bookmarkEnd w:id="98"/>
    <w:p w14:paraId="6A6B7F3F" w14:textId="4D030221" w:rsidR="00B66E0C" w:rsidRDefault="006E08E9" w:rsidP="00AC73DF">
      <w:r>
        <w:t xml:space="preserve">The Australian Consumer law clearly has application </w:t>
      </w:r>
      <w:r w:rsidR="00786233">
        <w:t xml:space="preserve">to Aboriginal and Torres Strait Islander genomics. In discussion with the Advisory Group, </w:t>
      </w:r>
      <w:r w:rsidR="005143B2">
        <w:t xml:space="preserve">it is increasingly common for genomic samples to be taken in a clinical setting for a diagnostic purpose. </w:t>
      </w:r>
      <w:r w:rsidR="00BE1D31">
        <w:t xml:space="preserve">This sample, and the data, may then be retained and used for research at a later date. In these circumstances, </w:t>
      </w:r>
      <w:r w:rsidR="00E443E9">
        <w:t xml:space="preserve">the Australian Consumer Law applies at the moment of collection – when the Aboriginal or Torres Strait Islander patient </w:t>
      </w:r>
      <w:r w:rsidR="00DF3DFB">
        <w:t>is</w:t>
      </w:r>
      <w:r w:rsidR="004C62F9">
        <w:t xml:space="preserve"> in their appointment with their doctor. In those circumstances the doctor must ensure that the delivery of their medical services </w:t>
      </w:r>
      <w:r w:rsidR="00C615E6">
        <w:t xml:space="preserve">is </w:t>
      </w:r>
      <w:r w:rsidR="004C62F9">
        <w:t xml:space="preserve">in line with </w:t>
      </w:r>
      <w:r w:rsidR="002B564C">
        <w:t xml:space="preserve">the conscionability standards detailed </w:t>
      </w:r>
      <w:r w:rsidR="007E6C13">
        <w:t>above and</w:t>
      </w:r>
      <w:r w:rsidR="002B564C">
        <w:t xml:space="preserve"> must disclose all rea</w:t>
      </w:r>
      <w:r w:rsidR="0004477E">
        <w:t>sonable relevant information.</w:t>
      </w:r>
    </w:p>
    <w:p w14:paraId="4E7AFCBA" w14:textId="74169182" w:rsidR="00816A30" w:rsidRDefault="00816A30" w:rsidP="002B5F46">
      <w:pPr>
        <w:pStyle w:val="Heading3"/>
      </w:pPr>
      <w:bookmarkStart w:id="104" w:name="_Toc118824346"/>
      <w:r>
        <w:t xml:space="preserve">State and territory </w:t>
      </w:r>
      <w:r w:rsidR="00566958">
        <w:t>consumer protections</w:t>
      </w:r>
      <w:bookmarkEnd w:id="104"/>
      <w:r w:rsidR="00566958">
        <w:t xml:space="preserve"> </w:t>
      </w:r>
    </w:p>
    <w:p w14:paraId="43F7A47E" w14:textId="45149B2D" w:rsidR="00566958" w:rsidRDefault="00566958" w:rsidP="00AC73DF">
      <w:r>
        <w:t xml:space="preserve">In addition to the national law above, states and territories each have their own </w:t>
      </w:r>
      <w:r w:rsidR="00B63262">
        <w:t>fair-trading</w:t>
      </w:r>
      <w:r>
        <w:t xml:space="preserve"> legislation, that may also apply to health service delivery.</w:t>
      </w:r>
      <w:r w:rsidR="00F5123F">
        <w:t xml:space="preserve"> </w:t>
      </w:r>
      <w:r w:rsidR="00FD550C">
        <w:t xml:space="preserve">Their additional obligations do not contribute a great deal to regulating the </w:t>
      </w:r>
      <w:r w:rsidR="00F5123F">
        <w:t>delivery health services</w:t>
      </w:r>
      <w:r w:rsidR="00FD550C">
        <w:t xml:space="preserve">. </w:t>
      </w:r>
      <w:r w:rsidR="00903DA4">
        <w:t>Nevertheless, s</w:t>
      </w:r>
      <w:r w:rsidR="007E7513">
        <w:t>ee</w:t>
      </w:r>
      <w:r w:rsidR="00903DA4">
        <w:t xml:space="preserve"> </w:t>
      </w:r>
      <w:r w:rsidR="00537F13" w:rsidRPr="002B5F46">
        <w:rPr>
          <w:b/>
          <w:bCs/>
        </w:rPr>
        <w:fldChar w:fldCharType="begin"/>
      </w:r>
      <w:r w:rsidR="00537F13" w:rsidRPr="002B5F46">
        <w:rPr>
          <w:b/>
          <w:bCs/>
        </w:rPr>
        <w:instrText xml:space="preserve"> REF _Ref45011778 \h </w:instrText>
      </w:r>
      <w:r w:rsidR="00537F13">
        <w:rPr>
          <w:b/>
          <w:bCs/>
        </w:rPr>
        <w:instrText xml:space="preserve"> \* MERGEFORMAT </w:instrText>
      </w:r>
      <w:r w:rsidR="00537F13" w:rsidRPr="002B5F46">
        <w:rPr>
          <w:b/>
          <w:bCs/>
        </w:rPr>
      </w:r>
      <w:r w:rsidR="00537F13" w:rsidRPr="002B5F46">
        <w:rPr>
          <w:b/>
          <w:bCs/>
        </w:rPr>
        <w:fldChar w:fldCharType="separate"/>
      </w:r>
      <w:r w:rsidR="000B4085" w:rsidRPr="000B4085">
        <w:rPr>
          <w:b/>
          <w:bCs/>
        </w:rPr>
        <w:t xml:space="preserve">Figure </w:t>
      </w:r>
      <w:r w:rsidR="000B4085" w:rsidRPr="000B4085">
        <w:rPr>
          <w:b/>
          <w:bCs/>
          <w:noProof/>
        </w:rPr>
        <w:t>8</w:t>
      </w:r>
      <w:r w:rsidR="00537F13" w:rsidRPr="002B5F46">
        <w:rPr>
          <w:b/>
          <w:bCs/>
        </w:rPr>
        <w:fldChar w:fldCharType="end"/>
      </w:r>
      <w:r w:rsidR="007E7513">
        <w:t xml:space="preserve"> figure for a summary of the relevant acts</w:t>
      </w:r>
      <w:r w:rsidR="00537F13">
        <w:t>.</w:t>
      </w:r>
    </w:p>
    <w:p w14:paraId="0D34890A" w14:textId="77777777" w:rsidR="00C73BD1" w:rsidRDefault="00C73BD1" w:rsidP="002B5F46">
      <w:pPr>
        <w:keepNext/>
        <w:jc w:val="center"/>
      </w:pPr>
      <w:r>
        <w:rPr>
          <w:noProof/>
        </w:rPr>
        <w:lastRenderedPageBreak/>
        <w:drawing>
          <wp:inline distT="0" distB="0" distL="0" distR="0" wp14:anchorId="7D377F8F" wp14:editId="5E42FD72">
            <wp:extent cx="3708806" cy="3841528"/>
            <wp:effectExtent l="0" t="0" r="6350" b="6985"/>
            <wp:docPr id="31" name="Picture 31" descr="Figure 8: Summary of Fair Trading Laws&#10;&#10;Competition and Consumer Act 2010 (Cth)&#10;Fair Trading Act 1987 (NSW)&#10;ACT Fair Trading Act 1992 (ACT)&#10;Consumer Affairs and Fair Trading Act 1990 (NT)&#10;Fair Trading Act 1989 (QLD)&#10;Fair Trading Act 1987 (SA)&#10;Australian Consumer Law (Tasmania) Act 2010 (TAS)&#10;Australian Consumer Law and Fair Trading Act 2012 (VIC)&#10;Fair Trading Act 2010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8: Summary of Fair Trading Laws&#10;&#10;Competition and Consumer Act 2010 (Cth)&#10;Fair Trading Act 1987 (NSW)&#10;ACT Fair Trading Act 1992 (ACT)&#10;Consumer Affairs and Fair Trading Act 1990 (NT)&#10;Fair Trading Act 1989 (QLD)&#10;Fair Trading Act 1987 (SA)&#10;Australian Consumer Law (Tasmania) Act 2010 (TAS)&#10;Australian Consumer Law and Fair Trading Act 2012 (VIC)&#10;Fair Trading Act 2010 (WA)"/>
                    <pic:cNvPicPr/>
                  </pic:nvPicPr>
                  <pic:blipFill>
                    <a:blip r:embed="rId38"/>
                    <a:stretch>
                      <a:fillRect/>
                    </a:stretch>
                  </pic:blipFill>
                  <pic:spPr>
                    <a:xfrm>
                      <a:off x="0" y="0"/>
                      <a:ext cx="3720443" cy="3853582"/>
                    </a:xfrm>
                    <a:prstGeom prst="rect">
                      <a:avLst/>
                    </a:prstGeom>
                  </pic:spPr>
                </pic:pic>
              </a:graphicData>
            </a:graphic>
          </wp:inline>
        </w:drawing>
      </w:r>
    </w:p>
    <w:p w14:paraId="62E965AB" w14:textId="6F134ED8" w:rsidR="00C73BD1" w:rsidRPr="008E5C92" w:rsidRDefault="00C73BD1" w:rsidP="00D36B3E">
      <w:pPr>
        <w:pStyle w:val="Caption"/>
      </w:pPr>
      <w:bookmarkStart w:id="105" w:name="_Ref45011778"/>
      <w:bookmarkStart w:id="106" w:name="_Toc45145520"/>
      <w:r>
        <w:t xml:space="preserve">Figure </w:t>
      </w:r>
      <w:r w:rsidR="003C7152">
        <w:fldChar w:fldCharType="begin"/>
      </w:r>
      <w:r w:rsidR="003C7152">
        <w:instrText xml:space="preserve"> SEQ Figure \* ARABIC </w:instrText>
      </w:r>
      <w:r w:rsidR="003C7152">
        <w:fldChar w:fldCharType="separate"/>
      </w:r>
      <w:r w:rsidR="000B4085">
        <w:rPr>
          <w:noProof/>
        </w:rPr>
        <w:t>8</w:t>
      </w:r>
      <w:r w:rsidR="003C7152">
        <w:rPr>
          <w:noProof/>
        </w:rPr>
        <w:fldChar w:fldCharType="end"/>
      </w:r>
      <w:bookmarkEnd w:id="105"/>
      <w:r>
        <w:t>:</w:t>
      </w:r>
      <w:r>
        <w:rPr>
          <w:bCs/>
        </w:rPr>
        <w:t xml:space="preserve"> Summary of Fair Trading Laws</w:t>
      </w:r>
      <w:bookmarkEnd w:id="106"/>
    </w:p>
    <w:p w14:paraId="295DE993" w14:textId="472D14FE" w:rsidR="000520B6" w:rsidRPr="00F67476" w:rsidRDefault="000520B6" w:rsidP="002B5F46">
      <w:pPr>
        <w:pStyle w:val="Heading2"/>
        <w:rPr>
          <w:lang w:val="en-AU"/>
        </w:rPr>
      </w:pPr>
      <w:bookmarkStart w:id="107" w:name="_Toc118824347"/>
      <w:r w:rsidRPr="00F67476">
        <w:rPr>
          <w:lang w:val="en-AU"/>
        </w:rPr>
        <w:t>Who controls access to existing genetic material?</w:t>
      </w:r>
      <w:bookmarkEnd w:id="107"/>
      <w:r w:rsidRPr="00F67476">
        <w:rPr>
          <w:lang w:val="en-AU"/>
        </w:rPr>
        <w:t xml:space="preserve"> </w:t>
      </w:r>
    </w:p>
    <w:p w14:paraId="59316EE7" w14:textId="3C64D087" w:rsidR="00F83A29" w:rsidRPr="008E5C92" w:rsidRDefault="003F64E2" w:rsidP="00AC73DF">
      <w:pPr>
        <w:rPr>
          <w:u w:val="single"/>
        </w:rPr>
      </w:pPr>
      <w:r>
        <w:rPr>
          <w:noProof/>
        </w:rPr>
        <w:drawing>
          <wp:inline distT="0" distB="0" distL="0" distR="0" wp14:anchorId="0C8BB77C" wp14:editId="0E9BDA45">
            <wp:extent cx="5731510" cy="1332865"/>
            <wp:effectExtent l="0" t="0" r="2540" b="635"/>
            <wp:docPr id="97" name="Picture 97" descr="Note: The Gene Technology Act 2000 (Cth) regulates certain dealings with certain genetically modified organisms (GMOs) through a licensing system. The Act specifically excludes human genes from the definition of genetically modified organisms, meaning that the Act has no application in the context of the regulation and control of Indigenous genomic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Note: The Gene Technology Act 2000 (Cth) regulates certain dealings with certain genetically modified organisms (GMOs) through a licensing system. The Act specifically excludes human genes from the definition of genetically modified organisms, meaning that the Act has no application in the context of the regulation and control of Indigenous genomic material"/>
                    <pic:cNvPicPr/>
                  </pic:nvPicPr>
                  <pic:blipFill>
                    <a:blip r:embed="rId39"/>
                    <a:stretch>
                      <a:fillRect/>
                    </a:stretch>
                  </pic:blipFill>
                  <pic:spPr>
                    <a:xfrm>
                      <a:off x="0" y="0"/>
                      <a:ext cx="5731510" cy="1332865"/>
                    </a:xfrm>
                    <a:prstGeom prst="rect">
                      <a:avLst/>
                    </a:prstGeom>
                  </pic:spPr>
                </pic:pic>
              </a:graphicData>
            </a:graphic>
          </wp:inline>
        </w:drawing>
      </w:r>
    </w:p>
    <w:p w14:paraId="3727167A" w14:textId="28D25314" w:rsidR="00940264" w:rsidRPr="008E5C92" w:rsidRDefault="005A6B2C" w:rsidP="007E6C13">
      <w:r w:rsidRPr="008E5C92">
        <w:t>For the most part, access to genetic material will be</w:t>
      </w:r>
      <w:r w:rsidR="001D6AD8">
        <w:t xml:space="preserve"> controlled</w:t>
      </w:r>
      <w:r w:rsidRPr="008E5C92">
        <w:t xml:space="preserve"> by whoever holds title over the physical property, and whoever owns the intellectual property in the data. However, </w:t>
      </w:r>
      <w:r w:rsidR="00AF493E" w:rsidRPr="008E5C92">
        <w:t>the use and handling of samples and data is governed by several legislative regimes.</w:t>
      </w:r>
    </w:p>
    <w:p w14:paraId="0FFDDC53" w14:textId="043992FD" w:rsidR="00F16AD6" w:rsidRPr="008E5C92" w:rsidRDefault="008962D0" w:rsidP="00AC73DF">
      <w:r w:rsidRPr="008E5C92">
        <w:t xml:space="preserve">Access to existing genetic data is </w:t>
      </w:r>
      <w:r w:rsidR="00A814B4" w:rsidRPr="008E5C92">
        <w:t xml:space="preserve">primarily </w:t>
      </w:r>
      <w:r w:rsidRPr="008E5C92">
        <w:t xml:space="preserve">regulated through Federal and state </w:t>
      </w:r>
      <w:r w:rsidR="00DF2D3A" w:rsidRPr="008E5C92">
        <w:t xml:space="preserve">privacy laws. See more in </w:t>
      </w:r>
      <w:r w:rsidR="009C4B89">
        <w:rPr>
          <w:b/>
          <w:bCs/>
        </w:rPr>
        <w:t>S</w:t>
      </w:r>
      <w:r w:rsidR="00DF2D3A" w:rsidRPr="008E5C92">
        <w:rPr>
          <w:b/>
          <w:bCs/>
        </w:rPr>
        <w:t xml:space="preserve">ection </w:t>
      </w:r>
      <w:r w:rsidR="00DF2D3A" w:rsidRPr="00A7008D">
        <w:rPr>
          <w:b/>
          <w:bCs/>
          <w:sz w:val="20"/>
        </w:rPr>
        <w:fldChar w:fldCharType="begin"/>
      </w:r>
      <w:r w:rsidR="00DF2D3A" w:rsidRPr="00A7008D">
        <w:rPr>
          <w:b/>
          <w:bCs/>
          <w:sz w:val="20"/>
        </w:rPr>
        <w:instrText xml:space="preserve"> REF _Ref39091888 \r \h  \* MERGEFORMAT </w:instrText>
      </w:r>
      <w:r w:rsidR="00DF2D3A" w:rsidRPr="00A7008D">
        <w:rPr>
          <w:b/>
          <w:bCs/>
          <w:sz w:val="20"/>
        </w:rPr>
      </w:r>
      <w:r w:rsidR="00DF2D3A" w:rsidRPr="00A7008D">
        <w:rPr>
          <w:b/>
          <w:bCs/>
          <w:sz w:val="20"/>
        </w:rPr>
        <w:fldChar w:fldCharType="separate"/>
      </w:r>
      <w:r w:rsidR="000B4085">
        <w:rPr>
          <w:b/>
          <w:bCs/>
          <w:sz w:val="20"/>
        </w:rPr>
        <w:t>5.2</w:t>
      </w:r>
      <w:r w:rsidR="00DF2D3A" w:rsidRPr="00A7008D">
        <w:rPr>
          <w:b/>
          <w:bCs/>
          <w:sz w:val="20"/>
        </w:rPr>
        <w:fldChar w:fldCharType="end"/>
      </w:r>
      <w:r w:rsidR="00DF2D3A" w:rsidRPr="008E5C92">
        <w:rPr>
          <w:b/>
          <w:bCs/>
        </w:rPr>
        <w:t>.</w:t>
      </w:r>
    </w:p>
    <w:p w14:paraId="45137D4C" w14:textId="5AE37152" w:rsidR="0047114C" w:rsidRPr="008E5C92" w:rsidRDefault="00C119BC" w:rsidP="00AC73DF">
      <w:r w:rsidRPr="008E5C92">
        <w:t>The states and territories</w:t>
      </w:r>
      <w:r w:rsidR="000D63B9" w:rsidRPr="008E5C92">
        <w:t xml:space="preserve"> also </w:t>
      </w:r>
      <w:r w:rsidR="005E3B32" w:rsidRPr="008E5C92">
        <w:t xml:space="preserve">have legislation </w:t>
      </w:r>
      <w:r w:rsidR="00EF57FE" w:rsidRPr="008E5C92">
        <w:t xml:space="preserve">which </w:t>
      </w:r>
      <w:r w:rsidR="00722951" w:rsidRPr="008E5C92">
        <w:t>regulates tissue procurement</w:t>
      </w:r>
      <w:r w:rsidR="00FD6F7E" w:rsidRPr="008E5C92">
        <w:t xml:space="preserve"> and supply</w:t>
      </w:r>
      <w:r w:rsidR="00937549" w:rsidRPr="008E5C92">
        <w:t>, which could be relevant to control of access to the physical samples</w:t>
      </w:r>
      <w:r w:rsidR="00722951" w:rsidRPr="008E5C92">
        <w:t>.</w:t>
      </w:r>
      <w:r w:rsidR="00FD6F7E" w:rsidRPr="008E5C92">
        <w:t xml:space="preserve"> Below is a table of the relevant </w:t>
      </w:r>
      <w:r w:rsidR="0026045E" w:rsidRPr="008E5C92">
        <w:t>legislation.</w:t>
      </w:r>
    </w:p>
    <w:p w14:paraId="0474EFE6" w14:textId="67B96CCA" w:rsidR="00DF14A9" w:rsidRDefault="00DF14A9" w:rsidP="00D36B3E">
      <w:pPr>
        <w:pStyle w:val="Caption"/>
      </w:pPr>
      <w:r>
        <w:t xml:space="preserve">Table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6</w:t>
      </w:r>
      <w:r w:rsidRPr="00A7008D">
        <w:rPr>
          <w:sz w:val="20"/>
        </w:rPr>
        <w:fldChar w:fldCharType="end"/>
      </w:r>
      <w:r>
        <w:t xml:space="preserve">: </w:t>
      </w:r>
      <w:r w:rsidRPr="002B5F46">
        <w:t>State and territory regimes for human tissue procurement</w:t>
      </w:r>
    </w:p>
    <w:tbl>
      <w:tblPr>
        <w:tblStyle w:val="GridTable1Light"/>
        <w:tblW w:w="0" w:type="auto"/>
        <w:tblLook w:val="04A0" w:firstRow="1" w:lastRow="0" w:firstColumn="1" w:lastColumn="0" w:noHBand="0" w:noVBand="1"/>
        <w:tblCaption w:val="State and territory regimes for human tissue procurement"/>
        <w:tblDescription w:val="Table 6: State and territory regimes for human tissue procurement"/>
      </w:tblPr>
      <w:tblGrid>
        <w:gridCol w:w="2972"/>
        <w:gridCol w:w="6044"/>
      </w:tblGrid>
      <w:tr w:rsidR="00AE728C" w:rsidRPr="00D36B3E" w14:paraId="0A8D65CE" w14:textId="77777777" w:rsidTr="00D36B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3AEB0ADD" w14:textId="6E8A0643" w:rsidR="00AE728C" w:rsidRPr="00D36B3E" w:rsidRDefault="00AE728C" w:rsidP="00D36B3E">
            <w:r w:rsidRPr="00D36B3E">
              <w:t>State or Territory</w:t>
            </w:r>
          </w:p>
        </w:tc>
        <w:tc>
          <w:tcPr>
            <w:tcW w:w="6044" w:type="dxa"/>
          </w:tcPr>
          <w:p w14:paraId="660C8D16" w14:textId="506A051E" w:rsidR="00AE728C" w:rsidRPr="00D36B3E" w:rsidRDefault="00AE728C" w:rsidP="00D36B3E">
            <w:pPr>
              <w:cnfStyle w:val="100000000000" w:firstRow="1" w:lastRow="0" w:firstColumn="0" w:lastColumn="0" w:oddVBand="0" w:evenVBand="0" w:oddHBand="0" w:evenHBand="0" w:firstRowFirstColumn="0" w:firstRowLastColumn="0" w:lastRowFirstColumn="0" w:lastRowLastColumn="0"/>
            </w:pPr>
            <w:r w:rsidRPr="00D36B3E">
              <w:t>Act or Regulation</w:t>
            </w:r>
          </w:p>
        </w:tc>
      </w:tr>
      <w:tr w:rsidR="00722951" w:rsidRPr="00D36B3E" w14:paraId="00DD0B58"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5C75AC7F" w14:textId="2DBE3A4A" w:rsidR="00722951" w:rsidRPr="00D36B3E" w:rsidRDefault="00722951" w:rsidP="00D36B3E">
            <w:r w:rsidRPr="00D36B3E">
              <w:t>New South Wales</w:t>
            </w:r>
          </w:p>
        </w:tc>
        <w:tc>
          <w:tcPr>
            <w:tcW w:w="6044" w:type="dxa"/>
          </w:tcPr>
          <w:p w14:paraId="29677415" w14:textId="62CEFC1B" w:rsidR="00722951" w:rsidRPr="00D36B3E" w:rsidRDefault="00722951" w:rsidP="00D36B3E">
            <w:pPr>
              <w:cnfStyle w:val="000000000000" w:firstRow="0" w:lastRow="0" w:firstColumn="0" w:lastColumn="0" w:oddVBand="0" w:evenVBand="0" w:oddHBand="0" w:evenHBand="0" w:firstRowFirstColumn="0" w:firstRowLastColumn="0" w:lastRowFirstColumn="0" w:lastRowLastColumn="0"/>
            </w:pPr>
            <w:r w:rsidRPr="00D36B3E">
              <w:t>Human Tissue Act 1983</w:t>
            </w:r>
          </w:p>
        </w:tc>
      </w:tr>
      <w:tr w:rsidR="00722951" w:rsidRPr="00D36B3E" w14:paraId="711FEA99"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343F8CD2" w14:textId="445590D1" w:rsidR="00722951" w:rsidRPr="00D36B3E" w:rsidRDefault="00722951" w:rsidP="00D36B3E">
            <w:r w:rsidRPr="00D36B3E">
              <w:lastRenderedPageBreak/>
              <w:t xml:space="preserve">Victoria </w:t>
            </w:r>
          </w:p>
        </w:tc>
        <w:tc>
          <w:tcPr>
            <w:tcW w:w="6044" w:type="dxa"/>
          </w:tcPr>
          <w:p w14:paraId="050A2451" w14:textId="1918E503" w:rsidR="00722951" w:rsidRPr="00D36B3E" w:rsidRDefault="00722951" w:rsidP="00D36B3E">
            <w:pPr>
              <w:cnfStyle w:val="000000000000" w:firstRow="0" w:lastRow="0" w:firstColumn="0" w:lastColumn="0" w:oddVBand="0" w:evenVBand="0" w:oddHBand="0" w:evenHBand="0" w:firstRowFirstColumn="0" w:firstRowLastColumn="0" w:lastRowFirstColumn="0" w:lastRowLastColumn="0"/>
            </w:pPr>
            <w:r w:rsidRPr="00D36B3E">
              <w:t>Human Tissue Act 1982; Human Tissue (prescribed Institutions) Regulation 2006</w:t>
            </w:r>
          </w:p>
        </w:tc>
      </w:tr>
      <w:tr w:rsidR="00722951" w:rsidRPr="00D36B3E" w14:paraId="2BB20F88"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5E8AC91E" w14:textId="6E46CED5" w:rsidR="00722951" w:rsidRPr="00D36B3E" w:rsidRDefault="00722951" w:rsidP="00D36B3E">
            <w:r w:rsidRPr="00D36B3E">
              <w:t xml:space="preserve">Queensland </w:t>
            </w:r>
          </w:p>
        </w:tc>
        <w:tc>
          <w:tcPr>
            <w:tcW w:w="6044" w:type="dxa"/>
          </w:tcPr>
          <w:p w14:paraId="0D525C78" w14:textId="2A363E2F" w:rsidR="00722951" w:rsidRPr="00D36B3E" w:rsidRDefault="00722951" w:rsidP="00D36B3E">
            <w:pPr>
              <w:cnfStyle w:val="000000000000" w:firstRow="0" w:lastRow="0" w:firstColumn="0" w:lastColumn="0" w:oddVBand="0" w:evenVBand="0" w:oddHBand="0" w:evenHBand="0" w:firstRowFirstColumn="0" w:firstRowLastColumn="0" w:lastRowFirstColumn="0" w:lastRowLastColumn="0"/>
            </w:pPr>
            <w:r w:rsidRPr="00D36B3E">
              <w:t>Transplantation and Anatomy Act 1979</w:t>
            </w:r>
          </w:p>
        </w:tc>
      </w:tr>
      <w:tr w:rsidR="00722951" w:rsidRPr="00D36B3E" w14:paraId="07D7FD15"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01BB93BB" w14:textId="0CB74E57" w:rsidR="00722951" w:rsidRPr="00D36B3E" w:rsidRDefault="00722951" w:rsidP="00D36B3E">
            <w:r w:rsidRPr="00D36B3E">
              <w:t xml:space="preserve">South Australia </w:t>
            </w:r>
          </w:p>
        </w:tc>
        <w:tc>
          <w:tcPr>
            <w:tcW w:w="6044" w:type="dxa"/>
          </w:tcPr>
          <w:p w14:paraId="141F1792" w14:textId="132EE6FD" w:rsidR="00722951" w:rsidRPr="00D36B3E" w:rsidRDefault="001A3452" w:rsidP="00D36B3E">
            <w:pPr>
              <w:cnfStyle w:val="000000000000" w:firstRow="0" w:lastRow="0" w:firstColumn="0" w:lastColumn="0" w:oddVBand="0" w:evenVBand="0" w:oddHBand="0" w:evenHBand="0" w:firstRowFirstColumn="0" w:firstRowLastColumn="0" w:lastRowFirstColumn="0" w:lastRowLastColumn="0"/>
            </w:pPr>
            <w:r w:rsidRPr="00D36B3E">
              <w:t>Transplantation and Anatomy Act 1983</w:t>
            </w:r>
          </w:p>
        </w:tc>
      </w:tr>
      <w:tr w:rsidR="00722951" w:rsidRPr="00D36B3E" w14:paraId="541FD71E"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3B08EDE9" w14:textId="2413050D" w:rsidR="00722951" w:rsidRPr="00D36B3E" w:rsidRDefault="00722951" w:rsidP="00D36B3E">
            <w:r w:rsidRPr="00D36B3E">
              <w:t xml:space="preserve">Western Australia </w:t>
            </w:r>
          </w:p>
        </w:tc>
        <w:tc>
          <w:tcPr>
            <w:tcW w:w="6044" w:type="dxa"/>
          </w:tcPr>
          <w:p w14:paraId="609BCD4C" w14:textId="5DD3BD35" w:rsidR="00722951" w:rsidRPr="00D36B3E" w:rsidRDefault="001A3452" w:rsidP="00D36B3E">
            <w:pPr>
              <w:cnfStyle w:val="000000000000" w:firstRow="0" w:lastRow="0" w:firstColumn="0" w:lastColumn="0" w:oddVBand="0" w:evenVBand="0" w:oddHBand="0" w:evenHBand="0" w:firstRowFirstColumn="0" w:firstRowLastColumn="0" w:lastRowFirstColumn="0" w:lastRowLastColumn="0"/>
            </w:pPr>
            <w:r w:rsidRPr="00D36B3E">
              <w:t>Human Tissue and Transplant Act 1982</w:t>
            </w:r>
          </w:p>
        </w:tc>
      </w:tr>
      <w:tr w:rsidR="00722951" w:rsidRPr="00D36B3E" w14:paraId="24173C41"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648C7310" w14:textId="0E219A53" w:rsidR="00722951" w:rsidRPr="00D36B3E" w:rsidRDefault="00722951" w:rsidP="00D36B3E">
            <w:r w:rsidRPr="00D36B3E">
              <w:t xml:space="preserve">Tasmania </w:t>
            </w:r>
          </w:p>
        </w:tc>
        <w:tc>
          <w:tcPr>
            <w:tcW w:w="6044" w:type="dxa"/>
          </w:tcPr>
          <w:p w14:paraId="7B270C7E" w14:textId="3F0BDA19" w:rsidR="00722951" w:rsidRPr="00D36B3E" w:rsidRDefault="00F05772" w:rsidP="00D36B3E">
            <w:pPr>
              <w:cnfStyle w:val="000000000000" w:firstRow="0" w:lastRow="0" w:firstColumn="0" w:lastColumn="0" w:oddVBand="0" w:evenVBand="0" w:oddHBand="0" w:evenHBand="0" w:firstRowFirstColumn="0" w:firstRowLastColumn="0" w:lastRowFirstColumn="0" w:lastRowLastColumn="0"/>
            </w:pPr>
            <w:r w:rsidRPr="00D36B3E">
              <w:t>Human Tissue Act 1985</w:t>
            </w:r>
          </w:p>
        </w:tc>
      </w:tr>
      <w:tr w:rsidR="00722951" w:rsidRPr="00D36B3E" w14:paraId="7ACF279C"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2FE7A8D0" w14:textId="21F24FE0" w:rsidR="00722951" w:rsidRPr="00D36B3E" w:rsidRDefault="00722951" w:rsidP="00D36B3E">
            <w:r w:rsidRPr="00D36B3E">
              <w:t xml:space="preserve">Northern Territory </w:t>
            </w:r>
          </w:p>
        </w:tc>
        <w:tc>
          <w:tcPr>
            <w:tcW w:w="6044" w:type="dxa"/>
          </w:tcPr>
          <w:p w14:paraId="6543F306" w14:textId="53F2DB92" w:rsidR="00722951" w:rsidRPr="00D36B3E" w:rsidRDefault="007765F2" w:rsidP="00D36B3E">
            <w:pPr>
              <w:cnfStyle w:val="000000000000" w:firstRow="0" w:lastRow="0" w:firstColumn="0" w:lastColumn="0" w:oddVBand="0" w:evenVBand="0" w:oddHBand="0" w:evenHBand="0" w:firstRowFirstColumn="0" w:firstRowLastColumn="0" w:lastRowFirstColumn="0" w:lastRowLastColumn="0"/>
            </w:pPr>
            <w:r w:rsidRPr="00D36B3E">
              <w:t xml:space="preserve">Transplantation </w:t>
            </w:r>
            <w:r w:rsidR="007D58FB" w:rsidRPr="00D36B3E">
              <w:t xml:space="preserve">and Anatomy </w:t>
            </w:r>
            <w:r w:rsidRPr="00D36B3E">
              <w:t>Act 19</w:t>
            </w:r>
            <w:r w:rsidR="00256CF3" w:rsidRPr="00D36B3E">
              <w:t>79</w:t>
            </w:r>
          </w:p>
        </w:tc>
      </w:tr>
      <w:tr w:rsidR="00722951" w:rsidRPr="00D36B3E" w14:paraId="19E98B08"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19826ED9" w14:textId="5E876F08" w:rsidR="00722951" w:rsidRPr="00D36B3E" w:rsidRDefault="00722951" w:rsidP="00D36B3E">
            <w:r w:rsidRPr="00D36B3E">
              <w:t xml:space="preserve">Australian Capital Territory </w:t>
            </w:r>
          </w:p>
        </w:tc>
        <w:tc>
          <w:tcPr>
            <w:tcW w:w="6044" w:type="dxa"/>
          </w:tcPr>
          <w:p w14:paraId="3BE34C0E" w14:textId="18A79C39" w:rsidR="00722951" w:rsidRPr="00D36B3E" w:rsidRDefault="00DA264C" w:rsidP="00D36B3E">
            <w:pPr>
              <w:cnfStyle w:val="000000000000" w:firstRow="0" w:lastRow="0" w:firstColumn="0" w:lastColumn="0" w:oddVBand="0" w:evenVBand="0" w:oddHBand="0" w:evenHBand="0" w:firstRowFirstColumn="0" w:firstRowLastColumn="0" w:lastRowFirstColumn="0" w:lastRowLastColumn="0"/>
            </w:pPr>
            <w:r w:rsidRPr="00D36B3E">
              <w:t xml:space="preserve">Transplantation and Anatomy Act 1978 </w:t>
            </w:r>
          </w:p>
        </w:tc>
      </w:tr>
    </w:tbl>
    <w:p w14:paraId="4E72EA4D" w14:textId="0B75BD5B" w:rsidR="000D63B9" w:rsidRPr="008E5C92" w:rsidRDefault="005739D7" w:rsidP="009531F1">
      <w:pPr>
        <w:spacing w:before="240"/>
      </w:pPr>
      <w:r w:rsidRPr="008E5C92">
        <w:t xml:space="preserve">The Acts </w:t>
      </w:r>
      <w:r w:rsidR="00503562" w:rsidRPr="008E5C92">
        <w:t>set the parameter</w:t>
      </w:r>
      <w:r w:rsidR="009927AE" w:rsidRPr="008E5C92">
        <w:t>s</w:t>
      </w:r>
      <w:r w:rsidR="00503562" w:rsidRPr="008E5C92">
        <w:t xml:space="preserve"> for </w:t>
      </w:r>
      <w:r w:rsidR="009927AE" w:rsidRPr="008E5C92">
        <w:t xml:space="preserve">obtaining </w:t>
      </w:r>
      <w:r w:rsidR="00503562" w:rsidRPr="008E5C92">
        <w:t>consent</w:t>
      </w:r>
      <w:r w:rsidR="009927AE" w:rsidRPr="008E5C92">
        <w:t xml:space="preserve"> to take samples</w:t>
      </w:r>
      <w:r w:rsidR="00A224E8" w:rsidRPr="008E5C92">
        <w:t xml:space="preserve">, </w:t>
      </w:r>
      <w:r w:rsidR="0062160E" w:rsidRPr="008E5C92">
        <w:t>when samples can be taken in the absence of consent or from a deceased person,</w:t>
      </w:r>
      <w:r w:rsidR="00274165" w:rsidRPr="008E5C92">
        <w:t xml:space="preserve"> </w:t>
      </w:r>
      <w:r w:rsidR="0003003E" w:rsidRPr="008E5C92">
        <w:t xml:space="preserve">and </w:t>
      </w:r>
      <w:r w:rsidR="0062160E" w:rsidRPr="008E5C92">
        <w:t xml:space="preserve">regulation of </w:t>
      </w:r>
      <w:r w:rsidR="0003003E" w:rsidRPr="008E5C92">
        <w:t xml:space="preserve">businesses </w:t>
      </w:r>
      <w:r w:rsidR="009D32F8" w:rsidRPr="008E5C92">
        <w:t xml:space="preserve">authorised to </w:t>
      </w:r>
      <w:r w:rsidR="00B2755B" w:rsidRPr="008E5C92">
        <w:t>handle or supply samples.</w:t>
      </w:r>
      <w:r w:rsidR="00AA13DB" w:rsidRPr="008E5C92">
        <w:t xml:space="preserve"> There are some prohibitions on the trading of tissue</w:t>
      </w:r>
      <w:r w:rsidR="00411117" w:rsidRPr="008E5C92">
        <w:t>. They are generally struct</w:t>
      </w:r>
      <w:r w:rsidR="002B2845">
        <w:t>ur</w:t>
      </w:r>
      <w:r w:rsidR="00411117" w:rsidRPr="008E5C92">
        <w:t xml:space="preserve">ed so that there is a general prohibition on the sale of tissue, </w:t>
      </w:r>
      <w:r w:rsidR="005006EC" w:rsidRPr="008E5C92">
        <w:t xml:space="preserve">that prohibition is subject to certain exceptions, for example, </w:t>
      </w:r>
      <w:r w:rsidR="00031B25" w:rsidRPr="008E5C92">
        <w:t xml:space="preserve">if the tissue has been subject to processing and has been </w:t>
      </w:r>
      <w:r w:rsidR="00AE64D2" w:rsidRPr="008E5C92">
        <w:t xml:space="preserve">made for use </w:t>
      </w:r>
      <w:r w:rsidR="002043B0" w:rsidRPr="008E5C92">
        <w:t>for therap</w:t>
      </w:r>
      <w:r w:rsidR="00D74981" w:rsidRPr="008E5C92">
        <w:t>eutic, medical or scientific purposes.</w:t>
      </w:r>
      <w:r w:rsidR="00D74981" w:rsidRPr="008E5C92">
        <w:rPr>
          <w:rStyle w:val="FootnoteReference"/>
        </w:rPr>
        <w:footnoteReference w:id="128"/>
      </w:r>
    </w:p>
    <w:p w14:paraId="4C6E5A31" w14:textId="5E871566" w:rsidR="00AF493E" w:rsidRPr="00F67476" w:rsidRDefault="00AF493E" w:rsidP="002B5F46">
      <w:pPr>
        <w:pStyle w:val="Heading3"/>
      </w:pPr>
      <w:bookmarkStart w:id="108" w:name="_Toc118824348"/>
      <w:r w:rsidRPr="00F67476">
        <w:rPr>
          <w:lang w:val="en-AU"/>
        </w:rPr>
        <w:t xml:space="preserve">Access </w:t>
      </w:r>
      <w:r w:rsidR="004337B7" w:rsidRPr="00F67476">
        <w:rPr>
          <w:lang w:val="en-AU"/>
        </w:rPr>
        <w:t>of law enforcement to data</w:t>
      </w:r>
      <w:bookmarkEnd w:id="108"/>
    </w:p>
    <w:p w14:paraId="21D0FA54" w14:textId="77777777" w:rsidR="00041670" w:rsidRPr="008E5C92" w:rsidRDefault="00041670" w:rsidP="00AC73DF">
      <w:r w:rsidRPr="008E5C92">
        <w:t xml:space="preserve">One of the key recommendations of the Australian Law Reform Commission’s 2003 report was that </w:t>
      </w:r>
    </w:p>
    <w:p w14:paraId="69203876" w14:textId="77777777" w:rsidR="00041670" w:rsidRPr="00420F50" w:rsidRDefault="00041670" w:rsidP="00FF0989">
      <w:pPr>
        <w:pStyle w:val="Quote"/>
      </w:pPr>
      <w:r w:rsidRPr="00420F50">
        <w:t>a new criminal offence should be created to prohibit an individual or a corporation from submitting another person’s sample for genetic testing or conducting such testing, knowing (or recklessly indifferent to the fact) that this is done without the consent of the person concerned or other lawful authority.</w:t>
      </w:r>
      <w:r w:rsidRPr="00420F50">
        <w:rPr>
          <w:rStyle w:val="FootnoteReference"/>
          <w:iCs/>
          <w:szCs w:val="20"/>
        </w:rPr>
        <w:footnoteReference w:id="129"/>
      </w:r>
      <w:r w:rsidRPr="00420F50">
        <w:t xml:space="preserve"> </w:t>
      </w:r>
    </w:p>
    <w:p w14:paraId="1422FFCE" w14:textId="3EEDFAF7" w:rsidR="00041670" w:rsidRPr="008E5C92" w:rsidRDefault="00041670" w:rsidP="00AC73DF">
      <w:r w:rsidRPr="008E5C92">
        <w:t>It does not appear that this amendment was ever made.</w:t>
      </w:r>
    </w:p>
    <w:p w14:paraId="282DE524" w14:textId="32D07B87" w:rsidR="001D3CBF" w:rsidRPr="008E5C92" w:rsidRDefault="001D3CBF" w:rsidP="00AC73DF">
      <w:r w:rsidRPr="008E5C92">
        <w:t xml:space="preserve">The Commonwealth has a DNA database </w:t>
      </w:r>
      <w:r w:rsidR="003A0565" w:rsidRPr="008E5C92">
        <w:t xml:space="preserve">– the National Criminal Investigation DNA Database (NCIDD) </w:t>
      </w:r>
      <w:r w:rsidR="002A4C03" w:rsidRPr="008E5C92">
        <w:t xml:space="preserve">for law enforcement purposes. </w:t>
      </w:r>
      <w:r w:rsidR="00E764DE" w:rsidRPr="008E5C92">
        <w:t xml:space="preserve">The Commonwealth also has a </w:t>
      </w:r>
      <w:r w:rsidR="001A701C" w:rsidRPr="008E5C92">
        <w:t>Disaster Victim Identification database (DVI Database)</w:t>
      </w:r>
      <w:r w:rsidR="006E7AF3" w:rsidRPr="008E5C92">
        <w:t>.</w:t>
      </w:r>
      <w:r w:rsidR="0084407A" w:rsidRPr="008E5C92">
        <w:rPr>
          <w:rStyle w:val="FootnoteReference"/>
        </w:rPr>
        <w:t xml:space="preserve"> </w:t>
      </w:r>
      <w:r w:rsidR="0084407A" w:rsidRPr="008E5C92">
        <w:rPr>
          <w:rStyle w:val="FootnoteReference"/>
        </w:rPr>
        <w:footnoteReference w:id="130"/>
      </w:r>
      <w:r w:rsidR="006E7AF3" w:rsidRPr="008E5C92">
        <w:t xml:space="preserve"> </w:t>
      </w:r>
      <w:r w:rsidR="00641D42" w:rsidRPr="008E5C92">
        <w:t xml:space="preserve">Both </w:t>
      </w:r>
      <w:r w:rsidR="0084407A" w:rsidRPr="008E5C92">
        <w:t>systems are operated by the Australian Criminal Intelligence Commission.</w:t>
      </w:r>
      <w:r w:rsidR="0084407A" w:rsidRPr="008E5C92">
        <w:rPr>
          <w:rStyle w:val="FootnoteReference"/>
        </w:rPr>
        <w:footnoteReference w:id="131"/>
      </w:r>
      <w:r w:rsidR="0084407A" w:rsidRPr="008E5C92">
        <w:t xml:space="preserve"> </w:t>
      </w:r>
      <w:r w:rsidR="007E6A92" w:rsidRPr="008E5C92">
        <w:t>The NCIDD has more than 1.2 million DNA profiles and is available 24</w:t>
      </w:r>
      <w:r w:rsidR="001A1FC0" w:rsidRPr="008E5C92">
        <w:t xml:space="preserve"> </w:t>
      </w:r>
      <w:r w:rsidR="007E6A92" w:rsidRPr="008E5C92">
        <w:t xml:space="preserve">hours 7 days a week to all Australian police agencies. </w:t>
      </w:r>
      <w:r w:rsidR="007D13D1" w:rsidRPr="008E5C92">
        <w:t xml:space="preserve">The </w:t>
      </w:r>
      <w:r w:rsidR="007D13D1" w:rsidRPr="008E5C92">
        <w:lastRenderedPageBreak/>
        <w:t xml:space="preserve">samples were collected by Australian </w:t>
      </w:r>
      <w:r w:rsidR="00527D1B" w:rsidRPr="008E5C92">
        <w:t>police from crime scenes, convicted offenders, suspects, volunteers, items belonging to missing persons, and unknown deceased persons.</w:t>
      </w:r>
      <w:r w:rsidR="009D3FCB" w:rsidRPr="008E5C92">
        <w:rPr>
          <w:rStyle w:val="FootnoteReference"/>
        </w:rPr>
        <w:footnoteReference w:id="132"/>
      </w:r>
      <w:r w:rsidR="00527D1B" w:rsidRPr="008E5C92">
        <w:t xml:space="preserve"> </w:t>
      </w:r>
    </w:p>
    <w:p w14:paraId="34E6BE1A" w14:textId="1D621D1F" w:rsidR="009B72B3" w:rsidRPr="008E5C92" w:rsidRDefault="009B72B3" w:rsidP="00AC73DF">
      <w:r w:rsidRPr="008E5C92">
        <w:t>Several people we spoke to also expressed concern that the police could compel a researcher to give the</w:t>
      </w:r>
      <w:r w:rsidR="00750985" w:rsidRPr="008E5C92">
        <w:t xml:space="preserve">m access to </w:t>
      </w:r>
      <w:r w:rsidR="00D87829" w:rsidRPr="008E5C92">
        <w:t>samples or data</w:t>
      </w:r>
      <w:r w:rsidR="00385F27">
        <w:t xml:space="preserve"> within their possession</w:t>
      </w:r>
      <w:r w:rsidR="00D87829" w:rsidRPr="008E5C92">
        <w:t xml:space="preserve">. </w:t>
      </w:r>
      <w:r w:rsidR="00F47F84" w:rsidRPr="008E5C92">
        <w:t xml:space="preserve">The </w:t>
      </w:r>
      <w:r w:rsidR="00F47F84" w:rsidRPr="008E5C92">
        <w:rPr>
          <w:i/>
        </w:rPr>
        <w:t>Crimes Act (Cth)</w:t>
      </w:r>
      <w:r w:rsidR="00F47F84" w:rsidRPr="008E5C92">
        <w:t xml:space="preserve"> has some provision for warrants, but </w:t>
      </w:r>
      <w:r w:rsidR="001D1E3B" w:rsidRPr="008E5C92">
        <w:t xml:space="preserve">they are also governed by individual state and territory legislation. </w:t>
      </w:r>
      <w:r w:rsidR="005B4690" w:rsidRPr="008E5C92">
        <w:t xml:space="preserve">This does seem to be a possibility, given that the terms as drafted (though they vary from state to state) were not drafted to exclude </w:t>
      </w:r>
      <w:r w:rsidR="00B76111" w:rsidRPr="008E5C92">
        <w:t xml:space="preserve">searches that include </w:t>
      </w:r>
      <w:r w:rsidR="00DA3085" w:rsidRPr="008E5C92">
        <w:t xml:space="preserve">genomic data. </w:t>
      </w:r>
    </w:p>
    <w:p w14:paraId="7E4BEF1E" w14:textId="4E5DFB80" w:rsidR="00F22F58" w:rsidRPr="008E5C92" w:rsidRDefault="00385F27" w:rsidP="00AC73DF">
      <w:r>
        <w:t xml:space="preserve">See </w:t>
      </w:r>
      <w:r w:rsidR="001216F1" w:rsidRPr="002B5F46">
        <w:rPr>
          <w:b/>
          <w:bCs/>
        </w:rPr>
        <w:fldChar w:fldCharType="begin"/>
      </w:r>
      <w:r w:rsidR="001216F1" w:rsidRPr="002B5F46">
        <w:rPr>
          <w:b/>
          <w:bCs/>
        </w:rPr>
        <w:instrText xml:space="preserve"> REF _Ref45014329 \h </w:instrText>
      </w:r>
      <w:r w:rsidR="001216F1">
        <w:rPr>
          <w:b/>
          <w:bCs/>
        </w:rPr>
        <w:instrText xml:space="preserve"> \* MERGEFORMAT </w:instrText>
      </w:r>
      <w:r w:rsidR="001216F1" w:rsidRPr="002B5F46">
        <w:rPr>
          <w:b/>
          <w:bCs/>
        </w:rPr>
      </w:r>
      <w:r w:rsidR="001216F1" w:rsidRPr="002B5F46">
        <w:rPr>
          <w:b/>
          <w:bCs/>
        </w:rPr>
        <w:fldChar w:fldCharType="separate"/>
      </w:r>
      <w:r w:rsidR="000B4085" w:rsidRPr="000B4085">
        <w:rPr>
          <w:b/>
          <w:bCs/>
        </w:rPr>
        <w:t xml:space="preserve">Table </w:t>
      </w:r>
      <w:r w:rsidR="000B4085" w:rsidRPr="000B4085">
        <w:rPr>
          <w:b/>
          <w:bCs/>
          <w:noProof/>
          <w:sz w:val="20"/>
        </w:rPr>
        <w:t>7</w:t>
      </w:r>
      <w:r w:rsidR="001216F1" w:rsidRPr="002B5F46">
        <w:rPr>
          <w:b/>
          <w:bCs/>
        </w:rPr>
        <w:fldChar w:fldCharType="end"/>
      </w:r>
      <w:r>
        <w:t xml:space="preserve"> </w:t>
      </w:r>
      <w:r w:rsidR="00D97D8C">
        <w:t xml:space="preserve">for a summary </w:t>
      </w:r>
      <w:r w:rsidR="00F22F58" w:rsidRPr="008E5C92">
        <w:t xml:space="preserve">of the relevant </w:t>
      </w:r>
      <w:r w:rsidR="00BD04F4">
        <w:t>state</w:t>
      </w:r>
      <w:r w:rsidR="00EF1F40">
        <w:t xml:space="preserve"> </w:t>
      </w:r>
      <w:r w:rsidR="00F22F58" w:rsidRPr="008E5C92">
        <w:t>legislation.</w:t>
      </w:r>
    </w:p>
    <w:p w14:paraId="06B23A5D" w14:textId="7EFDA55C" w:rsidR="00DF14A9" w:rsidRDefault="00DF14A9" w:rsidP="00D36B3E">
      <w:pPr>
        <w:pStyle w:val="Caption"/>
      </w:pPr>
      <w:bookmarkStart w:id="109" w:name="_Ref45014329"/>
      <w:r>
        <w:t xml:space="preserve">Table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7</w:t>
      </w:r>
      <w:r w:rsidRPr="00A7008D">
        <w:rPr>
          <w:sz w:val="20"/>
        </w:rPr>
        <w:fldChar w:fldCharType="end"/>
      </w:r>
      <w:bookmarkEnd w:id="109"/>
      <w:r>
        <w:t xml:space="preserve">: </w:t>
      </w:r>
      <w:r w:rsidRPr="002B5F46">
        <w:t xml:space="preserve">Legislation relevant to access </w:t>
      </w:r>
      <w:r w:rsidR="00BB5A26">
        <w:t>by</w:t>
      </w:r>
      <w:r w:rsidR="00BB5A26" w:rsidRPr="002B5F46">
        <w:t xml:space="preserve"> </w:t>
      </w:r>
      <w:r w:rsidRPr="002B5F46">
        <w:t>law enforcement to data</w:t>
      </w:r>
    </w:p>
    <w:tbl>
      <w:tblPr>
        <w:tblStyle w:val="GridTable1Light"/>
        <w:tblW w:w="0" w:type="auto"/>
        <w:tblLook w:val="04A0" w:firstRow="1" w:lastRow="0" w:firstColumn="1" w:lastColumn="0" w:noHBand="0" w:noVBand="1"/>
        <w:tblCaption w:val="Legislation relevant to access by law enforcement to data"/>
        <w:tblDescription w:val="Table 7: Legislation relevant to access by law enforcement to data"/>
      </w:tblPr>
      <w:tblGrid>
        <w:gridCol w:w="2972"/>
        <w:gridCol w:w="6044"/>
      </w:tblGrid>
      <w:tr w:rsidR="00297CBF" w14:paraId="56B31044" w14:textId="77777777" w:rsidTr="00D36B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0964D2CA" w14:textId="2BD5AA29" w:rsidR="00297CBF" w:rsidRPr="008E5C92" w:rsidRDefault="00297CBF" w:rsidP="00AC73DF">
            <w:pPr>
              <w:rPr>
                <w:b w:val="0"/>
              </w:rPr>
            </w:pPr>
            <w:r>
              <w:t>State or Territory</w:t>
            </w:r>
          </w:p>
        </w:tc>
        <w:tc>
          <w:tcPr>
            <w:tcW w:w="6044" w:type="dxa"/>
          </w:tcPr>
          <w:p w14:paraId="7BF73B83" w14:textId="3F495E45" w:rsidR="00297CBF" w:rsidRPr="0032654A" w:rsidRDefault="00297CBF" w:rsidP="00AC73DF">
            <w:pPr>
              <w:cnfStyle w:val="100000000000" w:firstRow="1" w:lastRow="0" w:firstColumn="0" w:lastColumn="0" w:oddVBand="0" w:evenVBand="0" w:oddHBand="0" w:evenHBand="0" w:firstRowFirstColumn="0" w:firstRowLastColumn="0" w:lastRowFirstColumn="0" w:lastRowLastColumn="0"/>
              <w:rPr>
                <w:b w:val="0"/>
                <w:bCs w:val="0"/>
                <w:iCs/>
              </w:rPr>
            </w:pPr>
            <w:r>
              <w:rPr>
                <w:iCs/>
              </w:rPr>
              <w:t>Legislation</w:t>
            </w:r>
          </w:p>
        </w:tc>
      </w:tr>
      <w:tr w:rsidR="00F22F58" w14:paraId="5C29BF10"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42214E0E" w14:textId="77777777" w:rsidR="00F22F58" w:rsidRPr="008E5C92" w:rsidRDefault="00F22F58" w:rsidP="00AC73DF">
            <w:pPr>
              <w:rPr>
                <w:b w:val="0"/>
              </w:rPr>
            </w:pPr>
            <w:r w:rsidRPr="008E5C92">
              <w:t>New South Wales</w:t>
            </w:r>
          </w:p>
        </w:tc>
        <w:tc>
          <w:tcPr>
            <w:tcW w:w="6044" w:type="dxa"/>
          </w:tcPr>
          <w:p w14:paraId="12BC482E" w14:textId="12783D3C" w:rsidR="00F22F58" w:rsidRPr="008E5C92" w:rsidRDefault="0020436C" w:rsidP="00AC73DF">
            <w:pPr>
              <w:cnfStyle w:val="000000000000" w:firstRow="0" w:lastRow="0" w:firstColumn="0" w:lastColumn="0" w:oddVBand="0" w:evenVBand="0" w:oddHBand="0" w:evenHBand="0" w:firstRowFirstColumn="0" w:firstRowLastColumn="0" w:lastRowFirstColumn="0" w:lastRowLastColumn="0"/>
              <w:rPr>
                <w:i/>
              </w:rPr>
            </w:pPr>
            <w:r w:rsidRPr="008E5C92">
              <w:rPr>
                <w:i/>
              </w:rPr>
              <w:t>Law Enforcement (Powers and Responsibilities) Act 2002</w:t>
            </w:r>
          </w:p>
        </w:tc>
      </w:tr>
      <w:tr w:rsidR="00F22F58" w14:paraId="373AC97F"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4893A50D" w14:textId="77777777" w:rsidR="00F22F58" w:rsidRPr="008E5C92" w:rsidRDefault="00F22F58" w:rsidP="00AC73DF">
            <w:pPr>
              <w:rPr>
                <w:b w:val="0"/>
              </w:rPr>
            </w:pPr>
            <w:r w:rsidRPr="008E5C92">
              <w:t xml:space="preserve">Victoria </w:t>
            </w:r>
          </w:p>
        </w:tc>
        <w:tc>
          <w:tcPr>
            <w:tcW w:w="6044" w:type="dxa"/>
          </w:tcPr>
          <w:p w14:paraId="632FAE33" w14:textId="606DF1D3" w:rsidR="00F22F58" w:rsidRPr="008E5C92" w:rsidRDefault="0020436C" w:rsidP="00AC73DF">
            <w:pPr>
              <w:cnfStyle w:val="000000000000" w:firstRow="0" w:lastRow="0" w:firstColumn="0" w:lastColumn="0" w:oddVBand="0" w:evenVBand="0" w:oddHBand="0" w:evenHBand="0" w:firstRowFirstColumn="0" w:firstRowLastColumn="0" w:lastRowFirstColumn="0" w:lastRowLastColumn="0"/>
              <w:rPr>
                <w:i/>
              </w:rPr>
            </w:pPr>
            <w:r w:rsidRPr="008E5C92">
              <w:rPr>
                <w:i/>
              </w:rPr>
              <w:t xml:space="preserve">Crimes Act 1958; Magistrates Court Act 1989; </w:t>
            </w:r>
            <w:r w:rsidR="0070755E" w:rsidRPr="008E5C92">
              <w:rPr>
                <w:i/>
              </w:rPr>
              <w:t>Terrorism (Community Protection) Act 2003</w:t>
            </w:r>
          </w:p>
        </w:tc>
      </w:tr>
      <w:tr w:rsidR="00F22F58" w14:paraId="7AC68A9D"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6550E759" w14:textId="77777777" w:rsidR="00F22F58" w:rsidRPr="008E5C92" w:rsidRDefault="00F22F58" w:rsidP="00AC73DF">
            <w:pPr>
              <w:rPr>
                <w:b w:val="0"/>
              </w:rPr>
            </w:pPr>
            <w:r w:rsidRPr="008E5C92">
              <w:t xml:space="preserve">Queensland </w:t>
            </w:r>
          </w:p>
        </w:tc>
        <w:tc>
          <w:tcPr>
            <w:tcW w:w="6044" w:type="dxa"/>
          </w:tcPr>
          <w:p w14:paraId="6BC835D8" w14:textId="4CB1B5B0" w:rsidR="00F22F58" w:rsidRPr="008E5C92" w:rsidRDefault="0020436C" w:rsidP="00AC73DF">
            <w:pPr>
              <w:cnfStyle w:val="000000000000" w:firstRow="0" w:lastRow="0" w:firstColumn="0" w:lastColumn="0" w:oddVBand="0" w:evenVBand="0" w:oddHBand="0" w:evenHBand="0" w:firstRowFirstColumn="0" w:firstRowLastColumn="0" w:lastRowFirstColumn="0" w:lastRowLastColumn="0"/>
              <w:rPr>
                <w:i/>
              </w:rPr>
            </w:pPr>
            <w:r w:rsidRPr="008E5C92">
              <w:rPr>
                <w:i/>
              </w:rPr>
              <w:t xml:space="preserve">Police Powers and Responsibilities Act 2000 </w:t>
            </w:r>
          </w:p>
        </w:tc>
      </w:tr>
      <w:tr w:rsidR="00F22F58" w14:paraId="515C64A2"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2DC09FA6" w14:textId="77777777" w:rsidR="00F22F58" w:rsidRPr="008E5C92" w:rsidRDefault="00F22F58" w:rsidP="00AC73DF">
            <w:pPr>
              <w:rPr>
                <w:b w:val="0"/>
              </w:rPr>
            </w:pPr>
            <w:r w:rsidRPr="008E5C92">
              <w:t xml:space="preserve">South Australia </w:t>
            </w:r>
          </w:p>
        </w:tc>
        <w:tc>
          <w:tcPr>
            <w:tcW w:w="6044" w:type="dxa"/>
          </w:tcPr>
          <w:p w14:paraId="51B96B76" w14:textId="7BD8B636" w:rsidR="00F22F58" w:rsidRPr="008E5C92" w:rsidRDefault="00FC141B" w:rsidP="00AC73DF">
            <w:pPr>
              <w:cnfStyle w:val="000000000000" w:firstRow="0" w:lastRow="0" w:firstColumn="0" w:lastColumn="0" w:oddVBand="0" w:evenVBand="0" w:oddHBand="0" w:evenHBand="0" w:firstRowFirstColumn="0" w:firstRowLastColumn="0" w:lastRowFirstColumn="0" w:lastRowLastColumn="0"/>
              <w:rPr>
                <w:i/>
              </w:rPr>
            </w:pPr>
            <w:r w:rsidRPr="008E5C92">
              <w:rPr>
                <w:i/>
              </w:rPr>
              <w:t>Summary Offences Act 1953; Criminal Assets Confiscation Act 2005; Criminal Investigation (Extraterritorial Offences) Act 1984</w:t>
            </w:r>
          </w:p>
        </w:tc>
      </w:tr>
      <w:tr w:rsidR="00F22F58" w14:paraId="0CF6D1D3"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608D81BA" w14:textId="77777777" w:rsidR="00F22F58" w:rsidRPr="008E5C92" w:rsidRDefault="00F22F58" w:rsidP="00AC73DF">
            <w:pPr>
              <w:rPr>
                <w:b w:val="0"/>
              </w:rPr>
            </w:pPr>
            <w:r w:rsidRPr="008E5C92">
              <w:t xml:space="preserve">Western Australia </w:t>
            </w:r>
          </w:p>
        </w:tc>
        <w:tc>
          <w:tcPr>
            <w:tcW w:w="6044" w:type="dxa"/>
          </w:tcPr>
          <w:p w14:paraId="2FB6A579" w14:textId="45AC1432" w:rsidR="00F22F58" w:rsidRPr="008E5C92" w:rsidRDefault="0070755E" w:rsidP="00AC73DF">
            <w:pPr>
              <w:cnfStyle w:val="000000000000" w:firstRow="0" w:lastRow="0" w:firstColumn="0" w:lastColumn="0" w:oddVBand="0" w:evenVBand="0" w:oddHBand="0" w:evenHBand="0" w:firstRowFirstColumn="0" w:firstRowLastColumn="0" w:lastRowFirstColumn="0" w:lastRowLastColumn="0"/>
              <w:rPr>
                <w:i/>
              </w:rPr>
            </w:pPr>
            <w:r w:rsidRPr="008E5C92">
              <w:rPr>
                <w:i/>
              </w:rPr>
              <w:t xml:space="preserve">Criminal Investigation Act 2006; Misuse of Drugs Act 1981; </w:t>
            </w:r>
            <w:r w:rsidR="00705CE4" w:rsidRPr="008E5C92">
              <w:rPr>
                <w:i/>
              </w:rPr>
              <w:t>Criminal Property Confiscation Act 2000; Firearms Act 1973</w:t>
            </w:r>
            <w:r w:rsidR="004F2D31" w:rsidRPr="008E5C92">
              <w:rPr>
                <w:i/>
              </w:rPr>
              <w:t>; Weapons Act 1999</w:t>
            </w:r>
          </w:p>
        </w:tc>
      </w:tr>
      <w:tr w:rsidR="00F22F58" w14:paraId="18D272AB"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73DC4E56" w14:textId="77777777" w:rsidR="00F22F58" w:rsidRPr="008E5C92" w:rsidRDefault="00F22F58" w:rsidP="00AC73DF">
            <w:pPr>
              <w:rPr>
                <w:b w:val="0"/>
              </w:rPr>
            </w:pPr>
            <w:r w:rsidRPr="008E5C92">
              <w:t xml:space="preserve">Tasmania </w:t>
            </w:r>
          </w:p>
        </w:tc>
        <w:tc>
          <w:tcPr>
            <w:tcW w:w="6044" w:type="dxa"/>
          </w:tcPr>
          <w:p w14:paraId="65B62C68" w14:textId="4E8F863F" w:rsidR="00F22F58" w:rsidRPr="008E5C92" w:rsidRDefault="004956AF" w:rsidP="00AC73DF">
            <w:pPr>
              <w:cnfStyle w:val="000000000000" w:firstRow="0" w:lastRow="0" w:firstColumn="0" w:lastColumn="0" w:oddVBand="0" w:evenVBand="0" w:oddHBand="0" w:evenHBand="0" w:firstRowFirstColumn="0" w:firstRowLastColumn="0" w:lastRowFirstColumn="0" w:lastRowLastColumn="0"/>
              <w:rPr>
                <w:i/>
              </w:rPr>
            </w:pPr>
            <w:r w:rsidRPr="008E5C92">
              <w:rPr>
                <w:i/>
              </w:rPr>
              <w:t xml:space="preserve">Search Warrants Act 1997 </w:t>
            </w:r>
          </w:p>
        </w:tc>
      </w:tr>
      <w:tr w:rsidR="00F22F58" w14:paraId="147000C5"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5C85B847" w14:textId="77777777" w:rsidR="00F22F58" w:rsidRPr="008E5C92" w:rsidRDefault="00F22F58" w:rsidP="00AC73DF">
            <w:pPr>
              <w:rPr>
                <w:b w:val="0"/>
              </w:rPr>
            </w:pPr>
            <w:r w:rsidRPr="008E5C92">
              <w:t xml:space="preserve">Northern Territory </w:t>
            </w:r>
          </w:p>
        </w:tc>
        <w:tc>
          <w:tcPr>
            <w:tcW w:w="6044" w:type="dxa"/>
          </w:tcPr>
          <w:p w14:paraId="10FB5170" w14:textId="1D80AD20" w:rsidR="00F22F58" w:rsidRPr="008E5C92" w:rsidRDefault="00E6630F" w:rsidP="00AC73DF">
            <w:pPr>
              <w:cnfStyle w:val="000000000000" w:firstRow="0" w:lastRow="0" w:firstColumn="0" w:lastColumn="0" w:oddVBand="0" w:evenVBand="0" w:oddHBand="0" w:evenHBand="0" w:firstRowFirstColumn="0" w:firstRowLastColumn="0" w:lastRowFirstColumn="0" w:lastRowLastColumn="0"/>
              <w:rPr>
                <w:i/>
              </w:rPr>
            </w:pPr>
            <w:r w:rsidRPr="008E5C92">
              <w:rPr>
                <w:i/>
              </w:rPr>
              <w:t>Police Administration Act</w:t>
            </w:r>
            <w:r w:rsidR="008E6DCD" w:rsidRPr="008E5C92">
              <w:rPr>
                <w:i/>
              </w:rPr>
              <w:t xml:space="preserve"> </w:t>
            </w:r>
            <w:r w:rsidR="00406730" w:rsidRPr="008E5C92">
              <w:rPr>
                <w:i/>
              </w:rPr>
              <w:t>1978</w:t>
            </w:r>
            <w:r w:rsidR="008E6DCD" w:rsidRPr="008E5C92">
              <w:rPr>
                <w:i/>
              </w:rPr>
              <w:t xml:space="preserve"> </w:t>
            </w:r>
          </w:p>
        </w:tc>
      </w:tr>
      <w:tr w:rsidR="00F22F58" w14:paraId="5F0A494A" w14:textId="77777777" w:rsidTr="00D36B3E">
        <w:tc>
          <w:tcPr>
            <w:cnfStyle w:val="001000000000" w:firstRow="0" w:lastRow="0" w:firstColumn="1" w:lastColumn="0" w:oddVBand="0" w:evenVBand="0" w:oddHBand="0" w:evenHBand="0" w:firstRowFirstColumn="0" w:firstRowLastColumn="0" w:lastRowFirstColumn="0" w:lastRowLastColumn="0"/>
            <w:tcW w:w="2972" w:type="dxa"/>
          </w:tcPr>
          <w:p w14:paraId="27DA3932" w14:textId="77777777" w:rsidR="00F22F58" w:rsidRPr="008E5C92" w:rsidRDefault="00F22F58" w:rsidP="00AC73DF">
            <w:pPr>
              <w:rPr>
                <w:b w:val="0"/>
              </w:rPr>
            </w:pPr>
            <w:r w:rsidRPr="008E5C92">
              <w:t xml:space="preserve">Australian Capital Territory </w:t>
            </w:r>
          </w:p>
        </w:tc>
        <w:tc>
          <w:tcPr>
            <w:tcW w:w="6044" w:type="dxa"/>
          </w:tcPr>
          <w:p w14:paraId="79D0EC68" w14:textId="7E3A3E68" w:rsidR="00F22F58" w:rsidRPr="008E5C92" w:rsidRDefault="00DE691B" w:rsidP="00AC73DF">
            <w:pPr>
              <w:cnfStyle w:val="000000000000" w:firstRow="0" w:lastRow="0" w:firstColumn="0" w:lastColumn="0" w:oddVBand="0" w:evenVBand="0" w:oddHBand="0" w:evenHBand="0" w:firstRowFirstColumn="0" w:firstRowLastColumn="0" w:lastRowFirstColumn="0" w:lastRowLastColumn="0"/>
              <w:rPr>
                <w:i/>
              </w:rPr>
            </w:pPr>
            <w:r w:rsidRPr="008E5C92">
              <w:rPr>
                <w:i/>
              </w:rPr>
              <w:t>Crimes Act 19</w:t>
            </w:r>
            <w:r w:rsidR="00D33AFA" w:rsidRPr="008E5C92">
              <w:rPr>
                <w:i/>
              </w:rPr>
              <w:t xml:space="preserve">00 </w:t>
            </w:r>
          </w:p>
        </w:tc>
      </w:tr>
    </w:tbl>
    <w:p w14:paraId="5AA2E7AC" w14:textId="77777777" w:rsidR="00861907" w:rsidRPr="00F67476" w:rsidRDefault="00861907" w:rsidP="002B5F46">
      <w:pPr>
        <w:pStyle w:val="Heading3"/>
      </w:pPr>
      <w:bookmarkStart w:id="110" w:name="_Ref45038951"/>
      <w:bookmarkStart w:id="111" w:name="_Toc118824349"/>
      <w:r w:rsidRPr="00F67476">
        <w:rPr>
          <w:lang w:val="en-AU"/>
        </w:rPr>
        <w:t>Can researchers access Aboriginal and Torres Strait Islander samples in museum collections?</w:t>
      </w:r>
      <w:bookmarkEnd w:id="110"/>
      <w:bookmarkEnd w:id="111"/>
      <w:r w:rsidRPr="00F67476">
        <w:rPr>
          <w:lang w:val="en-AU"/>
        </w:rPr>
        <w:t xml:space="preserve"> </w:t>
      </w:r>
    </w:p>
    <w:p w14:paraId="369E9152" w14:textId="65567E2A" w:rsidR="00861907" w:rsidRDefault="00861907" w:rsidP="00861907">
      <w:r>
        <w:t xml:space="preserve">Genomic researchers may consider the possibility of accessing genomic samples kept in museum collections. Museums can vary in their legal </w:t>
      </w:r>
      <w:r w:rsidR="009E0DE6">
        <w:t>structure</w:t>
      </w:r>
      <w:r>
        <w:t>. They can be privately owned, a state government entity, or a Commonwealth government entity.</w:t>
      </w:r>
    </w:p>
    <w:p w14:paraId="7C39B67A" w14:textId="4232FFDA" w:rsidR="00861907" w:rsidRDefault="00861907" w:rsidP="00861907">
      <w:r>
        <w:t xml:space="preserve">Whatever their particular legal structure, museum collection items, including items that contain the genetic material of Aboriginal or Torres Strait Islander peoples, are generally the legal property of that museum. However, this might not always be the case, and particular </w:t>
      </w:r>
      <w:r>
        <w:lastRenderedPageBreak/>
        <w:t>items might not be owned by the museum outright. For example, legal title to a collection item might be held by someone else, who has agreed to let the museum take custody of the item.</w:t>
      </w:r>
      <w:r w:rsidRPr="00354011">
        <w:t xml:space="preserve"> </w:t>
      </w:r>
      <w:r>
        <w:t>At any rate, any researcher wanting to access collection items must negotiate with the museum. Museums are likely to have their own internal policies and procedures for handling such requests.</w:t>
      </w:r>
    </w:p>
    <w:p w14:paraId="4D1A4F4B" w14:textId="398E2BEE" w:rsidR="00861907" w:rsidRDefault="00861907" w:rsidP="00861907">
      <w:r>
        <w:t>Australia has a complicated framework of cultural heritage laws. However, the cultural heritage laws that do exist, focus mostly on cultural heritage sites, or access movable or intangible cultural heritage via access to cultural heritage places. Generally, they have no direct application to items already within a museum collection.</w:t>
      </w:r>
    </w:p>
    <w:p w14:paraId="44026DDE" w14:textId="1C265653" w:rsidR="00034134" w:rsidRPr="001E66C0" w:rsidRDefault="00861907" w:rsidP="00737EC5">
      <w:pPr>
        <w:rPr>
          <w:noProof/>
          <w:sz w:val="20"/>
        </w:rPr>
      </w:pPr>
      <w:r>
        <w:t>Nevertheless, there are sections within cultural heritage legislation, that could relate directly or indirectly to cultural heritage held in museum collection. See</w:t>
      </w:r>
      <w:r w:rsidR="003C38CB">
        <w:t xml:space="preserve"> Table </w:t>
      </w:r>
      <w:r w:rsidR="00252A65">
        <w:t>8 below.</w:t>
      </w:r>
      <w:bookmarkStart w:id="112" w:name="_Ref45014839"/>
    </w:p>
    <w:p w14:paraId="566147E4" w14:textId="536B0356" w:rsidR="009B41D3" w:rsidRDefault="009B41D3" w:rsidP="00D36B3E">
      <w:pPr>
        <w:pStyle w:val="Caption"/>
      </w:pPr>
      <w:r>
        <w:t xml:space="preserve">Table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8</w:t>
      </w:r>
      <w:r w:rsidRPr="00A7008D">
        <w:rPr>
          <w:sz w:val="20"/>
        </w:rPr>
        <w:fldChar w:fldCharType="end"/>
      </w:r>
      <w:bookmarkEnd w:id="112"/>
      <w:r>
        <w:t xml:space="preserve">: </w:t>
      </w:r>
      <w:r w:rsidRPr="002B5F46">
        <w:t xml:space="preserve">Summary of relevant </w:t>
      </w:r>
      <w:r w:rsidRPr="00D36B3E">
        <w:t>cultural</w:t>
      </w:r>
      <w:r w:rsidRPr="002B5F46">
        <w:t xml:space="preserve"> heritage law provisions</w:t>
      </w:r>
    </w:p>
    <w:tbl>
      <w:tblPr>
        <w:tblStyle w:val="GridTable1Light"/>
        <w:tblW w:w="0" w:type="auto"/>
        <w:tblLook w:val="0420" w:firstRow="1" w:lastRow="0" w:firstColumn="0" w:lastColumn="0" w:noHBand="0" w:noVBand="1"/>
        <w:tblCaption w:val="Summary of relevant cultural heritage law provisions"/>
        <w:tblDescription w:val="Table 8: Summary of relevant cultural heritage law provisions"/>
      </w:tblPr>
      <w:tblGrid>
        <w:gridCol w:w="2408"/>
        <w:gridCol w:w="6608"/>
      </w:tblGrid>
      <w:tr w:rsidR="00CC7554" w:rsidRPr="0047692B" w14:paraId="10A5F5A4" w14:textId="77777777" w:rsidTr="00D36B3E">
        <w:trPr>
          <w:cnfStyle w:val="100000000000" w:firstRow="1" w:lastRow="0" w:firstColumn="0" w:lastColumn="0" w:oddVBand="0" w:evenVBand="0" w:oddHBand="0" w:evenHBand="0" w:firstRowFirstColumn="0" w:firstRowLastColumn="0" w:lastRowFirstColumn="0" w:lastRowLastColumn="0"/>
          <w:trHeight w:val="383"/>
          <w:tblHeader/>
        </w:trPr>
        <w:tc>
          <w:tcPr>
            <w:tcW w:w="2410" w:type="dxa"/>
          </w:tcPr>
          <w:p w14:paraId="52D152E4" w14:textId="6D96635B" w:rsidR="00CC7554" w:rsidRPr="0032654A" w:rsidRDefault="00CC7554" w:rsidP="005B17B6">
            <w:pPr>
              <w:rPr>
                <w:b w:val="0"/>
              </w:rPr>
            </w:pPr>
            <w:r>
              <w:t>Laws</w:t>
            </w:r>
          </w:p>
        </w:tc>
        <w:tc>
          <w:tcPr>
            <w:tcW w:w="6616" w:type="dxa"/>
          </w:tcPr>
          <w:p w14:paraId="7779A46E" w14:textId="3BFB6D7C" w:rsidR="00CC7554" w:rsidRPr="00CC7554" w:rsidRDefault="00CC7554" w:rsidP="005B17B6">
            <w:pPr>
              <w:rPr>
                <w:b w:val="0"/>
              </w:rPr>
            </w:pPr>
            <w:r>
              <w:t>Relevant</w:t>
            </w:r>
            <w:r w:rsidR="00435050">
              <w:t xml:space="preserve"> Provisions</w:t>
            </w:r>
          </w:p>
        </w:tc>
      </w:tr>
      <w:tr w:rsidR="00861907" w:rsidRPr="0047692B" w14:paraId="52696FFC" w14:textId="77777777" w:rsidTr="00D36B3E">
        <w:trPr>
          <w:trHeight w:val="383"/>
        </w:trPr>
        <w:tc>
          <w:tcPr>
            <w:tcW w:w="9026" w:type="dxa"/>
            <w:gridSpan w:val="2"/>
          </w:tcPr>
          <w:p w14:paraId="30193740" w14:textId="77777777" w:rsidR="00861907" w:rsidRPr="008E5C92" w:rsidRDefault="00861907" w:rsidP="005B17B6">
            <w:pPr>
              <w:rPr>
                <w:b/>
              </w:rPr>
            </w:pPr>
            <w:r w:rsidRPr="008E5C92">
              <w:rPr>
                <w:b/>
              </w:rPr>
              <w:t>Federal</w:t>
            </w:r>
          </w:p>
        </w:tc>
      </w:tr>
      <w:tr w:rsidR="00861907" w:rsidRPr="0047692B" w14:paraId="25239A98" w14:textId="77777777" w:rsidTr="00D36B3E">
        <w:trPr>
          <w:trHeight w:val="383"/>
        </w:trPr>
        <w:tc>
          <w:tcPr>
            <w:tcW w:w="2410" w:type="dxa"/>
          </w:tcPr>
          <w:p w14:paraId="31F9F94E" w14:textId="77777777" w:rsidR="00861907" w:rsidRPr="008E5C92" w:rsidRDefault="00861907" w:rsidP="005B17B6">
            <w:pPr>
              <w:rPr>
                <w:i/>
              </w:rPr>
            </w:pPr>
            <w:r w:rsidRPr="008E5C92">
              <w:rPr>
                <w:i/>
              </w:rPr>
              <w:t>Environment Protection and Biodiversity Conservation Act 1999</w:t>
            </w:r>
          </w:p>
        </w:tc>
        <w:tc>
          <w:tcPr>
            <w:tcW w:w="6616" w:type="dxa"/>
          </w:tcPr>
          <w:p w14:paraId="5DDDE83F" w14:textId="77777777" w:rsidR="00861907" w:rsidRPr="008E5C92" w:rsidRDefault="00861907" w:rsidP="005B17B6">
            <w:r w:rsidRPr="008E5C92">
              <w:t>Addresses environmental heritage only</w:t>
            </w:r>
          </w:p>
        </w:tc>
      </w:tr>
      <w:tr w:rsidR="00861907" w:rsidRPr="0047692B" w14:paraId="17BD816F" w14:textId="77777777" w:rsidTr="00D36B3E">
        <w:trPr>
          <w:trHeight w:val="348"/>
        </w:trPr>
        <w:tc>
          <w:tcPr>
            <w:tcW w:w="9026" w:type="dxa"/>
            <w:gridSpan w:val="2"/>
          </w:tcPr>
          <w:p w14:paraId="61EE8DA9" w14:textId="77777777" w:rsidR="00861907" w:rsidRPr="008E5C92" w:rsidRDefault="00861907" w:rsidP="005B17B6">
            <w:pPr>
              <w:rPr>
                <w:b/>
              </w:rPr>
            </w:pPr>
            <w:r w:rsidRPr="008E5C92">
              <w:rPr>
                <w:b/>
              </w:rPr>
              <w:t>Queensland</w:t>
            </w:r>
          </w:p>
        </w:tc>
      </w:tr>
      <w:tr w:rsidR="00861907" w:rsidRPr="0047692B" w14:paraId="21A84CA1" w14:textId="77777777" w:rsidTr="00D36B3E">
        <w:trPr>
          <w:trHeight w:val="348"/>
        </w:trPr>
        <w:tc>
          <w:tcPr>
            <w:tcW w:w="2410" w:type="dxa"/>
          </w:tcPr>
          <w:p w14:paraId="5C1B4E86" w14:textId="77777777" w:rsidR="00861907" w:rsidRPr="008E5C92" w:rsidRDefault="00861907" w:rsidP="005B17B6">
            <w:pPr>
              <w:rPr>
                <w:i/>
              </w:rPr>
            </w:pPr>
            <w:r w:rsidRPr="008E5C92">
              <w:rPr>
                <w:i/>
              </w:rPr>
              <w:t>Aboriginal Cultural Heritage Act 2003</w:t>
            </w:r>
          </w:p>
        </w:tc>
        <w:tc>
          <w:tcPr>
            <w:tcW w:w="6616" w:type="dxa"/>
          </w:tcPr>
          <w:p w14:paraId="1EA0444C" w14:textId="7197AC52" w:rsidR="00861907" w:rsidRPr="0047692B" w:rsidRDefault="00861907" w:rsidP="005B17B6">
            <w:r w:rsidRPr="008E5C92">
              <w:t xml:space="preserve">Section 15 of the Act transfers ownership of all Aboriginal human remains back to the people with the traditional or </w:t>
            </w:r>
            <w:r w:rsidR="00BB3EE0" w:rsidRPr="008E5C92">
              <w:t>familial</w:t>
            </w:r>
            <w:r w:rsidRPr="008E5C92">
              <w:t xml:space="preserve"> link to those remains. Where the human remains are currently held by a state entity (e.g. a state-owned museum) the traditional owners may consent to the museum retaining custody of the remain</w:t>
            </w:r>
            <w:r w:rsidR="00BB3EE0" w:rsidRPr="008E5C92">
              <w:t>s</w:t>
            </w:r>
            <w:r w:rsidRPr="008E5C92">
              <w:t>, or may cho</w:t>
            </w:r>
            <w:r w:rsidR="00496EA1" w:rsidRPr="008E5C92">
              <w:t>o</w:t>
            </w:r>
            <w:r w:rsidRPr="008E5C92">
              <w:t xml:space="preserve">se to have them repatriated (s16). </w:t>
            </w:r>
          </w:p>
          <w:p w14:paraId="0568D461" w14:textId="79175714" w:rsidR="00861907" w:rsidRPr="008E5C92" w:rsidRDefault="00861907" w:rsidP="005B17B6">
            <w:pPr>
              <w:rPr>
                <w:i/>
              </w:rPr>
            </w:pPr>
            <w:r w:rsidRPr="008E5C92">
              <w:t>Where the person holding the remains is not a state government entity, they must</w:t>
            </w:r>
            <w:r w:rsidR="00496EA1" w:rsidRPr="008E5C92">
              <w:t xml:space="preserve"> take</w:t>
            </w:r>
            <w:r w:rsidRPr="008E5C92">
              <w:t xml:space="preserve"> all reasonable steps to turn these remains over to the state’s chief executive as soon as possible (s17).</w:t>
            </w:r>
          </w:p>
        </w:tc>
      </w:tr>
      <w:tr w:rsidR="00861907" w:rsidRPr="0047692B" w14:paraId="68404769" w14:textId="77777777" w:rsidTr="00D36B3E">
        <w:trPr>
          <w:trHeight w:val="348"/>
        </w:trPr>
        <w:tc>
          <w:tcPr>
            <w:tcW w:w="2410" w:type="dxa"/>
          </w:tcPr>
          <w:p w14:paraId="50908997" w14:textId="77777777" w:rsidR="00861907" w:rsidRPr="008E5C92" w:rsidRDefault="00861907" w:rsidP="005B17B6">
            <w:pPr>
              <w:rPr>
                <w:i/>
              </w:rPr>
            </w:pPr>
            <w:r w:rsidRPr="008E5C92">
              <w:rPr>
                <w:i/>
              </w:rPr>
              <w:t>Torres Strait Islander Cultural Heritage Act 2003</w:t>
            </w:r>
          </w:p>
        </w:tc>
        <w:tc>
          <w:tcPr>
            <w:tcW w:w="6616" w:type="dxa"/>
          </w:tcPr>
          <w:p w14:paraId="53FB3C2C" w14:textId="77777777" w:rsidR="00861907" w:rsidRPr="008E5C92" w:rsidRDefault="00861907" w:rsidP="005B17B6">
            <w:r w:rsidRPr="008E5C92">
              <w:t>Identical provisions as those above, though relating to remains of Torres Strait Islander peoples (s15-17)</w:t>
            </w:r>
          </w:p>
        </w:tc>
      </w:tr>
      <w:tr w:rsidR="00861907" w:rsidRPr="0047692B" w14:paraId="0ECC62AE" w14:textId="77777777" w:rsidTr="00D36B3E">
        <w:trPr>
          <w:trHeight w:val="348"/>
        </w:trPr>
        <w:tc>
          <w:tcPr>
            <w:tcW w:w="2410" w:type="dxa"/>
          </w:tcPr>
          <w:p w14:paraId="050088C6" w14:textId="77777777" w:rsidR="00861907" w:rsidRPr="008E5C92" w:rsidRDefault="00861907" w:rsidP="005B17B6">
            <w:pPr>
              <w:rPr>
                <w:i/>
              </w:rPr>
            </w:pPr>
            <w:r w:rsidRPr="008E5C92">
              <w:rPr>
                <w:i/>
              </w:rPr>
              <w:t>Queensland Heritage Act 1992</w:t>
            </w:r>
          </w:p>
        </w:tc>
        <w:tc>
          <w:tcPr>
            <w:tcW w:w="6616" w:type="dxa"/>
          </w:tcPr>
          <w:p w14:paraId="008BD08D" w14:textId="77777777" w:rsidR="00861907" w:rsidRPr="008E5C92" w:rsidRDefault="00861907" w:rsidP="005B17B6">
            <w:r w:rsidRPr="008E5C92">
              <w:t>n/a</w:t>
            </w:r>
          </w:p>
        </w:tc>
      </w:tr>
      <w:tr w:rsidR="00861907" w:rsidRPr="0047692B" w14:paraId="59C7A4DE" w14:textId="77777777" w:rsidTr="00D36B3E">
        <w:trPr>
          <w:trHeight w:val="348"/>
        </w:trPr>
        <w:tc>
          <w:tcPr>
            <w:tcW w:w="9026" w:type="dxa"/>
            <w:gridSpan w:val="2"/>
          </w:tcPr>
          <w:p w14:paraId="51F25C31" w14:textId="77777777" w:rsidR="00861907" w:rsidRPr="008E5C92" w:rsidRDefault="00861907" w:rsidP="005B17B6">
            <w:pPr>
              <w:rPr>
                <w:b/>
              </w:rPr>
            </w:pPr>
            <w:r w:rsidRPr="008E5C92">
              <w:rPr>
                <w:b/>
              </w:rPr>
              <w:t>Northern Territory</w:t>
            </w:r>
          </w:p>
        </w:tc>
      </w:tr>
      <w:tr w:rsidR="00861907" w:rsidRPr="0047692B" w14:paraId="61340498" w14:textId="77777777" w:rsidTr="00D36B3E">
        <w:trPr>
          <w:trHeight w:val="348"/>
        </w:trPr>
        <w:tc>
          <w:tcPr>
            <w:tcW w:w="2410" w:type="dxa"/>
          </w:tcPr>
          <w:p w14:paraId="5B0CD1BB" w14:textId="77777777" w:rsidR="00861907" w:rsidRPr="008E5C92" w:rsidRDefault="00861907" w:rsidP="005B17B6">
            <w:pPr>
              <w:rPr>
                <w:i/>
              </w:rPr>
            </w:pPr>
            <w:r w:rsidRPr="008E5C92">
              <w:rPr>
                <w:i/>
              </w:rPr>
              <w:t>Heritage Act 2011</w:t>
            </w:r>
          </w:p>
        </w:tc>
        <w:tc>
          <w:tcPr>
            <w:tcW w:w="6616" w:type="dxa"/>
          </w:tcPr>
          <w:p w14:paraId="15D6E128" w14:textId="2BF92427" w:rsidR="00861907" w:rsidRPr="0047692B" w:rsidRDefault="00861907" w:rsidP="005B17B6">
            <w:r w:rsidRPr="008E5C92">
              <w:t>Human remains falls into the definition of Aboriginal or Macassan objects (s8(2) &amp; s9). Being a</w:t>
            </w:r>
            <w:r w:rsidR="00841491" w:rsidRPr="008E5C92">
              <w:t>n</w:t>
            </w:r>
            <w:r w:rsidRPr="008E5C92">
              <w:t xml:space="preserve"> Aboriginal or Macassan object, </w:t>
            </w:r>
            <w:r w:rsidRPr="008E5C92">
              <w:lastRenderedPageBreak/>
              <w:t xml:space="preserve">they are automatically designated as heritage objects within the Act (s18). </w:t>
            </w:r>
          </w:p>
          <w:p w14:paraId="6F88766C" w14:textId="6D0BB38E" w:rsidR="00861907" w:rsidRPr="008E5C92" w:rsidRDefault="00861907" w:rsidP="005B17B6">
            <w:r w:rsidRPr="008E5C92">
              <w:t xml:space="preserve">The territory’s Chief Executive Officer must give approval if any heritage object is to be removed from the state, but if it is an Aboriginal or Macassan archaeological object the CEO can only approve the request </w:t>
            </w:r>
            <w:r w:rsidR="00E222D5">
              <w:t>i</w:t>
            </w:r>
            <w:r w:rsidRPr="008E5C92">
              <w:t>f the traditional owners consent (s89)</w:t>
            </w:r>
          </w:p>
        </w:tc>
      </w:tr>
      <w:tr w:rsidR="00861907" w:rsidRPr="0047692B" w14:paraId="231A70C1" w14:textId="77777777" w:rsidTr="00D36B3E">
        <w:trPr>
          <w:trHeight w:val="348"/>
        </w:trPr>
        <w:tc>
          <w:tcPr>
            <w:tcW w:w="2410" w:type="dxa"/>
          </w:tcPr>
          <w:p w14:paraId="23A122B2" w14:textId="77777777" w:rsidR="00861907" w:rsidRPr="008E5C92" w:rsidRDefault="00861907" w:rsidP="005B17B6">
            <w:pPr>
              <w:rPr>
                <w:i/>
              </w:rPr>
            </w:pPr>
            <w:r w:rsidRPr="008E5C92">
              <w:rPr>
                <w:i/>
              </w:rPr>
              <w:lastRenderedPageBreak/>
              <w:t>Aboriginal Sacred Sites Act 1989</w:t>
            </w:r>
          </w:p>
        </w:tc>
        <w:tc>
          <w:tcPr>
            <w:tcW w:w="6616" w:type="dxa"/>
          </w:tcPr>
          <w:p w14:paraId="77BCDA95" w14:textId="77777777" w:rsidR="00861907" w:rsidRPr="008E5C92" w:rsidRDefault="00861907" w:rsidP="005B17B6">
            <w:r w:rsidRPr="008E5C92">
              <w:t>n/a</w:t>
            </w:r>
          </w:p>
        </w:tc>
      </w:tr>
      <w:tr w:rsidR="00861907" w:rsidRPr="0047692B" w14:paraId="4E0B85F9" w14:textId="77777777" w:rsidTr="00D36B3E">
        <w:trPr>
          <w:trHeight w:val="348"/>
        </w:trPr>
        <w:tc>
          <w:tcPr>
            <w:tcW w:w="9026" w:type="dxa"/>
            <w:gridSpan w:val="2"/>
          </w:tcPr>
          <w:p w14:paraId="486461DF" w14:textId="77777777" w:rsidR="00861907" w:rsidRPr="008E5C92" w:rsidRDefault="00861907" w:rsidP="005B17B6">
            <w:pPr>
              <w:rPr>
                <w:b/>
              </w:rPr>
            </w:pPr>
            <w:r w:rsidRPr="008E5C92">
              <w:rPr>
                <w:b/>
              </w:rPr>
              <w:t>Western Australia</w:t>
            </w:r>
          </w:p>
        </w:tc>
      </w:tr>
      <w:tr w:rsidR="00861907" w:rsidRPr="0047692B" w14:paraId="4DEC5002" w14:textId="77777777" w:rsidTr="00D36B3E">
        <w:trPr>
          <w:trHeight w:val="348"/>
        </w:trPr>
        <w:tc>
          <w:tcPr>
            <w:tcW w:w="2410" w:type="dxa"/>
          </w:tcPr>
          <w:p w14:paraId="2B1F72C1" w14:textId="77777777" w:rsidR="00861907" w:rsidRPr="008E5C92" w:rsidRDefault="00861907" w:rsidP="005B17B6">
            <w:pPr>
              <w:rPr>
                <w:i/>
              </w:rPr>
            </w:pPr>
            <w:r w:rsidRPr="008E5C92">
              <w:rPr>
                <w:i/>
              </w:rPr>
              <w:t>Aboriginal Heritage Act 1972</w:t>
            </w:r>
          </w:p>
        </w:tc>
        <w:tc>
          <w:tcPr>
            <w:tcW w:w="6616" w:type="dxa"/>
          </w:tcPr>
          <w:p w14:paraId="70823306" w14:textId="77777777" w:rsidR="00861907" w:rsidRPr="008E5C92" w:rsidRDefault="00861907" w:rsidP="005B17B6">
            <w:r w:rsidRPr="008E5C92">
              <w:t xml:space="preserve">The Act does not apply to collections held by the Museum. Instead the Western Australia Museum is governed by the </w:t>
            </w:r>
            <w:r w:rsidRPr="008E5C92">
              <w:rPr>
                <w:i/>
              </w:rPr>
              <w:t xml:space="preserve">Museum Act 1969 </w:t>
            </w:r>
            <w:r w:rsidRPr="008E5C92">
              <w:t>(s6(2a)).</w:t>
            </w:r>
          </w:p>
        </w:tc>
      </w:tr>
      <w:tr w:rsidR="00861907" w:rsidRPr="0047692B" w14:paraId="32718912" w14:textId="77777777" w:rsidTr="00D36B3E">
        <w:trPr>
          <w:trHeight w:val="348"/>
        </w:trPr>
        <w:tc>
          <w:tcPr>
            <w:tcW w:w="2410" w:type="dxa"/>
          </w:tcPr>
          <w:p w14:paraId="7DC64D0A" w14:textId="77777777" w:rsidR="00861907" w:rsidRPr="008E5C92" w:rsidRDefault="00861907" w:rsidP="005B17B6">
            <w:pPr>
              <w:rPr>
                <w:i/>
              </w:rPr>
            </w:pPr>
            <w:r w:rsidRPr="008E5C92">
              <w:rPr>
                <w:i/>
              </w:rPr>
              <w:t>Museum Act 1969</w:t>
            </w:r>
          </w:p>
        </w:tc>
        <w:tc>
          <w:tcPr>
            <w:tcW w:w="6616" w:type="dxa"/>
          </w:tcPr>
          <w:p w14:paraId="3B86838D" w14:textId="77777777" w:rsidR="00861907" w:rsidRPr="008E5C92" w:rsidRDefault="00861907" w:rsidP="005B17B6">
            <w:r w:rsidRPr="008E5C92">
              <w:t>n/a</w:t>
            </w:r>
          </w:p>
        </w:tc>
      </w:tr>
      <w:tr w:rsidR="00861907" w:rsidRPr="0047692B" w14:paraId="23EBFD95" w14:textId="77777777" w:rsidTr="00D36B3E">
        <w:trPr>
          <w:trHeight w:val="348"/>
        </w:trPr>
        <w:tc>
          <w:tcPr>
            <w:tcW w:w="2410" w:type="dxa"/>
          </w:tcPr>
          <w:p w14:paraId="48A45101" w14:textId="77777777" w:rsidR="00861907" w:rsidRPr="008E5C92" w:rsidRDefault="00861907" w:rsidP="005B17B6">
            <w:pPr>
              <w:rPr>
                <w:i/>
              </w:rPr>
            </w:pPr>
            <w:r w:rsidRPr="008E5C92">
              <w:rPr>
                <w:i/>
              </w:rPr>
              <w:t>Heritage of Western Australia Act 1990</w:t>
            </w:r>
          </w:p>
        </w:tc>
        <w:tc>
          <w:tcPr>
            <w:tcW w:w="6616" w:type="dxa"/>
          </w:tcPr>
          <w:p w14:paraId="62C4688E" w14:textId="77777777" w:rsidR="00861907" w:rsidRPr="008E5C92" w:rsidRDefault="00861907" w:rsidP="005B17B6">
            <w:r w:rsidRPr="008E5C92">
              <w:t>n/a</w:t>
            </w:r>
          </w:p>
        </w:tc>
      </w:tr>
      <w:tr w:rsidR="00861907" w:rsidRPr="0047692B" w14:paraId="5EB4910B" w14:textId="77777777" w:rsidTr="00D36B3E">
        <w:trPr>
          <w:trHeight w:val="348"/>
        </w:trPr>
        <w:tc>
          <w:tcPr>
            <w:tcW w:w="9026" w:type="dxa"/>
            <w:gridSpan w:val="2"/>
          </w:tcPr>
          <w:p w14:paraId="2F6C097B" w14:textId="77777777" w:rsidR="00861907" w:rsidRPr="008E5C92" w:rsidRDefault="00861907" w:rsidP="005B17B6">
            <w:pPr>
              <w:rPr>
                <w:b/>
              </w:rPr>
            </w:pPr>
            <w:r w:rsidRPr="008E5C92">
              <w:rPr>
                <w:b/>
              </w:rPr>
              <w:t>South Australia</w:t>
            </w:r>
          </w:p>
        </w:tc>
      </w:tr>
      <w:tr w:rsidR="00861907" w:rsidRPr="0047692B" w14:paraId="5A9932FC" w14:textId="77777777" w:rsidTr="00D36B3E">
        <w:trPr>
          <w:trHeight w:val="348"/>
        </w:trPr>
        <w:tc>
          <w:tcPr>
            <w:tcW w:w="2410" w:type="dxa"/>
          </w:tcPr>
          <w:p w14:paraId="502D3946" w14:textId="77777777" w:rsidR="00861907" w:rsidRPr="008E5C92" w:rsidRDefault="00861907" w:rsidP="005B17B6">
            <w:pPr>
              <w:rPr>
                <w:i/>
              </w:rPr>
            </w:pPr>
            <w:r w:rsidRPr="008E5C92">
              <w:rPr>
                <w:i/>
              </w:rPr>
              <w:t>Aboriginal Heritage Act 1988</w:t>
            </w:r>
          </w:p>
        </w:tc>
        <w:tc>
          <w:tcPr>
            <w:tcW w:w="6616" w:type="dxa"/>
          </w:tcPr>
          <w:p w14:paraId="71FB09F1" w14:textId="77777777" w:rsidR="00861907" w:rsidRDefault="00861907" w:rsidP="005B17B6">
            <w:r>
              <w:t xml:space="preserve">One of the functions of the Minister is to protect and preserve Aboriginal sites, objects and remains (s5(1)). </w:t>
            </w:r>
          </w:p>
          <w:p w14:paraId="46B968BF" w14:textId="77777777" w:rsidR="00861907" w:rsidRDefault="00861907" w:rsidP="005B17B6">
            <w:r>
              <w:t xml:space="preserve">The Aboriginal Heritage Committee advises the Minister on measures that should be taken for the protection or preservation of Aboriginal sites, objects or remains (s8(1)(a)(ii)). </w:t>
            </w:r>
          </w:p>
          <w:p w14:paraId="51F44D83" w14:textId="77777777" w:rsidR="00861907" w:rsidRDefault="00861907" w:rsidP="005B17B6">
            <w:r>
              <w:t xml:space="preserve">There are also Recognised Aboriginal Representative Bodies for specified areas, sites, objects and remains (s19B). </w:t>
            </w:r>
          </w:p>
          <w:p w14:paraId="244E8A89" w14:textId="77777777" w:rsidR="00861907" w:rsidRDefault="00861907" w:rsidP="005B17B6">
            <w:r>
              <w:t xml:space="preserve">The extent to which this Act applies to museum collections is unclear. There is a provision that requires anyone in ownership or possession of an Aboriginal object that is part of a public or private collection to take reasonable measures to protect that that object (s28). </w:t>
            </w:r>
          </w:p>
          <w:p w14:paraId="74256B7B" w14:textId="77777777" w:rsidR="00861907" w:rsidRPr="008E5C92" w:rsidRDefault="00861907" w:rsidP="005B17B6">
            <w:r>
              <w:t xml:space="preserve">There is another provision that could possibly be applied to museums: Section 35 states that, unless otherwise authorised by the Act, a person must not, in contravention of Aboriginal tradition, divulge information relating to an Aboriginal site, object or remains. Perhaps this could be applied to argue that genetic information derived from Aboriginal human remains cannot be divulged contrary to Aboriginal tradition? </w:t>
            </w:r>
          </w:p>
        </w:tc>
      </w:tr>
      <w:tr w:rsidR="00861907" w:rsidRPr="0047692B" w14:paraId="1619A03E" w14:textId="77777777" w:rsidTr="00D36B3E">
        <w:trPr>
          <w:trHeight w:val="348"/>
        </w:trPr>
        <w:tc>
          <w:tcPr>
            <w:tcW w:w="2410" w:type="dxa"/>
          </w:tcPr>
          <w:p w14:paraId="4245DD91" w14:textId="77777777" w:rsidR="00861907" w:rsidRPr="008E5C92" w:rsidRDefault="00861907" w:rsidP="005B17B6">
            <w:pPr>
              <w:rPr>
                <w:i/>
              </w:rPr>
            </w:pPr>
            <w:r w:rsidRPr="008E5C92">
              <w:rPr>
                <w:i/>
              </w:rPr>
              <w:lastRenderedPageBreak/>
              <w:t>Heritage Places Act 1993</w:t>
            </w:r>
          </w:p>
        </w:tc>
        <w:tc>
          <w:tcPr>
            <w:tcW w:w="6616" w:type="dxa"/>
          </w:tcPr>
          <w:p w14:paraId="0D51CC5C" w14:textId="77777777" w:rsidR="00861907" w:rsidRPr="008E5C92" w:rsidRDefault="00861907" w:rsidP="005B17B6">
            <w:r>
              <w:t>Act specifically relates to non-Aboriginal heritage places</w:t>
            </w:r>
          </w:p>
        </w:tc>
      </w:tr>
      <w:tr w:rsidR="00861907" w:rsidRPr="0047692B" w14:paraId="5E5DF0BE" w14:textId="77777777" w:rsidTr="00D36B3E">
        <w:trPr>
          <w:trHeight w:val="348"/>
        </w:trPr>
        <w:tc>
          <w:tcPr>
            <w:tcW w:w="9026" w:type="dxa"/>
            <w:gridSpan w:val="2"/>
          </w:tcPr>
          <w:p w14:paraId="7025348D" w14:textId="77777777" w:rsidR="00861907" w:rsidRPr="008E5C92" w:rsidRDefault="00861907" w:rsidP="005B17B6">
            <w:pPr>
              <w:rPr>
                <w:b/>
              </w:rPr>
            </w:pPr>
            <w:r w:rsidRPr="008E5C92">
              <w:rPr>
                <w:b/>
              </w:rPr>
              <w:t>New South Wales</w:t>
            </w:r>
          </w:p>
        </w:tc>
      </w:tr>
      <w:tr w:rsidR="00861907" w:rsidRPr="0047692B" w14:paraId="1A5F75B0" w14:textId="77777777" w:rsidTr="00D36B3E">
        <w:trPr>
          <w:trHeight w:val="348"/>
        </w:trPr>
        <w:tc>
          <w:tcPr>
            <w:tcW w:w="2410" w:type="dxa"/>
          </w:tcPr>
          <w:p w14:paraId="54E99C0A" w14:textId="77777777" w:rsidR="00861907" w:rsidRPr="008E5C92" w:rsidRDefault="00861907" w:rsidP="005B17B6">
            <w:pPr>
              <w:rPr>
                <w:i/>
              </w:rPr>
            </w:pPr>
            <w:r w:rsidRPr="008E5C92">
              <w:rPr>
                <w:i/>
              </w:rPr>
              <w:t>National Parks and Wildlife Act 1974</w:t>
            </w:r>
          </w:p>
        </w:tc>
        <w:tc>
          <w:tcPr>
            <w:tcW w:w="6616" w:type="dxa"/>
          </w:tcPr>
          <w:p w14:paraId="2113FE81" w14:textId="77777777" w:rsidR="00861907" w:rsidRDefault="00861907" w:rsidP="005B17B6">
            <w:r>
              <w:t xml:space="preserve">The Act defines Aboriginal objects to include Aboriginal human remains, and so generally deals with them together in the terms of the Act. </w:t>
            </w:r>
          </w:p>
          <w:p w14:paraId="171770A9" w14:textId="77777777" w:rsidR="00861907" w:rsidRDefault="00861907" w:rsidP="005B17B6">
            <w:r>
              <w:t xml:space="preserve">There is no general prohibition on the ownership of Aboriginal human remains. </w:t>
            </w:r>
          </w:p>
          <w:p w14:paraId="7949B60B" w14:textId="77777777" w:rsidR="00861907" w:rsidRDefault="00861907" w:rsidP="005B17B6">
            <w:r>
              <w:t>The Australian Museum Trust is to have custody of any Aboriginal objects (including Aboriginal human remains) that are in the possession of the Crown (s88).</w:t>
            </w:r>
          </w:p>
          <w:p w14:paraId="1BD9BC1C" w14:textId="77777777" w:rsidR="00861907" w:rsidRDefault="00861907" w:rsidP="005B17B6">
            <w:r>
              <w:t>The majority of the Act is concerned with permit requirements for access Aboriginal places and sites that could contain Aboriginal human remains and the development of conservation agreements</w:t>
            </w:r>
          </w:p>
          <w:p w14:paraId="0B12383F" w14:textId="03843616" w:rsidR="00861907" w:rsidRDefault="00861907" w:rsidP="005B17B6">
            <w:r>
              <w:t>The functions of the Chief Executive include the promotion of such educational activities, and undertak</w:t>
            </w:r>
            <w:r w:rsidR="00BE5C95">
              <w:t>ing of</w:t>
            </w:r>
            <w:r>
              <w:t xml:space="preserve"> such scientific research, in respect of Aboriginal objects and places, a</w:t>
            </w:r>
            <w:r w:rsidR="00BE5C95">
              <w:t>s</w:t>
            </w:r>
            <w:r>
              <w:t xml:space="preserve"> the Chief Executive thinks fit (s8(4)). </w:t>
            </w:r>
          </w:p>
          <w:p w14:paraId="26D37C97" w14:textId="122739F3" w:rsidR="00861907" w:rsidRPr="008E5C92" w:rsidRDefault="00861907" w:rsidP="005B17B6">
            <w:r>
              <w:t>There is an Aboriginal Cultural Heritage Advisory Committee that is to advise the Minister and Chief Executive of any matter relating to the identification, assessment and management of Aboriginal cultural heritage.</w:t>
            </w:r>
          </w:p>
        </w:tc>
      </w:tr>
      <w:tr w:rsidR="00861907" w:rsidRPr="0047692B" w14:paraId="6B50CF0C" w14:textId="77777777" w:rsidTr="00D36B3E">
        <w:trPr>
          <w:trHeight w:val="348"/>
        </w:trPr>
        <w:tc>
          <w:tcPr>
            <w:tcW w:w="2410" w:type="dxa"/>
          </w:tcPr>
          <w:p w14:paraId="5B32A9B1" w14:textId="77777777" w:rsidR="00861907" w:rsidRPr="008E5C92" w:rsidRDefault="00861907" w:rsidP="005B17B6">
            <w:pPr>
              <w:rPr>
                <w:i/>
              </w:rPr>
            </w:pPr>
            <w:r w:rsidRPr="008E5C92">
              <w:rPr>
                <w:i/>
              </w:rPr>
              <w:t>Australian Museum Trust Act 1975</w:t>
            </w:r>
          </w:p>
        </w:tc>
        <w:tc>
          <w:tcPr>
            <w:tcW w:w="6616" w:type="dxa"/>
          </w:tcPr>
          <w:p w14:paraId="41A4D374" w14:textId="77777777" w:rsidR="00861907" w:rsidRDefault="00861907" w:rsidP="005B17B6">
            <w:r>
              <w:t>Is exclusively about the establishment and governance of the Australian Museum</w:t>
            </w:r>
          </w:p>
        </w:tc>
      </w:tr>
      <w:tr w:rsidR="00861907" w:rsidRPr="0047692B" w14:paraId="0BAB6C92" w14:textId="77777777" w:rsidTr="00D36B3E">
        <w:trPr>
          <w:trHeight w:val="348"/>
        </w:trPr>
        <w:tc>
          <w:tcPr>
            <w:tcW w:w="2410" w:type="dxa"/>
          </w:tcPr>
          <w:p w14:paraId="1623EB42" w14:textId="77777777" w:rsidR="00861907" w:rsidRPr="008E5C92" w:rsidRDefault="00861907" w:rsidP="005B17B6">
            <w:pPr>
              <w:rPr>
                <w:i/>
              </w:rPr>
            </w:pPr>
            <w:r w:rsidRPr="008E5C92">
              <w:rPr>
                <w:i/>
              </w:rPr>
              <w:t>Heritage Act 1977</w:t>
            </w:r>
          </w:p>
        </w:tc>
        <w:tc>
          <w:tcPr>
            <w:tcW w:w="6616" w:type="dxa"/>
          </w:tcPr>
          <w:p w14:paraId="7B050C07" w14:textId="77777777" w:rsidR="00861907" w:rsidRDefault="00861907" w:rsidP="005B17B6">
            <w:r>
              <w:t>Act does not relate to Aboriginal cultural heritage</w:t>
            </w:r>
          </w:p>
        </w:tc>
      </w:tr>
      <w:tr w:rsidR="00861907" w:rsidRPr="0047692B" w14:paraId="654CA600" w14:textId="77777777" w:rsidTr="00D36B3E">
        <w:trPr>
          <w:trHeight w:val="348"/>
        </w:trPr>
        <w:tc>
          <w:tcPr>
            <w:tcW w:w="9026" w:type="dxa"/>
            <w:gridSpan w:val="2"/>
          </w:tcPr>
          <w:p w14:paraId="4A70D29D" w14:textId="77777777" w:rsidR="00861907" w:rsidRPr="00127E89" w:rsidRDefault="00861907" w:rsidP="005B17B6">
            <w:pPr>
              <w:rPr>
                <w:b/>
                <w:bCs/>
              </w:rPr>
            </w:pPr>
            <w:r w:rsidRPr="008E5C92">
              <w:rPr>
                <w:b/>
              </w:rPr>
              <w:t>Victoria</w:t>
            </w:r>
          </w:p>
        </w:tc>
      </w:tr>
      <w:tr w:rsidR="00861907" w:rsidRPr="0047692B" w14:paraId="36C7DC6F" w14:textId="77777777" w:rsidTr="00D36B3E">
        <w:trPr>
          <w:trHeight w:val="348"/>
        </w:trPr>
        <w:tc>
          <w:tcPr>
            <w:tcW w:w="2410" w:type="dxa"/>
          </w:tcPr>
          <w:p w14:paraId="48894D74" w14:textId="77777777" w:rsidR="00861907" w:rsidRPr="008E5C92" w:rsidRDefault="00861907" w:rsidP="005B17B6">
            <w:pPr>
              <w:rPr>
                <w:i/>
              </w:rPr>
            </w:pPr>
            <w:r w:rsidRPr="008E5C92">
              <w:rPr>
                <w:i/>
              </w:rPr>
              <w:t>Aboriginal Heritage Act 2006</w:t>
            </w:r>
          </w:p>
        </w:tc>
        <w:tc>
          <w:tcPr>
            <w:tcW w:w="6616" w:type="dxa"/>
          </w:tcPr>
          <w:p w14:paraId="566D33DB" w14:textId="77777777" w:rsidR="00861907" w:rsidRDefault="00861907" w:rsidP="005B17B6">
            <w:r>
              <w:t>The Act has detailed provisions on Aboriginal ancestral remains (meaning the whole or part of the bodily remains of an Aboriginal person). However, this definition excludes:</w:t>
            </w:r>
          </w:p>
          <w:p w14:paraId="366B34CC" w14:textId="77777777" w:rsidR="00861907" w:rsidRDefault="00861907" w:rsidP="00D36B3E">
            <w:pPr>
              <w:pStyle w:val="ListBullet"/>
            </w:pPr>
            <w:r>
              <w:t xml:space="preserve">An object made from human hair or any other bodily material, and </w:t>
            </w:r>
          </w:p>
          <w:p w14:paraId="49D54096" w14:textId="77777777" w:rsidR="00861907" w:rsidRDefault="00861907" w:rsidP="00D36B3E">
            <w:pPr>
              <w:pStyle w:val="ListBullet"/>
            </w:pPr>
            <w:r>
              <w:t xml:space="preserve">Any human tissue lawfully removed from an Aboriginal person or otherwise dealt with by the </w:t>
            </w:r>
            <w:r>
              <w:rPr>
                <w:i/>
                <w:iCs/>
              </w:rPr>
              <w:t xml:space="preserve">Human Tissue Act 1982 (VIC) </w:t>
            </w:r>
            <w:r>
              <w:t>or similar law related to the removal of human tissue</w:t>
            </w:r>
          </w:p>
          <w:p w14:paraId="151BA977" w14:textId="77777777" w:rsidR="00861907" w:rsidRDefault="00861907" w:rsidP="005B17B6">
            <w:r>
              <w:t xml:space="preserve">Aboriginal ancestral human remains are included as part of Aboriginal cultural heritage, but not as Aboriginal objects. </w:t>
            </w:r>
          </w:p>
          <w:p w14:paraId="6140EE14" w14:textId="05E6DEF8" w:rsidR="00861907" w:rsidRDefault="00861907" w:rsidP="005B17B6">
            <w:r>
              <w:lastRenderedPageBreak/>
              <w:t xml:space="preserve">The Act recognises that as far as practicable, Aboriginal cultural heritage (including Aboriginal ancestral remains) should be owned by and returned to traditional owners of the area from which the Aboriginal cultural heritage is reasonably believed to have originated (s12(1)(a)).  </w:t>
            </w:r>
          </w:p>
          <w:p w14:paraId="12FA69C8" w14:textId="050492B5" w:rsidR="00861907" w:rsidRDefault="00861907" w:rsidP="005B17B6">
            <w:r>
              <w:t xml:space="preserve">Within 2 years of the commencement of the Act, a public entity (e.g. </w:t>
            </w:r>
            <w:r w:rsidR="008D4CDB">
              <w:t>state-owned</w:t>
            </w:r>
            <w:r>
              <w:t xml:space="preserve"> museum) or university, must notify the Aboriginal Heritage Council of any Aboriginal ancestral remains that are in its possession (s14(1)). </w:t>
            </w:r>
          </w:p>
          <w:p w14:paraId="2BB8E271" w14:textId="77777777" w:rsidR="00861907" w:rsidRDefault="00861907" w:rsidP="005B17B6">
            <w:r>
              <w:t>The public entity or university must take all reasonable steps to transfer the Aboriginal ancestral remains into the custody of the Council (s14(3)).</w:t>
            </w:r>
          </w:p>
          <w:p w14:paraId="6ED3D926" w14:textId="77777777" w:rsidR="00861907" w:rsidRDefault="00861907" w:rsidP="005B17B6">
            <w:r>
              <w:t xml:space="preserve">The Council must consult with any Aboriginal person or body they believe may have an interest in the Aboriginal ancestral remains, and determine the appropriate course of action in relation to the remains (s18(2)(b)). </w:t>
            </w:r>
          </w:p>
          <w:p w14:paraId="503E6750" w14:textId="77777777" w:rsidR="00861907" w:rsidRDefault="00861907" w:rsidP="005B17B6">
            <w:r>
              <w:t>Options available to them include:</w:t>
            </w:r>
          </w:p>
          <w:p w14:paraId="050E401B" w14:textId="77777777" w:rsidR="00861907" w:rsidRDefault="00861907" w:rsidP="00D36B3E">
            <w:pPr>
              <w:pStyle w:val="ListBullet"/>
            </w:pPr>
            <w:r>
              <w:t xml:space="preserve">Transfer of remains to any relevant traditional owners of the remains or any relevant registered Aboriginal party entitled and willing to take custody of the remains </w:t>
            </w:r>
          </w:p>
          <w:p w14:paraId="0EBE0FB2" w14:textId="77777777" w:rsidR="00861907" w:rsidRDefault="00861907" w:rsidP="00D36B3E">
            <w:pPr>
              <w:pStyle w:val="ListBullet"/>
            </w:pPr>
            <w:r>
              <w:t>Transfer to the Museums Board for safekeeping</w:t>
            </w:r>
          </w:p>
          <w:p w14:paraId="2C6CE8DF" w14:textId="77777777" w:rsidR="00861907" w:rsidRDefault="00861907" w:rsidP="00D36B3E">
            <w:pPr>
              <w:pStyle w:val="ListBullet"/>
            </w:pPr>
            <w:r>
              <w:t>Otherwise deal with the remains as appropriate (s20)</w:t>
            </w:r>
          </w:p>
          <w:p w14:paraId="692E783E" w14:textId="77777777" w:rsidR="00861907" w:rsidRDefault="00861907" w:rsidP="005B17B6">
            <w:r>
              <w:t xml:space="preserve">If the remains are transferred to the Museums Board, they will be lodged at the Museum of Victoria (s26(2)). </w:t>
            </w:r>
          </w:p>
        </w:tc>
      </w:tr>
      <w:tr w:rsidR="00861907" w:rsidRPr="0047692B" w14:paraId="1379A834" w14:textId="77777777" w:rsidTr="00D36B3E">
        <w:trPr>
          <w:trHeight w:val="348"/>
        </w:trPr>
        <w:tc>
          <w:tcPr>
            <w:tcW w:w="2410" w:type="dxa"/>
          </w:tcPr>
          <w:p w14:paraId="2C60561B" w14:textId="77777777" w:rsidR="00861907" w:rsidRPr="008E5C92" w:rsidRDefault="00861907" w:rsidP="005B17B6">
            <w:pPr>
              <w:rPr>
                <w:i/>
              </w:rPr>
            </w:pPr>
            <w:r w:rsidRPr="008E5C92">
              <w:rPr>
                <w:i/>
              </w:rPr>
              <w:lastRenderedPageBreak/>
              <w:t>Museums Act 1983</w:t>
            </w:r>
          </w:p>
        </w:tc>
        <w:tc>
          <w:tcPr>
            <w:tcW w:w="6616" w:type="dxa"/>
          </w:tcPr>
          <w:p w14:paraId="06D4241A" w14:textId="77777777" w:rsidR="00861907" w:rsidRDefault="00861907" w:rsidP="005B17B6">
            <w:r w:rsidRPr="008E5C92">
              <w:t>n/a</w:t>
            </w:r>
          </w:p>
        </w:tc>
      </w:tr>
      <w:tr w:rsidR="00861907" w:rsidRPr="0047692B" w14:paraId="0D623F70" w14:textId="77777777" w:rsidTr="00D36B3E">
        <w:trPr>
          <w:trHeight w:val="348"/>
        </w:trPr>
        <w:tc>
          <w:tcPr>
            <w:tcW w:w="2410" w:type="dxa"/>
          </w:tcPr>
          <w:p w14:paraId="3D36938E" w14:textId="77777777" w:rsidR="00861907" w:rsidRPr="008E5C92" w:rsidRDefault="00861907" w:rsidP="005B17B6">
            <w:pPr>
              <w:rPr>
                <w:i/>
              </w:rPr>
            </w:pPr>
            <w:r w:rsidRPr="008E5C92">
              <w:rPr>
                <w:i/>
              </w:rPr>
              <w:t>Heritage Act 2017</w:t>
            </w:r>
          </w:p>
        </w:tc>
        <w:tc>
          <w:tcPr>
            <w:tcW w:w="6616" w:type="dxa"/>
          </w:tcPr>
          <w:p w14:paraId="71C77F0E" w14:textId="77777777" w:rsidR="00861907" w:rsidRDefault="00861907" w:rsidP="005B17B6">
            <w:r w:rsidRPr="008E5C92">
              <w:t>n/a</w:t>
            </w:r>
          </w:p>
        </w:tc>
      </w:tr>
      <w:tr w:rsidR="00861907" w:rsidRPr="0047692B" w14:paraId="633EC441" w14:textId="77777777" w:rsidTr="00D36B3E">
        <w:trPr>
          <w:trHeight w:val="348"/>
        </w:trPr>
        <w:tc>
          <w:tcPr>
            <w:tcW w:w="9026" w:type="dxa"/>
            <w:gridSpan w:val="2"/>
          </w:tcPr>
          <w:p w14:paraId="0D286F34" w14:textId="77777777" w:rsidR="00861907" w:rsidRPr="00835399" w:rsidRDefault="00861907" w:rsidP="005B17B6">
            <w:pPr>
              <w:rPr>
                <w:b/>
                <w:bCs/>
              </w:rPr>
            </w:pPr>
            <w:r w:rsidRPr="008E5C92">
              <w:rPr>
                <w:b/>
              </w:rPr>
              <w:t>Tasmania</w:t>
            </w:r>
          </w:p>
        </w:tc>
      </w:tr>
      <w:tr w:rsidR="00861907" w:rsidRPr="0047692B" w14:paraId="0FAC949C" w14:textId="77777777" w:rsidTr="00D36B3E">
        <w:trPr>
          <w:trHeight w:val="348"/>
        </w:trPr>
        <w:tc>
          <w:tcPr>
            <w:tcW w:w="2410" w:type="dxa"/>
          </w:tcPr>
          <w:p w14:paraId="79FBCB73" w14:textId="77777777" w:rsidR="00861907" w:rsidRPr="008E5C92" w:rsidRDefault="00861907" w:rsidP="005B17B6">
            <w:pPr>
              <w:rPr>
                <w:i/>
              </w:rPr>
            </w:pPr>
            <w:r w:rsidRPr="008E5C92">
              <w:rPr>
                <w:i/>
              </w:rPr>
              <w:t>Aboriginal Heritage Act 1975</w:t>
            </w:r>
          </w:p>
        </w:tc>
        <w:tc>
          <w:tcPr>
            <w:tcW w:w="6616" w:type="dxa"/>
          </w:tcPr>
          <w:p w14:paraId="4BB8F2D0" w14:textId="77777777" w:rsidR="00861907" w:rsidRDefault="00861907" w:rsidP="005B17B6">
            <w:r>
              <w:t xml:space="preserve">Aboriginal human remains are included in the definition of relic. </w:t>
            </w:r>
          </w:p>
          <w:p w14:paraId="1147EF1B" w14:textId="5A125298" w:rsidR="00861907" w:rsidRDefault="00861907" w:rsidP="005B17B6">
            <w:r>
              <w:t>None of the sections specifically relate to Aboriginal human remains in public or private collections, but Section 13 does read that where a relic becomes part of the property of the Crown, the Director of National Parks and Wildlife may ca</w:t>
            </w:r>
            <w:r w:rsidR="00510995">
              <w:t>u</w:t>
            </w:r>
            <w:r>
              <w:t>se such scientific or other investigations of the relic, having regard to the advice of the Aboriginal Heritage Council, he considers necessary or desirable. It is unclear whether this includes objects in a state-owned collection.</w:t>
            </w:r>
          </w:p>
        </w:tc>
      </w:tr>
      <w:tr w:rsidR="00861907" w:rsidRPr="0047692B" w14:paraId="5B3DD54F" w14:textId="77777777" w:rsidTr="00D36B3E">
        <w:trPr>
          <w:trHeight w:val="348"/>
        </w:trPr>
        <w:tc>
          <w:tcPr>
            <w:tcW w:w="2410" w:type="dxa"/>
          </w:tcPr>
          <w:p w14:paraId="6ACDE82E" w14:textId="77777777" w:rsidR="00861907" w:rsidRPr="008E5C92" w:rsidRDefault="00861907" w:rsidP="005B17B6">
            <w:pPr>
              <w:rPr>
                <w:i/>
              </w:rPr>
            </w:pPr>
            <w:r w:rsidRPr="008E5C92">
              <w:rPr>
                <w:i/>
              </w:rPr>
              <w:t>Historic Cultural Heritage Act 1995</w:t>
            </w:r>
          </w:p>
        </w:tc>
        <w:tc>
          <w:tcPr>
            <w:tcW w:w="6616" w:type="dxa"/>
          </w:tcPr>
          <w:p w14:paraId="78511FCC" w14:textId="77777777" w:rsidR="00861907" w:rsidRDefault="00861907" w:rsidP="005B17B6">
            <w:r w:rsidRPr="008E5C92">
              <w:t>n/a</w:t>
            </w:r>
          </w:p>
        </w:tc>
      </w:tr>
      <w:tr w:rsidR="00861907" w:rsidRPr="0047692B" w14:paraId="568FF88E" w14:textId="77777777" w:rsidTr="00D36B3E">
        <w:trPr>
          <w:trHeight w:val="348"/>
        </w:trPr>
        <w:tc>
          <w:tcPr>
            <w:tcW w:w="9026" w:type="dxa"/>
            <w:gridSpan w:val="2"/>
          </w:tcPr>
          <w:p w14:paraId="6E2D2FCF" w14:textId="77777777" w:rsidR="00861907" w:rsidRPr="00835399" w:rsidRDefault="00861907" w:rsidP="005B17B6">
            <w:pPr>
              <w:rPr>
                <w:b/>
                <w:bCs/>
              </w:rPr>
            </w:pPr>
            <w:r w:rsidRPr="008E5C92">
              <w:rPr>
                <w:b/>
              </w:rPr>
              <w:lastRenderedPageBreak/>
              <w:t>Australian Capital Territory</w:t>
            </w:r>
          </w:p>
        </w:tc>
      </w:tr>
      <w:tr w:rsidR="00861907" w:rsidRPr="0047692B" w14:paraId="6DCEDB5D" w14:textId="77777777" w:rsidTr="00D36B3E">
        <w:trPr>
          <w:trHeight w:val="348"/>
        </w:trPr>
        <w:tc>
          <w:tcPr>
            <w:tcW w:w="2410" w:type="dxa"/>
          </w:tcPr>
          <w:p w14:paraId="6C3F5033" w14:textId="77777777" w:rsidR="00861907" w:rsidRPr="008E5C92" w:rsidRDefault="00861907" w:rsidP="005B17B6">
            <w:pPr>
              <w:rPr>
                <w:i/>
              </w:rPr>
            </w:pPr>
            <w:r w:rsidRPr="008E5C92">
              <w:rPr>
                <w:i/>
              </w:rPr>
              <w:t>Heritage Act 2004</w:t>
            </w:r>
          </w:p>
        </w:tc>
        <w:tc>
          <w:tcPr>
            <w:tcW w:w="6616" w:type="dxa"/>
          </w:tcPr>
          <w:p w14:paraId="53F4B4F4" w14:textId="77777777" w:rsidR="00861907" w:rsidRDefault="00861907" w:rsidP="005B17B6">
            <w:r>
              <w:t>The Act does not refer to Aboriginal human remains.</w:t>
            </w:r>
          </w:p>
        </w:tc>
      </w:tr>
    </w:tbl>
    <w:p w14:paraId="47B99FCB" w14:textId="4051B5CE" w:rsidR="00861907" w:rsidRDefault="00682931" w:rsidP="002B5F46">
      <w:pPr>
        <w:spacing w:before="240"/>
      </w:pPr>
      <w:r>
        <w:t>T</w:t>
      </w:r>
      <w:r w:rsidR="00861907">
        <w:t xml:space="preserve">he question about whether researchers can access museum collections to get </w:t>
      </w:r>
      <w:r w:rsidR="00433650">
        <w:t xml:space="preserve">Aboriginal or </w:t>
      </w:r>
      <w:r w:rsidR="00954020">
        <w:t xml:space="preserve">Torres Strait Islander </w:t>
      </w:r>
      <w:r w:rsidR="00861907">
        <w:t>genetic samples is quite complex. The law varies a great deal across the different state and territory jurisdictions. Many of the state Acts do</w:t>
      </w:r>
      <w:r w:rsidR="008F15F5">
        <w:t xml:space="preserve"> no</w:t>
      </w:r>
      <w:r w:rsidR="00861907">
        <w:t xml:space="preserve">t provide any specific guidance on that question, and the ones that do apply, do so only indirectly. For example, Victoria has a very detailed framework for the repatriation of Aboriginal ancestral remains. This will indirectly limit researcher access to Aboriginal human remains that could be sampled. However, it does not include objects made from human hair or other bodily material, which could also be a source for genetic material. </w:t>
      </w:r>
    </w:p>
    <w:p w14:paraId="3733FE9F" w14:textId="19B86B11" w:rsidR="00861907" w:rsidRDefault="00861907" w:rsidP="00861907">
      <w:r>
        <w:t>It is also worth underlin</w:t>
      </w:r>
      <w:r w:rsidR="0014651D">
        <w:t>in</w:t>
      </w:r>
      <w:r>
        <w:t xml:space="preserve">g, that apart from the question of whether or not public or private collections are permitted to negotiate with researchers on providing access to genetic samples for research projects, the larger gap is that there is no legal framework that requires the decision be referred to and considered by the relevant community. This is not surprising given that these Acts were </w:t>
      </w:r>
      <w:r w:rsidR="00E2209F">
        <w:t xml:space="preserve">not </w:t>
      </w:r>
      <w:r>
        <w:t xml:space="preserve">written with </w:t>
      </w:r>
      <w:r w:rsidR="00EF411B">
        <w:t xml:space="preserve">Aboriginal and Torres Strait Islander </w:t>
      </w:r>
      <w:r>
        <w:t xml:space="preserve">genomics in mind. The provisions that do apply, do so incidentally; they are not intended to provide guidance in this area. </w:t>
      </w:r>
    </w:p>
    <w:p w14:paraId="60BBE55D" w14:textId="77777777" w:rsidR="00861907" w:rsidRPr="00E1641A" w:rsidRDefault="00861907" w:rsidP="00861907">
      <w:r>
        <w:t xml:space="preserve">There is another Act, the </w:t>
      </w:r>
      <w:r>
        <w:rPr>
          <w:i/>
          <w:iCs/>
        </w:rPr>
        <w:t>Protection of Moveable Cultural Heritage</w:t>
      </w:r>
      <w:r>
        <w:t xml:space="preserve"> that is relevant to address, although, as will be seen, it does not provide a great deal of legal guidance either.  </w:t>
      </w:r>
    </w:p>
    <w:p w14:paraId="235B0531" w14:textId="77777777" w:rsidR="00861907" w:rsidRPr="006768B6" w:rsidRDefault="00861907" w:rsidP="00091C40">
      <w:pPr>
        <w:pStyle w:val="Heading5"/>
      </w:pPr>
      <w:r>
        <w:t xml:space="preserve">The Protection of Moveable Cultural Heritage </w:t>
      </w:r>
    </w:p>
    <w:p w14:paraId="75E2EB8F" w14:textId="170D0460" w:rsidR="00861907" w:rsidRDefault="00861907" w:rsidP="00861907">
      <w:r>
        <w:t xml:space="preserve">The </w:t>
      </w:r>
      <w:r w:rsidRPr="00BA12A9">
        <w:rPr>
          <w:i/>
          <w:iCs/>
        </w:rPr>
        <w:t>Protection of</w:t>
      </w:r>
      <w:r>
        <w:t xml:space="preserve"> </w:t>
      </w:r>
      <w:r w:rsidRPr="009914EC">
        <w:rPr>
          <w:i/>
          <w:iCs/>
        </w:rPr>
        <w:t>Movable Cultural Heritage Act 1986</w:t>
      </w:r>
      <w:r>
        <w:t xml:space="preserve"> and the </w:t>
      </w:r>
      <w:r w:rsidRPr="009914EC">
        <w:rPr>
          <w:i/>
          <w:iCs/>
        </w:rPr>
        <w:t>Protection of Moveable Cultural Heritage Regulations 2018</w:t>
      </w:r>
      <w:r>
        <w:rPr>
          <w:i/>
          <w:iCs/>
        </w:rPr>
        <w:t xml:space="preserve"> </w:t>
      </w:r>
      <w:r>
        <w:t>regulates how movable cultural heritage is exported or imported into Australia. This is relevant when</w:t>
      </w:r>
      <w:r w:rsidR="009F3A07">
        <w:t xml:space="preserve"> Aboriginal human remains, or objects containing human hair or tissue</w:t>
      </w:r>
      <w:r w:rsidR="00C03AE9">
        <w:t xml:space="preserve"> may be exported. </w:t>
      </w:r>
      <w:r>
        <w:t xml:space="preserve">However, it does not apply where sampling occurs within Australia, and the data is exported.  </w:t>
      </w:r>
    </w:p>
    <w:p w14:paraId="1D73C716" w14:textId="1D44469B" w:rsidR="00861907" w:rsidRDefault="00861907" w:rsidP="00861907">
      <w:r>
        <w:t>The following is a quick overview of the process that would apply</w:t>
      </w:r>
      <w:r w:rsidR="003A4FF7">
        <w:t xml:space="preserve">. </w:t>
      </w:r>
    </w:p>
    <w:p w14:paraId="7DA94D76" w14:textId="77777777" w:rsidR="00861907" w:rsidRPr="00FF0989" w:rsidRDefault="00861907" w:rsidP="00FF0989">
      <w:pPr>
        <w:pStyle w:val="Heading6"/>
      </w:pPr>
      <w:r w:rsidRPr="00FF0989">
        <w:t xml:space="preserve">What objects are protected under the Act and Regulations? </w:t>
      </w:r>
    </w:p>
    <w:p w14:paraId="630DAA17" w14:textId="77777777" w:rsidR="00861907" w:rsidRDefault="00861907" w:rsidP="00861907">
      <w:r>
        <w:t>Objects of Australian Aboriginal and Torres Strait Islander heritage are protected under this Act, when they fall into one of these categories:</w:t>
      </w:r>
      <w:r>
        <w:rPr>
          <w:rStyle w:val="FootnoteReference"/>
        </w:rPr>
        <w:footnoteReference w:id="133"/>
      </w:r>
      <w:r>
        <w:t xml:space="preserve"> </w:t>
      </w:r>
    </w:p>
    <w:p w14:paraId="1E4328DF" w14:textId="5FED04E3" w:rsidR="00861907" w:rsidRDefault="006C60D3" w:rsidP="007B2DFC">
      <w:pPr>
        <w:pStyle w:val="ListBullet"/>
      </w:pPr>
      <w:r>
        <w:t>i</w:t>
      </w:r>
      <w:r w:rsidR="00861907">
        <w:t>t is of cultural significance to Aboriginal or Torres Strait Islander peoples</w:t>
      </w:r>
      <w:r>
        <w:t>;</w:t>
      </w:r>
      <w:r w:rsidR="00861907">
        <w:t xml:space="preserve"> or</w:t>
      </w:r>
    </w:p>
    <w:p w14:paraId="1183B7CD" w14:textId="22E1632A" w:rsidR="00861907" w:rsidRDefault="006C60D3" w:rsidP="007B2DFC">
      <w:pPr>
        <w:pStyle w:val="ListBullet"/>
      </w:pPr>
      <w:r>
        <w:t>w</w:t>
      </w:r>
      <w:r w:rsidR="00861907">
        <w:t>as made by Aboriginal and Torres Strait Islander peoples (and is not an object created specifically for sale)</w:t>
      </w:r>
      <w:r w:rsidR="000B1D86">
        <w:t>;</w:t>
      </w:r>
      <w:r w:rsidR="00861907">
        <w:t xml:space="preserve"> and</w:t>
      </w:r>
    </w:p>
    <w:p w14:paraId="052EDD36" w14:textId="3BA60EE9" w:rsidR="00861907" w:rsidRDefault="006C60D3" w:rsidP="007B2DFC">
      <w:pPr>
        <w:pStyle w:val="ListBullet"/>
      </w:pPr>
      <w:r>
        <w:t>i</w:t>
      </w:r>
      <w:r w:rsidR="00861907">
        <w:t xml:space="preserve">s a Class A or Class B object. </w:t>
      </w:r>
    </w:p>
    <w:p w14:paraId="71E91AC2" w14:textId="77777777" w:rsidR="00861907" w:rsidRDefault="00861907" w:rsidP="00861907">
      <w:r>
        <w:t>Class A objects include:</w:t>
      </w:r>
      <w:r>
        <w:rPr>
          <w:rStyle w:val="FootnoteReference"/>
        </w:rPr>
        <w:footnoteReference w:id="134"/>
      </w:r>
      <w:r>
        <w:t xml:space="preserve"> </w:t>
      </w:r>
    </w:p>
    <w:p w14:paraId="16B482E2" w14:textId="713D44BE" w:rsidR="00861907" w:rsidRDefault="000B1D86" w:rsidP="007B2DFC">
      <w:pPr>
        <w:pStyle w:val="ListBullet"/>
      </w:pPr>
      <w:r>
        <w:lastRenderedPageBreak/>
        <w:t>s</w:t>
      </w:r>
      <w:r w:rsidR="00861907">
        <w:t>acred and secret ritual objects</w:t>
      </w:r>
      <w:r>
        <w:t>;</w:t>
      </w:r>
      <w:r w:rsidR="00861907">
        <w:t xml:space="preserve"> </w:t>
      </w:r>
    </w:p>
    <w:p w14:paraId="260DDC10" w14:textId="014E1D1D" w:rsidR="00861907" w:rsidRDefault="000B1D86" w:rsidP="007B2DFC">
      <w:pPr>
        <w:pStyle w:val="ListBullet"/>
      </w:pPr>
      <w:r>
        <w:t>b</w:t>
      </w:r>
      <w:r w:rsidR="00861907">
        <w:t>ark and log coffins used as traditional burial objects</w:t>
      </w:r>
      <w:r>
        <w:t>;</w:t>
      </w:r>
      <w:r w:rsidR="00861907">
        <w:t xml:space="preserve"> </w:t>
      </w:r>
    </w:p>
    <w:p w14:paraId="7CC021FB" w14:textId="4E2BB599" w:rsidR="00861907" w:rsidRDefault="000B1D86" w:rsidP="007B2DFC">
      <w:pPr>
        <w:pStyle w:val="ListBullet"/>
      </w:pPr>
      <w:r>
        <w:t>h</w:t>
      </w:r>
      <w:r w:rsidR="00861907">
        <w:t>uman remains</w:t>
      </w:r>
      <w:r>
        <w:t>;</w:t>
      </w:r>
      <w:r w:rsidR="00861907">
        <w:t xml:space="preserve"> </w:t>
      </w:r>
    </w:p>
    <w:p w14:paraId="71E4A805" w14:textId="7DE2830F" w:rsidR="00861907" w:rsidRDefault="000B1D86" w:rsidP="007B2DFC">
      <w:pPr>
        <w:pStyle w:val="ListBullet"/>
      </w:pPr>
      <w:r>
        <w:t>r</w:t>
      </w:r>
      <w:r w:rsidR="00861907">
        <w:t>ock art</w:t>
      </w:r>
      <w:r>
        <w:t>;</w:t>
      </w:r>
      <w:r w:rsidR="00861907">
        <w:t xml:space="preserve"> and </w:t>
      </w:r>
    </w:p>
    <w:p w14:paraId="6C0EC22C" w14:textId="75CAE21D" w:rsidR="00861907" w:rsidRDefault="000B1D86" w:rsidP="007B2DFC">
      <w:pPr>
        <w:pStyle w:val="ListBullet"/>
      </w:pPr>
      <w:r>
        <w:t>d</w:t>
      </w:r>
      <w:r w:rsidR="00861907">
        <w:t>endroglyphs</w:t>
      </w:r>
      <w:r w:rsidR="00315BFA">
        <w:t>.</w:t>
      </w:r>
    </w:p>
    <w:p w14:paraId="0D3C03A7" w14:textId="77777777" w:rsidR="00861907" w:rsidRDefault="00861907" w:rsidP="00861907">
      <w:r>
        <w:t>Class B objects must meet the criteria above and be at least 30 years old and not adequately represented in Aboriginal or Torres Strait Islander community collections, or public collections in Australia.</w:t>
      </w:r>
      <w:r>
        <w:rPr>
          <w:rStyle w:val="FootnoteReference"/>
        </w:rPr>
        <w:footnoteReference w:id="135"/>
      </w:r>
      <w:r>
        <w:t xml:space="preserve"> This kinds of objects include: </w:t>
      </w:r>
    </w:p>
    <w:p w14:paraId="5264E646" w14:textId="643EAA57" w:rsidR="00861907" w:rsidRDefault="00544E7C" w:rsidP="00FF0989">
      <w:pPr/>
      <w:r>
        <w:t>o</w:t>
      </w:r>
      <w:r w:rsidR="00861907">
        <w:t>bjects relating to famous and important Aboriginal or Torres Strait Islander people, or to other persons significant in Aboriginal or Torres Strait Islander history</w:t>
      </w:r>
      <w:r>
        <w:t>;</w:t>
      </w:r>
      <w:r w:rsidR="00861907">
        <w:t xml:space="preserve"> </w:t>
      </w:r>
    </w:p>
    <w:p w14:paraId="03E2E5A6" w14:textId="1C11F664" w:rsidR="00861907" w:rsidRDefault="00544E7C" w:rsidP="00FF0989">
      <w:pPr/>
      <w:r>
        <w:t>o</w:t>
      </w:r>
      <w:r w:rsidR="00861907">
        <w:t>bjects made on missions or reserves</w:t>
      </w:r>
      <w:r>
        <w:t>;</w:t>
      </w:r>
      <w:r w:rsidR="00861907">
        <w:t xml:space="preserve"> </w:t>
      </w:r>
    </w:p>
    <w:p w14:paraId="3290B918" w14:textId="684559FD" w:rsidR="00861907" w:rsidRDefault="00544E7C" w:rsidP="00FF0989">
      <w:pPr/>
      <w:r>
        <w:t>o</w:t>
      </w:r>
      <w:r w:rsidR="00861907">
        <w:t>bjects relating to the development of Aboriginal or Torres Strait Islander protest movements</w:t>
      </w:r>
      <w:r>
        <w:t>;</w:t>
      </w:r>
      <w:r w:rsidR="00861907">
        <w:t xml:space="preserve"> and </w:t>
      </w:r>
    </w:p>
    <w:p w14:paraId="75199280" w14:textId="479A1CA5" w:rsidR="00861907" w:rsidRDefault="00544E7C" w:rsidP="00FF0989">
      <w:pPr/>
      <w:r>
        <w:t>o</w:t>
      </w:r>
      <w:r w:rsidR="00861907">
        <w:t xml:space="preserve">riginal documents, photographs, drawing, sound recording, film and video recordings and any similar records relating to objects included in this category. </w:t>
      </w:r>
    </w:p>
    <w:p w14:paraId="71162EF5" w14:textId="18BF7694" w:rsidR="00861907" w:rsidRDefault="00861907" w:rsidP="00861907">
      <w:r>
        <w:t>There is a separate category for objects of decorative art. It does not include all forms of decorative art, but instead sets parameters based on date and value. For example, Aboriginal or Torres Strait Islander decorative art from pre-1901 valued at least $AUD25,000 is considered a Class A object. Aboriginal or Torres Strait Islander ochre paintings that are on bark, composition board, wood, cardboard, stone or other similar supports, valued at least $AUS20,000 are Class B objects.</w:t>
      </w:r>
      <w:r>
        <w:rPr>
          <w:rStyle w:val="FootnoteReference"/>
        </w:rPr>
        <w:footnoteReference w:id="136"/>
      </w:r>
      <w:r>
        <w:t xml:space="preserve"> </w:t>
      </w:r>
    </w:p>
    <w:p w14:paraId="7B1473F2" w14:textId="77777777" w:rsidR="00861907" w:rsidRPr="00223878" w:rsidRDefault="00861907" w:rsidP="005478E1">
      <w:pPr>
        <w:pStyle w:val="Heading6"/>
      </w:pPr>
      <w:r>
        <w:t xml:space="preserve">What are the protections? </w:t>
      </w:r>
    </w:p>
    <w:p w14:paraId="5AB1105C" w14:textId="77777777" w:rsidR="00861907" w:rsidRDefault="00861907" w:rsidP="00861907">
      <w:r>
        <w:t>Class A objects cannot be exported without a certificate.</w:t>
      </w:r>
      <w:r>
        <w:rPr>
          <w:rStyle w:val="FootnoteReference"/>
        </w:rPr>
        <w:footnoteReference w:id="137"/>
      </w:r>
      <w:r>
        <w:t xml:space="preserve"> </w:t>
      </w:r>
    </w:p>
    <w:p w14:paraId="55CD8697" w14:textId="6628AFD2" w:rsidR="00861907" w:rsidRDefault="00861907" w:rsidP="00861907">
      <w:r>
        <w:t>Class B objects cannot be exported without a permit o</w:t>
      </w:r>
      <w:r w:rsidR="005478E1">
        <w:t>r</w:t>
      </w:r>
      <w:r>
        <w:t xml:space="preserve"> certificate.</w:t>
      </w:r>
      <w:r>
        <w:rPr>
          <w:rStyle w:val="FootnoteReference"/>
        </w:rPr>
        <w:footnoteReference w:id="138"/>
      </w:r>
      <w:r>
        <w:t xml:space="preserve"> </w:t>
      </w:r>
    </w:p>
    <w:p w14:paraId="48B141A5" w14:textId="77777777" w:rsidR="00861907" w:rsidRDefault="00861907" w:rsidP="00861907">
      <w:r>
        <w:t>Certificates of exemption only apply where a person intends to import an Australia protected object for a temporary purpose, or when they will subsequently export the object.</w:t>
      </w:r>
      <w:r>
        <w:rPr>
          <w:rStyle w:val="FootnoteReference"/>
        </w:rPr>
        <w:footnoteReference w:id="139"/>
      </w:r>
      <w:r>
        <w:t xml:space="preserve"> </w:t>
      </w:r>
    </w:p>
    <w:p w14:paraId="53303B45" w14:textId="77777777" w:rsidR="00861907" w:rsidRDefault="00861907" w:rsidP="00861907">
      <w:r>
        <w:t>Class B objects require a permit granted by the Minister to export. In making their decision, the Minister will consider whether the loss of that object would significantly diminish the cultural heritage of Australia.</w:t>
      </w:r>
      <w:r>
        <w:rPr>
          <w:rStyle w:val="FootnoteReference"/>
        </w:rPr>
        <w:footnoteReference w:id="140"/>
      </w:r>
      <w:r>
        <w:t xml:space="preserve"> A collecting institution (a museum) may apply to the Minister for a Class B permit on an item accessioned into their collection.</w:t>
      </w:r>
      <w:r>
        <w:rPr>
          <w:rStyle w:val="FootnoteReference"/>
        </w:rPr>
        <w:footnoteReference w:id="141"/>
      </w:r>
      <w:r>
        <w:t xml:space="preserve"> In first instance, the Minister will refer the application to the National Cultural Heritage Committee, that includes </w:t>
      </w:r>
      <w:r>
        <w:lastRenderedPageBreak/>
        <w:t>four representatives from different collecting institutions.</w:t>
      </w:r>
      <w:r>
        <w:rPr>
          <w:rStyle w:val="FootnoteReference"/>
        </w:rPr>
        <w:footnoteReference w:id="142"/>
      </w:r>
      <w:r>
        <w:t xml:space="preserve"> In addition, the National Cultural Heritage Committee must include an Aboriginal or Torres Strait Islander person nominated by the Minister.</w:t>
      </w:r>
      <w:r>
        <w:rPr>
          <w:rStyle w:val="FootnoteReference"/>
        </w:rPr>
        <w:footnoteReference w:id="143"/>
      </w:r>
      <w:r>
        <w:t xml:space="preserve">  </w:t>
      </w:r>
    </w:p>
    <w:p w14:paraId="7C5EA838" w14:textId="6B6D06F3" w:rsidR="00861907" w:rsidRDefault="004808CD" w:rsidP="00861907">
      <w:r>
        <w:t xml:space="preserve">While </w:t>
      </w:r>
      <w:r w:rsidR="009B628F">
        <w:t xml:space="preserve">Aboriginal human remains fall into the Class A category, there may be Aboriginal cultural objects that contain human hair or tissue, that may fall into Category B and could potentially be </w:t>
      </w:r>
      <w:r w:rsidR="00D55195">
        <w:t xml:space="preserve">exported overseas by an Australian Museum, for example, in a travelling exhibition. </w:t>
      </w:r>
    </w:p>
    <w:p w14:paraId="35B18854" w14:textId="548EC472" w:rsidR="00502A7F" w:rsidRPr="008E5C92" w:rsidRDefault="00861907" w:rsidP="00AC73DF">
      <w:r>
        <w:t>This section provided an overview of the application of heritage laws to genomic research, particularly situations in which researchers may access samples from museum collections. The gap analysis</w:t>
      </w:r>
      <w:r w:rsidR="00F00AD8">
        <w:t xml:space="preserve"> in </w:t>
      </w:r>
      <w:r w:rsidR="00F00AD8" w:rsidRPr="002B5F46">
        <w:rPr>
          <w:b/>
          <w:bCs/>
        </w:rPr>
        <w:t xml:space="preserve">Section </w:t>
      </w:r>
      <w:r w:rsidR="00F00AD8" w:rsidRPr="002B5F46">
        <w:rPr>
          <w:b/>
          <w:bCs/>
        </w:rPr>
        <w:fldChar w:fldCharType="begin"/>
      </w:r>
      <w:r w:rsidR="00F00AD8" w:rsidRPr="002B5F46">
        <w:rPr>
          <w:b/>
          <w:bCs/>
        </w:rPr>
        <w:instrText xml:space="preserve"> REF _Ref44238193 \r \h </w:instrText>
      </w:r>
      <w:r w:rsidR="00F00AD8">
        <w:rPr>
          <w:b/>
          <w:bCs/>
        </w:rPr>
        <w:instrText xml:space="preserve"> \* MERGEFORMAT </w:instrText>
      </w:r>
      <w:r w:rsidR="00F00AD8" w:rsidRPr="002B5F46">
        <w:rPr>
          <w:b/>
          <w:bCs/>
        </w:rPr>
      </w:r>
      <w:r w:rsidR="00F00AD8" w:rsidRPr="002B5F46">
        <w:rPr>
          <w:b/>
          <w:bCs/>
        </w:rPr>
        <w:fldChar w:fldCharType="separate"/>
      </w:r>
      <w:r w:rsidR="000B4085">
        <w:rPr>
          <w:b/>
          <w:bCs/>
        </w:rPr>
        <w:t>6</w:t>
      </w:r>
      <w:r w:rsidR="00F00AD8" w:rsidRPr="002B5F46">
        <w:rPr>
          <w:b/>
          <w:bCs/>
        </w:rPr>
        <w:fldChar w:fldCharType="end"/>
      </w:r>
      <w:r>
        <w:t xml:space="preserve"> will go into more detail about the extent to which these laws address the ethical and cultural issues associated with researchers accessing museum collections.</w:t>
      </w:r>
      <w:bookmarkStart w:id="113" w:name="_Ref39135499"/>
    </w:p>
    <w:p w14:paraId="12D67529" w14:textId="28196FE2" w:rsidR="000520B6" w:rsidRPr="00F67476" w:rsidRDefault="000520B6" w:rsidP="002B5F46">
      <w:pPr>
        <w:pStyle w:val="Heading2"/>
        <w:rPr>
          <w:lang w:val="en-AU"/>
        </w:rPr>
      </w:pPr>
      <w:bookmarkStart w:id="114" w:name="_Ref39135505"/>
      <w:bookmarkStart w:id="115" w:name="_Ref39135510"/>
      <w:bookmarkStart w:id="116" w:name="_Ref39135515"/>
      <w:bookmarkStart w:id="117" w:name="_Ref39135537"/>
      <w:bookmarkStart w:id="118" w:name="_Ref39135542"/>
      <w:bookmarkStart w:id="119" w:name="_Toc118824350"/>
      <w:bookmarkEnd w:id="113"/>
      <w:r w:rsidRPr="00F67476">
        <w:rPr>
          <w:lang w:val="en-AU"/>
        </w:rPr>
        <w:t>Health records laws</w:t>
      </w:r>
      <w:bookmarkEnd w:id="114"/>
      <w:bookmarkEnd w:id="115"/>
      <w:bookmarkEnd w:id="116"/>
      <w:bookmarkEnd w:id="117"/>
      <w:bookmarkEnd w:id="118"/>
      <w:bookmarkEnd w:id="119"/>
      <w:r w:rsidRPr="00F67476">
        <w:rPr>
          <w:lang w:val="en-AU"/>
        </w:rPr>
        <w:t xml:space="preserve"> </w:t>
      </w:r>
    </w:p>
    <w:p w14:paraId="155CD450" w14:textId="6A0BD50D" w:rsidR="00760442" w:rsidRPr="008E5C92" w:rsidRDefault="00353D6C" w:rsidP="00241CD4">
      <w:r w:rsidRPr="008E5C92">
        <w:t xml:space="preserve">The </w:t>
      </w:r>
      <w:r w:rsidR="00617429" w:rsidRPr="008E5C92">
        <w:t>M</w:t>
      </w:r>
      <w:r w:rsidRPr="008E5C92">
        <w:t xml:space="preserve">y Health Record system operates under the </w:t>
      </w:r>
      <w:r w:rsidRPr="008E5C92">
        <w:rPr>
          <w:i/>
        </w:rPr>
        <w:t>My Health Records Act 2012</w:t>
      </w:r>
      <w:r w:rsidR="009A590B" w:rsidRPr="008E5C92">
        <w:rPr>
          <w:i/>
        </w:rPr>
        <w:t xml:space="preserve"> </w:t>
      </w:r>
      <w:r w:rsidR="009A590B" w:rsidRPr="008E5C92">
        <w:t>and a number of subordinate rules and regulations</w:t>
      </w:r>
      <w:r w:rsidRPr="008E5C92">
        <w:t>.</w:t>
      </w:r>
      <w:r w:rsidR="002C6DE5" w:rsidRPr="008E5C92">
        <w:t xml:space="preserve"> A key legislative change in 2015/2016 was that the system was to automatically create records for individuals unless they chose not to have one.</w:t>
      </w:r>
      <w:r w:rsidR="002C6DE5" w:rsidRPr="008E5C92">
        <w:rPr>
          <w:rStyle w:val="FootnoteReference"/>
        </w:rPr>
        <w:footnoteReference w:id="144"/>
      </w:r>
      <w:r w:rsidR="002C6DE5" w:rsidRPr="008E5C92">
        <w:t xml:space="preserve"> </w:t>
      </w:r>
    </w:p>
    <w:p w14:paraId="32F276F6" w14:textId="511D09A0" w:rsidR="00656500" w:rsidRPr="008E5C92" w:rsidRDefault="00656500" w:rsidP="00241CD4">
      <w:r w:rsidRPr="008E5C92">
        <w:t>The System Operator will retain the records</w:t>
      </w:r>
      <w:r w:rsidR="00B21364" w:rsidRPr="008E5C92">
        <w:t>, from the date of collection until:</w:t>
      </w:r>
    </w:p>
    <w:p w14:paraId="62071D15" w14:textId="780BCDFF" w:rsidR="00B21364" w:rsidRPr="008E5C92" w:rsidRDefault="00B21364" w:rsidP="00FF0989">
      <w:pPr/>
      <w:r w:rsidRPr="008E5C92">
        <w:t>30 years after the death of the healthcare recipient</w:t>
      </w:r>
      <w:r w:rsidR="006A6600" w:rsidRPr="008E5C92">
        <w:t>;</w:t>
      </w:r>
      <w:r w:rsidR="009679A0" w:rsidRPr="008E5C92">
        <w:t xml:space="preserve"> or</w:t>
      </w:r>
      <w:r w:rsidRPr="008E5C92">
        <w:t xml:space="preserve"> </w:t>
      </w:r>
    </w:p>
    <w:p w14:paraId="39D4DC42" w14:textId="3B02D919" w:rsidR="00B21364" w:rsidRPr="008E5C92" w:rsidRDefault="00D026DC" w:rsidP="00FF0989">
      <w:pPr/>
      <w:r w:rsidRPr="008E5C92">
        <w:t>i</w:t>
      </w:r>
      <w:r w:rsidR="00973EA4" w:rsidRPr="008E5C92">
        <w:t>f the System Operator does not know the data of death of the healthcare recipient, 130 years after the healthcare recipient’s date of birth</w:t>
      </w:r>
      <w:r w:rsidR="009679A0" w:rsidRPr="008E5C92">
        <w:t>; or</w:t>
      </w:r>
      <w:r w:rsidR="00973EA4" w:rsidRPr="008E5C92">
        <w:t xml:space="preserve"> </w:t>
      </w:r>
    </w:p>
    <w:p w14:paraId="0F1186FC" w14:textId="3BBEEED2" w:rsidR="00973EA4" w:rsidRPr="008E5C92" w:rsidRDefault="00D026DC" w:rsidP="00FF0989">
      <w:pPr/>
      <w:r w:rsidRPr="008E5C92">
        <w:t>the healthcare recipient cancels their registration.</w:t>
      </w:r>
      <w:r w:rsidRPr="008E5C92">
        <w:rPr>
          <w:rStyle w:val="FootnoteReference"/>
        </w:rPr>
        <w:footnoteReference w:id="145"/>
      </w:r>
    </w:p>
    <w:p w14:paraId="0DF0C680" w14:textId="4D887493" w:rsidR="005D4845" w:rsidRPr="008E5C92" w:rsidRDefault="00F57D7F" w:rsidP="00760442">
      <w:r>
        <w:t xml:space="preserve">The </w:t>
      </w:r>
      <w:r>
        <w:rPr>
          <w:i/>
          <w:iCs/>
        </w:rPr>
        <w:t>My Health Records</w:t>
      </w:r>
      <w:r w:rsidR="005D4845">
        <w:rPr>
          <w:i/>
        </w:rPr>
        <w:t xml:space="preserve"> Act</w:t>
      </w:r>
      <w:r w:rsidR="005D4845" w:rsidRPr="008E5C92">
        <w:t xml:space="preserve"> </w:t>
      </w:r>
      <w:r w:rsidR="00A73A6B" w:rsidRPr="008E5C92">
        <w:t xml:space="preserve">contains a privacy framework in-line with the </w:t>
      </w:r>
      <w:r w:rsidR="00A73A6B" w:rsidRPr="008E5C92">
        <w:rPr>
          <w:i/>
        </w:rPr>
        <w:t>Privacy Act.</w:t>
      </w:r>
      <w:r w:rsidR="005D5C24" w:rsidRPr="008E5C92">
        <w:rPr>
          <w:rStyle w:val="FootnoteReference"/>
          <w:i/>
        </w:rPr>
        <w:footnoteReference w:id="146"/>
      </w:r>
      <w:r w:rsidR="00A73A6B" w:rsidRPr="008E5C92">
        <w:rPr>
          <w:i/>
        </w:rPr>
        <w:t xml:space="preserve"> </w:t>
      </w:r>
      <w:r w:rsidR="0077135B" w:rsidRPr="008E5C92">
        <w:t xml:space="preserve">Key amendments by the </w:t>
      </w:r>
      <w:r w:rsidR="0077135B" w:rsidRPr="008E5C92">
        <w:rPr>
          <w:i/>
        </w:rPr>
        <w:t>My Health Records Amendment (Strengthening Privacy) Bill 2018</w:t>
      </w:r>
      <w:r w:rsidR="0077135B" w:rsidRPr="008E5C92">
        <w:t xml:space="preserve"> </w:t>
      </w:r>
      <w:r w:rsidR="000966EF" w:rsidRPr="008E5C92">
        <w:t xml:space="preserve">were intended to strengthen the privacy provisions around healthcare recipient’s </w:t>
      </w:r>
      <w:r w:rsidR="00C93088" w:rsidRPr="008E5C92">
        <w:t xml:space="preserve">My Health Records. The new laws: </w:t>
      </w:r>
    </w:p>
    <w:p w14:paraId="6C5845E1" w14:textId="1062F16D" w:rsidR="00C93088" w:rsidRPr="008E5C92" w:rsidRDefault="00F14F7D" w:rsidP="007B2DFC">
      <w:pPr>
        <w:pStyle w:val="ListBullet"/>
      </w:pPr>
      <w:r w:rsidRPr="008E5C92">
        <w:t>a</w:t>
      </w:r>
      <w:r w:rsidR="00C93088" w:rsidRPr="008E5C92">
        <w:t>llowed people to permanently delete their records (and any backups)</w:t>
      </w:r>
      <w:r w:rsidRPr="008E5C92">
        <w:t>;</w:t>
      </w:r>
      <w:r w:rsidR="00C61407" w:rsidRPr="008E5C92">
        <w:rPr>
          <w:rStyle w:val="FootnoteReference"/>
        </w:rPr>
        <w:footnoteReference w:id="147"/>
      </w:r>
      <w:r w:rsidR="00C93088" w:rsidRPr="008E5C92">
        <w:t xml:space="preserve"> </w:t>
      </w:r>
    </w:p>
    <w:p w14:paraId="2FD7DB0D" w14:textId="01E718B5" w:rsidR="00C93088" w:rsidRPr="008E5C92" w:rsidRDefault="00F14F7D" w:rsidP="007B2DFC">
      <w:pPr>
        <w:pStyle w:val="ListBullet"/>
      </w:pPr>
      <w:r w:rsidRPr="008E5C92">
        <w:t>p</w:t>
      </w:r>
      <w:r w:rsidR="00315998" w:rsidRPr="008E5C92">
        <w:t>rohibited by law access to My Health Records by anyone for insurance or employment purposes</w:t>
      </w:r>
      <w:r w:rsidRPr="008E5C92">
        <w:t>;</w:t>
      </w:r>
      <w:r w:rsidR="005B5702" w:rsidRPr="008E5C92">
        <w:rPr>
          <w:rStyle w:val="FootnoteReference"/>
        </w:rPr>
        <w:footnoteReference w:id="148"/>
      </w:r>
      <w:r w:rsidRPr="008E5C92">
        <w:t xml:space="preserve"> and</w:t>
      </w:r>
      <w:r w:rsidR="00315998" w:rsidRPr="008E5C92">
        <w:t xml:space="preserve"> </w:t>
      </w:r>
    </w:p>
    <w:p w14:paraId="1718342E" w14:textId="36EA4028" w:rsidR="001D64B0" w:rsidRPr="008E5C92" w:rsidRDefault="00F14F7D" w:rsidP="00FF0989">
      <w:pPr/>
      <w:r w:rsidRPr="008E5C92">
        <w:lastRenderedPageBreak/>
        <w:t>r</w:t>
      </w:r>
      <w:r w:rsidR="001D64B0" w:rsidRPr="008E5C92">
        <w:t>equire</w:t>
      </w:r>
      <w:r w:rsidR="00D74712">
        <w:t>d</w:t>
      </w:r>
      <w:r w:rsidR="001D64B0" w:rsidRPr="008E5C92">
        <w:t xml:space="preserve"> that law enforcement and other government agencies produce a court order to access information in a My Health Record</w:t>
      </w:r>
      <w:r w:rsidR="00784AD4" w:rsidRPr="008E5C92">
        <w:rPr>
          <w:rStyle w:val="FootnoteReference"/>
        </w:rPr>
        <w:footnoteReference w:id="149"/>
      </w:r>
      <w:r w:rsidR="001D64B0" w:rsidRPr="008E5C92">
        <w:t xml:space="preserve"> </w:t>
      </w:r>
    </w:p>
    <w:p w14:paraId="27ACB4A7" w14:textId="117334A0" w:rsidR="00B332E9" w:rsidRPr="008E5C92" w:rsidRDefault="00B332E9" w:rsidP="00B332E9">
      <w:r w:rsidRPr="008E5C92">
        <w:t xml:space="preserve">The </w:t>
      </w:r>
      <w:r w:rsidR="00F57D7F">
        <w:rPr>
          <w:i/>
          <w:iCs/>
        </w:rPr>
        <w:t>My Health Records</w:t>
      </w:r>
      <w:r>
        <w:rPr>
          <w:i/>
        </w:rPr>
        <w:t xml:space="preserve"> Act </w:t>
      </w:r>
      <w:r w:rsidR="00C97C29" w:rsidRPr="008E5C92">
        <w:t xml:space="preserve">also </w:t>
      </w:r>
      <w:r w:rsidRPr="008E5C92">
        <w:t xml:space="preserve">sets out the functions of the System Operator, which includes, in accordance with the guidance and direction of the </w:t>
      </w:r>
      <w:r w:rsidR="00834A28" w:rsidRPr="008E5C92">
        <w:t xml:space="preserve">Data Governance </w:t>
      </w:r>
      <w:r w:rsidRPr="008E5C92">
        <w:t xml:space="preserve">Board, </w:t>
      </w:r>
      <w:r w:rsidR="00B83394" w:rsidRPr="008E5C92">
        <w:t xml:space="preserve">the preparation and provision </w:t>
      </w:r>
      <w:r w:rsidRPr="008E5C92">
        <w:t>for research or public health purposes</w:t>
      </w:r>
      <w:r w:rsidR="00B83394" w:rsidRPr="008E5C92">
        <w:t xml:space="preserve"> of</w:t>
      </w:r>
      <w:r w:rsidRPr="008E5C92">
        <w:t>:</w:t>
      </w:r>
    </w:p>
    <w:p w14:paraId="279B3034" w14:textId="77777777" w:rsidR="00B332E9" w:rsidRPr="008E5C92" w:rsidRDefault="00B332E9" w:rsidP="00FF0989">
      <w:pPr/>
      <w:r w:rsidRPr="008E5C92">
        <w:t xml:space="preserve">de-identified data (no consent required); and </w:t>
      </w:r>
    </w:p>
    <w:p w14:paraId="152781D6" w14:textId="17C05B03" w:rsidR="00B332E9" w:rsidRPr="008E5C92" w:rsidRDefault="00B332E9" w:rsidP="00FF0989">
      <w:pPr/>
      <w:r w:rsidRPr="008E5C92">
        <w:t>health information (with the consent of the healthcare recipient).</w:t>
      </w:r>
      <w:r w:rsidR="008207B6" w:rsidRPr="008E5C92">
        <w:rPr>
          <w:rStyle w:val="FootnoteReference"/>
        </w:rPr>
        <w:footnoteReference w:id="150"/>
      </w:r>
      <w:r w:rsidRPr="008E5C92">
        <w:t xml:space="preserve"> </w:t>
      </w:r>
    </w:p>
    <w:p w14:paraId="72E6004C" w14:textId="31A62251" w:rsidR="00241CD4" w:rsidRPr="008E5C92" w:rsidRDefault="005F652C" w:rsidP="00241CD4">
      <w:r w:rsidRPr="008E5C92">
        <w:t xml:space="preserve">From the commencement of the amendments, </w:t>
      </w:r>
      <w:r w:rsidR="004A4EA4" w:rsidRPr="008E5C92">
        <w:t>a copyright exception applies to heath records</w:t>
      </w:r>
      <w:r w:rsidR="00A7513F" w:rsidRPr="008E5C92">
        <w:t>, sound recordings and cinematograph films,</w:t>
      </w:r>
      <w:r w:rsidR="004A4EA4" w:rsidRPr="008E5C92">
        <w:t xml:space="preserve"> subject to copyright</w:t>
      </w:r>
      <w:r w:rsidR="00A7513F" w:rsidRPr="008E5C92">
        <w:t>.</w:t>
      </w:r>
      <w:r w:rsidR="00A7513F" w:rsidRPr="008E5C92">
        <w:rPr>
          <w:rStyle w:val="FootnoteReference"/>
        </w:rPr>
        <w:footnoteReference w:id="151"/>
      </w:r>
      <w:r w:rsidR="005D42B2" w:rsidRPr="008E5C92">
        <w:t xml:space="preserve"> This exception allows providers to use the record, sound recording or film in a way that would otherwise be a copyright infringement, </w:t>
      </w:r>
      <w:r w:rsidR="00597C88" w:rsidRPr="008E5C92">
        <w:t>if the act they are doing is</w:t>
      </w:r>
      <w:r w:rsidR="003F2FF9" w:rsidRPr="008E5C92">
        <w:t>:</w:t>
      </w:r>
    </w:p>
    <w:p w14:paraId="3224F483" w14:textId="3E099B1F" w:rsidR="00597C88" w:rsidRPr="008E5C92" w:rsidRDefault="007572CE" w:rsidP="00FF0989">
      <w:pPr/>
      <w:r w:rsidRPr="008E5C92">
        <w:t>f</w:t>
      </w:r>
      <w:r w:rsidR="00597C88" w:rsidRPr="008E5C92">
        <w:t xml:space="preserve">or the collection, use or disclosure of health information </w:t>
      </w:r>
      <w:r w:rsidR="0065004A" w:rsidRPr="008E5C92">
        <w:t>under</w:t>
      </w:r>
      <w:r w:rsidR="009565E4" w:rsidRPr="008E5C92">
        <w:t xml:space="preserve"> the My Health Records </w:t>
      </w:r>
      <w:r w:rsidR="00401A34" w:rsidRPr="008E5C92">
        <w:t>system</w:t>
      </w:r>
      <w:r w:rsidRPr="008E5C92">
        <w:t>;</w:t>
      </w:r>
    </w:p>
    <w:p w14:paraId="0340D6D1" w14:textId="44A39FEB" w:rsidR="00401A34" w:rsidRPr="008E5C92" w:rsidRDefault="001479ED" w:rsidP="00FF0989">
      <w:pPr/>
      <w:r w:rsidRPr="008E5C92">
        <w:t>i</w:t>
      </w:r>
      <w:r w:rsidR="00401A34" w:rsidRPr="008E5C92">
        <w:t xml:space="preserve">n circumstances permitted by the </w:t>
      </w:r>
      <w:r w:rsidR="00401A34" w:rsidRPr="008E5C92">
        <w:rPr>
          <w:i/>
        </w:rPr>
        <w:t>Privacy Act</w:t>
      </w:r>
      <w:r w:rsidR="00401A34" w:rsidRPr="008E5C92">
        <w:t xml:space="preserve"> in relation to health</w:t>
      </w:r>
      <w:r w:rsidRPr="008E5C92">
        <w:t>; or</w:t>
      </w:r>
      <w:r w:rsidR="00401A34" w:rsidRPr="008E5C92">
        <w:t xml:space="preserve"> </w:t>
      </w:r>
    </w:p>
    <w:p w14:paraId="7274311C" w14:textId="0E777956" w:rsidR="008846AA" w:rsidRPr="008E5C92" w:rsidRDefault="001479ED" w:rsidP="00FF0989">
      <w:pPr/>
      <w:r w:rsidRPr="008E5C92">
        <w:t>f</w:t>
      </w:r>
      <w:r w:rsidR="008846AA" w:rsidRPr="008E5C92">
        <w:t>or any purpose relating to healthcare or the communication or management of health information prescribed by the regulation</w:t>
      </w:r>
      <w:r w:rsidR="00160C02">
        <w:t>.</w:t>
      </w:r>
      <w:r w:rsidR="00587142" w:rsidRPr="008E5C92">
        <w:rPr>
          <w:rStyle w:val="FootnoteReference"/>
        </w:rPr>
        <w:footnoteReference w:id="152"/>
      </w:r>
      <w:r w:rsidR="008846AA" w:rsidRPr="008E5C92">
        <w:t xml:space="preserve"> </w:t>
      </w:r>
    </w:p>
    <w:p w14:paraId="03ED0D47" w14:textId="38C36BDB" w:rsidR="00587142" w:rsidRPr="008E5C92" w:rsidRDefault="00587142" w:rsidP="00587142">
      <w:r w:rsidRPr="008E5C92">
        <w:t>This exception does not apply to health records, sound recordings or cinematograph films created before the commencement date of the provisions.</w:t>
      </w:r>
      <w:r w:rsidRPr="008E5C92">
        <w:rPr>
          <w:rStyle w:val="FootnoteReference"/>
        </w:rPr>
        <w:footnoteReference w:id="153"/>
      </w:r>
      <w:r w:rsidRPr="008E5C92">
        <w:t xml:space="preserve"> </w:t>
      </w:r>
    </w:p>
    <w:p w14:paraId="07EB8575" w14:textId="2BED8BE3" w:rsidR="007D7FAA" w:rsidRPr="008E5C92" w:rsidRDefault="00E55F97" w:rsidP="00241CD4">
      <w:r>
        <w:t xml:space="preserve">The </w:t>
      </w:r>
      <w:r w:rsidR="000709D1" w:rsidRPr="008E5C92">
        <w:t xml:space="preserve">Australian Digital Health Agency </w:t>
      </w:r>
      <w:r>
        <w:t xml:space="preserve">was </w:t>
      </w:r>
      <w:r w:rsidR="000709D1" w:rsidRPr="008E5C92">
        <w:t xml:space="preserve">established in 2015/2016 </w:t>
      </w:r>
      <w:r w:rsidR="00D63F36" w:rsidRPr="008E5C92">
        <w:t>to strengthen digital health governance arrangements</w:t>
      </w:r>
      <w:r w:rsidR="00436B76" w:rsidRPr="008E5C92">
        <w:t xml:space="preserve"> and performs many of the System Operator Duties</w:t>
      </w:r>
      <w:r w:rsidR="00D63F36" w:rsidRPr="008E5C92">
        <w:t>.</w:t>
      </w:r>
      <w:r w:rsidR="00436B76" w:rsidRPr="008E5C92">
        <w:rPr>
          <w:rStyle w:val="FootnoteReference"/>
        </w:rPr>
        <w:footnoteReference w:id="154"/>
      </w:r>
      <w:r w:rsidR="00D63F36" w:rsidRPr="008E5C92">
        <w:t xml:space="preserve"> </w:t>
      </w:r>
    </w:p>
    <w:p w14:paraId="1458B3AA" w14:textId="65C66294" w:rsidR="001479ED" w:rsidRPr="008E5C92" w:rsidRDefault="00E23B5D" w:rsidP="00241CD4">
      <w:r w:rsidRPr="008E5C92">
        <w:t xml:space="preserve">The result of these provisions is that for many Aboriginal and Torres Strait Islander peoples, unless they have </w:t>
      </w:r>
      <w:r w:rsidR="00DF6C4D" w:rsidRPr="008E5C92">
        <w:t>opted-out of the My Health Record system</w:t>
      </w:r>
      <w:r w:rsidR="006B200D">
        <w:t>,</w:t>
      </w:r>
      <w:r w:rsidR="00DF6C4D" w:rsidRPr="008E5C92">
        <w:t xml:space="preserve"> will already have My Health Record. This record may well include genomic information. This genomic information </w:t>
      </w:r>
      <w:r w:rsidR="004E401D" w:rsidRPr="008E5C92">
        <w:t xml:space="preserve">may be available (in deidentified form) for research or public health purposes, </w:t>
      </w:r>
      <w:r w:rsidR="00BA53DF" w:rsidRPr="008E5C92">
        <w:t xml:space="preserve">and may be made available to law enforcement if they have a court order. </w:t>
      </w:r>
    </w:p>
    <w:p w14:paraId="28EB6A7C" w14:textId="42D608B9" w:rsidR="000520B6" w:rsidRPr="00F67476" w:rsidRDefault="000520B6" w:rsidP="002B5F46">
      <w:pPr>
        <w:pStyle w:val="Heading2"/>
        <w:rPr>
          <w:lang w:val="en-AU"/>
        </w:rPr>
      </w:pPr>
      <w:bookmarkStart w:id="120" w:name="_Toc118824351"/>
      <w:r w:rsidRPr="00F67476">
        <w:rPr>
          <w:lang w:val="en-AU"/>
        </w:rPr>
        <w:t>Managing research agreements</w:t>
      </w:r>
      <w:bookmarkEnd w:id="120"/>
      <w:r w:rsidRPr="00F67476">
        <w:rPr>
          <w:lang w:val="en-AU"/>
        </w:rPr>
        <w:t xml:space="preserve"> </w:t>
      </w:r>
    </w:p>
    <w:p w14:paraId="3A18E64C" w14:textId="7C75DAA3" w:rsidR="00447D26" w:rsidRPr="00A90A35" w:rsidRDefault="000A0E76" w:rsidP="00AC73DF">
      <w:pPr>
        <w:rPr>
          <w:szCs w:val="24"/>
        </w:rPr>
      </w:pPr>
      <w:r w:rsidRPr="00A90A35">
        <w:rPr>
          <w:szCs w:val="24"/>
        </w:rPr>
        <w:t>Many research</w:t>
      </w:r>
      <w:r w:rsidR="00C537DD" w:rsidRPr="00A90A35">
        <w:rPr>
          <w:szCs w:val="24"/>
        </w:rPr>
        <w:t xml:space="preserve"> projects</w:t>
      </w:r>
      <w:r w:rsidRPr="00A90A35">
        <w:rPr>
          <w:szCs w:val="24"/>
        </w:rPr>
        <w:t xml:space="preserve"> </w:t>
      </w:r>
      <w:r w:rsidR="00364266" w:rsidRPr="00A90A35">
        <w:rPr>
          <w:szCs w:val="24"/>
        </w:rPr>
        <w:t xml:space="preserve">will involve a framework of agreements </w:t>
      </w:r>
      <w:r w:rsidR="00C537DD" w:rsidRPr="00A90A35">
        <w:rPr>
          <w:szCs w:val="24"/>
        </w:rPr>
        <w:t>between the parties</w:t>
      </w:r>
      <w:r w:rsidR="00BE2F57" w:rsidRPr="00A90A35">
        <w:rPr>
          <w:szCs w:val="24"/>
        </w:rPr>
        <w:t xml:space="preserve">, </w:t>
      </w:r>
      <w:r w:rsidR="00364266" w:rsidRPr="00A90A35">
        <w:rPr>
          <w:szCs w:val="24"/>
        </w:rPr>
        <w:t xml:space="preserve">including: </w:t>
      </w:r>
    </w:p>
    <w:p w14:paraId="71A63771" w14:textId="3FD9F969" w:rsidR="00364266" w:rsidRPr="008E5C92" w:rsidRDefault="001477BC" w:rsidP="007B2DFC">
      <w:pPr>
        <w:pStyle w:val="ListBullet"/>
      </w:pPr>
      <w:r w:rsidRPr="008E5C92">
        <w:t>a</w:t>
      </w:r>
      <w:r w:rsidR="00364266" w:rsidRPr="008E5C92">
        <w:t xml:space="preserve">greements between the research institution and a funder (e.g. </w:t>
      </w:r>
      <w:r w:rsidR="00740594" w:rsidRPr="008E5C92">
        <w:t>a university research program funded by a government grant)</w:t>
      </w:r>
      <w:r w:rsidRPr="008E5C92">
        <w:t>;</w:t>
      </w:r>
    </w:p>
    <w:p w14:paraId="482430C7" w14:textId="79F2286B" w:rsidR="00740594" w:rsidRPr="008E5C92" w:rsidRDefault="001477BC" w:rsidP="007B2DFC">
      <w:pPr>
        <w:pStyle w:val="ListBullet"/>
      </w:pPr>
      <w:r w:rsidRPr="008E5C92">
        <w:t>t</w:t>
      </w:r>
      <w:r w:rsidR="00A16F12" w:rsidRPr="008E5C92">
        <w:t xml:space="preserve">he individual </w:t>
      </w:r>
      <w:r w:rsidR="004F4A73" w:rsidRPr="008E5C92">
        <w:t>researcher, and their employer, the research institution</w:t>
      </w:r>
      <w:r w:rsidR="00BE2F57" w:rsidRPr="008E5C92">
        <w:t xml:space="preserve"> (e.g. employee or contractor agreement)</w:t>
      </w:r>
      <w:r w:rsidRPr="008E5C92">
        <w:t>;</w:t>
      </w:r>
    </w:p>
    <w:p w14:paraId="3911B813" w14:textId="5A058648" w:rsidR="004F4A73" w:rsidRPr="008E5C92" w:rsidRDefault="001477BC" w:rsidP="007B2DFC">
      <w:pPr>
        <w:pStyle w:val="ListBullet"/>
      </w:pPr>
      <w:r w:rsidRPr="008E5C92">
        <w:lastRenderedPageBreak/>
        <w:t>t</w:t>
      </w:r>
      <w:r w:rsidR="009F5086" w:rsidRPr="008E5C92">
        <w:t>he Aboriginal or Torres Strait Islander donors and the research team (if research team engages donor and community directly)</w:t>
      </w:r>
      <w:r w:rsidRPr="008E5C92">
        <w:t>;</w:t>
      </w:r>
      <w:r w:rsidR="009F5086" w:rsidRPr="008E5C92">
        <w:t xml:space="preserve"> </w:t>
      </w:r>
    </w:p>
    <w:p w14:paraId="6F0347F5" w14:textId="206C1B57" w:rsidR="009F5086" w:rsidRPr="008E5C92" w:rsidRDefault="001477BC" w:rsidP="007B2DFC">
      <w:pPr>
        <w:pStyle w:val="ListBullet"/>
      </w:pPr>
      <w:r w:rsidRPr="008E5C92">
        <w:t>t</w:t>
      </w:r>
      <w:r w:rsidR="009F5086" w:rsidRPr="008E5C92">
        <w:t>he data source provider (e.g. a biobank</w:t>
      </w:r>
      <w:r w:rsidR="00AD6F64" w:rsidRPr="008E5C92">
        <w:t xml:space="preserve">) and the research team (if the research team uses data from an existing source); and </w:t>
      </w:r>
    </w:p>
    <w:p w14:paraId="18F18F48" w14:textId="5770B493" w:rsidR="001477BC" w:rsidRPr="008E5C92" w:rsidRDefault="001477BC" w:rsidP="007B2DFC">
      <w:pPr>
        <w:pStyle w:val="ListBullet"/>
      </w:pPr>
      <w:r w:rsidRPr="008E5C92">
        <w:t>t</w:t>
      </w:r>
      <w:r w:rsidR="00AD6F64" w:rsidRPr="008E5C92">
        <w:t>he Aboriginal or Torres Strait Islander donors and the</w:t>
      </w:r>
      <w:r w:rsidRPr="008E5C92">
        <w:t xml:space="preserve"> data source provider.</w:t>
      </w:r>
    </w:p>
    <w:p w14:paraId="19CC4D7C" w14:textId="74C46DA6" w:rsidR="001477BC" w:rsidRPr="00A90A35" w:rsidRDefault="001477BC" w:rsidP="001477BC">
      <w:pPr>
        <w:rPr>
          <w:szCs w:val="24"/>
        </w:rPr>
      </w:pPr>
      <w:r w:rsidRPr="00A90A35">
        <w:rPr>
          <w:szCs w:val="24"/>
        </w:rPr>
        <w:t>See</w:t>
      </w:r>
      <w:r w:rsidR="001B6D9A">
        <w:rPr>
          <w:szCs w:val="24"/>
        </w:rPr>
        <w:t xml:space="preserve"> </w:t>
      </w:r>
      <w:r w:rsidR="001B6D9A" w:rsidRPr="002B5F46">
        <w:rPr>
          <w:b/>
          <w:bCs/>
          <w:szCs w:val="24"/>
        </w:rPr>
        <w:fldChar w:fldCharType="begin"/>
      </w:r>
      <w:r w:rsidR="001B6D9A" w:rsidRPr="002B5F46">
        <w:rPr>
          <w:b/>
          <w:bCs/>
          <w:szCs w:val="24"/>
        </w:rPr>
        <w:instrText xml:space="preserve"> REF _Ref45030829 \h </w:instrText>
      </w:r>
      <w:r w:rsidR="001B6D9A">
        <w:rPr>
          <w:b/>
          <w:bCs/>
          <w:szCs w:val="24"/>
        </w:rPr>
        <w:instrText xml:space="preserve"> \* MERGEFORMAT </w:instrText>
      </w:r>
      <w:r w:rsidR="001B6D9A" w:rsidRPr="002B5F46">
        <w:rPr>
          <w:b/>
          <w:bCs/>
          <w:szCs w:val="24"/>
        </w:rPr>
      </w:r>
      <w:r w:rsidR="001B6D9A" w:rsidRPr="002B5F46">
        <w:rPr>
          <w:b/>
          <w:bCs/>
          <w:szCs w:val="24"/>
        </w:rPr>
        <w:fldChar w:fldCharType="separate"/>
      </w:r>
      <w:r w:rsidR="000B4085" w:rsidRPr="000B4085">
        <w:rPr>
          <w:b/>
          <w:bCs/>
        </w:rPr>
        <w:t xml:space="preserve">Figure </w:t>
      </w:r>
      <w:r w:rsidR="000B4085" w:rsidRPr="000B4085">
        <w:rPr>
          <w:b/>
          <w:bCs/>
          <w:noProof/>
          <w:sz w:val="20"/>
        </w:rPr>
        <w:t>9</w:t>
      </w:r>
      <w:r w:rsidR="001B6D9A" w:rsidRPr="002B5F46">
        <w:rPr>
          <w:b/>
          <w:bCs/>
          <w:szCs w:val="24"/>
        </w:rPr>
        <w:fldChar w:fldCharType="end"/>
      </w:r>
      <w:r w:rsidRPr="00A90A35">
        <w:rPr>
          <w:szCs w:val="24"/>
        </w:rPr>
        <w:t xml:space="preserve"> </w:t>
      </w:r>
      <w:r w:rsidR="001E609F">
        <w:rPr>
          <w:szCs w:val="24"/>
        </w:rPr>
        <w:t xml:space="preserve">illustrating </w:t>
      </w:r>
      <w:r w:rsidRPr="00A90A35">
        <w:rPr>
          <w:szCs w:val="24"/>
        </w:rPr>
        <w:t xml:space="preserve">the </w:t>
      </w:r>
      <w:r w:rsidR="00361638" w:rsidRPr="00A90A35">
        <w:rPr>
          <w:szCs w:val="24"/>
        </w:rPr>
        <w:t xml:space="preserve">research agreement network. </w:t>
      </w:r>
    </w:p>
    <w:p w14:paraId="476F5A5A" w14:textId="77777777" w:rsidR="005663D8" w:rsidRDefault="008F199B" w:rsidP="002B5F46">
      <w:pPr>
        <w:keepNext/>
        <w:jc w:val="center"/>
      </w:pPr>
      <w:r>
        <w:rPr>
          <w:noProof/>
        </w:rPr>
        <w:drawing>
          <wp:inline distT="0" distB="0" distL="0" distR="0" wp14:anchorId="108E341F" wp14:editId="508887A3">
            <wp:extent cx="5731510" cy="3870325"/>
            <wp:effectExtent l="0" t="0" r="2540" b="0"/>
            <wp:docPr id="24" name="Picture 24" descr="Figure 9: Research Agreemen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9: Research Agreement Network"/>
                    <pic:cNvPicPr/>
                  </pic:nvPicPr>
                  <pic:blipFill>
                    <a:blip r:embed="rId40"/>
                    <a:stretch>
                      <a:fillRect/>
                    </a:stretch>
                  </pic:blipFill>
                  <pic:spPr>
                    <a:xfrm>
                      <a:off x="0" y="0"/>
                      <a:ext cx="5731510" cy="3870325"/>
                    </a:xfrm>
                    <a:prstGeom prst="rect">
                      <a:avLst/>
                    </a:prstGeom>
                  </pic:spPr>
                </pic:pic>
              </a:graphicData>
            </a:graphic>
          </wp:inline>
        </w:drawing>
      </w:r>
    </w:p>
    <w:p w14:paraId="2012E1AF" w14:textId="4485E889" w:rsidR="00722E59" w:rsidRPr="008E5C92" w:rsidRDefault="005663D8" w:rsidP="007B2DFC">
      <w:pPr>
        <w:pStyle w:val="Caption"/>
      </w:pPr>
      <w:bookmarkStart w:id="121" w:name="_Ref45030829"/>
      <w:bookmarkStart w:id="122" w:name="_Toc45145521"/>
      <w:r>
        <w:t xml:space="preserve">Figure </w:t>
      </w:r>
      <w:r w:rsidRPr="00A7008D">
        <w:rPr>
          <w:sz w:val="20"/>
        </w:rPr>
        <w:fldChar w:fldCharType="begin"/>
      </w:r>
      <w:r w:rsidRPr="00A7008D">
        <w:rPr>
          <w:sz w:val="20"/>
        </w:rPr>
        <w:instrText xml:space="preserve"> SEQ Figure \* ARABIC </w:instrText>
      </w:r>
      <w:r w:rsidRPr="00A7008D">
        <w:rPr>
          <w:sz w:val="20"/>
        </w:rPr>
        <w:fldChar w:fldCharType="separate"/>
      </w:r>
      <w:r w:rsidR="000B4085">
        <w:rPr>
          <w:noProof/>
          <w:sz w:val="20"/>
        </w:rPr>
        <w:t>9</w:t>
      </w:r>
      <w:r w:rsidRPr="00A7008D">
        <w:rPr>
          <w:sz w:val="20"/>
        </w:rPr>
        <w:fldChar w:fldCharType="end"/>
      </w:r>
      <w:bookmarkEnd w:id="121"/>
      <w:r>
        <w:t xml:space="preserve">: </w:t>
      </w:r>
      <w:r>
        <w:rPr>
          <w:bCs/>
        </w:rPr>
        <w:t>R</w:t>
      </w:r>
      <w:r w:rsidRPr="002B5F46">
        <w:rPr>
          <w:bCs/>
        </w:rPr>
        <w:t>esearch agreement network</w:t>
      </w:r>
      <w:bookmarkEnd w:id="122"/>
    </w:p>
    <w:p w14:paraId="4F9EEE65" w14:textId="321F63BA" w:rsidR="00361638" w:rsidRPr="00A90A35" w:rsidRDefault="00361638" w:rsidP="00AC73DF">
      <w:pPr>
        <w:rPr>
          <w:szCs w:val="24"/>
        </w:rPr>
      </w:pPr>
      <w:r w:rsidRPr="00A90A35">
        <w:rPr>
          <w:szCs w:val="24"/>
        </w:rPr>
        <w:t xml:space="preserve">The formality of the agreements may vary. Some may be written, some may be oral. </w:t>
      </w:r>
      <w:r w:rsidR="009F4046" w:rsidRPr="00A90A35">
        <w:rPr>
          <w:szCs w:val="24"/>
        </w:rPr>
        <w:t>The completeness of the consultation and consent process may also vary. For example, a research team may follow a best practice framework when engaging Aboriginal and Torres Strait Islander communities directly, and may form written agreements with the individual</w:t>
      </w:r>
      <w:r w:rsidR="007A3B7B">
        <w:rPr>
          <w:szCs w:val="24"/>
        </w:rPr>
        <w:t>s</w:t>
      </w:r>
      <w:r w:rsidR="009F4046" w:rsidRPr="00A90A35">
        <w:rPr>
          <w:szCs w:val="24"/>
        </w:rPr>
        <w:t xml:space="preserve"> and community. Alternatively, the research team may access data from My Health Records, </w:t>
      </w:r>
      <w:r w:rsidR="00523176" w:rsidRPr="00A90A35">
        <w:rPr>
          <w:szCs w:val="24"/>
        </w:rPr>
        <w:t xml:space="preserve">in circumstances where the donor may or may not be aware that their de-identified information </w:t>
      </w:r>
      <w:r w:rsidR="00B16924" w:rsidRPr="00A90A35">
        <w:rPr>
          <w:szCs w:val="24"/>
        </w:rPr>
        <w:t xml:space="preserve">is being shared for research purposes. </w:t>
      </w:r>
    </w:p>
    <w:p w14:paraId="386B5AFE" w14:textId="250B50A1" w:rsidR="0021131D" w:rsidRPr="00A90A35" w:rsidRDefault="0021131D" w:rsidP="00AC73DF">
      <w:pPr>
        <w:rPr>
          <w:szCs w:val="24"/>
        </w:rPr>
      </w:pPr>
      <w:r w:rsidRPr="00A90A35">
        <w:rPr>
          <w:szCs w:val="24"/>
        </w:rPr>
        <w:t xml:space="preserve">The parties’ legal obligations will depend on the terms of the agreements. The principle of privity of contract means that </w:t>
      </w:r>
      <w:r w:rsidR="00B8474C" w:rsidRPr="00A90A35">
        <w:rPr>
          <w:szCs w:val="24"/>
        </w:rPr>
        <w:t xml:space="preserve">generally </w:t>
      </w:r>
      <w:r w:rsidRPr="00A90A35">
        <w:rPr>
          <w:szCs w:val="24"/>
        </w:rPr>
        <w:t xml:space="preserve">only the parties to the agreement </w:t>
      </w:r>
      <w:r w:rsidR="00DC5D69" w:rsidRPr="00A90A35">
        <w:rPr>
          <w:szCs w:val="24"/>
        </w:rPr>
        <w:t>will be bound by the agreement.</w:t>
      </w:r>
      <w:r w:rsidR="00A03B28" w:rsidRPr="00A90A35">
        <w:rPr>
          <w:rStyle w:val="FootnoteReference"/>
          <w:szCs w:val="24"/>
        </w:rPr>
        <w:footnoteReference w:id="155"/>
      </w:r>
      <w:r w:rsidR="00357104" w:rsidRPr="00A90A35">
        <w:rPr>
          <w:szCs w:val="24"/>
        </w:rPr>
        <w:t xml:space="preserve"> So, for example, </w:t>
      </w:r>
      <w:r w:rsidR="009A1347" w:rsidRPr="00A90A35">
        <w:rPr>
          <w:szCs w:val="24"/>
        </w:rPr>
        <w:t>a</w:t>
      </w:r>
      <w:r w:rsidR="008A7B34">
        <w:rPr>
          <w:szCs w:val="24"/>
        </w:rPr>
        <w:t xml:space="preserve">n employment agreement between researcher and </w:t>
      </w:r>
      <w:r w:rsidR="00EC09E9">
        <w:rPr>
          <w:szCs w:val="24"/>
        </w:rPr>
        <w:t xml:space="preserve">university </w:t>
      </w:r>
      <w:r w:rsidR="00A722F2" w:rsidRPr="00A90A35">
        <w:rPr>
          <w:szCs w:val="24"/>
        </w:rPr>
        <w:t xml:space="preserve">will legally bind the researcher and the </w:t>
      </w:r>
      <w:r w:rsidR="00EC09E9">
        <w:rPr>
          <w:szCs w:val="24"/>
        </w:rPr>
        <w:t xml:space="preserve">university </w:t>
      </w:r>
      <w:r w:rsidR="00A722F2" w:rsidRPr="00A90A35">
        <w:rPr>
          <w:szCs w:val="24"/>
        </w:rPr>
        <w:t xml:space="preserve">only. However, in practical terms, the terms </w:t>
      </w:r>
      <w:r w:rsidR="00950DF1" w:rsidRPr="00A90A35">
        <w:rPr>
          <w:szCs w:val="24"/>
        </w:rPr>
        <w:t xml:space="preserve">of existing agreements will impact the parties’ ability to commit themselves in subsequent agreements. For example, a funding institution may </w:t>
      </w:r>
      <w:r w:rsidR="00010368" w:rsidRPr="00A90A35">
        <w:rPr>
          <w:szCs w:val="24"/>
        </w:rPr>
        <w:t xml:space="preserve">require that the results of a </w:t>
      </w:r>
      <w:r w:rsidR="00010368" w:rsidRPr="00A90A35">
        <w:rPr>
          <w:szCs w:val="24"/>
        </w:rPr>
        <w:lastRenderedPageBreak/>
        <w:t xml:space="preserve">research project will be published online. </w:t>
      </w:r>
      <w:r w:rsidR="000E3478" w:rsidRPr="00A90A35">
        <w:rPr>
          <w:szCs w:val="24"/>
        </w:rPr>
        <w:t xml:space="preserve">This </w:t>
      </w:r>
      <w:r w:rsidR="00EB3483">
        <w:rPr>
          <w:szCs w:val="24"/>
        </w:rPr>
        <w:t>will</w:t>
      </w:r>
      <w:r w:rsidR="00EB3483" w:rsidRPr="00A90A35">
        <w:rPr>
          <w:szCs w:val="24"/>
        </w:rPr>
        <w:t xml:space="preserve"> </w:t>
      </w:r>
      <w:r w:rsidR="000E3478" w:rsidRPr="00A90A35">
        <w:rPr>
          <w:szCs w:val="24"/>
        </w:rPr>
        <w:t>impact the research organi</w:t>
      </w:r>
      <w:r w:rsidR="00932DBC" w:rsidRPr="00A90A35">
        <w:rPr>
          <w:szCs w:val="24"/>
        </w:rPr>
        <w:t>s</w:t>
      </w:r>
      <w:r w:rsidR="000E3478" w:rsidRPr="00A90A35">
        <w:rPr>
          <w:szCs w:val="24"/>
        </w:rPr>
        <w:t>ation</w:t>
      </w:r>
      <w:r w:rsidR="00B23558" w:rsidRPr="00A90A35">
        <w:rPr>
          <w:szCs w:val="24"/>
        </w:rPr>
        <w:t xml:space="preserve">’s ability to agree with the donor that results will only be published online </w:t>
      </w:r>
      <w:r w:rsidR="000225F4" w:rsidRPr="00A90A35">
        <w:rPr>
          <w:szCs w:val="24"/>
        </w:rPr>
        <w:t>after approval of the donor community following a review.</w:t>
      </w:r>
    </w:p>
    <w:p w14:paraId="001C4949" w14:textId="0FD900C4" w:rsidR="00C35DED" w:rsidRPr="00A90A35" w:rsidRDefault="00DD580E" w:rsidP="00AC73DF">
      <w:pPr>
        <w:rPr>
          <w:szCs w:val="24"/>
        </w:rPr>
      </w:pPr>
      <w:r w:rsidRPr="00A90A35">
        <w:rPr>
          <w:szCs w:val="24"/>
        </w:rPr>
        <w:t xml:space="preserve">A question that </w:t>
      </w:r>
      <w:r w:rsidR="006C1B33" w:rsidRPr="00A90A35">
        <w:rPr>
          <w:szCs w:val="24"/>
        </w:rPr>
        <w:t>frequently arose in discussion with the Advisory Group was</w:t>
      </w:r>
      <w:r w:rsidR="0035557B" w:rsidRPr="00A90A35">
        <w:rPr>
          <w:szCs w:val="24"/>
        </w:rPr>
        <w:t xml:space="preserve"> the legal rights and responsibilities of the donor’s successors and next of kin. </w:t>
      </w:r>
      <w:r w:rsidR="006C6D46" w:rsidRPr="00A90A35">
        <w:rPr>
          <w:szCs w:val="24"/>
        </w:rPr>
        <w:t xml:space="preserve">Following the </w:t>
      </w:r>
      <w:r w:rsidR="009C5265" w:rsidRPr="00A90A35">
        <w:rPr>
          <w:szCs w:val="24"/>
        </w:rPr>
        <w:t>privity of contract principle, as general rule a person’s successors or next of kin won’t have any rights</w:t>
      </w:r>
      <w:r w:rsidR="00783AA3" w:rsidRPr="00A90A35">
        <w:rPr>
          <w:szCs w:val="24"/>
        </w:rPr>
        <w:t xml:space="preserve"> under a research agreement</w:t>
      </w:r>
      <w:r w:rsidR="00C35DED" w:rsidRPr="00A90A35">
        <w:rPr>
          <w:szCs w:val="24"/>
        </w:rPr>
        <w:t xml:space="preserve"> unless there has been some provision made in the research agreement</w:t>
      </w:r>
      <w:r w:rsidR="009C5265" w:rsidRPr="00A90A35">
        <w:rPr>
          <w:szCs w:val="24"/>
        </w:rPr>
        <w:t>.</w:t>
      </w:r>
      <w:r w:rsidR="00C35DED" w:rsidRPr="00A90A35">
        <w:rPr>
          <w:szCs w:val="24"/>
        </w:rPr>
        <w:t xml:space="preserve"> For example, a donor may name a personal representative</w:t>
      </w:r>
      <w:r w:rsidR="00533D84" w:rsidRPr="00A90A35">
        <w:rPr>
          <w:szCs w:val="24"/>
        </w:rPr>
        <w:t xml:space="preserve"> to be contacted for any further consent after the donor has passed away.</w:t>
      </w:r>
    </w:p>
    <w:p w14:paraId="5BA7CD05" w14:textId="1A1B8710" w:rsidR="00A90BAE" w:rsidRPr="00A90A35" w:rsidRDefault="00047AE3" w:rsidP="00AC73DF">
      <w:pPr>
        <w:rPr>
          <w:szCs w:val="24"/>
        </w:rPr>
      </w:pPr>
      <w:r w:rsidRPr="00A90A35">
        <w:rPr>
          <w:szCs w:val="24"/>
        </w:rPr>
        <w:t>There are some exceptions</w:t>
      </w:r>
      <w:r w:rsidR="00763785" w:rsidRPr="00A90A35">
        <w:rPr>
          <w:szCs w:val="24"/>
        </w:rPr>
        <w:t xml:space="preserve"> where family members or next of kin may have some on-going rights in relation to </w:t>
      </w:r>
      <w:r w:rsidR="00ED602B" w:rsidRPr="00A90A35">
        <w:rPr>
          <w:szCs w:val="24"/>
        </w:rPr>
        <w:t>the tissue and data of a deceased donor. These exceptions are</w:t>
      </w:r>
      <w:r w:rsidRPr="00A90A35">
        <w:rPr>
          <w:szCs w:val="24"/>
        </w:rPr>
        <w:t xml:space="preserve"> produced by specific applications of legislation. Below are several examples. </w:t>
      </w:r>
    </w:p>
    <w:p w14:paraId="2E825A3C" w14:textId="023116C6" w:rsidR="00D50303" w:rsidRPr="00A90A35" w:rsidRDefault="00047AE3" w:rsidP="00AC73DF">
      <w:pPr>
        <w:rPr>
          <w:szCs w:val="24"/>
        </w:rPr>
      </w:pPr>
      <w:r w:rsidRPr="008E5C92">
        <w:rPr>
          <w:b/>
        </w:rPr>
        <w:t>Example 1</w:t>
      </w:r>
      <w:r w:rsidR="00B82F70" w:rsidRPr="008E5C92">
        <w:rPr>
          <w:b/>
        </w:rPr>
        <w:t xml:space="preserve"> Access to Health Records: </w:t>
      </w:r>
      <w:r w:rsidR="00A90BAE" w:rsidRPr="00A90A35">
        <w:rPr>
          <w:szCs w:val="24"/>
        </w:rPr>
        <w:t xml:space="preserve">the </w:t>
      </w:r>
      <w:r w:rsidR="00A90BAE" w:rsidRPr="00A90A35">
        <w:rPr>
          <w:i/>
          <w:szCs w:val="24"/>
        </w:rPr>
        <w:t>Health Records and Information Privacy Act 2002</w:t>
      </w:r>
      <w:r w:rsidR="00A90BAE" w:rsidRPr="00A90A35">
        <w:rPr>
          <w:szCs w:val="24"/>
        </w:rPr>
        <w:t xml:space="preserve"> (NSW)</w:t>
      </w:r>
      <w:r w:rsidR="009C5265" w:rsidRPr="00A90A35">
        <w:rPr>
          <w:szCs w:val="24"/>
        </w:rPr>
        <w:t xml:space="preserve"> </w:t>
      </w:r>
      <w:r w:rsidR="00D50303" w:rsidRPr="00A90A35">
        <w:rPr>
          <w:szCs w:val="24"/>
        </w:rPr>
        <w:t>allows an authori</w:t>
      </w:r>
      <w:r w:rsidR="006B3850" w:rsidRPr="00A90A35">
        <w:rPr>
          <w:szCs w:val="24"/>
        </w:rPr>
        <w:t>s</w:t>
      </w:r>
      <w:r w:rsidR="00D50303" w:rsidRPr="00A90A35">
        <w:rPr>
          <w:szCs w:val="24"/>
        </w:rPr>
        <w:t>ed representative to make decision on behalf of a</w:t>
      </w:r>
      <w:r w:rsidR="00EB02B8">
        <w:rPr>
          <w:szCs w:val="24"/>
        </w:rPr>
        <w:t xml:space="preserve">n individual who lacks </w:t>
      </w:r>
      <w:r w:rsidR="00B44427">
        <w:rPr>
          <w:szCs w:val="24"/>
        </w:rPr>
        <w:t>capacity by reason of age, injury, illness, or physical or mental impairment</w:t>
      </w:r>
      <w:r w:rsidR="00D50303" w:rsidRPr="00A90A35">
        <w:rPr>
          <w:szCs w:val="24"/>
        </w:rPr>
        <w:t>.</w:t>
      </w:r>
      <w:r w:rsidR="00D50303" w:rsidRPr="00A90A35">
        <w:rPr>
          <w:rStyle w:val="FootnoteReference"/>
          <w:szCs w:val="24"/>
        </w:rPr>
        <w:footnoteReference w:id="156"/>
      </w:r>
      <w:r w:rsidR="00D50303" w:rsidRPr="00A90A35">
        <w:rPr>
          <w:szCs w:val="24"/>
        </w:rPr>
        <w:t xml:space="preserve"> </w:t>
      </w:r>
      <w:r w:rsidR="00BB73A5" w:rsidRPr="00A90A35">
        <w:rPr>
          <w:szCs w:val="24"/>
        </w:rPr>
        <w:t>An authori</w:t>
      </w:r>
      <w:r w:rsidR="006B3850" w:rsidRPr="00A90A35">
        <w:rPr>
          <w:szCs w:val="24"/>
        </w:rPr>
        <w:t>s</w:t>
      </w:r>
      <w:r w:rsidR="00BB73A5" w:rsidRPr="00A90A35">
        <w:rPr>
          <w:szCs w:val="24"/>
        </w:rPr>
        <w:t>ed representative has to be</w:t>
      </w:r>
      <w:r w:rsidR="004F09C8" w:rsidRPr="00A90A35">
        <w:rPr>
          <w:szCs w:val="24"/>
        </w:rPr>
        <w:t xml:space="preserve">: </w:t>
      </w:r>
    </w:p>
    <w:p w14:paraId="63369464" w14:textId="2285DA6A" w:rsidR="004F09C8" w:rsidRPr="008E5C92" w:rsidRDefault="00A8416E" w:rsidP="007B2DFC">
      <w:pPr>
        <w:pStyle w:val="ListBullet"/>
      </w:pPr>
      <w:r>
        <w:t>a</w:t>
      </w:r>
      <w:r w:rsidR="004F09C8" w:rsidRPr="008E5C92">
        <w:t xml:space="preserve">n attorney for the individual under an enduring power of attorney; </w:t>
      </w:r>
    </w:p>
    <w:p w14:paraId="61B54387" w14:textId="4AADA751" w:rsidR="004F09C8" w:rsidRPr="008E5C92" w:rsidRDefault="00A8416E" w:rsidP="007B2DFC">
      <w:pPr>
        <w:pStyle w:val="ListBullet"/>
        <w:rPr>
          <w:i/>
        </w:rPr>
      </w:pPr>
      <w:r>
        <w:t>a</w:t>
      </w:r>
      <w:r w:rsidR="005A10EF" w:rsidRPr="008E5C92">
        <w:t xml:space="preserve"> guardian within the meaning of the </w:t>
      </w:r>
      <w:r w:rsidR="005A10EF" w:rsidRPr="008E5C92">
        <w:rPr>
          <w:i/>
        </w:rPr>
        <w:t>Guardianship Act 1987</w:t>
      </w:r>
      <w:r w:rsidR="00455A9F" w:rsidRPr="008E5C92">
        <w:rPr>
          <w:i/>
        </w:rPr>
        <w:t xml:space="preserve">; </w:t>
      </w:r>
    </w:p>
    <w:p w14:paraId="7FB91D91" w14:textId="02F89DA1" w:rsidR="005A10EF" w:rsidRPr="008E5C92" w:rsidRDefault="00A8416E" w:rsidP="007B2DFC">
      <w:pPr>
        <w:pStyle w:val="ListBullet"/>
      </w:pPr>
      <w:r>
        <w:t>a</w:t>
      </w:r>
      <w:r w:rsidR="005A10EF" w:rsidRPr="008E5C92">
        <w:t xml:space="preserve"> person having </w:t>
      </w:r>
      <w:r w:rsidR="00455A9F" w:rsidRPr="008E5C92">
        <w:t xml:space="preserve">responsibility </w:t>
      </w:r>
      <w:r w:rsidR="005A10EF" w:rsidRPr="008E5C92">
        <w:t>for the individual if the individual is a chi</w:t>
      </w:r>
      <w:r w:rsidR="00455A9F" w:rsidRPr="008E5C92">
        <w:t>ld; or</w:t>
      </w:r>
    </w:p>
    <w:p w14:paraId="2214DADA" w14:textId="16C3DCBE" w:rsidR="00455A9F" w:rsidRPr="008E5C92" w:rsidRDefault="00A8416E" w:rsidP="007B2DFC">
      <w:pPr>
        <w:pStyle w:val="ListBullet"/>
      </w:pPr>
      <w:r>
        <w:t>a</w:t>
      </w:r>
      <w:r w:rsidR="00455A9F" w:rsidRPr="008E5C92">
        <w:t xml:space="preserve"> person who is otherwise empowered under law to exercise any functions as an agent of or in the best interests of the individual</w:t>
      </w:r>
      <w:r w:rsidR="00455A9F" w:rsidRPr="008E5C92">
        <w:rPr>
          <w:i/>
        </w:rPr>
        <w:t>.</w:t>
      </w:r>
      <w:r w:rsidR="00455A9F" w:rsidRPr="008E5C92">
        <w:rPr>
          <w:rStyle w:val="FootnoteReference"/>
          <w:i/>
        </w:rPr>
        <w:footnoteReference w:id="157"/>
      </w:r>
      <w:r w:rsidR="00455A9F" w:rsidRPr="008E5C92">
        <w:rPr>
          <w:i/>
        </w:rPr>
        <w:t xml:space="preserve">. </w:t>
      </w:r>
    </w:p>
    <w:p w14:paraId="27DA446B" w14:textId="44008E96" w:rsidR="00455A9F" w:rsidRPr="00A90A35" w:rsidRDefault="00BB6A8C" w:rsidP="00455A9F">
      <w:pPr>
        <w:rPr>
          <w:szCs w:val="24"/>
        </w:rPr>
      </w:pPr>
      <w:r>
        <w:rPr>
          <w:szCs w:val="24"/>
        </w:rPr>
        <w:t xml:space="preserve">However, note that under this Act </w:t>
      </w:r>
      <w:r w:rsidR="00455A9F" w:rsidRPr="00A90A35">
        <w:rPr>
          <w:szCs w:val="24"/>
        </w:rPr>
        <w:t>“authori</w:t>
      </w:r>
      <w:r w:rsidR="004F6863" w:rsidRPr="00A90A35">
        <w:rPr>
          <w:szCs w:val="24"/>
        </w:rPr>
        <w:t>s</w:t>
      </w:r>
      <w:r w:rsidR="00455A9F" w:rsidRPr="00A90A35">
        <w:rPr>
          <w:szCs w:val="24"/>
        </w:rPr>
        <w:t>ed representative” is defined by law</w:t>
      </w:r>
      <w:r w:rsidR="00595D5F" w:rsidRPr="00A90A35">
        <w:rPr>
          <w:szCs w:val="24"/>
        </w:rPr>
        <w:t xml:space="preserve">, not </w:t>
      </w:r>
      <w:r w:rsidR="00B809EB">
        <w:rPr>
          <w:szCs w:val="24"/>
        </w:rPr>
        <w:t xml:space="preserve">by the </w:t>
      </w:r>
      <w:r w:rsidR="00595D5F" w:rsidRPr="00A90A35">
        <w:rPr>
          <w:szCs w:val="24"/>
        </w:rPr>
        <w:t xml:space="preserve">community or the donor (unless the donor </w:t>
      </w:r>
      <w:r w:rsidR="0064618F">
        <w:rPr>
          <w:szCs w:val="24"/>
        </w:rPr>
        <w:t xml:space="preserve">elected an </w:t>
      </w:r>
      <w:r w:rsidR="00D23C56">
        <w:rPr>
          <w:szCs w:val="24"/>
        </w:rPr>
        <w:t>enduring power of attorney)</w:t>
      </w:r>
      <w:r w:rsidR="00595D5F" w:rsidRPr="00A90A35">
        <w:rPr>
          <w:szCs w:val="24"/>
        </w:rPr>
        <w:t>.</w:t>
      </w:r>
      <w:r w:rsidR="00CB6751" w:rsidRPr="00A90A35">
        <w:rPr>
          <w:szCs w:val="24"/>
        </w:rPr>
        <w:t xml:space="preserve"> Even still, </w:t>
      </w:r>
      <w:r w:rsidR="00686C3C" w:rsidRPr="00A90A35">
        <w:rPr>
          <w:szCs w:val="24"/>
        </w:rPr>
        <w:t xml:space="preserve">the Act only allows authorised persons to do certain things, for example, request access </w:t>
      </w:r>
      <w:r w:rsidR="005556A2" w:rsidRPr="00A90A35">
        <w:rPr>
          <w:szCs w:val="24"/>
        </w:rPr>
        <w:t xml:space="preserve">to health information about the individual. </w:t>
      </w:r>
    </w:p>
    <w:p w14:paraId="7999FAF8" w14:textId="646AEB9A" w:rsidR="00E10ECD" w:rsidRPr="00A90A35" w:rsidRDefault="00783AA3" w:rsidP="00E10ECD">
      <w:pPr>
        <w:rPr>
          <w:szCs w:val="24"/>
        </w:rPr>
      </w:pPr>
      <w:r w:rsidRPr="008E5C92">
        <w:rPr>
          <w:b/>
        </w:rPr>
        <w:t>Example 2</w:t>
      </w:r>
      <w:r w:rsidR="00B82F70" w:rsidRPr="008E5C92">
        <w:rPr>
          <w:b/>
        </w:rPr>
        <w:t xml:space="preserve"> authority to authorise organ donation:</w:t>
      </w:r>
      <w:r w:rsidR="00B82F70" w:rsidRPr="008E5C92">
        <w:t xml:space="preserve"> </w:t>
      </w:r>
      <w:r w:rsidRPr="008E5C92">
        <w:t xml:space="preserve"> </w:t>
      </w:r>
      <w:r w:rsidR="00B82F70" w:rsidRPr="00A90A35">
        <w:rPr>
          <w:szCs w:val="24"/>
        </w:rPr>
        <w:t xml:space="preserve">Under the </w:t>
      </w:r>
      <w:r w:rsidR="00E10ECD" w:rsidRPr="00A90A35">
        <w:rPr>
          <w:i/>
          <w:szCs w:val="24"/>
        </w:rPr>
        <w:t xml:space="preserve">Human Tissue Act </w:t>
      </w:r>
      <w:r w:rsidR="00BB7A4A" w:rsidRPr="00A90A35">
        <w:rPr>
          <w:i/>
          <w:szCs w:val="24"/>
        </w:rPr>
        <w:t>198</w:t>
      </w:r>
      <w:r w:rsidR="00180238" w:rsidRPr="00A90A35">
        <w:rPr>
          <w:i/>
          <w:szCs w:val="24"/>
        </w:rPr>
        <w:t>2</w:t>
      </w:r>
      <w:r w:rsidR="00BB7A4A" w:rsidRPr="00A90A35">
        <w:rPr>
          <w:szCs w:val="24"/>
        </w:rPr>
        <w:t xml:space="preserve"> </w:t>
      </w:r>
      <w:r w:rsidR="00DB2E7B" w:rsidRPr="00A90A35">
        <w:rPr>
          <w:szCs w:val="24"/>
        </w:rPr>
        <w:t>(VIC) a senior available next of kin</w:t>
      </w:r>
      <w:r w:rsidR="00A46E72" w:rsidRPr="00A90A35">
        <w:rPr>
          <w:szCs w:val="24"/>
        </w:rPr>
        <w:t xml:space="preserve"> (spouse, </w:t>
      </w:r>
      <w:r w:rsidR="008240D6" w:rsidRPr="00A90A35">
        <w:rPr>
          <w:szCs w:val="24"/>
        </w:rPr>
        <w:t>parent or sibling)</w:t>
      </w:r>
      <w:r w:rsidR="00DB2E7B" w:rsidRPr="00A90A35">
        <w:rPr>
          <w:szCs w:val="24"/>
        </w:rPr>
        <w:t xml:space="preserve"> may have authority to consent to the </w:t>
      </w:r>
      <w:r w:rsidR="005364A3" w:rsidRPr="00A90A35">
        <w:rPr>
          <w:szCs w:val="24"/>
        </w:rPr>
        <w:t xml:space="preserve">removal of tissue from the body of a </w:t>
      </w:r>
      <w:r w:rsidR="00972445" w:rsidRPr="00A90A35">
        <w:rPr>
          <w:szCs w:val="24"/>
        </w:rPr>
        <w:t>deceased</w:t>
      </w:r>
      <w:r w:rsidR="005364A3" w:rsidRPr="00A90A35">
        <w:rPr>
          <w:szCs w:val="24"/>
        </w:rPr>
        <w:t xml:space="preserve"> person for the purpose of transplant or </w:t>
      </w:r>
      <w:r w:rsidR="00972445" w:rsidRPr="00A90A35">
        <w:rPr>
          <w:szCs w:val="24"/>
        </w:rPr>
        <w:t>the use of the tissue for other therapeutic, medical or scientific purposes.</w:t>
      </w:r>
      <w:r w:rsidR="00972445" w:rsidRPr="00A90A35">
        <w:rPr>
          <w:rStyle w:val="FootnoteReference"/>
          <w:szCs w:val="24"/>
        </w:rPr>
        <w:footnoteReference w:id="158"/>
      </w:r>
      <w:r w:rsidR="00972445" w:rsidRPr="00A90A35">
        <w:rPr>
          <w:szCs w:val="24"/>
        </w:rPr>
        <w:t xml:space="preserve"> </w:t>
      </w:r>
      <w:r w:rsidR="00A55BAB" w:rsidRPr="00A90A35">
        <w:rPr>
          <w:szCs w:val="24"/>
        </w:rPr>
        <w:t xml:space="preserve">In the absence of consent from the </w:t>
      </w:r>
      <w:r w:rsidR="007F33EE" w:rsidRPr="00A90A35">
        <w:rPr>
          <w:szCs w:val="24"/>
        </w:rPr>
        <w:t xml:space="preserve">senior available next of kin, a hospital may still remove the tissue if the donor had consented to the removal prior to their death, </w:t>
      </w:r>
      <w:r w:rsidR="004375F9" w:rsidRPr="00A90A35">
        <w:rPr>
          <w:szCs w:val="24"/>
        </w:rPr>
        <w:t>or the hospital is unable to ascertain the existence or whereabouts of the next of kin of the deceased person.</w:t>
      </w:r>
      <w:r w:rsidR="00365745" w:rsidRPr="00A90A35">
        <w:rPr>
          <w:rStyle w:val="FootnoteReference"/>
          <w:szCs w:val="24"/>
        </w:rPr>
        <w:footnoteReference w:id="159"/>
      </w:r>
      <w:r w:rsidR="004375F9" w:rsidRPr="00A90A35">
        <w:rPr>
          <w:szCs w:val="24"/>
        </w:rPr>
        <w:t xml:space="preserve"> </w:t>
      </w:r>
      <w:r w:rsidR="001E0D2B" w:rsidRPr="00A90A35">
        <w:rPr>
          <w:szCs w:val="24"/>
        </w:rPr>
        <w:t xml:space="preserve">Nevertheless, if the donor, during their lifetime expressed in writing an objection to removal of tissue, or during their last illness orally expressed, in the presence of 2 witnesses, </w:t>
      </w:r>
      <w:r w:rsidR="00C70117">
        <w:rPr>
          <w:szCs w:val="24"/>
        </w:rPr>
        <w:t>a</w:t>
      </w:r>
      <w:r w:rsidR="00C70117" w:rsidRPr="00A90A35">
        <w:rPr>
          <w:szCs w:val="24"/>
        </w:rPr>
        <w:t xml:space="preserve">n </w:t>
      </w:r>
      <w:r w:rsidR="001E0D2B" w:rsidRPr="00A90A35">
        <w:rPr>
          <w:szCs w:val="24"/>
        </w:rPr>
        <w:t>object</w:t>
      </w:r>
      <w:r w:rsidR="00C70117">
        <w:rPr>
          <w:szCs w:val="24"/>
        </w:rPr>
        <w:t>ion</w:t>
      </w:r>
      <w:r w:rsidR="001E0D2B" w:rsidRPr="00A90A35">
        <w:rPr>
          <w:szCs w:val="24"/>
        </w:rPr>
        <w:t xml:space="preserve"> to the removal of tissue</w:t>
      </w:r>
      <w:r w:rsidR="00AA380F" w:rsidRPr="00A90A35">
        <w:rPr>
          <w:szCs w:val="24"/>
        </w:rPr>
        <w:t>, then the hospital is not permitted to remove the tissue, whether or not a next of kin can be found.</w:t>
      </w:r>
      <w:r w:rsidR="00AA380F" w:rsidRPr="00A90A35">
        <w:rPr>
          <w:rStyle w:val="FootnoteReference"/>
          <w:szCs w:val="24"/>
        </w:rPr>
        <w:footnoteReference w:id="160"/>
      </w:r>
      <w:r w:rsidR="00AA380F" w:rsidRPr="00A90A35">
        <w:rPr>
          <w:szCs w:val="24"/>
        </w:rPr>
        <w:t xml:space="preserve"> </w:t>
      </w:r>
    </w:p>
    <w:p w14:paraId="63574383" w14:textId="17AD4865" w:rsidR="00A94724" w:rsidRPr="00A90A35" w:rsidRDefault="00A94724" w:rsidP="00E10ECD">
      <w:pPr>
        <w:rPr>
          <w:szCs w:val="24"/>
        </w:rPr>
      </w:pPr>
      <w:r w:rsidRPr="00A90A35">
        <w:rPr>
          <w:szCs w:val="24"/>
        </w:rPr>
        <w:lastRenderedPageBreak/>
        <w:t xml:space="preserve">Even </w:t>
      </w:r>
      <w:r w:rsidR="00651B0F" w:rsidRPr="00A90A35">
        <w:rPr>
          <w:szCs w:val="24"/>
        </w:rPr>
        <w:t xml:space="preserve">in the absence of an objection and an </w:t>
      </w:r>
      <w:r w:rsidR="008563EE" w:rsidRPr="00A90A35">
        <w:rPr>
          <w:szCs w:val="24"/>
        </w:rPr>
        <w:t xml:space="preserve">available next of kin, </w:t>
      </w:r>
      <w:r w:rsidR="00651B0F" w:rsidRPr="00A90A35">
        <w:rPr>
          <w:szCs w:val="24"/>
        </w:rPr>
        <w:t xml:space="preserve">a hospital </w:t>
      </w:r>
      <w:r w:rsidR="008563EE" w:rsidRPr="00A90A35">
        <w:rPr>
          <w:szCs w:val="24"/>
        </w:rPr>
        <w:t xml:space="preserve">requires evidence of the donor’s consent during their lifetime, either in writing or witnessed by </w:t>
      </w:r>
      <w:r w:rsidR="004F38F6" w:rsidRPr="00A90A35">
        <w:rPr>
          <w:szCs w:val="24"/>
        </w:rPr>
        <w:t>two people, if expressed orally.</w:t>
      </w:r>
      <w:r w:rsidR="004F38F6" w:rsidRPr="00A90A35">
        <w:rPr>
          <w:rStyle w:val="FootnoteReference"/>
          <w:szCs w:val="24"/>
        </w:rPr>
        <w:footnoteReference w:id="161"/>
      </w:r>
      <w:r w:rsidR="004F38F6" w:rsidRPr="00A90A35">
        <w:rPr>
          <w:szCs w:val="24"/>
        </w:rPr>
        <w:t xml:space="preserve"> </w:t>
      </w:r>
    </w:p>
    <w:p w14:paraId="09ED1DA8" w14:textId="065FD4AD" w:rsidR="00361638" w:rsidRPr="00A90A35" w:rsidRDefault="00ED6BDC" w:rsidP="00AC73DF">
      <w:pPr>
        <w:rPr>
          <w:szCs w:val="24"/>
        </w:rPr>
      </w:pPr>
      <w:r w:rsidRPr="00A90A35">
        <w:rPr>
          <w:szCs w:val="24"/>
        </w:rPr>
        <w:t xml:space="preserve">So in fact, under these rules, if the individual consents, prior to their death to, donate tissue for </w:t>
      </w:r>
      <w:r w:rsidR="00674C6B" w:rsidRPr="00A90A35">
        <w:rPr>
          <w:szCs w:val="24"/>
        </w:rPr>
        <w:t xml:space="preserve">medical or scientific practices after their decease, that’s an end to the matter. These rules do not require further additional consent from family. </w:t>
      </w:r>
    </w:p>
    <w:p w14:paraId="7CB4098E" w14:textId="1C0A9190" w:rsidR="0035557B" w:rsidRPr="008E5C92" w:rsidRDefault="00FA6750" w:rsidP="00AC73DF">
      <w:r>
        <w:rPr>
          <w:noProof/>
        </w:rPr>
        <w:drawing>
          <wp:inline distT="0" distB="0" distL="0" distR="0" wp14:anchorId="25B8A4EB" wp14:editId="025AC653">
            <wp:extent cx="5731510" cy="1356995"/>
            <wp:effectExtent l="0" t="0" r="2540" b="0"/>
            <wp:docPr id="98" name="Picture 98" descr="Note: Remember that the definition of 'personal information' under the Privacy Act excludes deceased persons. Therefore, none of the individual rights recongised by the Australia Privacy Principles pass to the deceased's next of kin or family, when they pas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Note: Remember that the definition of 'personal information' under the Privacy Act excludes deceased persons. Therefore, none of the individual rights recongised by the Australia Privacy Principles pass to the deceased's next of kin or family, when they pass away."/>
                    <pic:cNvPicPr/>
                  </pic:nvPicPr>
                  <pic:blipFill>
                    <a:blip r:embed="rId41"/>
                    <a:stretch>
                      <a:fillRect/>
                    </a:stretch>
                  </pic:blipFill>
                  <pic:spPr>
                    <a:xfrm>
                      <a:off x="0" y="0"/>
                      <a:ext cx="5731510" cy="1356995"/>
                    </a:xfrm>
                    <a:prstGeom prst="rect">
                      <a:avLst/>
                    </a:prstGeom>
                  </pic:spPr>
                </pic:pic>
              </a:graphicData>
            </a:graphic>
          </wp:inline>
        </w:drawing>
      </w:r>
    </w:p>
    <w:p w14:paraId="18EA2D4A" w14:textId="1584C31C" w:rsidR="00D702FC" w:rsidRPr="00F67476" w:rsidRDefault="000520B6" w:rsidP="002B5F46">
      <w:pPr>
        <w:pStyle w:val="Heading2"/>
        <w:rPr>
          <w:lang w:val="en-AU"/>
        </w:rPr>
      </w:pPr>
      <w:bookmarkStart w:id="123" w:name="_Toc118824352"/>
      <w:r w:rsidRPr="00F67476">
        <w:rPr>
          <w:lang w:val="en-AU"/>
        </w:rPr>
        <w:t>Documenting consents</w:t>
      </w:r>
      <w:bookmarkEnd w:id="123"/>
      <w:r w:rsidRPr="00F67476">
        <w:rPr>
          <w:lang w:val="en-AU"/>
        </w:rPr>
        <w:t xml:space="preserve"> </w:t>
      </w:r>
    </w:p>
    <w:p w14:paraId="705C019F" w14:textId="22A2ED1D" w:rsidR="005565DF" w:rsidRPr="00F67476" w:rsidRDefault="005565DF" w:rsidP="002B5F46">
      <w:pPr>
        <w:pStyle w:val="Heading3"/>
      </w:pPr>
      <w:bookmarkStart w:id="124" w:name="_Toc118824353"/>
      <w:r w:rsidRPr="00F67476">
        <w:rPr>
          <w:lang w:val="en-AU"/>
        </w:rPr>
        <w:t xml:space="preserve">Documenting consents </w:t>
      </w:r>
      <w:r w:rsidR="00AA1E57" w:rsidRPr="00F67476">
        <w:rPr>
          <w:lang w:val="en-AU"/>
        </w:rPr>
        <w:t>in the doctor/patient relationship</w:t>
      </w:r>
      <w:bookmarkEnd w:id="124"/>
      <w:r w:rsidR="00AA1E57" w:rsidRPr="00F67476">
        <w:rPr>
          <w:lang w:val="en-AU"/>
        </w:rPr>
        <w:t xml:space="preserve"> </w:t>
      </w:r>
    </w:p>
    <w:p w14:paraId="7847FA9A" w14:textId="6BAD3F23" w:rsidR="009D01B4" w:rsidRPr="00D878BD" w:rsidRDefault="009D01B4" w:rsidP="00AC73DF">
      <w:pPr>
        <w:rPr>
          <w:szCs w:val="24"/>
        </w:rPr>
      </w:pPr>
      <w:r w:rsidRPr="00D878BD">
        <w:rPr>
          <w:szCs w:val="24"/>
        </w:rPr>
        <w:t>In our discussions with the Advisor</w:t>
      </w:r>
      <w:r w:rsidR="00B909F8" w:rsidRPr="00D878BD">
        <w:rPr>
          <w:szCs w:val="24"/>
        </w:rPr>
        <w:t>y Group</w:t>
      </w:r>
      <w:r w:rsidR="008C7B41" w:rsidRPr="00D878BD">
        <w:rPr>
          <w:szCs w:val="24"/>
        </w:rPr>
        <w:t>, it</w:t>
      </w:r>
      <w:r w:rsidR="00ED3CAC" w:rsidRPr="00D878BD">
        <w:rPr>
          <w:szCs w:val="24"/>
        </w:rPr>
        <w:t xml:space="preserve"> appeared that</w:t>
      </w:r>
      <w:r w:rsidR="00694E80" w:rsidRPr="00D878BD">
        <w:rPr>
          <w:szCs w:val="24"/>
        </w:rPr>
        <w:t xml:space="preserve"> </w:t>
      </w:r>
      <w:r w:rsidR="00246E93" w:rsidRPr="00D878BD">
        <w:rPr>
          <w:szCs w:val="24"/>
        </w:rPr>
        <w:t xml:space="preserve">Aboriginal and Torres Strait Islander genomic samples, were most frequently obtained in a clinical setting (e.g where an individual visits their doctor or specialist). </w:t>
      </w:r>
      <w:r w:rsidR="009D004D" w:rsidRPr="00D878BD">
        <w:rPr>
          <w:szCs w:val="24"/>
        </w:rPr>
        <w:t>The patient may consent to a diagnostic test</w:t>
      </w:r>
      <w:r w:rsidR="00DF14A0" w:rsidRPr="00D878BD">
        <w:rPr>
          <w:szCs w:val="24"/>
        </w:rPr>
        <w:t xml:space="preserve">, and they may additionally consent to their sample or data being retained and used for research purposes at a later date. </w:t>
      </w:r>
    </w:p>
    <w:p w14:paraId="0EEDC578" w14:textId="2BA91C2D" w:rsidR="00427C84" w:rsidRPr="00D878BD" w:rsidRDefault="004E5334" w:rsidP="00AC73DF">
      <w:pPr>
        <w:rPr>
          <w:szCs w:val="24"/>
        </w:rPr>
      </w:pPr>
      <w:r>
        <w:rPr>
          <w:szCs w:val="24"/>
        </w:rPr>
        <w:t>Section</w:t>
      </w:r>
      <w:r w:rsidR="00FD54B5">
        <w:rPr>
          <w:szCs w:val="24"/>
        </w:rPr>
        <w:t xml:space="preserve"> </w:t>
      </w:r>
      <w:r w:rsidR="00D00C4C" w:rsidRPr="002B5F46">
        <w:rPr>
          <w:b/>
          <w:bCs/>
          <w:szCs w:val="24"/>
        </w:rPr>
        <w:fldChar w:fldCharType="begin"/>
      </w:r>
      <w:r w:rsidR="00D00C4C" w:rsidRPr="002B5F46">
        <w:rPr>
          <w:b/>
          <w:bCs/>
          <w:szCs w:val="24"/>
        </w:rPr>
        <w:instrText xml:space="preserve"> REF _Ref45033033 \r \h </w:instrText>
      </w:r>
      <w:r w:rsidR="00D00C4C">
        <w:rPr>
          <w:b/>
          <w:bCs/>
          <w:szCs w:val="24"/>
        </w:rPr>
        <w:instrText xml:space="preserve"> \* MERGEFORMAT </w:instrText>
      </w:r>
      <w:r w:rsidR="00D00C4C" w:rsidRPr="002B5F46">
        <w:rPr>
          <w:b/>
          <w:bCs/>
          <w:szCs w:val="24"/>
        </w:rPr>
      </w:r>
      <w:r w:rsidR="00D00C4C" w:rsidRPr="002B5F46">
        <w:rPr>
          <w:b/>
          <w:bCs/>
          <w:szCs w:val="24"/>
        </w:rPr>
        <w:fldChar w:fldCharType="separate"/>
      </w:r>
      <w:r w:rsidR="000B4085">
        <w:rPr>
          <w:b/>
          <w:bCs/>
          <w:szCs w:val="24"/>
        </w:rPr>
        <w:t>5.3</w:t>
      </w:r>
      <w:r w:rsidR="00D00C4C" w:rsidRPr="002B5F46">
        <w:rPr>
          <w:b/>
          <w:bCs/>
          <w:szCs w:val="24"/>
        </w:rPr>
        <w:fldChar w:fldCharType="end"/>
      </w:r>
      <w:r>
        <w:rPr>
          <w:szCs w:val="24"/>
        </w:rPr>
        <w:t xml:space="preserve"> </w:t>
      </w:r>
      <w:r w:rsidR="005D64DA" w:rsidRPr="00D878BD">
        <w:rPr>
          <w:szCs w:val="24"/>
        </w:rPr>
        <w:t xml:space="preserve">outlines the legal obligations of medical professionals when administering treatment to Aboriginal and Torres Strait Islander peoples, </w:t>
      </w:r>
      <w:r w:rsidR="00E821F9" w:rsidRPr="00D878BD">
        <w:rPr>
          <w:szCs w:val="24"/>
        </w:rPr>
        <w:t xml:space="preserve">including when consulting and consenting to take a genomic sample. </w:t>
      </w:r>
    </w:p>
    <w:p w14:paraId="6815C9CF" w14:textId="00F15C80" w:rsidR="00372E9C" w:rsidRPr="00D878BD" w:rsidRDefault="00EB081C" w:rsidP="00AC73DF">
      <w:pPr>
        <w:rPr>
          <w:szCs w:val="24"/>
        </w:rPr>
      </w:pPr>
      <w:r w:rsidRPr="00D878BD">
        <w:rPr>
          <w:szCs w:val="24"/>
        </w:rPr>
        <w:t xml:space="preserve">This section looks specifically at the record keeping requirements of that process. </w:t>
      </w:r>
    </w:p>
    <w:p w14:paraId="016FD48F" w14:textId="626EA65A" w:rsidR="002B535D" w:rsidRPr="00D878BD" w:rsidRDefault="00B301B6" w:rsidP="00AC73DF">
      <w:pPr>
        <w:rPr>
          <w:szCs w:val="24"/>
        </w:rPr>
      </w:pPr>
      <w:r w:rsidRPr="00D878BD">
        <w:rPr>
          <w:szCs w:val="24"/>
        </w:rPr>
        <w:t>The states and territories</w:t>
      </w:r>
      <w:r w:rsidR="00310198" w:rsidRPr="00D878BD">
        <w:rPr>
          <w:szCs w:val="24"/>
        </w:rPr>
        <w:t xml:space="preserve"> have human tissue </w:t>
      </w:r>
      <w:r w:rsidRPr="00D878BD">
        <w:rPr>
          <w:szCs w:val="24"/>
        </w:rPr>
        <w:t>legislation which</w:t>
      </w:r>
      <w:r w:rsidR="00310198" w:rsidRPr="00D878BD">
        <w:rPr>
          <w:szCs w:val="24"/>
        </w:rPr>
        <w:t xml:space="preserve"> generally requires consent from individuals </w:t>
      </w:r>
      <w:r w:rsidR="004658C2" w:rsidRPr="00D878BD">
        <w:rPr>
          <w:szCs w:val="24"/>
        </w:rPr>
        <w:t>for removal of tissue (including blood) to be in writing</w:t>
      </w:r>
      <w:r w:rsidR="00A1765D" w:rsidRPr="00D878BD">
        <w:rPr>
          <w:szCs w:val="24"/>
        </w:rPr>
        <w:t xml:space="preserve"> following an </w:t>
      </w:r>
      <w:r w:rsidR="00FD1DB9" w:rsidRPr="00D878BD">
        <w:rPr>
          <w:szCs w:val="24"/>
        </w:rPr>
        <w:t>explanation of the nature and effect of the removal</w:t>
      </w:r>
      <w:r w:rsidR="004658C2" w:rsidRPr="00D878BD">
        <w:rPr>
          <w:szCs w:val="24"/>
        </w:rPr>
        <w:t>.</w:t>
      </w:r>
      <w:r w:rsidR="00B87CC7" w:rsidRPr="00D878BD">
        <w:rPr>
          <w:rStyle w:val="FootnoteReference"/>
          <w:szCs w:val="24"/>
        </w:rPr>
        <w:footnoteReference w:id="162"/>
      </w:r>
      <w:r w:rsidR="004658C2" w:rsidRPr="00D878BD">
        <w:rPr>
          <w:szCs w:val="24"/>
        </w:rPr>
        <w:t xml:space="preserve"> </w:t>
      </w:r>
    </w:p>
    <w:p w14:paraId="448F2EAC" w14:textId="52F02CBD" w:rsidR="00372E9C" w:rsidRPr="00D878BD" w:rsidRDefault="00372E9C" w:rsidP="00AC73DF">
      <w:pPr>
        <w:rPr>
          <w:szCs w:val="24"/>
        </w:rPr>
      </w:pPr>
      <w:r w:rsidRPr="00D878BD">
        <w:rPr>
          <w:szCs w:val="24"/>
        </w:rPr>
        <w:t xml:space="preserve">In practical terms, adequate record keeping is an indirect requirement </w:t>
      </w:r>
      <w:r w:rsidR="00F15183" w:rsidRPr="00D878BD">
        <w:rPr>
          <w:szCs w:val="24"/>
        </w:rPr>
        <w:t xml:space="preserve">of the </w:t>
      </w:r>
      <w:r w:rsidR="00D50E63" w:rsidRPr="00D878BD">
        <w:rPr>
          <w:szCs w:val="24"/>
        </w:rPr>
        <w:t>doctor’s legal obligations to their patients: records are the most effective way of demonstrating</w:t>
      </w:r>
      <w:r w:rsidR="004B621B" w:rsidRPr="00D878BD">
        <w:rPr>
          <w:szCs w:val="24"/>
        </w:rPr>
        <w:t xml:space="preserve"> wh</w:t>
      </w:r>
      <w:r w:rsidR="005748DD" w:rsidRPr="00D878BD">
        <w:rPr>
          <w:szCs w:val="24"/>
        </w:rPr>
        <w:t>at</w:t>
      </w:r>
      <w:r w:rsidR="004B621B" w:rsidRPr="00D878BD">
        <w:rPr>
          <w:szCs w:val="24"/>
        </w:rPr>
        <w:t xml:space="preserve"> was discussed </w:t>
      </w:r>
      <w:r w:rsidR="00396C19" w:rsidRPr="00D878BD">
        <w:rPr>
          <w:szCs w:val="24"/>
        </w:rPr>
        <w:t xml:space="preserve">and what was consented too. </w:t>
      </w:r>
      <w:r w:rsidR="00525197" w:rsidRPr="00D878BD">
        <w:rPr>
          <w:szCs w:val="24"/>
        </w:rPr>
        <w:t xml:space="preserve">Detailed records are also necessary </w:t>
      </w:r>
      <w:r w:rsidR="00224BCD" w:rsidRPr="00D878BD">
        <w:rPr>
          <w:szCs w:val="24"/>
        </w:rPr>
        <w:t xml:space="preserve">for doctors to </w:t>
      </w:r>
      <w:r w:rsidR="003C0B4C">
        <w:rPr>
          <w:szCs w:val="24"/>
        </w:rPr>
        <w:t xml:space="preserve">follow </w:t>
      </w:r>
      <w:r w:rsidR="00E12EF5">
        <w:rPr>
          <w:szCs w:val="24"/>
        </w:rPr>
        <w:t xml:space="preserve">through </w:t>
      </w:r>
      <w:r w:rsidR="008F4DBB" w:rsidRPr="00D878BD">
        <w:rPr>
          <w:szCs w:val="24"/>
        </w:rPr>
        <w:t>o</w:t>
      </w:r>
      <w:r w:rsidR="00DD18A1" w:rsidRPr="00D878BD">
        <w:rPr>
          <w:szCs w:val="24"/>
        </w:rPr>
        <w:t>n</w:t>
      </w:r>
      <w:r w:rsidR="008F4DBB" w:rsidRPr="00D878BD">
        <w:rPr>
          <w:szCs w:val="24"/>
        </w:rPr>
        <w:t xml:space="preserve">-going </w:t>
      </w:r>
      <w:r w:rsidR="00DF125B" w:rsidRPr="00D878BD">
        <w:rPr>
          <w:szCs w:val="24"/>
        </w:rPr>
        <w:t>obligations</w:t>
      </w:r>
      <w:r w:rsidR="00E12EF5">
        <w:rPr>
          <w:szCs w:val="24"/>
        </w:rPr>
        <w:t xml:space="preserve"> to the patient</w:t>
      </w:r>
      <w:r w:rsidR="000F3784">
        <w:rPr>
          <w:szCs w:val="24"/>
        </w:rPr>
        <w:t xml:space="preserve"> and for </w:t>
      </w:r>
      <w:r w:rsidR="00110847" w:rsidRPr="00D878BD">
        <w:rPr>
          <w:szCs w:val="24"/>
        </w:rPr>
        <w:t xml:space="preserve">future reference by other doctors and researchers. </w:t>
      </w:r>
    </w:p>
    <w:p w14:paraId="350236FE" w14:textId="31048A49" w:rsidR="00DD6CC1" w:rsidRPr="00D878BD" w:rsidRDefault="00DD6CC1" w:rsidP="00AC73DF">
      <w:pPr>
        <w:rPr>
          <w:szCs w:val="24"/>
        </w:rPr>
      </w:pPr>
      <w:r w:rsidRPr="00D878BD">
        <w:rPr>
          <w:szCs w:val="24"/>
        </w:rPr>
        <w:t>It is likely that most medical services will have medical record keeping policies and procedures that the staff will be required to follow as part of their duties as set out in their employment contract.</w:t>
      </w:r>
    </w:p>
    <w:p w14:paraId="503760BA" w14:textId="2300ABBE" w:rsidR="0030607E" w:rsidRPr="00D878BD" w:rsidRDefault="0030607E" w:rsidP="00AC73DF">
      <w:pPr>
        <w:rPr>
          <w:szCs w:val="24"/>
        </w:rPr>
      </w:pPr>
      <w:r w:rsidRPr="00D878BD">
        <w:rPr>
          <w:szCs w:val="24"/>
        </w:rPr>
        <w:t>The My</w:t>
      </w:r>
      <w:r w:rsidR="003070F7">
        <w:rPr>
          <w:szCs w:val="24"/>
        </w:rPr>
        <w:t xml:space="preserve"> </w:t>
      </w:r>
      <w:r w:rsidRPr="00D878BD">
        <w:rPr>
          <w:szCs w:val="24"/>
        </w:rPr>
        <w:t xml:space="preserve">Health Records </w:t>
      </w:r>
      <w:r w:rsidR="00C56617">
        <w:rPr>
          <w:szCs w:val="24"/>
        </w:rPr>
        <w:t xml:space="preserve">provisions </w:t>
      </w:r>
      <w:r w:rsidRPr="00D878BD">
        <w:rPr>
          <w:szCs w:val="24"/>
        </w:rPr>
        <w:t xml:space="preserve">are discussed in detail </w:t>
      </w:r>
      <w:r w:rsidR="00E117C1" w:rsidRPr="00D878BD">
        <w:rPr>
          <w:szCs w:val="24"/>
        </w:rPr>
        <w:t xml:space="preserve">in </w:t>
      </w:r>
      <w:r w:rsidR="00B178C5" w:rsidRPr="002B5F46">
        <w:rPr>
          <w:b/>
          <w:bCs/>
          <w:szCs w:val="24"/>
        </w:rPr>
        <w:t>S</w:t>
      </w:r>
      <w:r w:rsidR="00E117C1" w:rsidRPr="002B5F46">
        <w:rPr>
          <w:b/>
          <w:bCs/>
          <w:szCs w:val="24"/>
        </w:rPr>
        <w:t>ection</w:t>
      </w:r>
      <w:r w:rsidR="00E117C1" w:rsidRPr="00D878BD">
        <w:rPr>
          <w:szCs w:val="24"/>
        </w:rPr>
        <w:t xml:space="preserve"> </w:t>
      </w:r>
      <w:r w:rsidR="004E5334" w:rsidRPr="00A7008D">
        <w:rPr>
          <w:b/>
          <w:sz w:val="20"/>
          <w:szCs w:val="24"/>
        </w:rPr>
        <w:fldChar w:fldCharType="begin"/>
      </w:r>
      <w:r w:rsidR="004E5334" w:rsidRPr="00A7008D">
        <w:rPr>
          <w:b/>
          <w:sz w:val="20"/>
          <w:szCs w:val="24"/>
        </w:rPr>
        <w:instrText xml:space="preserve"> REF _Ref39135505 \r \h </w:instrText>
      </w:r>
      <w:r w:rsidR="004E5334" w:rsidRPr="00A7008D">
        <w:rPr>
          <w:b/>
          <w:sz w:val="20"/>
          <w:szCs w:val="24"/>
        </w:rPr>
      </w:r>
      <w:r w:rsidR="004E5334" w:rsidRPr="00A7008D">
        <w:rPr>
          <w:b/>
          <w:sz w:val="20"/>
          <w:szCs w:val="24"/>
        </w:rPr>
        <w:fldChar w:fldCharType="separate"/>
      </w:r>
      <w:r w:rsidR="000B4085">
        <w:rPr>
          <w:b/>
          <w:sz w:val="20"/>
          <w:szCs w:val="24"/>
        </w:rPr>
        <w:t>5.7</w:t>
      </w:r>
      <w:r w:rsidR="004E5334" w:rsidRPr="00A7008D">
        <w:rPr>
          <w:b/>
          <w:sz w:val="20"/>
          <w:szCs w:val="24"/>
        </w:rPr>
        <w:fldChar w:fldCharType="end"/>
      </w:r>
      <w:r w:rsidR="005F3532">
        <w:rPr>
          <w:b/>
          <w:sz w:val="20"/>
          <w:szCs w:val="24"/>
        </w:rPr>
        <w:t xml:space="preserve"> </w:t>
      </w:r>
      <w:r w:rsidR="004E5334" w:rsidRPr="00A7008D">
        <w:rPr>
          <w:b/>
          <w:sz w:val="20"/>
          <w:szCs w:val="24"/>
        </w:rPr>
        <w:fldChar w:fldCharType="begin"/>
      </w:r>
      <w:r w:rsidR="004E5334" w:rsidRPr="00A7008D">
        <w:rPr>
          <w:b/>
          <w:sz w:val="20"/>
          <w:szCs w:val="24"/>
        </w:rPr>
        <w:instrText xml:space="preserve"> REF _Ref39135505 \h </w:instrText>
      </w:r>
      <w:r w:rsidR="004E5334" w:rsidRPr="00A7008D">
        <w:rPr>
          <w:b/>
          <w:sz w:val="20"/>
          <w:szCs w:val="24"/>
        </w:rPr>
      </w:r>
      <w:r w:rsidR="004E5334" w:rsidRPr="00A7008D">
        <w:rPr>
          <w:b/>
          <w:sz w:val="20"/>
          <w:szCs w:val="24"/>
        </w:rPr>
        <w:fldChar w:fldCharType="separate"/>
      </w:r>
      <w:r w:rsidR="000B4085" w:rsidRPr="00F67476">
        <w:t>Health records laws</w:t>
      </w:r>
      <w:r w:rsidR="004E5334" w:rsidRPr="00A7008D">
        <w:rPr>
          <w:b/>
          <w:sz w:val="20"/>
          <w:szCs w:val="24"/>
        </w:rPr>
        <w:fldChar w:fldCharType="end"/>
      </w:r>
      <w:r w:rsidR="00E117C1" w:rsidRPr="00D878BD">
        <w:rPr>
          <w:szCs w:val="24"/>
        </w:rPr>
        <w:t xml:space="preserve">. </w:t>
      </w:r>
      <w:r w:rsidR="007C5BEF" w:rsidRPr="00D878BD">
        <w:rPr>
          <w:szCs w:val="24"/>
        </w:rPr>
        <w:t>They may be relevant in this context if the Aboriginal or Torres Strait Islander patient is registered for</w:t>
      </w:r>
      <w:r w:rsidR="000D018C">
        <w:rPr>
          <w:szCs w:val="24"/>
        </w:rPr>
        <w:t xml:space="preserve"> a</w:t>
      </w:r>
      <w:r w:rsidR="00E21438" w:rsidRPr="00D878BD">
        <w:rPr>
          <w:szCs w:val="24"/>
        </w:rPr>
        <w:t xml:space="preserve"> My Health Record. </w:t>
      </w:r>
      <w:r w:rsidR="0045781B" w:rsidRPr="00D878BD">
        <w:rPr>
          <w:szCs w:val="24"/>
        </w:rPr>
        <w:t>In which case, their consent to their diagnostic test</w:t>
      </w:r>
      <w:r w:rsidR="006F4323" w:rsidRPr="00D878BD">
        <w:rPr>
          <w:szCs w:val="24"/>
        </w:rPr>
        <w:t xml:space="preserve">, and </w:t>
      </w:r>
      <w:r w:rsidR="006F4323" w:rsidRPr="00D878BD">
        <w:rPr>
          <w:szCs w:val="24"/>
        </w:rPr>
        <w:lastRenderedPageBreak/>
        <w:t>their results,</w:t>
      </w:r>
      <w:r w:rsidR="0045781B" w:rsidRPr="00D878BD">
        <w:rPr>
          <w:szCs w:val="24"/>
        </w:rPr>
        <w:t xml:space="preserve"> would like</w:t>
      </w:r>
      <w:r w:rsidR="00276046" w:rsidRPr="00D878BD">
        <w:rPr>
          <w:szCs w:val="24"/>
        </w:rPr>
        <w:t>ly</w:t>
      </w:r>
      <w:r w:rsidR="0045781B" w:rsidRPr="00D878BD">
        <w:rPr>
          <w:szCs w:val="24"/>
        </w:rPr>
        <w:t xml:space="preserve"> be recorded there, and therefore readily accessib</w:t>
      </w:r>
      <w:r w:rsidR="007B711C" w:rsidRPr="00D878BD">
        <w:rPr>
          <w:szCs w:val="24"/>
        </w:rPr>
        <w:t xml:space="preserve">le </w:t>
      </w:r>
      <w:r w:rsidR="00950B80" w:rsidRPr="00D878BD">
        <w:rPr>
          <w:szCs w:val="24"/>
        </w:rPr>
        <w:t>by healthcare providers with access to My Health Record</w:t>
      </w:r>
      <w:r w:rsidR="0067340C">
        <w:rPr>
          <w:szCs w:val="24"/>
        </w:rPr>
        <w:t>s</w:t>
      </w:r>
      <w:r w:rsidR="00950B80" w:rsidRPr="00D878BD">
        <w:rPr>
          <w:szCs w:val="24"/>
        </w:rPr>
        <w:t xml:space="preserve">. </w:t>
      </w:r>
    </w:p>
    <w:p w14:paraId="66BE7325" w14:textId="77777777" w:rsidR="00925373" w:rsidRPr="00D878BD" w:rsidRDefault="001A215B" w:rsidP="00AC73DF">
      <w:pPr>
        <w:rPr>
          <w:szCs w:val="24"/>
        </w:rPr>
      </w:pPr>
      <w:r w:rsidRPr="00D878BD">
        <w:rPr>
          <w:szCs w:val="24"/>
        </w:rPr>
        <w:t xml:space="preserve">The clinical setting is not the only context in which Aboriginal and Torres Strait Islander </w:t>
      </w:r>
      <w:r w:rsidR="005E318A" w:rsidRPr="00D878BD">
        <w:rPr>
          <w:szCs w:val="24"/>
        </w:rPr>
        <w:t xml:space="preserve">samples are obtained by researchers. </w:t>
      </w:r>
      <w:r w:rsidR="00EF1086" w:rsidRPr="00D878BD">
        <w:rPr>
          <w:szCs w:val="24"/>
        </w:rPr>
        <w:t xml:space="preserve">They may be from </w:t>
      </w:r>
      <w:r w:rsidR="003169C6" w:rsidRPr="00D878BD">
        <w:rPr>
          <w:szCs w:val="24"/>
        </w:rPr>
        <w:t>existing</w:t>
      </w:r>
      <w:r w:rsidR="0002646A" w:rsidRPr="00D878BD">
        <w:rPr>
          <w:szCs w:val="24"/>
        </w:rPr>
        <w:t xml:space="preserve"> collections in museums or universities, </w:t>
      </w:r>
      <w:r w:rsidR="00870227" w:rsidRPr="00D878BD">
        <w:rPr>
          <w:szCs w:val="24"/>
        </w:rPr>
        <w:t xml:space="preserve">or through commercial enterprise, for example, sites such as </w:t>
      </w:r>
      <w:r w:rsidR="00666823" w:rsidRPr="00D878BD">
        <w:rPr>
          <w:szCs w:val="24"/>
        </w:rPr>
        <w:t xml:space="preserve">Ancestory.com. </w:t>
      </w:r>
    </w:p>
    <w:p w14:paraId="17045DCB" w14:textId="4A63D6DE" w:rsidR="007E24BA" w:rsidRPr="00F67476" w:rsidRDefault="007E24BA" w:rsidP="002B5F46">
      <w:pPr>
        <w:pStyle w:val="Heading3"/>
      </w:pPr>
      <w:bookmarkStart w:id="125" w:name="_Toc118824354"/>
      <w:r w:rsidRPr="00F67476">
        <w:rPr>
          <w:lang w:val="en-AU"/>
        </w:rPr>
        <w:t>Documenting consents when samples are obtained from existing collections</w:t>
      </w:r>
      <w:bookmarkEnd w:id="125"/>
      <w:r w:rsidRPr="00F67476">
        <w:rPr>
          <w:lang w:val="en-AU"/>
        </w:rPr>
        <w:t xml:space="preserve"> </w:t>
      </w:r>
    </w:p>
    <w:p w14:paraId="08ECD2B0" w14:textId="28AC4DC5" w:rsidR="001F6783" w:rsidRPr="00D878BD" w:rsidRDefault="00925373" w:rsidP="00AC73DF">
      <w:pPr>
        <w:rPr>
          <w:szCs w:val="24"/>
        </w:rPr>
      </w:pPr>
      <w:r w:rsidRPr="00D878BD">
        <w:rPr>
          <w:szCs w:val="24"/>
        </w:rPr>
        <w:t xml:space="preserve">In the case of researchers accessing samples from museums </w:t>
      </w:r>
      <w:r w:rsidR="008E4FD7" w:rsidRPr="00D878BD">
        <w:rPr>
          <w:szCs w:val="24"/>
        </w:rPr>
        <w:t>or university collections, th</w:t>
      </w:r>
      <w:r w:rsidR="00DC1375" w:rsidRPr="00D878BD">
        <w:rPr>
          <w:szCs w:val="24"/>
        </w:rPr>
        <w:t xml:space="preserve">is would be a transaction between the </w:t>
      </w:r>
      <w:r w:rsidR="007D6844" w:rsidRPr="00D878BD">
        <w:rPr>
          <w:szCs w:val="24"/>
        </w:rPr>
        <w:t xml:space="preserve">museum/university </w:t>
      </w:r>
      <w:r w:rsidR="00832484" w:rsidRPr="00D878BD">
        <w:rPr>
          <w:szCs w:val="24"/>
        </w:rPr>
        <w:t>and the research</w:t>
      </w:r>
      <w:r w:rsidR="0090020E" w:rsidRPr="00D878BD">
        <w:rPr>
          <w:szCs w:val="24"/>
        </w:rPr>
        <w:t xml:space="preserve"> institution. </w:t>
      </w:r>
      <w:r w:rsidR="00F941E2" w:rsidRPr="00D878BD">
        <w:rPr>
          <w:szCs w:val="24"/>
        </w:rPr>
        <w:t>Unless required by an ethics review framework or other policy, n</w:t>
      </w:r>
      <w:r w:rsidR="0090020E" w:rsidRPr="00D878BD">
        <w:rPr>
          <w:szCs w:val="24"/>
        </w:rPr>
        <w:t xml:space="preserve">either the individual not the community would be represented. </w:t>
      </w:r>
      <w:r w:rsidR="00E769C5" w:rsidRPr="00D878BD">
        <w:rPr>
          <w:szCs w:val="24"/>
        </w:rPr>
        <w:t xml:space="preserve">The legal obligations of museums when providing </w:t>
      </w:r>
      <w:r w:rsidR="003F34E3" w:rsidRPr="00D878BD">
        <w:rPr>
          <w:szCs w:val="24"/>
        </w:rPr>
        <w:t xml:space="preserve">researcher access to genetic material within their collection is discussed in </w:t>
      </w:r>
      <w:r w:rsidR="00E40E87" w:rsidRPr="002B5F46">
        <w:rPr>
          <w:b/>
          <w:bCs/>
          <w:szCs w:val="24"/>
        </w:rPr>
        <w:t>S</w:t>
      </w:r>
      <w:r w:rsidR="003F34E3" w:rsidRPr="002B5F46">
        <w:rPr>
          <w:b/>
          <w:bCs/>
          <w:szCs w:val="24"/>
        </w:rPr>
        <w:t>ection</w:t>
      </w:r>
      <w:r w:rsidR="008F657B" w:rsidRPr="002B5F46">
        <w:rPr>
          <w:b/>
          <w:bCs/>
          <w:szCs w:val="24"/>
        </w:rPr>
        <w:t xml:space="preserve"> </w:t>
      </w:r>
      <w:r w:rsidR="008F657B" w:rsidRPr="002B5F46">
        <w:rPr>
          <w:b/>
          <w:bCs/>
          <w:szCs w:val="24"/>
        </w:rPr>
        <w:fldChar w:fldCharType="begin"/>
      </w:r>
      <w:r w:rsidR="008F657B" w:rsidRPr="002B5F46">
        <w:rPr>
          <w:b/>
          <w:bCs/>
          <w:szCs w:val="24"/>
        </w:rPr>
        <w:instrText xml:space="preserve"> REF _Ref45038951 \r \h </w:instrText>
      </w:r>
      <w:r w:rsidR="0081232B">
        <w:rPr>
          <w:b/>
          <w:bCs/>
          <w:szCs w:val="24"/>
        </w:rPr>
        <w:instrText xml:space="preserve"> \* MERGEFORMAT </w:instrText>
      </w:r>
      <w:r w:rsidR="008F657B" w:rsidRPr="002B5F46">
        <w:rPr>
          <w:b/>
          <w:bCs/>
          <w:szCs w:val="24"/>
        </w:rPr>
      </w:r>
      <w:r w:rsidR="008F657B" w:rsidRPr="002B5F46">
        <w:rPr>
          <w:b/>
          <w:bCs/>
          <w:szCs w:val="24"/>
        </w:rPr>
        <w:fldChar w:fldCharType="separate"/>
      </w:r>
      <w:r w:rsidR="000B4085">
        <w:rPr>
          <w:b/>
          <w:bCs/>
          <w:szCs w:val="24"/>
        </w:rPr>
        <w:t>5.6.2</w:t>
      </w:r>
      <w:r w:rsidR="008F657B" w:rsidRPr="002B5F46">
        <w:rPr>
          <w:b/>
          <w:bCs/>
          <w:szCs w:val="24"/>
        </w:rPr>
        <w:fldChar w:fldCharType="end"/>
      </w:r>
      <w:r w:rsidR="003F34E3" w:rsidRPr="00D878BD">
        <w:rPr>
          <w:szCs w:val="24"/>
        </w:rPr>
        <w:t xml:space="preserve">. </w:t>
      </w:r>
    </w:p>
    <w:p w14:paraId="4A6B40DA" w14:textId="19EB0FBC" w:rsidR="00C40E7B" w:rsidRPr="00D878BD" w:rsidRDefault="008B43DB" w:rsidP="00AC73DF">
      <w:pPr>
        <w:rPr>
          <w:szCs w:val="24"/>
        </w:rPr>
      </w:pPr>
      <w:r w:rsidRPr="00D878BD">
        <w:rPr>
          <w:szCs w:val="24"/>
        </w:rPr>
        <w:t xml:space="preserve">That said, many museums and </w:t>
      </w:r>
      <w:r w:rsidR="00357325" w:rsidRPr="00D878BD">
        <w:rPr>
          <w:szCs w:val="24"/>
        </w:rPr>
        <w:t>universities</w:t>
      </w:r>
      <w:r w:rsidRPr="00D878BD">
        <w:rPr>
          <w:szCs w:val="24"/>
        </w:rPr>
        <w:t xml:space="preserve"> </w:t>
      </w:r>
      <w:r w:rsidR="00126953" w:rsidRPr="00D878BD">
        <w:rPr>
          <w:szCs w:val="24"/>
        </w:rPr>
        <w:t>are looking toward policy and best practice guidelines</w:t>
      </w:r>
      <w:r w:rsidR="007C58CE" w:rsidRPr="00D878BD">
        <w:rPr>
          <w:szCs w:val="24"/>
        </w:rPr>
        <w:t xml:space="preserve">. With these policies and guidelines in place </w:t>
      </w:r>
      <w:r w:rsidR="00864FCD" w:rsidRPr="00D878BD">
        <w:rPr>
          <w:szCs w:val="24"/>
        </w:rPr>
        <w:t>they can be given legal effect</w:t>
      </w:r>
      <w:r w:rsidR="00B3660C">
        <w:rPr>
          <w:szCs w:val="24"/>
        </w:rPr>
        <w:t xml:space="preserve"> through contracts such as consent release forms or collaboration agreements. </w:t>
      </w:r>
      <w:r w:rsidR="00641C17">
        <w:rPr>
          <w:szCs w:val="24"/>
        </w:rPr>
        <w:t xml:space="preserve">Funding agreements also have </w:t>
      </w:r>
      <w:r w:rsidR="00892AF3">
        <w:rPr>
          <w:szCs w:val="24"/>
        </w:rPr>
        <w:t>the power to make best practice compliance a contractual obligation on the researcher.</w:t>
      </w:r>
      <w:r w:rsidR="00617D41" w:rsidRPr="00D878BD">
        <w:rPr>
          <w:szCs w:val="24"/>
        </w:rPr>
        <w:t xml:space="preserve"> This best practice policy may include specific requirements </w:t>
      </w:r>
      <w:r w:rsidR="00CF1D22" w:rsidRPr="00D878BD">
        <w:rPr>
          <w:szCs w:val="24"/>
        </w:rPr>
        <w:t xml:space="preserve">about </w:t>
      </w:r>
      <w:r w:rsidR="00D137A1" w:rsidRPr="00D878BD">
        <w:rPr>
          <w:szCs w:val="24"/>
        </w:rPr>
        <w:t xml:space="preserve">consultation and </w:t>
      </w:r>
      <w:r w:rsidR="00D6176A">
        <w:rPr>
          <w:szCs w:val="24"/>
        </w:rPr>
        <w:t xml:space="preserve">community </w:t>
      </w:r>
      <w:r w:rsidR="00D137A1" w:rsidRPr="00D878BD">
        <w:rPr>
          <w:szCs w:val="24"/>
        </w:rPr>
        <w:t>consent requirements</w:t>
      </w:r>
      <w:r w:rsidR="00CF1D22" w:rsidRPr="00D878BD">
        <w:rPr>
          <w:szCs w:val="24"/>
        </w:rPr>
        <w:t xml:space="preserve">. In which case, the museum would have a legal duty to obtain (and document) consent. </w:t>
      </w:r>
      <w:r w:rsidR="00FA7A80" w:rsidRPr="00D878BD">
        <w:rPr>
          <w:szCs w:val="24"/>
        </w:rPr>
        <w:t>But it is important to remember that contractual rights, a</w:t>
      </w:r>
      <w:r w:rsidR="00884097" w:rsidRPr="00D878BD">
        <w:rPr>
          <w:szCs w:val="24"/>
        </w:rPr>
        <w:t>re</w:t>
      </w:r>
      <w:r w:rsidR="00FA7A80" w:rsidRPr="00D878BD">
        <w:rPr>
          <w:szCs w:val="24"/>
        </w:rPr>
        <w:t xml:space="preserve"> individual </w:t>
      </w:r>
      <w:r w:rsidR="00F64AB9" w:rsidRPr="00D878BD">
        <w:rPr>
          <w:szCs w:val="24"/>
        </w:rPr>
        <w:t>–</w:t>
      </w:r>
      <w:r w:rsidR="00FA7A80" w:rsidRPr="00D878BD">
        <w:rPr>
          <w:szCs w:val="24"/>
        </w:rPr>
        <w:t xml:space="preserve"> </w:t>
      </w:r>
      <w:r w:rsidR="00F64AB9" w:rsidRPr="00D878BD">
        <w:rPr>
          <w:szCs w:val="24"/>
        </w:rPr>
        <w:t xml:space="preserve">the legal obligations only bind the parties who agreed </w:t>
      </w:r>
      <w:r w:rsidR="00F30B48" w:rsidRPr="00D878BD">
        <w:rPr>
          <w:szCs w:val="24"/>
        </w:rPr>
        <w:t xml:space="preserve">to the terms. It is not a general legal duty. </w:t>
      </w:r>
    </w:p>
    <w:p w14:paraId="1DA0D776" w14:textId="16AC8A0F" w:rsidR="007E24BA" w:rsidRPr="00F67476" w:rsidRDefault="007E24BA" w:rsidP="002B5F46">
      <w:pPr>
        <w:pStyle w:val="Heading3"/>
      </w:pPr>
      <w:bookmarkStart w:id="126" w:name="_Toc118824355"/>
      <w:r w:rsidRPr="00F67476">
        <w:rPr>
          <w:lang w:val="en-AU"/>
        </w:rPr>
        <w:t xml:space="preserve">Documenting consents when </w:t>
      </w:r>
      <w:r w:rsidR="007126DF" w:rsidRPr="00F67476">
        <w:rPr>
          <w:lang w:val="en-AU"/>
        </w:rPr>
        <w:t>samples are obtained by private companies</w:t>
      </w:r>
      <w:bookmarkEnd w:id="126"/>
    </w:p>
    <w:p w14:paraId="1E8CFC0F" w14:textId="415B5B5C" w:rsidR="00122BA9" w:rsidRPr="005A657D" w:rsidRDefault="00C14677" w:rsidP="00AC73DF">
      <w:pPr>
        <w:rPr>
          <w:szCs w:val="24"/>
        </w:rPr>
      </w:pPr>
      <w:r w:rsidRPr="00D878BD">
        <w:rPr>
          <w:szCs w:val="24"/>
        </w:rPr>
        <w:t xml:space="preserve">When </w:t>
      </w:r>
      <w:r w:rsidR="005B3FFA" w:rsidRPr="00D878BD">
        <w:rPr>
          <w:szCs w:val="24"/>
        </w:rPr>
        <w:t xml:space="preserve">an Aboriginal or Torres Strait Islander person agrees to provide a sample to a private company, such as Ancestory.com, </w:t>
      </w:r>
      <w:r w:rsidR="00B5756E" w:rsidRPr="00D878BD">
        <w:rPr>
          <w:szCs w:val="24"/>
        </w:rPr>
        <w:t xml:space="preserve">the legal view is that this a private arrangement between the individual and the company. </w:t>
      </w:r>
      <w:r w:rsidR="00C32FEF" w:rsidRPr="00D878BD">
        <w:rPr>
          <w:szCs w:val="24"/>
        </w:rPr>
        <w:t xml:space="preserve">Most likely these kind of companies will have a pro-forma agreement template that this individual signs, documenting their consent. </w:t>
      </w:r>
      <w:r w:rsidR="00FB7E38" w:rsidRPr="00D878BD">
        <w:rPr>
          <w:szCs w:val="24"/>
        </w:rPr>
        <w:t xml:space="preserve">It is likely that the consent will be broad and will include secondary uses. </w:t>
      </w:r>
    </w:p>
    <w:p w14:paraId="20FB0930" w14:textId="77777777" w:rsidR="000520B6" w:rsidRPr="00F67476" w:rsidRDefault="000520B6" w:rsidP="002B5F46">
      <w:pPr>
        <w:pStyle w:val="Heading2"/>
        <w:rPr>
          <w:lang w:val="en-AU"/>
        </w:rPr>
      </w:pPr>
      <w:bookmarkStart w:id="127" w:name="_Toc118824356"/>
      <w:r w:rsidRPr="00F67476">
        <w:rPr>
          <w:lang w:val="en-AU"/>
        </w:rPr>
        <w:t>Right of access to medical benefits &amp; health outcomes</w:t>
      </w:r>
      <w:bookmarkEnd w:id="127"/>
    </w:p>
    <w:p w14:paraId="3013A4E0" w14:textId="17336DE5" w:rsidR="0031144D" w:rsidRPr="002056B8" w:rsidRDefault="00D86155" w:rsidP="00AC73DF">
      <w:pPr>
        <w:rPr>
          <w:szCs w:val="24"/>
        </w:rPr>
      </w:pPr>
      <w:r w:rsidRPr="00D878BD">
        <w:rPr>
          <w:szCs w:val="24"/>
        </w:rPr>
        <w:t xml:space="preserve">The right of access to medical benefits and the right to </w:t>
      </w:r>
      <w:r w:rsidR="00CC506F" w:rsidRPr="00D878BD">
        <w:rPr>
          <w:szCs w:val="24"/>
        </w:rPr>
        <w:t xml:space="preserve">not be discriminated against </w:t>
      </w:r>
      <w:r w:rsidR="005A1E2E" w:rsidRPr="00D878BD">
        <w:rPr>
          <w:szCs w:val="24"/>
        </w:rPr>
        <w:t>based on your genes are linked</w:t>
      </w:r>
      <w:r w:rsidR="0038789E" w:rsidRPr="00D878BD">
        <w:rPr>
          <w:szCs w:val="24"/>
        </w:rPr>
        <w:t xml:space="preserve"> in serval ways.</w:t>
      </w:r>
      <w:r w:rsidR="0007173F" w:rsidRPr="00D878BD">
        <w:rPr>
          <w:szCs w:val="24"/>
        </w:rPr>
        <w:t xml:space="preserve"> I</w:t>
      </w:r>
      <w:r w:rsidR="0038789E" w:rsidRPr="00D878BD">
        <w:rPr>
          <w:szCs w:val="24"/>
        </w:rPr>
        <w:t xml:space="preserve">f </w:t>
      </w:r>
      <w:r w:rsidR="00A426B5" w:rsidRPr="00D878BD">
        <w:rPr>
          <w:szCs w:val="24"/>
        </w:rPr>
        <w:t xml:space="preserve">Aboriginal and Torres Strait Islander people </w:t>
      </w:r>
      <w:r w:rsidR="001558CA" w:rsidRPr="00D878BD">
        <w:rPr>
          <w:szCs w:val="24"/>
        </w:rPr>
        <w:t xml:space="preserve">do not receive the medical outcomes </w:t>
      </w:r>
      <w:r w:rsidR="00790C1B" w:rsidRPr="00D878BD">
        <w:rPr>
          <w:szCs w:val="24"/>
        </w:rPr>
        <w:t>made possible by precision medicine, this amounts to discrimination</w:t>
      </w:r>
      <w:r w:rsidR="00895975" w:rsidRPr="00D878BD">
        <w:rPr>
          <w:szCs w:val="24"/>
        </w:rPr>
        <w:t>. Whether th</w:t>
      </w:r>
      <w:r w:rsidR="00EE5972" w:rsidRPr="00D878BD">
        <w:rPr>
          <w:szCs w:val="24"/>
        </w:rPr>
        <w:t xml:space="preserve">e cause of the lack of access was due to (a) </w:t>
      </w:r>
      <w:r w:rsidR="00DC374E" w:rsidRPr="00D878BD">
        <w:rPr>
          <w:szCs w:val="24"/>
        </w:rPr>
        <w:t xml:space="preserve">lack of procedures to </w:t>
      </w:r>
      <w:r w:rsidR="003C2CA7" w:rsidRPr="00D878BD">
        <w:rPr>
          <w:szCs w:val="24"/>
        </w:rPr>
        <w:t>collect data in a culturally appropriate way</w:t>
      </w:r>
      <w:r w:rsidR="00C83147">
        <w:rPr>
          <w:szCs w:val="24"/>
        </w:rPr>
        <w:t>;</w:t>
      </w:r>
      <w:r w:rsidR="003C2CA7" w:rsidRPr="00D878BD">
        <w:rPr>
          <w:szCs w:val="24"/>
        </w:rPr>
        <w:t xml:space="preserve"> or (b) </w:t>
      </w:r>
      <w:r w:rsidR="00163C10" w:rsidRPr="00D878BD">
        <w:rPr>
          <w:szCs w:val="24"/>
        </w:rPr>
        <w:t>lack of culturally appropriate ways to de</w:t>
      </w:r>
      <w:r w:rsidR="00B057A4" w:rsidRPr="00D878BD">
        <w:rPr>
          <w:szCs w:val="24"/>
        </w:rPr>
        <w:t xml:space="preserve">liver </w:t>
      </w:r>
      <w:r w:rsidR="00A47DAF" w:rsidRPr="00D878BD">
        <w:rPr>
          <w:szCs w:val="24"/>
        </w:rPr>
        <w:t>health outcomes</w:t>
      </w:r>
      <w:r w:rsidR="002433AF">
        <w:rPr>
          <w:szCs w:val="24"/>
        </w:rPr>
        <w:t xml:space="preserve"> the result is discrimination</w:t>
      </w:r>
      <w:r w:rsidR="00A47DAF" w:rsidRPr="00D878BD">
        <w:rPr>
          <w:szCs w:val="24"/>
        </w:rPr>
        <w:t>. See</w:t>
      </w:r>
      <w:r w:rsidR="00FB41D9">
        <w:rPr>
          <w:szCs w:val="24"/>
        </w:rPr>
        <w:t xml:space="preserve"> </w:t>
      </w:r>
      <w:r w:rsidR="00FB41D9" w:rsidRPr="002B5F46">
        <w:rPr>
          <w:b/>
          <w:bCs/>
          <w:szCs w:val="24"/>
        </w:rPr>
        <w:fldChar w:fldCharType="begin"/>
      </w:r>
      <w:r w:rsidR="00FB41D9" w:rsidRPr="002B5F46">
        <w:rPr>
          <w:b/>
          <w:bCs/>
          <w:szCs w:val="24"/>
        </w:rPr>
        <w:instrText xml:space="preserve"> REF _Ref45039327 \h </w:instrText>
      </w:r>
      <w:r w:rsidR="00FB41D9">
        <w:rPr>
          <w:b/>
          <w:bCs/>
          <w:szCs w:val="24"/>
        </w:rPr>
        <w:instrText xml:space="preserve"> \* MERGEFORMAT </w:instrText>
      </w:r>
      <w:r w:rsidR="00FB41D9" w:rsidRPr="002B5F46">
        <w:rPr>
          <w:b/>
          <w:bCs/>
          <w:szCs w:val="24"/>
        </w:rPr>
      </w:r>
      <w:r w:rsidR="00FB41D9" w:rsidRPr="002B5F46">
        <w:rPr>
          <w:b/>
          <w:bCs/>
          <w:szCs w:val="24"/>
        </w:rPr>
        <w:fldChar w:fldCharType="separate"/>
      </w:r>
      <w:r w:rsidR="000B4085" w:rsidRPr="000B4085">
        <w:rPr>
          <w:b/>
          <w:bCs/>
        </w:rPr>
        <w:t xml:space="preserve">Figure </w:t>
      </w:r>
      <w:r w:rsidR="000B4085" w:rsidRPr="000B4085">
        <w:rPr>
          <w:b/>
          <w:bCs/>
          <w:noProof/>
          <w:sz w:val="20"/>
        </w:rPr>
        <w:t>10</w:t>
      </w:r>
      <w:r w:rsidR="00FB41D9" w:rsidRPr="002B5F46">
        <w:rPr>
          <w:b/>
          <w:bCs/>
          <w:szCs w:val="24"/>
        </w:rPr>
        <w:fldChar w:fldCharType="end"/>
      </w:r>
      <w:r w:rsidR="00A47DAF" w:rsidRPr="00D878BD">
        <w:rPr>
          <w:szCs w:val="24"/>
        </w:rPr>
        <w:t xml:space="preserve"> below that demonstrates </w:t>
      </w:r>
      <w:r w:rsidR="00C8777E" w:rsidRPr="00D878BD">
        <w:rPr>
          <w:szCs w:val="24"/>
        </w:rPr>
        <w:t>th</w:t>
      </w:r>
      <w:r w:rsidR="0083174E" w:rsidRPr="00D878BD">
        <w:rPr>
          <w:szCs w:val="24"/>
        </w:rPr>
        <w:t xml:space="preserve">is </w:t>
      </w:r>
      <w:r w:rsidR="00492A43" w:rsidRPr="00D878BD">
        <w:rPr>
          <w:szCs w:val="24"/>
        </w:rPr>
        <w:t>two-stage</w:t>
      </w:r>
      <w:r w:rsidR="0031144D" w:rsidRPr="00D878BD">
        <w:rPr>
          <w:szCs w:val="24"/>
        </w:rPr>
        <w:t xml:space="preserve"> barrier to delivery of health outcomes. </w:t>
      </w:r>
    </w:p>
    <w:p w14:paraId="397D4AB5" w14:textId="77777777" w:rsidR="005663D8" w:rsidRDefault="00FC0A37" w:rsidP="002B5F46">
      <w:pPr>
        <w:keepNext/>
      </w:pPr>
      <w:r>
        <w:rPr>
          <w:noProof/>
        </w:rPr>
        <w:lastRenderedPageBreak/>
        <w:drawing>
          <wp:inline distT="0" distB="0" distL="0" distR="0" wp14:anchorId="21FE1560" wp14:editId="1434B04A">
            <wp:extent cx="5731510" cy="2451735"/>
            <wp:effectExtent l="0" t="0" r="2540" b="5715"/>
            <wp:docPr id="26" name="Picture 26" descr="Figure 10: Barriers to delivery of health outcomes amounts to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0: Barriers to delivery of health outcomes amounts to discrimination."/>
                    <pic:cNvPicPr/>
                  </pic:nvPicPr>
                  <pic:blipFill>
                    <a:blip r:embed="rId42"/>
                    <a:stretch>
                      <a:fillRect/>
                    </a:stretch>
                  </pic:blipFill>
                  <pic:spPr>
                    <a:xfrm>
                      <a:off x="0" y="0"/>
                      <a:ext cx="5731510" cy="2451735"/>
                    </a:xfrm>
                    <a:prstGeom prst="rect">
                      <a:avLst/>
                    </a:prstGeom>
                  </pic:spPr>
                </pic:pic>
              </a:graphicData>
            </a:graphic>
          </wp:inline>
        </w:drawing>
      </w:r>
    </w:p>
    <w:p w14:paraId="14AF5067" w14:textId="53C67081" w:rsidR="00621255" w:rsidRPr="008E5C92" w:rsidRDefault="005663D8" w:rsidP="007B2DFC">
      <w:pPr>
        <w:pStyle w:val="Caption"/>
      </w:pPr>
      <w:bookmarkStart w:id="128" w:name="_Ref45039327"/>
      <w:bookmarkStart w:id="129" w:name="_Toc45145522"/>
      <w:r>
        <w:t xml:space="preserve">Figure </w:t>
      </w:r>
      <w:r w:rsidRPr="00A7008D">
        <w:rPr>
          <w:sz w:val="20"/>
        </w:rPr>
        <w:fldChar w:fldCharType="begin"/>
      </w:r>
      <w:r w:rsidRPr="00A7008D">
        <w:rPr>
          <w:sz w:val="20"/>
        </w:rPr>
        <w:instrText xml:space="preserve"> SEQ Figure \* ARABIC </w:instrText>
      </w:r>
      <w:r w:rsidRPr="00A7008D">
        <w:rPr>
          <w:sz w:val="20"/>
        </w:rPr>
        <w:fldChar w:fldCharType="separate"/>
      </w:r>
      <w:r w:rsidR="000B4085">
        <w:rPr>
          <w:noProof/>
          <w:sz w:val="20"/>
        </w:rPr>
        <w:t>10</w:t>
      </w:r>
      <w:r w:rsidRPr="00A7008D">
        <w:rPr>
          <w:sz w:val="20"/>
        </w:rPr>
        <w:fldChar w:fldCharType="end"/>
      </w:r>
      <w:bookmarkEnd w:id="128"/>
      <w:r>
        <w:t xml:space="preserve">: </w:t>
      </w:r>
      <w:r w:rsidRPr="002B5F46">
        <w:t xml:space="preserve">Barriers to delivery of </w:t>
      </w:r>
      <w:r w:rsidRPr="007B2DFC">
        <w:t>health</w:t>
      </w:r>
      <w:r w:rsidRPr="002B5F46">
        <w:t xml:space="preserve"> outcomes amounts to discrimination</w:t>
      </w:r>
      <w:bookmarkEnd w:id="129"/>
    </w:p>
    <w:p w14:paraId="7FDCF89E" w14:textId="77777777" w:rsidR="00407564" w:rsidRPr="00D878BD" w:rsidRDefault="002D6A58" w:rsidP="00AC73DF">
      <w:pPr>
        <w:rPr>
          <w:szCs w:val="24"/>
        </w:rPr>
      </w:pPr>
      <w:r w:rsidRPr="00D878BD">
        <w:rPr>
          <w:szCs w:val="24"/>
        </w:rPr>
        <w:t>If Aboriginal and Torres Strait Islander peoples are wary of participating in genomic stu</w:t>
      </w:r>
      <w:r w:rsidR="00033134" w:rsidRPr="00D878BD">
        <w:rPr>
          <w:szCs w:val="24"/>
        </w:rPr>
        <w:t xml:space="preserve">dies </w:t>
      </w:r>
      <w:r w:rsidR="00992B67" w:rsidRPr="00D878BD">
        <w:rPr>
          <w:szCs w:val="24"/>
        </w:rPr>
        <w:t xml:space="preserve">based on a fear they will be discriminated against, </w:t>
      </w:r>
      <w:r w:rsidR="00A35F1F" w:rsidRPr="00D878BD">
        <w:rPr>
          <w:szCs w:val="24"/>
        </w:rPr>
        <w:t>this will mean they remain under-</w:t>
      </w:r>
      <w:r w:rsidR="00E46E17" w:rsidRPr="00D878BD">
        <w:rPr>
          <w:szCs w:val="24"/>
        </w:rPr>
        <w:t>represented</w:t>
      </w:r>
      <w:r w:rsidR="00A35F1F" w:rsidRPr="00D878BD">
        <w:rPr>
          <w:szCs w:val="24"/>
        </w:rPr>
        <w:t xml:space="preserve"> in genomic science, </w:t>
      </w:r>
      <w:r w:rsidR="00E46E17" w:rsidRPr="00D878BD">
        <w:rPr>
          <w:szCs w:val="24"/>
        </w:rPr>
        <w:t xml:space="preserve">which again means lack of access to </w:t>
      </w:r>
      <w:r w:rsidR="002D4DBA" w:rsidRPr="00D878BD">
        <w:rPr>
          <w:szCs w:val="24"/>
        </w:rPr>
        <w:t>health outcomes and ultimately discrimination</w:t>
      </w:r>
      <w:r w:rsidR="00407564" w:rsidRPr="00D878BD">
        <w:rPr>
          <w:szCs w:val="24"/>
        </w:rPr>
        <w:t xml:space="preserve">. </w:t>
      </w:r>
    </w:p>
    <w:p w14:paraId="5AEAB947" w14:textId="09B3D4DE" w:rsidR="00E149D2" w:rsidRPr="00D878BD" w:rsidRDefault="00407564" w:rsidP="00AC73DF">
      <w:pPr>
        <w:rPr>
          <w:szCs w:val="24"/>
        </w:rPr>
      </w:pPr>
      <w:r w:rsidRPr="00D878BD">
        <w:rPr>
          <w:szCs w:val="24"/>
        </w:rPr>
        <w:t xml:space="preserve">For the reasons </w:t>
      </w:r>
      <w:r w:rsidR="006F6128" w:rsidRPr="00D878BD">
        <w:rPr>
          <w:szCs w:val="24"/>
        </w:rPr>
        <w:t xml:space="preserve">explained above, laws against discrimination are the most relevant to </w:t>
      </w:r>
      <w:r w:rsidR="0004356E" w:rsidRPr="00D878BD">
        <w:rPr>
          <w:szCs w:val="24"/>
        </w:rPr>
        <w:t>Aboriginal and Torres Strait Islander peoples</w:t>
      </w:r>
      <w:r w:rsidR="00EB217A" w:rsidRPr="00D878BD">
        <w:rPr>
          <w:szCs w:val="24"/>
        </w:rPr>
        <w:t>’</w:t>
      </w:r>
      <w:r w:rsidR="0004356E" w:rsidRPr="00D878BD">
        <w:rPr>
          <w:szCs w:val="24"/>
        </w:rPr>
        <w:t xml:space="preserve"> rights to health outcomes.</w:t>
      </w:r>
      <w:r w:rsidR="002D4DBA" w:rsidRPr="00D878BD">
        <w:rPr>
          <w:szCs w:val="24"/>
        </w:rPr>
        <w:t xml:space="preserve"> </w:t>
      </w:r>
    </w:p>
    <w:p w14:paraId="4508E84C" w14:textId="3A8311C3" w:rsidR="00496322" w:rsidRPr="00D878BD" w:rsidRDefault="00CE0F9D" w:rsidP="00AC73DF">
      <w:pPr>
        <w:rPr>
          <w:szCs w:val="24"/>
        </w:rPr>
      </w:pPr>
      <w:r w:rsidRPr="00D878BD">
        <w:rPr>
          <w:szCs w:val="24"/>
        </w:rPr>
        <w:t xml:space="preserve">The </w:t>
      </w:r>
      <w:r w:rsidR="00745C28" w:rsidRPr="00D878BD">
        <w:rPr>
          <w:szCs w:val="24"/>
        </w:rPr>
        <w:t>F</w:t>
      </w:r>
      <w:r w:rsidRPr="00D878BD">
        <w:rPr>
          <w:szCs w:val="24"/>
        </w:rPr>
        <w:t xml:space="preserve">ederal Parliament’s power to make laws that bind the states and territories is based on </w:t>
      </w:r>
      <w:r w:rsidR="008C7A92" w:rsidRPr="00D878BD">
        <w:rPr>
          <w:szCs w:val="24"/>
        </w:rPr>
        <w:t xml:space="preserve">s51 of the Australian Constitution. None of the s51 powers specifically states </w:t>
      </w:r>
      <w:r w:rsidR="00ED4A07" w:rsidRPr="00D878BD">
        <w:rPr>
          <w:szCs w:val="24"/>
        </w:rPr>
        <w:t xml:space="preserve">‘anti-discrimination’ and so </w:t>
      </w:r>
      <w:r w:rsidR="00896643" w:rsidRPr="00D878BD">
        <w:rPr>
          <w:szCs w:val="24"/>
        </w:rPr>
        <w:t>the authority to make laws in this area has been based on a number of other powers including s51(xxix) external affairs powers.</w:t>
      </w:r>
      <w:r w:rsidR="00896643" w:rsidRPr="00D878BD">
        <w:rPr>
          <w:rStyle w:val="FootnoteReference"/>
          <w:szCs w:val="24"/>
        </w:rPr>
        <w:footnoteReference w:id="163"/>
      </w:r>
      <w:r w:rsidR="00C44715" w:rsidRPr="00D878BD">
        <w:rPr>
          <w:szCs w:val="24"/>
        </w:rPr>
        <w:t xml:space="preserve"> This </w:t>
      </w:r>
      <w:r w:rsidR="00BA3346" w:rsidRPr="00D878BD">
        <w:rPr>
          <w:szCs w:val="24"/>
        </w:rPr>
        <w:t xml:space="preserve">High Court as interpreted s51(xxix) </w:t>
      </w:r>
      <w:r w:rsidR="00D5525E" w:rsidRPr="00D878BD">
        <w:rPr>
          <w:szCs w:val="24"/>
        </w:rPr>
        <w:t xml:space="preserve">to mean that Federal parliament can </w:t>
      </w:r>
      <w:r w:rsidR="00861510" w:rsidRPr="00D878BD">
        <w:rPr>
          <w:szCs w:val="24"/>
        </w:rPr>
        <w:t xml:space="preserve">make </w:t>
      </w:r>
      <w:r w:rsidR="00C3083B" w:rsidRPr="00D878BD">
        <w:rPr>
          <w:szCs w:val="24"/>
        </w:rPr>
        <w:t>such laws as are required to comply with international obligations.</w:t>
      </w:r>
      <w:r w:rsidR="00C3083B" w:rsidRPr="00D878BD">
        <w:rPr>
          <w:rStyle w:val="FootnoteReference"/>
          <w:szCs w:val="24"/>
        </w:rPr>
        <w:footnoteReference w:id="164"/>
      </w:r>
      <w:r w:rsidR="003B3FC3" w:rsidRPr="00D878BD">
        <w:rPr>
          <w:szCs w:val="24"/>
        </w:rPr>
        <w:t xml:space="preserve"> </w:t>
      </w:r>
      <w:r w:rsidR="00496322" w:rsidRPr="00D878BD">
        <w:rPr>
          <w:szCs w:val="24"/>
        </w:rPr>
        <w:t>However, until enacted into Australian legislation</w:t>
      </w:r>
      <w:r w:rsidR="0037401B" w:rsidRPr="00D878BD">
        <w:rPr>
          <w:szCs w:val="24"/>
        </w:rPr>
        <w:t>,</w:t>
      </w:r>
      <w:r w:rsidR="00496322" w:rsidRPr="00D878BD">
        <w:rPr>
          <w:szCs w:val="24"/>
        </w:rPr>
        <w:t xml:space="preserve"> international law is not legally binding in Australia. For this reason this section will look specifically at Australian law, while</w:t>
      </w:r>
      <w:r w:rsidR="00A01454">
        <w:rPr>
          <w:szCs w:val="24"/>
        </w:rPr>
        <w:t xml:space="preserve"> </w:t>
      </w:r>
      <w:r w:rsidR="00A01454" w:rsidRPr="002B5F46">
        <w:rPr>
          <w:b/>
          <w:bCs/>
          <w:szCs w:val="24"/>
        </w:rPr>
        <w:t xml:space="preserve">Section </w:t>
      </w:r>
      <w:r w:rsidR="00A01454" w:rsidRPr="002B5F46">
        <w:rPr>
          <w:b/>
          <w:bCs/>
          <w:szCs w:val="24"/>
        </w:rPr>
        <w:fldChar w:fldCharType="begin"/>
      </w:r>
      <w:r w:rsidR="00A01454" w:rsidRPr="002B5F46">
        <w:rPr>
          <w:b/>
          <w:bCs/>
          <w:szCs w:val="24"/>
        </w:rPr>
        <w:instrText xml:space="preserve"> REF _Ref45039473 \r \h </w:instrText>
      </w:r>
      <w:r w:rsidR="00A01454">
        <w:rPr>
          <w:b/>
          <w:bCs/>
          <w:szCs w:val="24"/>
        </w:rPr>
        <w:instrText xml:space="preserve"> \* MERGEFORMAT </w:instrText>
      </w:r>
      <w:r w:rsidR="00A01454" w:rsidRPr="002B5F46">
        <w:rPr>
          <w:b/>
          <w:bCs/>
          <w:szCs w:val="24"/>
        </w:rPr>
      </w:r>
      <w:r w:rsidR="00A01454" w:rsidRPr="002B5F46">
        <w:rPr>
          <w:b/>
          <w:bCs/>
          <w:szCs w:val="24"/>
        </w:rPr>
        <w:fldChar w:fldCharType="separate"/>
      </w:r>
      <w:r w:rsidR="000B4085">
        <w:rPr>
          <w:b/>
          <w:bCs/>
          <w:szCs w:val="24"/>
        </w:rPr>
        <w:t>9</w:t>
      </w:r>
      <w:r w:rsidR="00A01454" w:rsidRPr="002B5F46">
        <w:rPr>
          <w:b/>
          <w:bCs/>
          <w:szCs w:val="24"/>
        </w:rPr>
        <w:fldChar w:fldCharType="end"/>
      </w:r>
      <w:r w:rsidR="00496322" w:rsidRPr="00D878BD">
        <w:rPr>
          <w:szCs w:val="24"/>
        </w:rPr>
        <w:t xml:space="preserve"> will look at international law</w:t>
      </w:r>
      <w:r w:rsidR="0037401B" w:rsidRPr="00D878BD">
        <w:rPr>
          <w:szCs w:val="24"/>
        </w:rPr>
        <w:t xml:space="preserve"> relevant to equity in access to health outcomes, and prevention of disc</w:t>
      </w:r>
      <w:r w:rsidR="00941B73">
        <w:rPr>
          <w:szCs w:val="24"/>
        </w:rPr>
        <w:t>r</w:t>
      </w:r>
      <w:r w:rsidR="0037401B" w:rsidRPr="00D878BD">
        <w:rPr>
          <w:szCs w:val="24"/>
        </w:rPr>
        <w:t>imination</w:t>
      </w:r>
      <w:r w:rsidR="00496322" w:rsidRPr="00D878BD">
        <w:rPr>
          <w:szCs w:val="24"/>
        </w:rPr>
        <w:t>.</w:t>
      </w:r>
    </w:p>
    <w:p w14:paraId="3F214CB4" w14:textId="2347FAE7" w:rsidR="000527B0" w:rsidRPr="00D878BD" w:rsidRDefault="006B6575" w:rsidP="00AC73DF">
      <w:pPr>
        <w:rPr>
          <w:szCs w:val="24"/>
        </w:rPr>
      </w:pPr>
      <w:r w:rsidRPr="00D878BD">
        <w:rPr>
          <w:szCs w:val="24"/>
        </w:rPr>
        <w:t xml:space="preserve">At the Commonwealth level Australia has the </w:t>
      </w:r>
      <w:r w:rsidRPr="00D878BD">
        <w:rPr>
          <w:i/>
          <w:szCs w:val="24"/>
        </w:rPr>
        <w:t>Racial Discrimination Act 1975</w:t>
      </w:r>
      <w:r w:rsidRPr="00D878BD">
        <w:rPr>
          <w:szCs w:val="24"/>
        </w:rPr>
        <w:t xml:space="preserve">. </w:t>
      </w:r>
      <w:r w:rsidR="00C91909" w:rsidRPr="00D878BD">
        <w:rPr>
          <w:szCs w:val="24"/>
        </w:rPr>
        <w:t>Complaints of racial discrimination can be made to the Australian Human Rights Commission.</w:t>
      </w:r>
      <w:r w:rsidR="007B17D9" w:rsidRPr="00D878BD">
        <w:rPr>
          <w:rStyle w:val="FootnoteReference"/>
          <w:szCs w:val="24"/>
        </w:rPr>
        <w:footnoteReference w:id="165"/>
      </w:r>
      <w:r w:rsidR="00C91909" w:rsidRPr="00D878BD">
        <w:rPr>
          <w:szCs w:val="24"/>
        </w:rPr>
        <w:t xml:space="preserve"> </w:t>
      </w:r>
    </w:p>
    <w:p w14:paraId="10C4ACB4" w14:textId="50C69B49" w:rsidR="004E5334" w:rsidRPr="008E5C92" w:rsidRDefault="002C5AAE" w:rsidP="00AC73DF">
      <w:r w:rsidRPr="00D878BD">
        <w:rPr>
          <w:szCs w:val="24"/>
        </w:rPr>
        <w:t>In addition</w:t>
      </w:r>
      <w:r w:rsidR="00F03406" w:rsidRPr="00D878BD">
        <w:rPr>
          <w:szCs w:val="24"/>
        </w:rPr>
        <w:t>, state</w:t>
      </w:r>
      <w:r w:rsidR="00C72E21">
        <w:rPr>
          <w:szCs w:val="24"/>
        </w:rPr>
        <w:t>s</w:t>
      </w:r>
      <w:r w:rsidR="00F03406" w:rsidRPr="00D878BD">
        <w:rPr>
          <w:szCs w:val="24"/>
        </w:rPr>
        <w:t xml:space="preserve"> and </w:t>
      </w:r>
      <w:r w:rsidR="00C72E21">
        <w:rPr>
          <w:szCs w:val="24"/>
        </w:rPr>
        <w:t xml:space="preserve">territories have their </w:t>
      </w:r>
      <w:r w:rsidR="00F03406" w:rsidRPr="00D878BD">
        <w:rPr>
          <w:szCs w:val="24"/>
        </w:rPr>
        <w:t>own legal regime</w:t>
      </w:r>
      <w:r w:rsidR="00C72E21">
        <w:rPr>
          <w:szCs w:val="24"/>
        </w:rPr>
        <w:t>s</w:t>
      </w:r>
      <w:r w:rsidR="00F03406" w:rsidRPr="00D878BD">
        <w:rPr>
          <w:szCs w:val="24"/>
        </w:rPr>
        <w:t xml:space="preserve">. See the table below for a summary of the relevant state and territory acts. </w:t>
      </w:r>
    </w:p>
    <w:p w14:paraId="0EE0CC53" w14:textId="1CF254F3" w:rsidR="005663D8" w:rsidRDefault="005663D8" w:rsidP="007B2DFC">
      <w:pPr>
        <w:pStyle w:val="Caption"/>
      </w:pPr>
      <w:r>
        <w:lastRenderedPageBreak/>
        <w:t xml:space="preserve">Table </w:t>
      </w:r>
      <w:r w:rsidRPr="00A7008D">
        <w:rPr>
          <w:sz w:val="20"/>
        </w:rPr>
        <w:fldChar w:fldCharType="begin"/>
      </w:r>
      <w:r w:rsidRPr="00A7008D">
        <w:rPr>
          <w:sz w:val="20"/>
        </w:rPr>
        <w:instrText xml:space="preserve"> SEQ Table \* ARABIC </w:instrText>
      </w:r>
      <w:r w:rsidRPr="00A7008D">
        <w:rPr>
          <w:sz w:val="20"/>
        </w:rPr>
        <w:fldChar w:fldCharType="separate"/>
      </w:r>
      <w:r w:rsidR="000B4085">
        <w:rPr>
          <w:noProof/>
          <w:sz w:val="20"/>
        </w:rPr>
        <w:t>9</w:t>
      </w:r>
      <w:r w:rsidRPr="00A7008D">
        <w:rPr>
          <w:sz w:val="20"/>
        </w:rPr>
        <w:fldChar w:fldCharType="end"/>
      </w:r>
      <w:r>
        <w:t xml:space="preserve">: </w:t>
      </w:r>
      <w:r w:rsidRPr="007B2DFC">
        <w:t>State</w:t>
      </w:r>
      <w:r w:rsidRPr="002B5F46">
        <w:t xml:space="preserve"> and territory racial discrimination legislation</w:t>
      </w:r>
    </w:p>
    <w:tbl>
      <w:tblPr>
        <w:tblStyle w:val="GridTable1Light"/>
        <w:tblW w:w="0" w:type="auto"/>
        <w:tblLook w:val="04A0" w:firstRow="1" w:lastRow="0" w:firstColumn="1" w:lastColumn="0" w:noHBand="0" w:noVBand="1"/>
        <w:tblCaption w:val="State and territory racial discrimination legislation"/>
        <w:tblDescription w:val="Table 9: State and territory racial discrimination legislation"/>
      </w:tblPr>
      <w:tblGrid>
        <w:gridCol w:w="2160"/>
        <w:gridCol w:w="3749"/>
        <w:gridCol w:w="3107"/>
      </w:tblGrid>
      <w:tr w:rsidR="00F32EF9" w14:paraId="16D986BE" w14:textId="77777777" w:rsidTr="007B2D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36E20163" w14:textId="795C9637" w:rsidR="00F32EF9" w:rsidRPr="0032654A" w:rsidRDefault="00435050" w:rsidP="00AC73DF">
            <w:pPr>
              <w:rPr>
                <w:b w:val="0"/>
                <w:bCs w:val="0"/>
              </w:rPr>
            </w:pPr>
            <w:r w:rsidRPr="00BB5A26">
              <w:t>State</w:t>
            </w:r>
          </w:p>
        </w:tc>
        <w:tc>
          <w:tcPr>
            <w:tcW w:w="3749" w:type="dxa"/>
          </w:tcPr>
          <w:p w14:paraId="175C089C" w14:textId="3EAB7928" w:rsidR="00F32EF9" w:rsidRPr="008E5C92" w:rsidRDefault="00EB6C65" w:rsidP="00AC73DF">
            <w:pPr>
              <w:cnfStyle w:val="100000000000" w:firstRow="1" w:lastRow="0" w:firstColumn="0" w:lastColumn="0" w:oddVBand="0" w:evenVBand="0" w:oddHBand="0" w:evenHBand="0" w:firstRowFirstColumn="0" w:firstRowLastColumn="0" w:lastRowFirstColumn="0" w:lastRowLastColumn="0"/>
              <w:rPr>
                <w:b w:val="0"/>
              </w:rPr>
            </w:pPr>
            <w:r w:rsidRPr="008E5C92">
              <w:t xml:space="preserve">Relevant legislation </w:t>
            </w:r>
          </w:p>
        </w:tc>
        <w:tc>
          <w:tcPr>
            <w:tcW w:w="3107" w:type="dxa"/>
          </w:tcPr>
          <w:p w14:paraId="40C313C0" w14:textId="1BB655AE" w:rsidR="00F32EF9" w:rsidRPr="008E5C92" w:rsidRDefault="00BC4FC1" w:rsidP="00AC73DF">
            <w:pPr>
              <w:cnfStyle w:val="100000000000" w:firstRow="1" w:lastRow="0" w:firstColumn="0" w:lastColumn="0" w:oddVBand="0" w:evenVBand="0" w:oddHBand="0" w:evenHBand="0" w:firstRowFirstColumn="0" w:firstRowLastColumn="0" w:lastRowFirstColumn="0" w:lastRowLastColumn="0"/>
              <w:rPr>
                <w:b w:val="0"/>
              </w:rPr>
            </w:pPr>
            <w:r w:rsidRPr="008E5C92">
              <w:t xml:space="preserve">Complaints </w:t>
            </w:r>
            <w:r w:rsidR="00EB6C65" w:rsidRPr="008E5C92">
              <w:t xml:space="preserve">authority </w:t>
            </w:r>
            <w:r w:rsidRPr="008E5C92">
              <w:t xml:space="preserve"> </w:t>
            </w:r>
          </w:p>
        </w:tc>
      </w:tr>
      <w:tr w:rsidR="00CE39F0" w14:paraId="17E9C449" w14:textId="147F89BD" w:rsidTr="007B2DFC">
        <w:tc>
          <w:tcPr>
            <w:cnfStyle w:val="001000000000" w:firstRow="0" w:lastRow="0" w:firstColumn="1" w:lastColumn="0" w:oddVBand="0" w:evenVBand="0" w:oddHBand="0" w:evenHBand="0" w:firstRowFirstColumn="0" w:firstRowLastColumn="0" w:lastRowFirstColumn="0" w:lastRowLastColumn="0"/>
            <w:tcW w:w="2160" w:type="dxa"/>
          </w:tcPr>
          <w:p w14:paraId="46A9F0BD" w14:textId="77777777" w:rsidR="00CE39F0" w:rsidRPr="008E5C92" w:rsidRDefault="00CE39F0" w:rsidP="00AC73DF">
            <w:pPr>
              <w:rPr>
                <w:b w:val="0"/>
              </w:rPr>
            </w:pPr>
            <w:r w:rsidRPr="008E5C92">
              <w:t>New South Wales</w:t>
            </w:r>
          </w:p>
        </w:tc>
        <w:tc>
          <w:tcPr>
            <w:tcW w:w="3749" w:type="dxa"/>
          </w:tcPr>
          <w:p w14:paraId="00856113" w14:textId="179D475B" w:rsidR="00CE39F0" w:rsidRPr="008E5C92" w:rsidRDefault="00CE39F0" w:rsidP="00AC73DF">
            <w:pPr>
              <w:cnfStyle w:val="000000000000" w:firstRow="0" w:lastRow="0" w:firstColumn="0" w:lastColumn="0" w:oddVBand="0" w:evenVBand="0" w:oddHBand="0" w:evenHBand="0" w:firstRowFirstColumn="0" w:firstRowLastColumn="0" w:lastRowFirstColumn="0" w:lastRowLastColumn="0"/>
              <w:rPr>
                <w:i/>
              </w:rPr>
            </w:pPr>
            <w:r w:rsidRPr="008E5C92">
              <w:rPr>
                <w:i/>
              </w:rPr>
              <w:t>Anti-Discrimination A</w:t>
            </w:r>
            <w:r w:rsidR="00941B73">
              <w:rPr>
                <w:i/>
              </w:rPr>
              <w:t>c</w:t>
            </w:r>
            <w:r w:rsidRPr="008E5C92">
              <w:rPr>
                <w:i/>
              </w:rPr>
              <w:t>t 1977</w:t>
            </w:r>
          </w:p>
        </w:tc>
        <w:tc>
          <w:tcPr>
            <w:tcW w:w="3107" w:type="dxa"/>
          </w:tcPr>
          <w:p w14:paraId="7BD3C8A9" w14:textId="4D129137" w:rsidR="00CE39F0" w:rsidRPr="008E5C92" w:rsidRDefault="00896A32" w:rsidP="00AC73DF">
            <w:pPr>
              <w:cnfStyle w:val="000000000000" w:firstRow="0" w:lastRow="0" w:firstColumn="0" w:lastColumn="0" w:oddVBand="0" w:evenVBand="0" w:oddHBand="0" w:evenHBand="0" w:firstRowFirstColumn="0" w:firstRowLastColumn="0" w:lastRowFirstColumn="0" w:lastRowLastColumn="0"/>
            </w:pPr>
            <w:r w:rsidRPr="008E5C92">
              <w:t xml:space="preserve">Anti-Discrimination, New South Wales </w:t>
            </w:r>
          </w:p>
        </w:tc>
      </w:tr>
      <w:tr w:rsidR="00CE39F0" w14:paraId="1B78E0F8" w14:textId="5D091476" w:rsidTr="007B2DFC">
        <w:tc>
          <w:tcPr>
            <w:cnfStyle w:val="001000000000" w:firstRow="0" w:lastRow="0" w:firstColumn="1" w:lastColumn="0" w:oddVBand="0" w:evenVBand="0" w:oddHBand="0" w:evenHBand="0" w:firstRowFirstColumn="0" w:firstRowLastColumn="0" w:lastRowFirstColumn="0" w:lastRowLastColumn="0"/>
            <w:tcW w:w="2160" w:type="dxa"/>
          </w:tcPr>
          <w:p w14:paraId="7E1BE8B4" w14:textId="77777777" w:rsidR="00CE39F0" w:rsidRPr="008E5C92" w:rsidRDefault="00CE39F0" w:rsidP="00AC73DF">
            <w:pPr>
              <w:rPr>
                <w:b w:val="0"/>
              </w:rPr>
            </w:pPr>
            <w:r w:rsidRPr="008E5C92">
              <w:t xml:space="preserve">Victoria </w:t>
            </w:r>
          </w:p>
        </w:tc>
        <w:tc>
          <w:tcPr>
            <w:tcW w:w="3749" w:type="dxa"/>
          </w:tcPr>
          <w:p w14:paraId="0FBB31F9" w14:textId="44915C6F" w:rsidR="00CE39F0" w:rsidRPr="008E5C92" w:rsidRDefault="000B7A33" w:rsidP="00AC73DF">
            <w:pPr>
              <w:cnfStyle w:val="000000000000" w:firstRow="0" w:lastRow="0" w:firstColumn="0" w:lastColumn="0" w:oddVBand="0" w:evenVBand="0" w:oddHBand="0" w:evenHBand="0" w:firstRowFirstColumn="0" w:firstRowLastColumn="0" w:lastRowFirstColumn="0" w:lastRowLastColumn="0"/>
              <w:rPr>
                <w:i/>
              </w:rPr>
            </w:pPr>
            <w:r w:rsidRPr="008E5C92">
              <w:rPr>
                <w:i/>
              </w:rPr>
              <w:t>Racial and Religious Tolerance Act 2001</w:t>
            </w:r>
            <w:r w:rsidR="0067288F" w:rsidRPr="008E5C92">
              <w:rPr>
                <w:i/>
              </w:rPr>
              <w:t xml:space="preserve">; the Charter of Human Rights and Responsibilities; Equal Opportunity Act </w:t>
            </w:r>
          </w:p>
        </w:tc>
        <w:tc>
          <w:tcPr>
            <w:tcW w:w="3107" w:type="dxa"/>
          </w:tcPr>
          <w:p w14:paraId="4062E1FC" w14:textId="5AC234C7" w:rsidR="00CE39F0" w:rsidRPr="008E5C92" w:rsidRDefault="00BC4FC1" w:rsidP="00AC73DF">
            <w:pPr>
              <w:cnfStyle w:val="000000000000" w:firstRow="0" w:lastRow="0" w:firstColumn="0" w:lastColumn="0" w:oddVBand="0" w:evenVBand="0" w:oddHBand="0" w:evenHBand="0" w:firstRowFirstColumn="0" w:firstRowLastColumn="0" w:lastRowFirstColumn="0" w:lastRowLastColumn="0"/>
            </w:pPr>
            <w:r w:rsidRPr="008E5C92">
              <w:t xml:space="preserve">Victorian </w:t>
            </w:r>
            <w:r w:rsidR="00A52144" w:rsidRPr="008E5C92">
              <w:t xml:space="preserve">Equal Opportunity </w:t>
            </w:r>
            <w:r w:rsidR="000527B0" w:rsidRPr="008E5C92">
              <w:t xml:space="preserve">and Human Rights Commission </w:t>
            </w:r>
          </w:p>
        </w:tc>
      </w:tr>
      <w:tr w:rsidR="00CE39F0" w14:paraId="6D8C13A8" w14:textId="25E09CB9" w:rsidTr="007B2DFC">
        <w:tc>
          <w:tcPr>
            <w:cnfStyle w:val="001000000000" w:firstRow="0" w:lastRow="0" w:firstColumn="1" w:lastColumn="0" w:oddVBand="0" w:evenVBand="0" w:oddHBand="0" w:evenHBand="0" w:firstRowFirstColumn="0" w:firstRowLastColumn="0" w:lastRowFirstColumn="0" w:lastRowLastColumn="0"/>
            <w:tcW w:w="2160" w:type="dxa"/>
          </w:tcPr>
          <w:p w14:paraId="075B56D3" w14:textId="77777777" w:rsidR="00CE39F0" w:rsidRPr="008E5C92" w:rsidRDefault="00CE39F0" w:rsidP="00AC73DF">
            <w:pPr>
              <w:rPr>
                <w:b w:val="0"/>
              </w:rPr>
            </w:pPr>
            <w:r w:rsidRPr="008E5C92">
              <w:t xml:space="preserve">Queensland </w:t>
            </w:r>
          </w:p>
        </w:tc>
        <w:tc>
          <w:tcPr>
            <w:tcW w:w="3749" w:type="dxa"/>
          </w:tcPr>
          <w:p w14:paraId="561E9021" w14:textId="1B57074F" w:rsidR="00CE39F0" w:rsidRPr="008E5C92" w:rsidRDefault="00093B49" w:rsidP="00AC73DF">
            <w:pPr>
              <w:cnfStyle w:val="000000000000" w:firstRow="0" w:lastRow="0" w:firstColumn="0" w:lastColumn="0" w:oddVBand="0" w:evenVBand="0" w:oddHBand="0" w:evenHBand="0" w:firstRowFirstColumn="0" w:firstRowLastColumn="0" w:lastRowFirstColumn="0" w:lastRowLastColumn="0"/>
              <w:rPr>
                <w:i/>
              </w:rPr>
            </w:pPr>
            <w:r w:rsidRPr="008E5C92">
              <w:rPr>
                <w:i/>
              </w:rPr>
              <w:t xml:space="preserve">Human Rights Act 2019; </w:t>
            </w:r>
            <w:r w:rsidR="00907286" w:rsidRPr="008E5C92">
              <w:rPr>
                <w:i/>
              </w:rPr>
              <w:t>Anti-Discrimination Act 1991</w:t>
            </w:r>
          </w:p>
        </w:tc>
        <w:tc>
          <w:tcPr>
            <w:tcW w:w="3107" w:type="dxa"/>
          </w:tcPr>
          <w:p w14:paraId="34E92E43" w14:textId="56BF58BF" w:rsidR="00CE39F0" w:rsidRPr="008E5C92" w:rsidRDefault="00B03A71" w:rsidP="00AC73DF">
            <w:pPr>
              <w:cnfStyle w:val="000000000000" w:firstRow="0" w:lastRow="0" w:firstColumn="0" w:lastColumn="0" w:oddVBand="0" w:evenVBand="0" w:oddHBand="0" w:evenHBand="0" w:firstRowFirstColumn="0" w:firstRowLastColumn="0" w:lastRowFirstColumn="0" w:lastRowLastColumn="0"/>
            </w:pPr>
            <w:r w:rsidRPr="008E5C92">
              <w:t xml:space="preserve">Queensland Human Rights Commission </w:t>
            </w:r>
          </w:p>
        </w:tc>
      </w:tr>
      <w:tr w:rsidR="00CE39F0" w14:paraId="67E82082" w14:textId="3C1AA97E" w:rsidTr="007B2DFC">
        <w:tc>
          <w:tcPr>
            <w:cnfStyle w:val="001000000000" w:firstRow="0" w:lastRow="0" w:firstColumn="1" w:lastColumn="0" w:oddVBand="0" w:evenVBand="0" w:oddHBand="0" w:evenHBand="0" w:firstRowFirstColumn="0" w:firstRowLastColumn="0" w:lastRowFirstColumn="0" w:lastRowLastColumn="0"/>
            <w:tcW w:w="2160" w:type="dxa"/>
          </w:tcPr>
          <w:p w14:paraId="31DB13C9" w14:textId="77777777" w:rsidR="00CE39F0" w:rsidRPr="008E5C92" w:rsidRDefault="00CE39F0" w:rsidP="00AC73DF">
            <w:pPr>
              <w:rPr>
                <w:b w:val="0"/>
              </w:rPr>
            </w:pPr>
            <w:r w:rsidRPr="008E5C92">
              <w:t xml:space="preserve">South Australia </w:t>
            </w:r>
          </w:p>
        </w:tc>
        <w:tc>
          <w:tcPr>
            <w:tcW w:w="3749" w:type="dxa"/>
          </w:tcPr>
          <w:p w14:paraId="3C92D452" w14:textId="3FFC463C" w:rsidR="00CE39F0" w:rsidRPr="008E5C92" w:rsidRDefault="0009743A" w:rsidP="00AC73DF">
            <w:pPr>
              <w:cnfStyle w:val="000000000000" w:firstRow="0" w:lastRow="0" w:firstColumn="0" w:lastColumn="0" w:oddVBand="0" w:evenVBand="0" w:oddHBand="0" w:evenHBand="0" w:firstRowFirstColumn="0" w:firstRowLastColumn="0" w:lastRowFirstColumn="0" w:lastRowLastColumn="0"/>
              <w:rPr>
                <w:i/>
              </w:rPr>
            </w:pPr>
            <w:r w:rsidRPr="008E5C92">
              <w:rPr>
                <w:i/>
              </w:rPr>
              <w:t xml:space="preserve">Equal Opportunity Act 1984; Racial Vilification Act 1996; racial </w:t>
            </w:r>
            <w:r w:rsidR="00794F14" w:rsidRPr="008E5C92">
              <w:rPr>
                <w:i/>
              </w:rPr>
              <w:t>victimi</w:t>
            </w:r>
            <w:r w:rsidR="0029093B" w:rsidRPr="008E5C92">
              <w:rPr>
                <w:i/>
              </w:rPr>
              <w:t>s</w:t>
            </w:r>
            <w:r w:rsidRPr="008E5C92">
              <w:rPr>
                <w:i/>
              </w:rPr>
              <w:t>ation provisions in Civil Liability Act 1936</w:t>
            </w:r>
          </w:p>
        </w:tc>
        <w:tc>
          <w:tcPr>
            <w:tcW w:w="3107" w:type="dxa"/>
          </w:tcPr>
          <w:p w14:paraId="65E508B5" w14:textId="05B2CE0E" w:rsidR="00CE39F0" w:rsidRPr="008E5C92" w:rsidRDefault="00AD3E99" w:rsidP="00AC73DF">
            <w:pPr>
              <w:cnfStyle w:val="000000000000" w:firstRow="0" w:lastRow="0" w:firstColumn="0" w:lastColumn="0" w:oddVBand="0" w:evenVBand="0" w:oddHBand="0" w:evenHBand="0" w:firstRowFirstColumn="0" w:firstRowLastColumn="0" w:lastRowFirstColumn="0" w:lastRowLastColumn="0"/>
            </w:pPr>
            <w:r w:rsidRPr="008E5C92">
              <w:t>Equal Opportunity Commission</w:t>
            </w:r>
          </w:p>
        </w:tc>
      </w:tr>
      <w:tr w:rsidR="00CE39F0" w14:paraId="390D067C" w14:textId="767095FB" w:rsidTr="007B2DFC">
        <w:tc>
          <w:tcPr>
            <w:cnfStyle w:val="001000000000" w:firstRow="0" w:lastRow="0" w:firstColumn="1" w:lastColumn="0" w:oddVBand="0" w:evenVBand="0" w:oddHBand="0" w:evenHBand="0" w:firstRowFirstColumn="0" w:firstRowLastColumn="0" w:lastRowFirstColumn="0" w:lastRowLastColumn="0"/>
            <w:tcW w:w="2160" w:type="dxa"/>
          </w:tcPr>
          <w:p w14:paraId="4F340972" w14:textId="77777777" w:rsidR="00CE39F0" w:rsidRPr="008E5C92" w:rsidRDefault="00CE39F0" w:rsidP="00AC73DF">
            <w:pPr>
              <w:rPr>
                <w:b w:val="0"/>
              </w:rPr>
            </w:pPr>
            <w:r w:rsidRPr="008E5C92">
              <w:t xml:space="preserve">Western Australia </w:t>
            </w:r>
          </w:p>
        </w:tc>
        <w:tc>
          <w:tcPr>
            <w:tcW w:w="3749" w:type="dxa"/>
          </w:tcPr>
          <w:p w14:paraId="1A5B3BAC" w14:textId="7AA900E9" w:rsidR="00CE39F0" w:rsidRPr="008E5C92" w:rsidRDefault="002142CD" w:rsidP="00AC73DF">
            <w:pPr>
              <w:cnfStyle w:val="000000000000" w:firstRow="0" w:lastRow="0" w:firstColumn="0" w:lastColumn="0" w:oddVBand="0" w:evenVBand="0" w:oddHBand="0" w:evenHBand="0" w:firstRowFirstColumn="0" w:firstRowLastColumn="0" w:lastRowFirstColumn="0" w:lastRowLastColumn="0"/>
              <w:rPr>
                <w:i/>
              </w:rPr>
            </w:pPr>
            <w:r w:rsidRPr="008E5C92">
              <w:rPr>
                <w:i/>
              </w:rPr>
              <w:t>Equal Opportunity Act 1984</w:t>
            </w:r>
          </w:p>
        </w:tc>
        <w:tc>
          <w:tcPr>
            <w:tcW w:w="3107" w:type="dxa"/>
          </w:tcPr>
          <w:p w14:paraId="5836BB3D" w14:textId="3AAF387B" w:rsidR="00CE39F0" w:rsidRPr="008E5C92" w:rsidRDefault="00583AAF" w:rsidP="00AC73DF">
            <w:pPr>
              <w:cnfStyle w:val="000000000000" w:firstRow="0" w:lastRow="0" w:firstColumn="0" w:lastColumn="0" w:oddVBand="0" w:evenVBand="0" w:oddHBand="0" w:evenHBand="0" w:firstRowFirstColumn="0" w:firstRowLastColumn="0" w:lastRowFirstColumn="0" w:lastRowLastColumn="0"/>
            </w:pPr>
            <w:r w:rsidRPr="008E5C92">
              <w:t xml:space="preserve">Equal Opportunity Commission </w:t>
            </w:r>
          </w:p>
        </w:tc>
      </w:tr>
      <w:tr w:rsidR="00CE39F0" w14:paraId="27A3684C" w14:textId="47568CE8" w:rsidTr="007B2DFC">
        <w:tc>
          <w:tcPr>
            <w:cnfStyle w:val="001000000000" w:firstRow="0" w:lastRow="0" w:firstColumn="1" w:lastColumn="0" w:oddVBand="0" w:evenVBand="0" w:oddHBand="0" w:evenHBand="0" w:firstRowFirstColumn="0" w:firstRowLastColumn="0" w:lastRowFirstColumn="0" w:lastRowLastColumn="0"/>
            <w:tcW w:w="2160" w:type="dxa"/>
          </w:tcPr>
          <w:p w14:paraId="43BE8416" w14:textId="77777777" w:rsidR="00CE39F0" w:rsidRPr="008E5C92" w:rsidRDefault="00CE39F0" w:rsidP="00AC73DF">
            <w:pPr>
              <w:rPr>
                <w:b w:val="0"/>
              </w:rPr>
            </w:pPr>
            <w:r w:rsidRPr="008E5C92">
              <w:t xml:space="preserve">Tasmania </w:t>
            </w:r>
          </w:p>
        </w:tc>
        <w:tc>
          <w:tcPr>
            <w:tcW w:w="3749" w:type="dxa"/>
          </w:tcPr>
          <w:p w14:paraId="7EDE0CF1" w14:textId="2D5D6B6E" w:rsidR="00CE39F0" w:rsidRPr="008E5C92" w:rsidRDefault="002142CD" w:rsidP="00AC73DF">
            <w:pPr>
              <w:cnfStyle w:val="000000000000" w:firstRow="0" w:lastRow="0" w:firstColumn="0" w:lastColumn="0" w:oddVBand="0" w:evenVBand="0" w:oddHBand="0" w:evenHBand="0" w:firstRowFirstColumn="0" w:firstRowLastColumn="0" w:lastRowFirstColumn="0" w:lastRowLastColumn="0"/>
              <w:rPr>
                <w:i/>
              </w:rPr>
            </w:pPr>
            <w:r w:rsidRPr="008E5C92">
              <w:rPr>
                <w:i/>
              </w:rPr>
              <w:t>Anti-Discrimination Act 1998</w:t>
            </w:r>
          </w:p>
        </w:tc>
        <w:tc>
          <w:tcPr>
            <w:tcW w:w="3107" w:type="dxa"/>
          </w:tcPr>
          <w:p w14:paraId="5E688D3A" w14:textId="1BF93792" w:rsidR="00CE39F0" w:rsidRPr="008E5C92" w:rsidRDefault="008B32C2" w:rsidP="00AC73DF">
            <w:pPr>
              <w:cnfStyle w:val="000000000000" w:firstRow="0" w:lastRow="0" w:firstColumn="0" w:lastColumn="0" w:oddVBand="0" w:evenVBand="0" w:oddHBand="0" w:evenHBand="0" w:firstRowFirstColumn="0" w:firstRowLastColumn="0" w:lastRowFirstColumn="0" w:lastRowLastColumn="0"/>
            </w:pPr>
            <w:r w:rsidRPr="008E5C92">
              <w:t>Equal Opportunity Tasmania</w:t>
            </w:r>
          </w:p>
        </w:tc>
      </w:tr>
      <w:tr w:rsidR="00CE39F0" w14:paraId="15A838E9" w14:textId="3230B9EA" w:rsidTr="007B2DFC">
        <w:tc>
          <w:tcPr>
            <w:cnfStyle w:val="001000000000" w:firstRow="0" w:lastRow="0" w:firstColumn="1" w:lastColumn="0" w:oddVBand="0" w:evenVBand="0" w:oddHBand="0" w:evenHBand="0" w:firstRowFirstColumn="0" w:firstRowLastColumn="0" w:lastRowFirstColumn="0" w:lastRowLastColumn="0"/>
            <w:tcW w:w="2160" w:type="dxa"/>
          </w:tcPr>
          <w:p w14:paraId="42E4F111" w14:textId="77777777" w:rsidR="00CE39F0" w:rsidRPr="008E5C92" w:rsidRDefault="00CE39F0" w:rsidP="00AC73DF">
            <w:pPr>
              <w:rPr>
                <w:b w:val="0"/>
              </w:rPr>
            </w:pPr>
            <w:r w:rsidRPr="008E5C92">
              <w:t xml:space="preserve">Northern Territory </w:t>
            </w:r>
          </w:p>
        </w:tc>
        <w:tc>
          <w:tcPr>
            <w:tcW w:w="3749" w:type="dxa"/>
          </w:tcPr>
          <w:p w14:paraId="640101A0" w14:textId="5FCC2681" w:rsidR="00CE39F0" w:rsidRPr="008E5C92" w:rsidRDefault="006076C7" w:rsidP="00AC73DF">
            <w:pPr>
              <w:cnfStyle w:val="000000000000" w:firstRow="0" w:lastRow="0" w:firstColumn="0" w:lastColumn="0" w:oddVBand="0" w:evenVBand="0" w:oddHBand="0" w:evenHBand="0" w:firstRowFirstColumn="0" w:firstRowLastColumn="0" w:lastRowFirstColumn="0" w:lastRowLastColumn="0"/>
              <w:rPr>
                <w:i/>
              </w:rPr>
            </w:pPr>
            <w:r w:rsidRPr="008E5C92">
              <w:rPr>
                <w:i/>
              </w:rPr>
              <w:t>Anti-</w:t>
            </w:r>
            <w:r w:rsidR="00EE6F28" w:rsidRPr="008E5C92">
              <w:rPr>
                <w:i/>
              </w:rPr>
              <w:t xml:space="preserve">Discrimination Act </w:t>
            </w:r>
            <w:r w:rsidR="00540E7C" w:rsidRPr="008E5C92">
              <w:rPr>
                <w:i/>
              </w:rPr>
              <w:t>199</w:t>
            </w:r>
            <w:r w:rsidR="003F4ED5" w:rsidRPr="008E5C92">
              <w:rPr>
                <w:i/>
              </w:rPr>
              <w:t>2</w:t>
            </w:r>
          </w:p>
        </w:tc>
        <w:tc>
          <w:tcPr>
            <w:tcW w:w="3107" w:type="dxa"/>
          </w:tcPr>
          <w:p w14:paraId="1259021A" w14:textId="409F9517" w:rsidR="00CE39F0" w:rsidRPr="008E5C92" w:rsidRDefault="00D4456F" w:rsidP="00AC73DF">
            <w:pPr>
              <w:cnfStyle w:val="000000000000" w:firstRow="0" w:lastRow="0" w:firstColumn="0" w:lastColumn="0" w:oddVBand="0" w:evenVBand="0" w:oddHBand="0" w:evenHBand="0" w:firstRowFirstColumn="0" w:firstRowLastColumn="0" w:lastRowFirstColumn="0" w:lastRowLastColumn="0"/>
            </w:pPr>
            <w:r w:rsidRPr="008E5C92">
              <w:t xml:space="preserve">Northern Territory Anti-Discrimination Commission </w:t>
            </w:r>
          </w:p>
        </w:tc>
      </w:tr>
      <w:tr w:rsidR="00CE39F0" w14:paraId="75E55DFD" w14:textId="214F0258" w:rsidTr="007B2DFC">
        <w:tc>
          <w:tcPr>
            <w:cnfStyle w:val="001000000000" w:firstRow="0" w:lastRow="0" w:firstColumn="1" w:lastColumn="0" w:oddVBand="0" w:evenVBand="0" w:oddHBand="0" w:evenHBand="0" w:firstRowFirstColumn="0" w:firstRowLastColumn="0" w:lastRowFirstColumn="0" w:lastRowLastColumn="0"/>
            <w:tcW w:w="2160" w:type="dxa"/>
          </w:tcPr>
          <w:p w14:paraId="719BF7B1" w14:textId="77777777" w:rsidR="00CE39F0" w:rsidRPr="008E5C92" w:rsidRDefault="00CE39F0" w:rsidP="00AC73DF">
            <w:pPr>
              <w:rPr>
                <w:b w:val="0"/>
              </w:rPr>
            </w:pPr>
            <w:r w:rsidRPr="008E5C92">
              <w:t xml:space="preserve">Australian Capital Territory </w:t>
            </w:r>
          </w:p>
        </w:tc>
        <w:tc>
          <w:tcPr>
            <w:tcW w:w="3749" w:type="dxa"/>
          </w:tcPr>
          <w:p w14:paraId="077A3239" w14:textId="3B8B73BB" w:rsidR="00CE39F0" w:rsidRPr="008E5C92" w:rsidRDefault="00E50B36" w:rsidP="00AC73DF">
            <w:pPr>
              <w:cnfStyle w:val="000000000000" w:firstRow="0" w:lastRow="0" w:firstColumn="0" w:lastColumn="0" w:oddVBand="0" w:evenVBand="0" w:oddHBand="0" w:evenHBand="0" w:firstRowFirstColumn="0" w:firstRowLastColumn="0" w:lastRowFirstColumn="0" w:lastRowLastColumn="0"/>
              <w:rPr>
                <w:i/>
              </w:rPr>
            </w:pPr>
            <w:r w:rsidRPr="008E5C92">
              <w:rPr>
                <w:i/>
              </w:rPr>
              <w:t>Discrimination Act 1991</w:t>
            </w:r>
            <w:r w:rsidR="008F6AE0" w:rsidRPr="008E5C92">
              <w:rPr>
                <w:i/>
              </w:rPr>
              <w:t xml:space="preserve">; </w:t>
            </w:r>
            <w:r w:rsidR="00033563" w:rsidRPr="008E5C92">
              <w:rPr>
                <w:i/>
              </w:rPr>
              <w:t>the Human Rights Act 2004</w:t>
            </w:r>
          </w:p>
        </w:tc>
        <w:tc>
          <w:tcPr>
            <w:tcW w:w="3107" w:type="dxa"/>
          </w:tcPr>
          <w:p w14:paraId="6F19A05D" w14:textId="6A6ED947" w:rsidR="00CE39F0" w:rsidRPr="008E5C92" w:rsidRDefault="00D74629" w:rsidP="00AC73DF">
            <w:pPr>
              <w:cnfStyle w:val="000000000000" w:firstRow="0" w:lastRow="0" w:firstColumn="0" w:lastColumn="0" w:oddVBand="0" w:evenVBand="0" w:oddHBand="0" w:evenHBand="0" w:firstRowFirstColumn="0" w:firstRowLastColumn="0" w:lastRowFirstColumn="0" w:lastRowLastColumn="0"/>
            </w:pPr>
            <w:r w:rsidRPr="008E5C92">
              <w:t>ACT</w:t>
            </w:r>
            <w:r w:rsidR="00D138E9" w:rsidRPr="008E5C92">
              <w:t xml:space="preserve"> Human Rights Commission </w:t>
            </w:r>
          </w:p>
        </w:tc>
      </w:tr>
    </w:tbl>
    <w:p w14:paraId="1AB99CB0" w14:textId="41F7ED6D" w:rsidR="00E42D19" w:rsidRPr="00D878BD" w:rsidRDefault="0085275C" w:rsidP="00FF0989">
      <w:r w:rsidRPr="00D878BD">
        <w:t>Generally, d</w:t>
      </w:r>
      <w:r w:rsidR="00E92545" w:rsidRPr="00D878BD">
        <w:t xml:space="preserve">iscrimination </w:t>
      </w:r>
      <w:r w:rsidR="00767212" w:rsidRPr="00D878BD">
        <w:t xml:space="preserve">may be unlawful when it meets these 4 criteria: </w:t>
      </w:r>
    </w:p>
    <w:p w14:paraId="4B4EC0AD" w14:textId="1FFD93C9" w:rsidR="00767212" w:rsidRPr="008E5C92" w:rsidRDefault="002939B7" w:rsidP="00FF0989">
      <w:pPr>
        <w:pStyle w:val="ListNumber"/>
        <w:numPr>
          <w:ilvl w:val="0"/>
          <w:numId w:val="32"/>
        </w:numPr>
      </w:pPr>
      <w:r w:rsidRPr="008E5C92">
        <w:t>It is based one of the grounds sets out in the legislation, in this case, racial discrimination</w:t>
      </w:r>
      <w:r w:rsidR="00FD736E" w:rsidRPr="008E5C92">
        <w:t>;</w:t>
      </w:r>
      <w:r w:rsidRPr="008E5C92">
        <w:t xml:space="preserve"> </w:t>
      </w:r>
    </w:p>
    <w:p w14:paraId="460F8F77" w14:textId="4C98A978" w:rsidR="002939B7" w:rsidRPr="008E5C92" w:rsidRDefault="00A00F8E" w:rsidP="00FF0989">
      <w:pPr>
        <w:pStyle w:val="ListNumber"/>
      </w:pPr>
      <w:r w:rsidRPr="008E5C92">
        <w:t>The discrimination must fall within an area of activity set out in the legislation e.g. provision of goods and services</w:t>
      </w:r>
      <w:r w:rsidR="008D5111" w:rsidRPr="008E5C92">
        <w:t xml:space="preserve">, e.g. </w:t>
      </w:r>
      <w:r w:rsidRPr="008E5C92">
        <w:t xml:space="preserve">delivery of </w:t>
      </w:r>
      <w:r w:rsidR="006812B1" w:rsidRPr="008E5C92">
        <w:t>medical</w:t>
      </w:r>
      <w:r w:rsidRPr="008E5C92">
        <w:t xml:space="preserve"> services</w:t>
      </w:r>
      <w:r w:rsidR="00FD736E" w:rsidRPr="008E5C92">
        <w:t>;</w:t>
      </w:r>
      <w:r w:rsidRPr="008E5C92">
        <w:t xml:space="preserve"> </w:t>
      </w:r>
    </w:p>
    <w:p w14:paraId="70E20B8A" w14:textId="26487A65" w:rsidR="00A00F8E" w:rsidRPr="008E5C92" w:rsidRDefault="005603E2" w:rsidP="00FF0989">
      <w:pPr>
        <w:pStyle w:val="ListNumber"/>
      </w:pPr>
      <w:r w:rsidRPr="008E5C92">
        <w:rPr>
          <w:b/>
        </w:rPr>
        <w:t>The discrimination must result</w:t>
      </w:r>
      <w:r w:rsidR="00730F26" w:rsidRPr="008E5C92">
        <w:rPr>
          <w:b/>
        </w:rPr>
        <w:t xml:space="preserve"> </w:t>
      </w:r>
      <w:r w:rsidRPr="008E5C92">
        <w:rPr>
          <w:b/>
        </w:rPr>
        <w:t>in some harm or less favourable treatment</w:t>
      </w:r>
      <w:r w:rsidRPr="008E5C92">
        <w:t xml:space="preserve">, </w:t>
      </w:r>
      <w:r w:rsidR="00730F26" w:rsidRPr="008E5C92">
        <w:t xml:space="preserve">whether by direct or indirect discrimination. In this context, </w:t>
      </w:r>
      <w:r w:rsidR="000806D3" w:rsidRPr="008E5C92">
        <w:t>harm can (and does) occur when Aboriginal and Torres Strait Islander people</w:t>
      </w:r>
      <w:r w:rsidR="008631A5">
        <w:t>s</w:t>
      </w:r>
      <w:r w:rsidR="000806D3" w:rsidRPr="008E5C92">
        <w:t xml:space="preserve"> are prevented from accessing </w:t>
      </w:r>
      <w:r w:rsidR="00444AF3" w:rsidRPr="008E5C92">
        <w:t xml:space="preserve">positive health outcomes. </w:t>
      </w:r>
      <w:r w:rsidR="00683A7A" w:rsidRPr="008E5C92">
        <w:t xml:space="preserve">Harm </w:t>
      </w:r>
      <w:r w:rsidR="00F8443C" w:rsidRPr="008E5C92">
        <w:t>is</w:t>
      </w:r>
      <w:r w:rsidR="00683A7A" w:rsidRPr="008E5C92">
        <w:t xml:space="preserve"> not just </w:t>
      </w:r>
      <w:r w:rsidR="00F8443C" w:rsidRPr="008E5C92">
        <w:t xml:space="preserve">caused by </w:t>
      </w:r>
      <w:r w:rsidR="00683A7A" w:rsidRPr="008E5C92">
        <w:t xml:space="preserve">missed opportunity but </w:t>
      </w:r>
      <w:r w:rsidR="00F8443C" w:rsidRPr="008E5C92">
        <w:t xml:space="preserve">also </w:t>
      </w:r>
      <w:r w:rsidR="00683A7A" w:rsidRPr="008E5C92">
        <w:t xml:space="preserve">by inappropriate medical treatment or misdiagnosis </w:t>
      </w:r>
      <w:r w:rsidR="005E6884" w:rsidRPr="008E5C92">
        <w:t>because</w:t>
      </w:r>
      <w:r w:rsidR="00617F94" w:rsidRPr="008E5C92">
        <w:t xml:space="preserve"> </w:t>
      </w:r>
      <w:r w:rsidR="001A49EB" w:rsidRPr="008E5C92">
        <w:t xml:space="preserve">data and treatments </w:t>
      </w:r>
      <w:r w:rsidR="00DC441B" w:rsidRPr="008E5C92">
        <w:t>have</w:t>
      </w:r>
      <w:r w:rsidR="001A49EB" w:rsidRPr="008E5C92">
        <w:t xml:space="preserve"> a European bias</w:t>
      </w:r>
      <w:r w:rsidR="00FD736E" w:rsidRPr="008E5C92">
        <w:t>; and</w:t>
      </w:r>
      <w:r w:rsidR="001A49EB" w:rsidRPr="008E5C92">
        <w:t xml:space="preserve"> </w:t>
      </w:r>
    </w:p>
    <w:p w14:paraId="139FA07D" w14:textId="7C65170E" w:rsidR="004F0284" w:rsidRPr="008E5C92" w:rsidRDefault="004F0284" w:rsidP="00FF0989">
      <w:pPr>
        <w:pStyle w:val="ListNumber"/>
      </w:pPr>
      <w:r w:rsidRPr="008E5C92">
        <w:t>The discrimination must not fall within an exception, exemption or defence.</w:t>
      </w:r>
      <w:r w:rsidR="00FD736E" w:rsidRPr="008E5C92">
        <w:rPr>
          <w:rStyle w:val="FootnoteReference"/>
        </w:rPr>
        <w:footnoteReference w:id="166"/>
      </w:r>
      <w:r w:rsidRPr="008E5C92">
        <w:t xml:space="preserve"> </w:t>
      </w:r>
    </w:p>
    <w:p w14:paraId="3688B3A6" w14:textId="65D95A3B" w:rsidR="00F126E4" w:rsidRPr="00D878BD" w:rsidRDefault="00B10E43" w:rsidP="007B2DFC">
      <w:pPr>
        <w:keepNext/>
        <w:pageBreakBefore/>
        <w:rPr>
          <w:szCs w:val="24"/>
        </w:rPr>
      </w:pPr>
      <w:r w:rsidRPr="00D878BD">
        <w:rPr>
          <w:szCs w:val="24"/>
        </w:rPr>
        <w:lastRenderedPageBreak/>
        <w:t>Australian law recogni</w:t>
      </w:r>
      <w:r w:rsidR="0029093B" w:rsidRPr="00D878BD">
        <w:rPr>
          <w:szCs w:val="24"/>
        </w:rPr>
        <w:t>s</w:t>
      </w:r>
      <w:r w:rsidRPr="00D878BD">
        <w:rPr>
          <w:szCs w:val="24"/>
        </w:rPr>
        <w:t xml:space="preserve">es two forms of </w:t>
      </w:r>
      <w:r w:rsidR="00F126E4" w:rsidRPr="00D878BD">
        <w:rPr>
          <w:szCs w:val="24"/>
        </w:rPr>
        <w:t>discrimination</w:t>
      </w:r>
      <w:r w:rsidR="0074590F" w:rsidRPr="00D878BD">
        <w:rPr>
          <w:rStyle w:val="FootnoteReference"/>
          <w:szCs w:val="24"/>
        </w:rPr>
        <w:footnoteReference w:id="167"/>
      </w:r>
      <w:r w:rsidR="00F126E4" w:rsidRPr="00D878BD">
        <w:rPr>
          <w:szCs w:val="24"/>
        </w:rPr>
        <w:t xml:space="preserve">: </w:t>
      </w:r>
    </w:p>
    <w:p w14:paraId="253EC33C" w14:textId="458C356E" w:rsidR="00F126E4" w:rsidRPr="008E5C92" w:rsidRDefault="00F126E4" w:rsidP="007B2DFC">
      <w:pPr>
        <w:pStyle w:val="ListNumber"/>
        <w:numPr>
          <w:ilvl w:val="0"/>
          <w:numId w:val="43"/>
        </w:numPr>
      </w:pPr>
      <w:r w:rsidRPr="007B2DFC">
        <w:rPr>
          <w:b/>
        </w:rPr>
        <w:t>Direct discrimination:</w:t>
      </w:r>
      <w:r w:rsidRPr="008E5C92">
        <w:t xml:space="preserve"> </w:t>
      </w:r>
      <w:r w:rsidR="008246DC" w:rsidRPr="008E5C92">
        <w:t>Someone is treated less fav</w:t>
      </w:r>
      <w:r w:rsidR="00153AAD" w:rsidRPr="008E5C92">
        <w:t>ou</w:t>
      </w:r>
      <w:r w:rsidR="008468DF" w:rsidRPr="008E5C92">
        <w:t>rabl</w:t>
      </w:r>
      <w:r w:rsidR="00862E31">
        <w:t>y</w:t>
      </w:r>
      <w:r w:rsidR="008468DF" w:rsidRPr="008E5C92">
        <w:t xml:space="preserve"> </w:t>
      </w:r>
      <w:r w:rsidR="00696D6E" w:rsidRPr="008E5C92">
        <w:t>based on that person’s attr</w:t>
      </w:r>
      <w:r w:rsidR="00F81F63" w:rsidRPr="008E5C92">
        <w:t>ibute. The reason behind this discrimination is irrelevant</w:t>
      </w:r>
      <w:r w:rsidRPr="008E5C92">
        <w:t>;</w:t>
      </w:r>
      <w:r w:rsidR="00E06F4E" w:rsidRPr="008E5C92">
        <w:rPr>
          <w:rStyle w:val="FootnoteReference"/>
        </w:rPr>
        <w:footnoteReference w:id="168"/>
      </w:r>
      <w:r w:rsidRPr="008E5C92">
        <w:t xml:space="preserve"> and </w:t>
      </w:r>
    </w:p>
    <w:p w14:paraId="47A4A280" w14:textId="7B317242" w:rsidR="00F126E4" w:rsidRPr="008E5C92" w:rsidRDefault="00F126E4" w:rsidP="00D36B3E">
      <w:pPr>
        <w:pStyle w:val="ListNumber"/>
      </w:pPr>
      <w:r w:rsidRPr="008E5C92">
        <w:rPr>
          <w:b/>
        </w:rPr>
        <w:t>Indirect discrimination:</w:t>
      </w:r>
      <w:r w:rsidRPr="008E5C92">
        <w:t xml:space="preserve"> </w:t>
      </w:r>
      <w:r w:rsidR="008F0BB7" w:rsidRPr="008E5C92">
        <w:t>also referred to as ‘adverse impact’</w:t>
      </w:r>
      <w:r w:rsidR="009968B1" w:rsidRPr="008E5C92">
        <w:t xml:space="preserve"> </w:t>
      </w:r>
      <w:r w:rsidR="00071DD5" w:rsidRPr="008E5C92">
        <w:t>it focuses on the effect of the discriminator’s actions</w:t>
      </w:r>
      <w:r w:rsidR="004A4697" w:rsidRPr="008E5C92">
        <w:t>.</w:t>
      </w:r>
      <w:r w:rsidR="00DF7C2A" w:rsidRPr="008E5C92">
        <w:rPr>
          <w:rStyle w:val="FootnoteReference"/>
        </w:rPr>
        <w:footnoteReference w:id="169"/>
      </w:r>
      <w:r w:rsidR="004A4697" w:rsidRPr="008E5C92">
        <w:t xml:space="preserve"> </w:t>
      </w:r>
    </w:p>
    <w:p w14:paraId="61EF34D0" w14:textId="4C1ABBAB" w:rsidR="002273A3" w:rsidRPr="00F67476" w:rsidRDefault="002273A3" w:rsidP="002B5F46">
      <w:pPr>
        <w:pStyle w:val="Heading3"/>
      </w:pPr>
      <w:bookmarkStart w:id="130" w:name="_Toc118824357"/>
      <w:r w:rsidRPr="00F67476">
        <w:rPr>
          <w:lang w:val="en-AU"/>
        </w:rPr>
        <w:t xml:space="preserve">Australian </w:t>
      </w:r>
      <w:r w:rsidR="00D878BD" w:rsidRPr="00F67476">
        <w:rPr>
          <w:lang w:val="en-AU"/>
        </w:rPr>
        <w:t>Human Rights Acts</w:t>
      </w:r>
      <w:bookmarkEnd w:id="130"/>
    </w:p>
    <w:p w14:paraId="4CE453AC" w14:textId="5F19200B" w:rsidR="009533B0" w:rsidRPr="00D878BD" w:rsidRDefault="003D38EA" w:rsidP="00AC73DF">
      <w:pPr>
        <w:rPr>
          <w:szCs w:val="24"/>
        </w:rPr>
      </w:pPr>
      <w:r w:rsidRPr="00D878BD">
        <w:rPr>
          <w:szCs w:val="24"/>
        </w:rPr>
        <w:t xml:space="preserve">In addition to anti-racial discrimination and equal opportunity acts, </w:t>
      </w:r>
      <w:r w:rsidR="006922EB" w:rsidRPr="00D878BD">
        <w:rPr>
          <w:szCs w:val="24"/>
        </w:rPr>
        <w:t xml:space="preserve">Victoria, Queensland and the Australian Capital Territory have some form of human rights legislation. </w:t>
      </w:r>
    </w:p>
    <w:p w14:paraId="40C66570" w14:textId="03FF4F32" w:rsidR="00657A52" w:rsidRPr="00D878BD" w:rsidRDefault="00657A52" w:rsidP="00AC73DF">
      <w:pPr>
        <w:rPr>
          <w:szCs w:val="24"/>
        </w:rPr>
      </w:pPr>
      <w:r w:rsidRPr="00D878BD">
        <w:rPr>
          <w:szCs w:val="24"/>
        </w:rPr>
        <w:t xml:space="preserve">Section 27 of </w:t>
      </w:r>
      <w:r w:rsidR="004963B2" w:rsidRPr="00D878BD">
        <w:rPr>
          <w:szCs w:val="24"/>
        </w:rPr>
        <w:t xml:space="preserve">the Australian Capital Territory’s </w:t>
      </w:r>
      <w:r w:rsidRPr="00D878BD">
        <w:rPr>
          <w:i/>
          <w:szCs w:val="24"/>
        </w:rPr>
        <w:t xml:space="preserve">Human Rights Act 2004 </w:t>
      </w:r>
      <w:r w:rsidRPr="00D878BD">
        <w:rPr>
          <w:szCs w:val="24"/>
        </w:rPr>
        <w:t>specifically relates to Aboriginal and Torres Strait Islander people</w:t>
      </w:r>
      <w:r w:rsidR="00BF00CD" w:rsidRPr="00D878BD">
        <w:rPr>
          <w:szCs w:val="24"/>
        </w:rPr>
        <w:t>s</w:t>
      </w:r>
      <w:r w:rsidRPr="00D878BD">
        <w:rPr>
          <w:szCs w:val="24"/>
        </w:rPr>
        <w:t xml:space="preserve">. </w:t>
      </w:r>
      <w:r w:rsidR="00EB43EB" w:rsidRPr="00D878BD">
        <w:rPr>
          <w:szCs w:val="24"/>
        </w:rPr>
        <w:t>It recognises Aboriginal and Torres Strait Islander peoples</w:t>
      </w:r>
      <w:r w:rsidR="002273A3" w:rsidRPr="00D878BD">
        <w:rPr>
          <w:szCs w:val="24"/>
        </w:rPr>
        <w:t>’</w:t>
      </w:r>
      <w:r w:rsidR="00EB43EB" w:rsidRPr="00D878BD">
        <w:rPr>
          <w:szCs w:val="24"/>
        </w:rPr>
        <w:t xml:space="preserve"> rights to maintain, control, </w:t>
      </w:r>
      <w:r w:rsidR="00A44AE4" w:rsidRPr="00D878BD">
        <w:rPr>
          <w:szCs w:val="24"/>
        </w:rPr>
        <w:t xml:space="preserve">protect and develop their </w:t>
      </w:r>
      <w:r w:rsidR="00BF10F5" w:rsidRPr="00D878BD">
        <w:rPr>
          <w:szCs w:val="24"/>
        </w:rPr>
        <w:t>cultural heritage, languages and knowledge, and kinship ties.</w:t>
      </w:r>
      <w:r w:rsidR="00C40FDF" w:rsidRPr="00D878BD">
        <w:rPr>
          <w:rStyle w:val="FootnoteReference"/>
          <w:szCs w:val="24"/>
        </w:rPr>
        <w:footnoteReference w:id="170"/>
      </w:r>
      <w:r w:rsidR="00BF10F5" w:rsidRPr="00D878BD">
        <w:rPr>
          <w:szCs w:val="24"/>
        </w:rPr>
        <w:t xml:space="preserve"> </w:t>
      </w:r>
      <w:r w:rsidR="005C17EA" w:rsidRPr="00D878BD">
        <w:rPr>
          <w:szCs w:val="24"/>
        </w:rPr>
        <w:t>It also recogni</w:t>
      </w:r>
      <w:r w:rsidR="0029093B" w:rsidRPr="00D878BD">
        <w:rPr>
          <w:szCs w:val="24"/>
        </w:rPr>
        <w:t>s</w:t>
      </w:r>
      <w:r w:rsidR="005C17EA" w:rsidRPr="00D878BD">
        <w:rPr>
          <w:szCs w:val="24"/>
        </w:rPr>
        <w:t xml:space="preserve">es their right to have material and economic relationships with the land and waters and other resources </w:t>
      </w:r>
      <w:r w:rsidR="000A60FB" w:rsidRPr="00D878BD">
        <w:rPr>
          <w:szCs w:val="24"/>
        </w:rPr>
        <w:t>with which they have a connection under traditional laws an</w:t>
      </w:r>
      <w:r w:rsidR="00455D5D">
        <w:rPr>
          <w:szCs w:val="24"/>
        </w:rPr>
        <w:t>d</w:t>
      </w:r>
      <w:r w:rsidR="000A60FB" w:rsidRPr="00D878BD">
        <w:rPr>
          <w:szCs w:val="24"/>
        </w:rPr>
        <w:t xml:space="preserve"> customs</w:t>
      </w:r>
      <w:r w:rsidR="00200B64" w:rsidRPr="00D878BD">
        <w:rPr>
          <w:szCs w:val="24"/>
        </w:rPr>
        <w:t>.</w:t>
      </w:r>
      <w:r w:rsidR="00872081" w:rsidRPr="00D878BD">
        <w:rPr>
          <w:rStyle w:val="FootnoteReference"/>
          <w:szCs w:val="24"/>
        </w:rPr>
        <w:footnoteReference w:id="171"/>
      </w:r>
      <w:r w:rsidR="00727BF0" w:rsidRPr="00D878BD">
        <w:rPr>
          <w:szCs w:val="24"/>
        </w:rPr>
        <w:t xml:space="preserve"> This could potentially include genetic knowledge</w:t>
      </w:r>
      <w:r w:rsidR="00455D5D">
        <w:rPr>
          <w:szCs w:val="24"/>
        </w:rPr>
        <w:t>,</w:t>
      </w:r>
      <w:r w:rsidR="00727BF0" w:rsidRPr="00D878BD">
        <w:rPr>
          <w:szCs w:val="24"/>
        </w:rPr>
        <w:t xml:space="preserve"> </w:t>
      </w:r>
      <w:r w:rsidR="00455D5D">
        <w:rPr>
          <w:szCs w:val="24"/>
        </w:rPr>
        <w:t>e</w:t>
      </w:r>
      <w:r w:rsidR="00DC271B" w:rsidRPr="00D878BD">
        <w:rPr>
          <w:szCs w:val="24"/>
        </w:rPr>
        <w:t xml:space="preserve">specially given that a note on the Act reads that the primary source of the rights in that section, is the United Nations Declaration on the Rights of Indigenous Peoples art 25 and 31 </w:t>
      </w:r>
      <w:r w:rsidR="00455D5D">
        <w:rPr>
          <w:szCs w:val="24"/>
        </w:rPr>
        <w:t>(</w:t>
      </w:r>
      <w:r w:rsidR="00DC271B" w:rsidRPr="00D878BD">
        <w:rPr>
          <w:szCs w:val="24"/>
        </w:rPr>
        <w:t xml:space="preserve">art 31 specifically refers to genetic </w:t>
      </w:r>
      <w:r w:rsidR="008A6528" w:rsidRPr="00D878BD">
        <w:rPr>
          <w:szCs w:val="24"/>
        </w:rPr>
        <w:t>resources</w:t>
      </w:r>
      <w:r w:rsidR="00455D5D">
        <w:rPr>
          <w:szCs w:val="24"/>
        </w:rPr>
        <w:t>)</w:t>
      </w:r>
      <w:r w:rsidR="00722D98" w:rsidRPr="00D878BD">
        <w:rPr>
          <w:szCs w:val="24"/>
        </w:rPr>
        <w:t>.</w:t>
      </w:r>
      <w:r w:rsidR="00722D98" w:rsidRPr="00D878BD">
        <w:rPr>
          <w:rStyle w:val="FootnoteReference"/>
          <w:szCs w:val="24"/>
        </w:rPr>
        <w:footnoteReference w:id="172"/>
      </w:r>
      <w:r w:rsidR="00722D98" w:rsidRPr="00D878BD">
        <w:rPr>
          <w:szCs w:val="24"/>
        </w:rPr>
        <w:t xml:space="preserve"> </w:t>
      </w:r>
    </w:p>
    <w:p w14:paraId="6B045BE2" w14:textId="7F549CC2" w:rsidR="00657A52" w:rsidRPr="00D878BD" w:rsidRDefault="00645203" w:rsidP="00AC73DF">
      <w:pPr>
        <w:rPr>
          <w:szCs w:val="24"/>
        </w:rPr>
      </w:pPr>
      <w:r w:rsidRPr="00D878BD">
        <w:rPr>
          <w:szCs w:val="24"/>
        </w:rPr>
        <w:t xml:space="preserve">Queensland’s </w:t>
      </w:r>
      <w:r w:rsidRPr="00D878BD">
        <w:rPr>
          <w:i/>
          <w:szCs w:val="24"/>
        </w:rPr>
        <w:t>Human Rights Act 2019</w:t>
      </w:r>
      <w:r w:rsidR="0018009F" w:rsidRPr="00D878BD">
        <w:rPr>
          <w:szCs w:val="24"/>
        </w:rPr>
        <w:t xml:space="preserve"> also recognises Aboriginal and Torres Strait Islander peoples</w:t>
      </w:r>
      <w:r w:rsidR="002273A3" w:rsidRPr="00D878BD">
        <w:rPr>
          <w:szCs w:val="24"/>
        </w:rPr>
        <w:t>’</w:t>
      </w:r>
      <w:r w:rsidR="0018009F" w:rsidRPr="00D878BD">
        <w:rPr>
          <w:szCs w:val="24"/>
        </w:rPr>
        <w:t xml:space="preserve"> right to enjoy, maintain, control, protect, </w:t>
      </w:r>
      <w:r w:rsidR="00E51E41" w:rsidRPr="00D878BD">
        <w:rPr>
          <w:szCs w:val="24"/>
        </w:rPr>
        <w:t xml:space="preserve">and </w:t>
      </w:r>
      <w:r w:rsidR="0018009F" w:rsidRPr="00D878BD">
        <w:rPr>
          <w:szCs w:val="24"/>
        </w:rPr>
        <w:t xml:space="preserve">develop </w:t>
      </w:r>
      <w:r w:rsidR="00E51E41" w:rsidRPr="00D878BD">
        <w:rPr>
          <w:szCs w:val="24"/>
        </w:rPr>
        <w:t>their kinship ties.</w:t>
      </w:r>
      <w:r w:rsidR="00417596" w:rsidRPr="00D878BD">
        <w:rPr>
          <w:rStyle w:val="FootnoteReference"/>
          <w:szCs w:val="24"/>
        </w:rPr>
        <w:footnoteReference w:id="173"/>
      </w:r>
      <w:r w:rsidR="00E51E41" w:rsidRPr="00D878BD">
        <w:rPr>
          <w:szCs w:val="24"/>
        </w:rPr>
        <w:t xml:space="preserve"> Again, this could well apply to </w:t>
      </w:r>
      <w:r w:rsidR="0081231C" w:rsidRPr="00D878BD">
        <w:rPr>
          <w:szCs w:val="24"/>
        </w:rPr>
        <w:t xml:space="preserve">Aboriginal and Torres Strait Islander genomic information. </w:t>
      </w:r>
    </w:p>
    <w:p w14:paraId="3D2BBCCA" w14:textId="454074FB" w:rsidR="00A871D1" w:rsidRDefault="00417596" w:rsidP="00AC73DF">
      <w:pPr>
        <w:rPr>
          <w:szCs w:val="24"/>
        </w:rPr>
      </w:pPr>
      <w:r w:rsidRPr="00D878BD">
        <w:rPr>
          <w:szCs w:val="24"/>
        </w:rPr>
        <w:t xml:space="preserve">Victoria has a similar provision to the Queensland Act, although </w:t>
      </w:r>
      <w:r w:rsidR="008030C7" w:rsidRPr="00D878BD">
        <w:rPr>
          <w:szCs w:val="24"/>
        </w:rPr>
        <w:t xml:space="preserve">it only refers to </w:t>
      </w:r>
      <w:r w:rsidR="0041055A" w:rsidRPr="00D878BD">
        <w:rPr>
          <w:szCs w:val="24"/>
        </w:rPr>
        <w:t xml:space="preserve">maintenance of kinship ties which may not be quite as strong as </w:t>
      </w:r>
      <w:r w:rsidR="00FF07C4" w:rsidRPr="00D878BD">
        <w:rPr>
          <w:szCs w:val="24"/>
        </w:rPr>
        <w:t>the Queensland right.</w:t>
      </w:r>
      <w:r w:rsidR="00FF07C4" w:rsidRPr="00D878BD">
        <w:rPr>
          <w:rStyle w:val="FootnoteReference"/>
          <w:szCs w:val="24"/>
        </w:rPr>
        <w:footnoteReference w:id="174"/>
      </w:r>
      <w:r w:rsidR="00FF07C4" w:rsidRPr="00D878BD">
        <w:rPr>
          <w:szCs w:val="24"/>
        </w:rPr>
        <w:t xml:space="preserve"> </w:t>
      </w:r>
    </w:p>
    <w:p w14:paraId="7EB2E415" w14:textId="7D4DF2B1" w:rsidR="00A846DD" w:rsidRPr="00F67476" w:rsidRDefault="000078C3">
      <w:pPr>
        <w:pStyle w:val="Heading2"/>
        <w:rPr>
          <w:lang w:val="en-AU"/>
        </w:rPr>
      </w:pPr>
      <w:bookmarkStart w:id="131" w:name="_Toc118824358"/>
      <w:r w:rsidRPr="00F67476">
        <w:rPr>
          <w:lang w:val="en-AU"/>
        </w:rPr>
        <w:t xml:space="preserve">Biobanks and genomic </w:t>
      </w:r>
      <w:r w:rsidR="002212F3" w:rsidRPr="00F67476">
        <w:rPr>
          <w:lang w:val="en-AU"/>
        </w:rPr>
        <w:t>data storage areas</w:t>
      </w:r>
      <w:bookmarkEnd w:id="131"/>
    </w:p>
    <w:p w14:paraId="0A8E65A0" w14:textId="7757FBBF" w:rsidR="00265A29" w:rsidRDefault="00C20A97" w:rsidP="006C006F">
      <w:r>
        <w:t xml:space="preserve">Australia has </w:t>
      </w:r>
      <w:r w:rsidR="00673320">
        <w:t>no biobank</w:t>
      </w:r>
      <w:r w:rsidR="00B67D55">
        <w:t xml:space="preserve"> or genomic data storage</w:t>
      </w:r>
      <w:r w:rsidR="00673320">
        <w:t xml:space="preserve"> specific legislation</w:t>
      </w:r>
      <w:r w:rsidR="00C71A39">
        <w:t xml:space="preserve">. </w:t>
      </w:r>
      <w:r w:rsidR="004D0771">
        <w:t>This impacts the transparency and clarity of how Indigenous health related genomics information is stored and used</w:t>
      </w:r>
      <w:r w:rsidR="0007778E">
        <w:t xml:space="preserve">, and ultimately the uptake on it by </w:t>
      </w:r>
      <w:r w:rsidR="009D5C5E">
        <w:t>Aboriginal and Torres Strait Islander communities</w:t>
      </w:r>
      <w:r w:rsidR="0007778E">
        <w:t>.</w:t>
      </w:r>
      <w:r w:rsidR="004D0771">
        <w:t xml:space="preserve"> </w:t>
      </w:r>
      <w:r w:rsidR="00860088" w:rsidRPr="00F67476">
        <w:t xml:space="preserve">The term </w:t>
      </w:r>
      <w:r w:rsidR="00673320">
        <w:t xml:space="preserve">‘biobank’ </w:t>
      </w:r>
      <w:r w:rsidR="001A0A50" w:rsidRPr="00F67476">
        <w:t xml:space="preserve">is an umbrella term </w:t>
      </w:r>
      <w:r w:rsidR="00D33518">
        <w:t>to</w:t>
      </w:r>
      <w:r w:rsidR="001A0A50" w:rsidRPr="00F67476">
        <w:t xml:space="preserve"> </w:t>
      </w:r>
      <w:r w:rsidR="00860088" w:rsidRPr="00F67476">
        <w:t xml:space="preserve"> describe</w:t>
      </w:r>
      <w:r w:rsidR="00B76E97" w:rsidRPr="00F67476">
        <w:t xml:space="preserve"> ‘any collection of </w:t>
      </w:r>
      <w:r w:rsidR="00B76E97" w:rsidRPr="00F67476">
        <w:lastRenderedPageBreak/>
        <w:t>biospecimens or human genetic information that can be used for research purposes’</w:t>
      </w:r>
      <w:r w:rsidR="001A4499" w:rsidRPr="00F67476">
        <w:t>.</w:t>
      </w:r>
      <w:r w:rsidR="00B76E97" w:rsidRPr="00F67476">
        <w:rPr>
          <w:rStyle w:val="FootnoteReference"/>
        </w:rPr>
        <w:footnoteReference w:id="175"/>
      </w:r>
      <w:r w:rsidR="002F3DD6">
        <w:t xml:space="preserve"> </w:t>
      </w:r>
      <w:r w:rsidR="006E7C27">
        <w:t xml:space="preserve"> The </w:t>
      </w:r>
      <w:r w:rsidR="006E7C27">
        <w:rPr>
          <w:i/>
          <w:iCs/>
        </w:rPr>
        <w:t xml:space="preserve">Essentially Yours </w:t>
      </w:r>
      <w:r w:rsidR="006E7C27">
        <w:t>report</w:t>
      </w:r>
      <w:r w:rsidR="00FF1CE4">
        <w:t xml:space="preserve"> also</w:t>
      </w:r>
      <w:r w:rsidR="006E7C27">
        <w:t xml:space="preserve"> uses the terminology ‘human genetic research databases’.</w:t>
      </w:r>
      <w:r w:rsidR="006E7C27">
        <w:rPr>
          <w:rStyle w:val="FootnoteReference"/>
        </w:rPr>
        <w:footnoteReference w:id="176"/>
      </w:r>
      <w:r w:rsidR="006E7C27">
        <w:t xml:space="preserve"> </w:t>
      </w:r>
    </w:p>
    <w:p w14:paraId="6E318206" w14:textId="1C5BD887" w:rsidR="00B13D67" w:rsidRDefault="00637B1C" w:rsidP="006C006F">
      <w:r>
        <w:t xml:space="preserve">Some distinguishing features of biobanks </w:t>
      </w:r>
      <w:r w:rsidR="005A5DC7">
        <w:t>is that they</w:t>
      </w:r>
      <w:r w:rsidR="00C018FF">
        <w:t xml:space="preserve"> are</w:t>
      </w:r>
      <w:r w:rsidR="002F3DD6">
        <w:t xml:space="preserve"> often</w:t>
      </w:r>
      <w:r w:rsidR="00C018FF">
        <w:t xml:space="preserve"> </w:t>
      </w:r>
      <w:r w:rsidR="00D869F5">
        <w:t>associated</w:t>
      </w:r>
      <w:r w:rsidR="001E7B2B">
        <w:t xml:space="preserve"> with </w:t>
      </w:r>
      <w:r w:rsidR="000A43B3">
        <w:t xml:space="preserve">the </w:t>
      </w:r>
      <w:r w:rsidR="00253628">
        <w:t xml:space="preserve">public interest </w:t>
      </w:r>
      <w:r w:rsidR="005A5DC7">
        <w:t>and have</w:t>
      </w:r>
      <w:r w:rsidR="000A43B3">
        <w:t xml:space="preserve"> </w:t>
      </w:r>
      <w:r w:rsidR="00773194">
        <w:t>established governance procedures that protect individual participants</w:t>
      </w:r>
      <w:r w:rsidR="009F53AE">
        <w:t xml:space="preserve"> </w:t>
      </w:r>
      <w:r w:rsidR="00FD0D6F">
        <w:t>interest</w:t>
      </w:r>
      <w:r w:rsidR="001E6665">
        <w:t>s</w:t>
      </w:r>
      <w:r w:rsidR="00FD0D6F">
        <w:t xml:space="preserve"> through human research ethics committees.</w:t>
      </w:r>
      <w:r w:rsidR="00FD0D6F">
        <w:rPr>
          <w:rStyle w:val="FootnoteReference"/>
        </w:rPr>
        <w:footnoteReference w:id="177"/>
      </w:r>
      <w:r w:rsidR="009F53AE">
        <w:t xml:space="preserve"> </w:t>
      </w:r>
      <w:r w:rsidR="00C0595E">
        <w:t xml:space="preserve">In Australia, </w:t>
      </w:r>
      <w:r w:rsidR="005A5DC7">
        <w:t>they</w:t>
      </w:r>
      <w:r w:rsidR="00C0595E">
        <w:t xml:space="preserve"> are generally </w:t>
      </w:r>
      <w:r w:rsidR="00EC5C2E">
        <w:t>smaller-scale multi-research</w:t>
      </w:r>
      <w:r w:rsidR="000C7488">
        <w:t xml:space="preserve"> facilities</w:t>
      </w:r>
      <w:r w:rsidR="00670CF9">
        <w:t xml:space="preserve">. </w:t>
      </w:r>
      <w:r w:rsidR="005A5DC7">
        <w:t xml:space="preserve">Given a variety of characteristics and terminology, a consensus on a single </w:t>
      </w:r>
      <w:r w:rsidR="00C0595E">
        <w:t xml:space="preserve">definition </w:t>
      </w:r>
      <w:r w:rsidR="00E93ECC">
        <w:t>unachievable</w:t>
      </w:r>
      <w:r w:rsidR="00C0595E">
        <w:t xml:space="preserve">. </w:t>
      </w:r>
    </w:p>
    <w:p w14:paraId="11220ED6" w14:textId="08BFA5B3" w:rsidR="00F119EC" w:rsidRDefault="006960B2" w:rsidP="006C006F">
      <w:r w:rsidRPr="00F67476">
        <w:t>Th</w:t>
      </w:r>
      <w:r w:rsidR="00B0647A" w:rsidRPr="00F67476">
        <w:t xml:space="preserve">e regulatory framework </w:t>
      </w:r>
      <w:r w:rsidR="00CC680A">
        <w:t>of</w:t>
      </w:r>
      <w:r w:rsidRPr="00F67476">
        <w:t xml:space="preserve"> biobanks </w:t>
      </w:r>
      <w:r w:rsidR="00CC680A">
        <w:t xml:space="preserve">and genomic data storage </w:t>
      </w:r>
      <w:r w:rsidR="00B13D67">
        <w:t>is</w:t>
      </w:r>
      <w:r w:rsidR="00DF7D5F">
        <w:t xml:space="preserve"> a</w:t>
      </w:r>
      <w:r w:rsidR="00B0647A" w:rsidRPr="00F67476">
        <w:t xml:space="preserve"> </w:t>
      </w:r>
      <w:r w:rsidR="004A48EE" w:rsidRPr="00F67476">
        <w:t xml:space="preserve">complex </w:t>
      </w:r>
      <w:r w:rsidR="00241981" w:rsidRPr="00F67476">
        <w:t xml:space="preserve">web </w:t>
      </w:r>
      <w:r w:rsidR="004A48EE" w:rsidRPr="00F67476">
        <w:t>of laws, policies, guidelines and codes of practice from</w:t>
      </w:r>
      <w:r w:rsidR="00F67476" w:rsidRPr="00F67476">
        <w:t xml:space="preserve"> a mix of </w:t>
      </w:r>
      <w:r w:rsidR="0031513F">
        <w:t>s</w:t>
      </w:r>
      <w:r w:rsidR="004A48EE" w:rsidRPr="00F67476">
        <w:t xml:space="preserve">tate, </w:t>
      </w:r>
      <w:r w:rsidR="00715ADD">
        <w:t xml:space="preserve">national </w:t>
      </w:r>
      <w:r w:rsidR="004A48EE" w:rsidRPr="00F67476">
        <w:t xml:space="preserve">and international </w:t>
      </w:r>
      <w:r w:rsidR="00241981" w:rsidRPr="00F67476">
        <w:t>laws.</w:t>
      </w:r>
      <w:r w:rsidR="00200923" w:rsidRPr="00F67476">
        <w:t xml:space="preserve"> </w:t>
      </w:r>
      <w:r w:rsidR="00A473A4">
        <w:t>Whether a facility is a biobank or for genomic data storage is not always straightforward. As these distinctions overlap</w:t>
      </w:r>
      <w:r w:rsidR="005A5DC7">
        <w:t xml:space="preserve">, </w:t>
      </w:r>
      <w:r w:rsidR="00F119EC">
        <w:t>th</w:t>
      </w:r>
      <w:r w:rsidR="00715ADD">
        <w:t>ese</w:t>
      </w:r>
      <w:r w:rsidR="00F119EC">
        <w:t xml:space="preserve"> questions </w:t>
      </w:r>
      <w:r w:rsidR="00A473A4">
        <w:t xml:space="preserve">must be addressed on a case by case </w:t>
      </w:r>
      <w:r w:rsidR="00037BFA">
        <w:t>basis</w:t>
      </w:r>
      <w:r w:rsidR="00352704">
        <w:t>.</w:t>
      </w:r>
    </w:p>
    <w:p w14:paraId="2DF47EC8" w14:textId="62F12606" w:rsidR="00B0647A" w:rsidRPr="00F67476" w:rsidRDefault="00352704" w:rsidP="007B1CFF">
      <w:r>
        <w:t xml:space="preserve"> In </w:t>
      </w:r>
      <w:r w:rsidR="006C006F" w:rsidRPr="00F67476">
        <w:t xml:space="preserve">2010, the National Health and Medical Research Council published the </w:t>
      </w:r>
      <w:r w:rsidR="006C006F" w:rsidRPr="00F67476">
        <w:rPr>
          <w:i/>
          <w:iCs/>
        </w:rPr>
        <w:t>Biobanks Information Paper</w:t>
      </w:r>
      <w:r w:rsidR="006C006F" w:rsidRPr="00F67476">
        <w:t>. This paper discusses in detail information pertaining to the establishment, management and governance of biobanks in Australia</w:t>
      </w:r>
      <w:r w:rsidR="003766F8">
        <w:t xml:space="preserve">. There has </w:t>
      </w:r>
      <w:r w:rsidR="00037BFA">
        <w:t>been</w:t>
      </w:r>
      <w:r w:rsidR="003766F8">
        <w:t xml:space="preserve"> little follow up </w:t>
      </w:r>
      <w:r w:rsidR="005D75B6">
        <w:t xml:space="preserve">with </w:t>
      </w:r>
      <w:r w:rsidR="00037BFA">
        <w:t>guidelines</w:t>
      </w:r>
      <w:r w:rsidR="005D75B6">
        <w:t xml:space="preserve"> or regulations to implement the recommendations in this sector, with </w:t>
      </w:r>
      <w:r w:rsidR="007B461F">
        <w:t xml:space="preserve">Aboriginal and Torres Strait Islander </w:t>
      </w:r>
      <w:r w:rsidR="005D75B6">
        <w:t>participation remaining low.</w:t>
      </w:r>
      <w:r w:rsidR="005D75B6">
        <w:rPr>
          <w:rStyle w:val="FootnoteReference"/>
        </w:rPr>
        <w:footnoteReference w:id="178"/>
      </w:r>
      <w:r w:rsidR="006C006F" w:rsidRPr="00F67476">
        <w:t xml:space="preserve"> </w:t>
      </w:r>
    </w:p>
    <w:p w14:paraId="56218F12" w14:textId="3B448118" w:rsidR="00455946" w:rsidRPr="002B5F46" w:rsidRDefault="002E4F0F" w:rsidP="001D0525">
      <w:pPr>
        <w:pStyle w:val="Heading3"/>
        <w:rPr>
          <w:lang w:val="en-AU"/>
        </w:rPr>
      </w:pPr>
      <w:bookmarkStart w:id="132" w:name="_Toc118824359"/>
      <w:r w:rsidRPr="002B5F46">
        <w:rPr>
          <w:lang w:val="en-AU"/>
        </w:rPr>
        <w:t xml:space="preserve">Legal </w:t>
      </w:r>
      <w:r w:rsidR="00264684" w:rsidRPr="002B5F46">
        <w:rPr>
          <w:lang w:val="en-AU"/>
        </w:rPr>
        <w:t>and policy</w:t>
      </w:r>
      <w:r w:rsidRPr="002B5F46">
        <w:rPr>
          <w:lang w:val="en-AU"/>
        </w:rPr>
        <w:t xml:space="preserve"> framework</w:t>
      </w:r>
      <w:bookmarkEnd w:id="132"/>
    </w:p>
    <w:p w14:paraId="73D7C699" w14:textId="6ADBBA97" w:rsidR="003737B3" w:rsidRPr="00F67476" w:rsidRDefault="003737B3" w:rsidP="002B5F46">
      <w:pPr>
        <w:pStyle w:val="Heading4"/>
      </w:pPr>
      <w:r w:rsidRPr="00F67476">
        <w:t>Legislation</w:t>
      </w:r>
    </w:p>
    <w:p w14:paraId="3978BB1D" w14:textId="087EDE5F" w:rsidR="00B11205" w:rsidRDefault="00AF6B9A" w:rsidP="00577E4F">
      <w:r>
        <w:t xml:space="preserve">Biobanks </w:t>
      </w:r>
      <w:r w:rsidR="002223D9">
        <w:t>are subject to legislation regarding</w:t>
      </w:r>
      <w:r w:rsidR="002223D9" w:rsidRPr="00F67476">
        <w:t xml:space="preserve"> human tissue, privacy, intellectual property and anti-discrimination laws</w:t>
      </w:r>
      <w:r w:rsidR="002223D9">
        <w:t xml:space="preserve">. </w:t>
      </w:r>
      <w:r w:rsidR="00C27FB6" w:rsidRPr="00F67476">
        <w:t>Laws</w:t>
      </w:r>
      <w:r w:rsidR="002E4F0F" w:rsidRPr="00F67476">
        <w:t xml:space="preserve"> relating to contract, medical negligence</w:t>
      </w:r>
      <w:r w:rsidR="00030BC7">
        <w:t xml:space="preserve"> and</w:t>
      </w:r>
      <w:r w:rsidR="00182654" w:rsidRPr="00F67476">
        <w:t xml:space="preserve"> </w:t>
      </w:r>
      <w:r w:rsidR="006A44E1" w:rsidRPr="00F67476">
        <w:t>confidentiality,</w:t>
      </w:r>
      <w:r w:rsidR="00182654" w:rsidRPr="00F67476">
        <w:t xml:space="preserve"> </w:t>
      </w:r>
      <w:r w:rsidR="002223D9">
        <w:t xml:space="preserve">also </w:t>
      </w:r>
      <w:r w:rsidR="00373DAA" w:rsidRPr="00F67476">
        <w:t>appl</w:t>
      </w:r>
      <w:r w:rsidR="00F523C8">
        <w:t>y</w:t>
      </w:r>
      <w:r w:rsidR="00AE7E98">
        <w:t xml:space="preserve">. </w:t>
      </w:r>
    </w:p>
    <w:p w14:paraId="00DE6AB2" w14:textId="7EE95988" w:rsidR="0023117A" w:rsidRPr="00F67476" w:rsidRDefault="0023117A" w:rsidP="00577E4F">
      <w:r w:rsidRPr="00F67476">
        <w:t xml:space="preserve">At a Commonwealth level, the </w:t>
      </w:r>
      <w:r w:rsidRPr="00F67476">
        <w:rPr>
          <w:i/>
        </w:rPr>
        <w:t>Privacy Act</w:t>
      </w:r>
      <w:r w:rsidRPr="00F67476">
        <w:t xml:space="preserve"> as discussed </w:t>
      </w:r>
      <w:r w:rsidRPr="00F67476">
        <w:fldChar w:fldCharType="begin"/>
      </w:r>
      <w:r w:rsidRPr="00F67476">
        <w:instrText xml:space="preserve"> REF _Ref39091888 \p \h </w:instrText>
      </w:r>
      <w:r w:rsidRPr="00F67476">
        <w:fldChar w:fldCharType="separate"/>
      </w:r>
      <w:r w:rsidR="000B4085">
        <w:t>above</w:t>
      </w:r>
      <w:r w:rsidRPr="00F67476">
        <w:fldChar w:fldCharType="end"/>
      </w:r>
      <w:r w:rsidRPr="00F67476">
        <w:t xml:space="preserve"> at </w:t>
      </w:r>
      <w:r w:rsidRPr="00F67476">
        <w:rPr>
          <w:b/>
        </w:rPr>
        <w:fldChar w:fldCharType="begin"/>
      </w:r>
      <w:r w:rsidRPr="00F67476">
        <w:rPr>
          <w:b/>
        </w:rPr>
        <w:instrText xml:space="preserve"> REF _Ref39091888 \w \h  \* MERGEFORMAT </w:instrText>
      </w:r>
      <w:r w:rsidRPr="00F67476">
        <w:rPr>
          <w:b/>
        </w:rPr>
      </w:r>
      <w:r w:rsidRPr="00F67476">
        <w:rPr>
          <w:b/>
        </w:rPr>
        <w:fldChar w:fldCharType="separate"/>
      </w:r>
      <w:r w:rsidR="000B4085">
        <w:rPr>
          <w:b/>
        </w:rPr>
        <w:t>5.2</w:t>
      </w:r>
      <w:r w:rsidRPr="00F67476">
        <w:rPr>
          <w:b/>
        </w:rPr>
        <w:fldChar w:fldCharType="end"/>
      </w:r>
      <w:r w:rsidRPr="00F67476">
        <w:rPr>
          <w:b/>
        </w:rPr>
        <w:t xml:space="preserve"> </w:t>
      </w:r>
      <w:r w:rsidRPr="00F67476">
        <w:rPr>
          <w:b/>
        </w:rPr>
        <w:fldChar w:fldCharType="begin"/>
      </w:r>
      <w:r w:rsidRPr="00F67476">
        <w:rPr>
          <w:b/>
        </w:rPr>
        <w:instrText xml:space="preserve"> REF _Ref39091888 \h  \* MERGEFORMAT </w:instrText>
      </w:r>
      <w:r w:rsidRPr="00F67476">
        <w:rPr>
          <w:b/>
        </w:rPr>
      </w:r>
      <w:r w:rsidRPr="00F67476">
        <w:rPr>
          <w:b/>
        </w:rPr>
        <w:fldChar w:fldCharType="separate"/>
      </w:r>
      <w:r w:rsidR="000B4085" w:rsidRPr="000B4085">
        <w:rPr>
          <w:b/>
          <w:bCs/>
        </w:rPr>
        <w:t>Privacy and Personal Information</w:t>
      </w:r>
      <w:r w:rsidRPr="00F67476">
        <w:rPr>
          <w:b/>
        </w:rPr>
        <w:fldChar w:fldCharType="end"/>
      </w:r>
      <w:r w:rsidRPr="00F67476">
        <w:rPr>
          <w:b/>
        </w:rPr>
        <w:t xml:space="preserve">, </w:t>
      </w:r>
      <w:r w:rsidR="00A2284A" w:rsidRPr="00F67476">
        <w:t xml:space="preserve">in addition </w:t>
      </w:r>
      <w:r w:rsidR="00A5231C">
        <w:t>the relevant</w:t>
      </w:r>
      <w:r w:rsidRPr="00F67476">
        <w:t xml:space="preserve"> </w:t>
      </w:r>
      <w:r w:rsidR="003737B3" w:rsidRPr="00F67476">
        <w:t>S</w:t>
      </w:r>
      <w:r w:rsidRPr="00F67476">
        <w:t>tate</w:t>
      </w:r>
      <w:r w:rsidR="003737B3" w:rsidRPr="00F67476">
        <w:t xml:space="preserve"> based </w:t>
      </w:r>
      <w:r w:rsidRPr="00F67476">
        <w:t>privacy legislation</w:t>
      </w:r>
      <w:r w:rsidR="003737B3" w:rsidRPr="00F67476">
        <w:t xml:space="preserve"> </w:t>
      </w:r>
      <w:r w:rsidR="00A5231C">
        <w:t>applies</w:t>
      </w:r>
      <w:r w:rsidR="0040466B" w:rsidRPr="00F67476">
        <w:t xml:space="preserve"> to the handling of </w:t>
      </w:r>
      <w:r w:rsidR="00A2284A" w:rsidRPr="00F67476">
        <w:t>the health information and sensitive information</w:t>
      </w:r>
      <w:r w:rsidR="00B11205">
        <w:t>.</w:t>
      </w:r>
      <w:r w:rsidR="00C750C2" w:rsidRPr="00F67476">
        <w:t xml:space="preserve"> </w:t>
      </w:r>
      <w:r w:rsidR="00A63F66">
        <w:t>Private biobanks that are</w:t>
      </w:r>
      <w:r w:rsidR="00C00B2A">
        <w:t xml:space="preserve"> corporations, </w:t>
      </w:r>
      <w:r w:rsidR="00A63F66">
        <w:t xml:space="preserve">not </w:t>
      </w:r>
      <w:r w:rsidR="00C00B2A">
        <w:t>Government owned fall under Commonwealth legislation and</w:t>
      </w:r>
      <w:r w:rsidR="00401349">
        <w:t xml:space="preserve"> are</w:t>
      </w:r>
      <w:r w:rsidR="00C00B2A">
        <w:t xml:space="preserve"> subject to the </w:t>
      </w:r>
      <w:r w:rsidR="00C00B2A">
        <w:rPr>
          <w:i/>
          <w:iCs/>
        </w:rPr>
        <w:t>Corporations Act</w:t>
      </w:r>
      <w:r w:rsidR="00C00B2A" w:rsidRPr="00C00B2A">
        <w:t>.</w:t>
      </w:r>
      <w:r w:rsidR="00CF284B">
        <w:t xml:space="preserve"> </w:t>
      </w:r>
    </w:p>
    <w:p w14:paraId="08BBD1FB" w14:textId="6722BD6D" w:rsidR="00D31943" w:rsidRDefault="00D31943" w:rsidP="00577E4F">
      <w:pPr>
        <w:rPr>
          <w:color w:val="000000"/>
          <w:shd w:val="clear" w:color="auto" w:fill="FFFFFF"/>
        </w:rPr>
      </w:pPr>
      <w:r>
        <w:t xml:space="preserve">The relevant Human Tissue Acts across the </w:t>
      </w:r>
      <w:r w:rsidR="00030BC7">
        <w:t>St</w:t>
      </w:r>
      <w:r>
        <w:t xml:space="preserve">ates govern the donation and use of human tissue from living and </w:t>
      </w:r>
      <w:r w:rsidR="00677E04">
        <w:t>deceased</w:t>
      </w:r>
      <w:r>
        <w:t xml:space="preserve"> individuals</w:t>
      </w:r>
      <w:r w:rsidR="00C66B6F">
        <w:t xml:space="preserve"> for both therapeutic and </w:t>
      </w:r>
      <w:r w:rsidR="00030BC7">
        <w:t>n</w:t>
      </w:r>
      <w:r w:rsidR="00C66B6F">
        <w:t xml:space="preserve">on-therapeutic purposes. The Acts deal with </w:t>
      </w:r>
      <w:r w:rsidR="00677E04">
        <w:t xml:space="preserve">how tissue is donated and attained by organisations, </w:t>
      </w:r>
      <w:r w:rsidR="00C66B6F">
        <w:t xml:space="preserve"> </w:t>
      </w:r>
      <w:r w:rsidR="00207EC7">
        <w:t>expressly</w:t>
      </w:r>
      <w:r w:rsidR="00935029">
        <w:t xml:space="preserve"> prohibiting</w:t>
      </w:r>
      <w:r w:rsidR="006B64BB">
        <w:t xml:space="preserve"> </w:t>
      </w:r>
      <w:r w:rsidR="00FF1085">
        <w:t xml:space="preserve">the </w:t>
      </w:r>
      <w:r w:rsidR="002610AA">
        <w:t>trading</w:t>
      </w:r>
      <w:r w:rsidR="003E5727">
        <w:t xml:space="preserve"> of human tissue except</w:t>
      </w:r>
      <w:r w:rsidR="003E5727">
        <w:rPr>
          <w:color w:val="000000"/>
          <w:shd w:val="clear" w:color="auto" w:fill="FFFFFF"/>
        </w:rPr>
        <w:t xml:space="preserve"> </w:t>
      </w:r>
      <w:r w:rsidR="002610AA">
        <w:rPr>
          <w:color w:val="000000"/>
          <w:shd w:val="clear" w:color="auto" w:fill="FFFFFF"/>
        </w:rPr>
        <w:t xml:space="preserve">for therapeutic purposes, medical </w:t>
      </w:r>
      <w:r w:rsidR="002610AA">
        <w:rPr>
          <w:color w:val="000000"/>
          <w:shd w:val="clear" w:color="auto" w:fill="FFFFFF"/>
        </w:rPr>
        <w:lastRenderedPageBreak/>
        <w:t>purposes or scientific purposes.</w:t>
      </w:r>
      <w:r w:rsidR="005D4C80">
        <w:rPr>
          <w:rStyle w:val="FootnoteReference"/>
          <w:color w:val="000000"/>
          <w:shd w:val="clear" w:color="auto" w:fill="FFFFFF"/>
        </w:rPr>
        <w:footnoteReference w:id="179"/>
      </w:r>
      <w:r w:rsidR="00261CA6">
        <w:rPr>
          <w:color w:val="000000"/>
          <w:shd w:val="clear" w:color="auto" w:fill="FFFFFF"/>
        </w:rPr>
        <w:t xml:space="preserve"> </w:t>
      </w:r>
      <w:r w:rsidR="008A4F6D">
        <w:rPr>
          <w:color w:val="000000"/>
          <w:shd w:val="clear" w:color="auto" w:fill="FFFFFF"/>
        </w:rPr>
        <w:t>State</w:t>
      </w:r>
      <w:r w:rsidR="00261CA6">
        <w:rPr>
          <w:color w:val="000000"/>
          <w:shd w:val="clear" w:color="auto" w:fill="FFFFFF"/>
        </w:rPr>
        <w:t xml:space="preserve"> </w:t>
      </w:r>
      <w:r w:rsidR="00AC6972">
        <w:rPr>
          <w:color w:val="000000"/>
          <w:shd w:val="clear" w:color="auto" w:fill="FFFFFF"/>
        </w:rPr>
        <w:t xml:space="preserve">and territory Human Tissue </w:t>
      </w:r>
      <w:r w:rsidR="00030BC7">
        <w:rPr>
          <w:color w:val="000000"/>
          <w:shd w:val="clear" w:color="auto" w:fill="FFFFFF"/>
        </w:rPr>
        <w:t>A</w:t>
      </w:r>
      <w:r w:rsidR="00AC6972">
        <w:rPr>
          <w:color w:val="000000"/>
          <w:shd w:val="clear" w:color="auto" w:fill="FFFFFF"/>
        </w:rPr>
        <w:t>cts do</w:t>
      </w:r>
      <w:r w:rsidR="00261CA6">
        <w:rPr>
          <w:color w:val="000000"/>
          <w:shd w:val="clear" w:color="auto" w:fill="FFFFFF"/>
        </w:rPr>
        <w:t xml:space="preserve"> </w:t>
      </w:r>
      <w:r w:rsidR="00030BC7">
        <w:rPr>
          <w:color w:val="000000"/>
          <w:shd w:val="clear" w:color="auto" w:fill="FFFFFF"/>
        </w:rPr>
        <w:t>permit</w:t>
      </w:r>
      <w:r w:rsidR="00261CA6">
        <w:rPr>
          <w:color w:val="000000"/>
          <w:shd w:val="clear" w:color="auto" w:fill="FFFFFF"/>
        </w:rPr>
        <w:t xml:space="preserve"> the </w:t>
      </w:r>
      <w:r w:rsidR="008A4F6D">
        <w:rPr>
          <w:color w:val="000000"/>
          <w:shd w:val="clear" w:color="auto" w:fill="FFFFFF"/>
        </w:rPr>
        <w:t>donation</w:t>
      </w:r>
      <w:r w:rsidR="00261CA6">
        <w:rPr>
          <w:color w:val="000000"/>
          <w:shd w:val="clear" w:color="auto" w:fill="FFFFFF"/>
        </w:rPr>
        <w:t xml:space="preserve"> of human tissues for research</w:t>
      </w:r>
      <w:r w:rsidR="008A4F6D">
        <w:rPr>
          <w:color w:val="000000"/>
          <w:shd w:val="clear" w:color="auto" w:fill="FFFFFF"/>
        </w:rPr>
        <w:t>.</w:t>
      </w:r>
      <w:r w:rsidR="00BC2C46">
        <w:rPr>
          <w:rStyle w:val="FootnoteReference"/>
          <w:color w:val="000000"/>
          <w:shd w:val="clear" w:color="auto" w:fill="FFFFFF"/>
        </w:rPr>
        <w:footnoteReference w:id="180"/>
      </w:r>
    </w:p>
    <w:p w14:paraId="016E24CC" w14:textId="554F6842" w:rsidR="003D2835" w:rsidRPr="00F67476" w:rsidRDefault="003737B3" w:rsidP="002B5F46">
      <w:pPr>
        <w:pStyle w:val="Heading4"/>
      </w:pPr>
      <w:r w:rsidRPr="00F67476">
        <w:t>Policies and Guidelines</w:t>
      </w:r>
    </w:p>
    <w:p w14:paraId="4AC64858" w14:textId="3DE3ED01" w:rsidR="006E358A" w:rsidRDefault="00C625B8" w:rsidP="00577E4F">
      <w:r w:rsidRPr="00F67476">
        <w:t xml:space="preserve">As with all human research, </w:t>
      </w:r>
      <w:r w:rsidR="00B70359">
        <w:t xml:space="preserve">the </w:t>
      </w:r>
      <w:r w:rsidRPr="006921A2">
        <w:rPr>
          <w:i/>
        </w:rPr>
        <w:t>National Statement</w:t>
      </w:r>
      <w:r w:rsidRPr="00F67476">
        <w:rPr>
          <w:i/>
        </w:rPr>
        <w:t xml:space="preserve"> </w:t>
      </w:r>
      <w:r w:rsidR="00F24DE3" w:rsidRPr="00827A23">
        <w:t>(</w:t>
      </w:r>
      <w:r w:rsidR="00F24DE3" w:rsidRPr="00F24DE3">
        <w:t>see</w:t>
      </w:r>
      <w:r w:rsidR="005C4B42" w:rsidRPr="005C4B42">
        <w:t xml:space="preserve"> below at</w:t>
      </w:r>
      <w:r w:rsidR="005C4B42">
        <w:rPr>
          <w:i/>
          <w:iCs/>
        </w:rPr>
        <w:t xml:space="preserve"> </w:t>
      </w:r>
      <w:r w:rsidR="005C4B42" w:rsidRPr="002B5F46">
        <w:rPr>
          <w:b/>
          <w:bCs/>
        </w:rPr>
        <w:fldChar w:fldCharType="begin"/>
      </w:r>
      <w:r w:rsidR="005C4B42" w:rsidRPr="002B5F46">
        <w:rPr>
          <w:b/>
          <w:bCs/>
        </w:rPr>
        <w:instrText xml:space="preserve"> REF _Ref39149342 \w \h  \* MERGEFORMAT </w:instrText>
      </w:r>
      <w:r w:rsidR="005C4B42" w:rsidRPr="002B5F46">
        <w:rPr>
          <w:b/>
          <w:bCs/>
        </w:rPr>
      </w:r>
      <w:r w:rsidR="005C4B42" w:rsidRPr="002B5F46">
        <w:rPr>
          <w:b/>
          <w:bCs/>
        </w:rPr>
        <w:fldChar w:fldCharType="separate"/>
      </w:r>
      <w:r w:rsidR="000B4085">
        <w:rPr>
          <w:b/>
          <w:bCs/>
        </w:rPr>
        <w:t>7.1</w:t>
      </w:r>
      <w:r w:rsidR="005C4B42" w:rsidRPr="002B5F46">
        <w:rPr>
          <w:b/>
          <w:bCs/>
        </w:rPr>
        <w:fldChar w:fldCharType="end"/>
      </w:r>
      <w:r w:rsidR="00F24DE3">
        <w:t>)</w:t>
      </w:r>
      <w:r w:rsidR="00F24DE3">
        <w:rPr>
          <w:i/>
          <w:iCs/>
        </w:rPr>
        <w:t xml:space="preserve"> </w:t>
      </w:r>
      <w:r w:rsidR="005C4B42">
        <w:rPr>
          <w:i/>
          <w:iCs/>
        </w:rPr>
        <w:t xml:space="preserve"> </w:t>
      </w:r>
      <w:r w:rsidR="00F24DE3" w:rsidRPr="00F24DE3">
        <w:t>in particular</w:t>
      </w:r>
      <w:r w:rsidR="00F24DE3">
        <w:rPr>
          <w:i/>
          <w:iCs/>
        </w:rPr>
        <w:t xml:space="preserve"> </w:t>
      </w:r>
      <w:r w:rsidR="00F24DE3" w:rsidRPr="002B5F46">
        <w:rPr>
          <w:i/>
          <w:iCs/>
        </w:rPr>
        <w:t>Chapter 3.2 Human biospecimens in laboratory based research</w:t>
      </w:r>
      <w:r w:rsidR="0069382E">
        <w:t xml:space="preserve"> and </w:t>
      </w:r>
      <w:r w:rsidR="0069382E" w:rsidRPr="002B5F46">
        <w:rPr>
          <w:i/>
          <w:iCs/>
        </w:rPr>
        <w:t>Chapter 3.3 Genomic Research</w:t>
      </w:r>
      <w:r w:rsidR="0069382E">
        <w:t xml:space="preserve"> provide</w:t>
      </w:r>
      <w:r w:rsidR="00B21C45">
        <w:t xml:space="preserve"> </w:t>
      </w:r>
      <w:r w:rsidR="00D13FA3" w:rsidRPr="00F67476">
        <w:t>guidelines</w:t>
      </w:r>
      <w:r w:rsidRPr="00F67476">
        <w:t xml:space="preserve"> for biobanks to follow.</w:t>
      </w:r>
      <w:r w:rsidR="00A022B7" w:rsidRPr="00F67476">
        <w:rPr>
          <w:rStyle w:val="FootnoteReference"/>
        </w:rPr>
        <w:footnoteReference w:id="181"/>
      </w:r>
      <w:r w:rsidR="00527D49">
        <w:t xml:space="preserve"> </w:t>
      </w:r>
      <w:r w:rsidR="00831D03">
        <w:t xml:space="preserve">In addition, </w:t>
      </w:r>
      <w:r w:rsidR="00D621C7">
        <w:t>some States have their own</w:t>
      </w:r>
      <w:r w:rsidR="00362674">
        <w:t xml:space="preserve"> </w:t>
      </w:r>
      <w:r w:rsidR="00D621C7">
        <w:t xml:space="preserve">standards and guidance on consent requirements. </w:t>
      </w:r>
      <w:r w:rsidR="00745F74">
        <w:t>For example, the</w:t>
      </w:r>
      <w:r w:rsidR="00D621C7">
        <w:t xml:space="preserve"> NSW Health S</w:t>
      </w:r>
      <w:r w:rsidR="00232DA2">
        <w:t>ta</w:t>
      </w:r>
      <w:r w:rsidR="00D621C7">
        <w:t xml:space="preserve">tewide Biobank Consent Toolkit is required </w:t>
      </w:r>
      <w:r w:rsidR="00745F74">
        <w:t xml:space="preserve">to be used </w:t>
      </w:r>
      <w:r w:rsidR="00C25F61">
        <w:t>by</w:t>
      </w:r>
      <w:r w:rsidR="00D621C7">
        <w:t xml:space="preserve"> the NSW Statewide Biobank and </w:t>
      </w:r>
      <w:r w:rsidR="00232DA2">
        <w:t xml:space="preserve">encouraged to </w:t>
      </w:r>
      <w:r w:rsidR="00264684">
        <w:t>be</w:t>
      </w:r>
      <w:r w:rsidR="00232DA2">
        <w:t xml:space="preserve"> used by any NSW research biobank.</w:t>
      </w:r>
      <w:r w:rsidR="00232DA2">
        <w:rPr>
          <w:rStyle w:val="FootnoteReference"/>
        </w:rPr>
        <w:footnoteReference w:id="182"/>
      </w:r>
      <w:r w:rsidR="00264684">
        <w:t xml:space="preserve"> This suggests that although operating within NSW, unless a State owned entity, private</w:t>
      </w:r>
      <w:r w:rsidR="00CF70DE">
        <w:t xml:space="preserve">ly run biobanks </w:t>
      </w:r>
      <w:r w:rsidR="00264684">
        <w:t xml:space="preserve">would be bound by </w:t>
      </w:r>
      <w:r w:rsidR="00F24A99">
        <w:t xml:space="preserve">Commonwealth </w:t>
      </w:r>
      <w:r w:rsidR="00264684">
        <w:t xml:space="preserve">legislation </w:t>
      </w:r>
      <w:r w:rsidR="00CF70DE">
        <w:t>in addition to</w:t>
      </w:r>
      <w:r w:rsidR="00264684">
        <w:t xml:space="preserve"> the </w:t>
      </w:r>
      <w:r w:rsidR="00282DE1" w:rsidRPr="006921A2">
        <w:rPr>
          <w:i/>
        </w:rPr>
        <w:t>National Statement</w:t>
      </w:r>
      <w:r w:rsidR="00264684" w:rsidRPr="006921A2">
        <w:rPr>
          <w:i/>
        </w:rPr>
        <w:t>.</w:t>
      </w:r>
      <w:r w:rsidR="00ED69C5">
        <w:t xml:space="preserve"> </w:t>
      </w:r>
    </w:p>
    <w:p w14:paraId="45F471C5" w14:textId="69CBD0A0" w:rsidR="005B2DE6" w:rsidRPr="000A1A85" w:rsidRDefault="005B2DE6" w:rsidP="00A22511">
      <w:pPr>
        <w:pStyle w:val="Heading4"/>
        <w:rPr>
          <w:rFonts w:cs="Arial"/>
          <w:i/>
        </w:rPr>
      </w:pPr>
      <w:r>
        <w:t xml:space="preserve">International Guidelines </w:t>
      </w:r>
    </w:p>
    <w:p w14:paraId="2C072389" w14:textId="440164E3" w:rsidR="005B2DE6" w:rsidRPr="00F619D3" w:rsidRDefault="00AD3FE1" w:rsidP="00577E4F">
      <w:r w:rsidRPr="000A1A85">
        <w:rPr>
          <w:rFonts w:cs="Arial"/>
        </w:rPr>
        <w:t>The United Nation</w:t>
      </w:r>
      <w:r w:rsidR="00F619D3" w:rsidRPr="000A1A85">
        <w:rPr>
          <w:rFonts w:cs="Arial"/>
        </w:rPr>
        <w:t>s Educational, Scientific and Cultural Organisa</w:t>
      </w:r>
      <w:r w:rsidR="0085634F">
        <w:rPr>
          <w:rFonts w:cs="Arial"/>
        </w:rPr>
        <w:t>ti</w:t>
      </w:r>
      <w:r w:rsidR="00F619D3" w:rsidRPr="000A1A85">
        <w:rPr>
          <w:rFonts w:cs="Arial"/>
        </w:rPr>
        <w:t xml:space="preserve">on (UNESCO) </w:t>
      </w:r>
      <w:r w:rsidR="00F619D3" w:rsidRPr="000A1A85">
        <w:rPr>
          <w:rFonts w:cs="Arial"/>
          <w:i/>
          <w:iCs/>
        </w:rPr>
        <w:t>Declaration on Human Genetic Data</w:t>
      </w:r>
      <w:r w:rsidR="007D24CB" w:rsidRPr="000A1A85">
        <w:rPr>
          <w:rFonts w:cs="Arial"/>
          <w:i/>
          <w:iCs/>
        </w:rPr>
        <w:t xml:space="preserve"> </w:t>
      </w:r>
      <w:r w:rsidR="00FF44CA" w:rsidRPr="000A1A85">
        <w:rPr>
          <w:rFonts w:cs="Arial"/>
        </w:rPr>
        <w:t>requir</w:t>
      </w:r>
      <w:r w:rsidR="000E5FED" w:rsidRPr="000A1A85">
        <w:rPr>
          <w:rFonts w:cs="Arial"/>
        </w:rPr>
        <w:t xml:space="preserve">es that individuals and entities </w:t>
      </w:r>
      <w:r w:rsidR="000A1A85" w:rsidRPr="000A1A85">
        <w:rPr>
          <w:rFonts w:cs="Arial"/>
        </w:rPr>
        <w:t>e</w:t>
      </w:r>
      <w:r w:rsidR="000A1A85" w:rsidRPr="000A1A85">
        <w:rPr>
          <w:rFonts w:cs="Arial"/>
          <w:color w:val="000000"/>
          <w:shd w:val="clear" w:color="auto" w:fill="FFFFFF"/>
        </w:rPr>
        <w:t>nsure the accuracy, reliability, quality and security of these data and the processing of biological samples with regard to ethical, legal and social implications.</w:t>
      </w:r>
      <w:r w:rsidR="009E68D1" w:rsidRPr="00D46BD3">
        <w:rPr>
          <w:rStyle w:val="FootnoteReference"/>
        </w:rPr>
        <w:footnoteReference w:id="183"/>
      </w:r>
    </w:p>
    <w:p w14:paraId="20BFF69D" w14:textId="0DF449BC" w:rsidR="007B1CFF" w:rsidRDefault="00DD4435" w:rsidP="00A22511">
      <w:pPr>
        <w:pStyle w:val="Heading4"/>
        <w:rPr>
          <w:i/>
        </w:rPr>
      </w:pPr>
      <w:r>
        <w:t>Governance Frameworks</w:t>
      </w:r>
    </w:p>
    <w:p w14:paraId="39C829D7" w14:textId="77777777" w:rsidR="00341A8B" w:rsidRDefault="00D92040" w:rsidP="007B1CFF">
      <w:r>
        <w:t xml:space="preserve">Internal governance frameworks </w:t>
      </w:r>
      <w:r w:rsidR="00E2304F">
        <w:t xml:space="preserve">are the best </w:t>
      </w:r>
      <w:r w:rsidR="00E0453A">
        <w:t xml:space="preserve">determinant </w:t>
      </w:r>
      <w:r w:rsidR="00121FC1">
        <w:t xml:space="preserve">of </w:t>
      </w:r>
      <w:r w:rsidR="0081161C">
        <w:t>who owns data and material.</w:t>
      </w:r>
      <w:r w:rsidR="00D27836">
        <w:t xml:space="preserve"> </w:t>
      </w:r>
      <w:r w:rsidR="00043999">
        <w:t xml:space="preserve">The </w:t>
      </w:r>
      <w:r w:rsidR="00043999" w:rsidRPr="006921A2">
        <w:rPr>
          <w:i/>
        </w:rPr>
        <w:t>National Statement</w:t>
      </w:r>
      <w:r w:rsidR="00043999">
        <w:t xml:space="preserve"> recommends that when multiple </w:t>
      </w:r>
      <w:r w:rsidR="00D27836">
        <w:t>researchers</w:t>
      </w:r>
      <w:r w:rsidR="00043999">
        <w:t xml:space="preserve"> collaborate on a project, or analysis of data, that they should agree </w:t>
      </w:r>
      <w:r w:rsidR="008020C9">
        <w:t xml:space="preserve">on the </w:t>
      </w:r>
    </w:p>
    <w:p w14:paraId="652A831A" w14:textId="453EB38A" w:rsidR="00341A8B" w:rsidRPr="002B5F46" w:rsidRDefault="008020C9" w:rsidP="002B5F46">
      <w:pPr>
        <w:ind w:left="567" w:right="521"/>
        <w:rPr>
          <w:sz w:val="20"/>
          <w:szCs w:val="20"/>
        </w:rPr>
      </w:pPr>
      <w:r w:rsidRPr="002B5F46">
        <w:rPr>
          <w:sz w:val="20"/>
          <w:szCs w:val="20"/>
        </w:rPr>
        <w:t>custodianship, storage, retention and destruction of those materials, as well as to rights of access, rights to analyse/use and re-use the data or information and the right to produce research outputs based upon them</w:t>
      </w:r>
      <w:r w:rsidR="00D27836" w:rsidRPr="002B5F46">
        <w:rPr>
          <w:sz w:val="20"/>
          <w:szCs w:val="20"/>
        </w:rPr>
        <w:t>.</w:t>
      </w:r>
      <w:r w:rsidRPr="002B5F46">
        <w:rPr>
          <w:rStyle w:val="FootnoteReference"/>
          <w:sz w:val="20"/>
          <w:szCs w:val="20"/>
        </w:rPr>
        <w:footnoteReference w:id="184"/>
      </w:r>
      <w:r w:rsidR="00D27836" w:rsidRPr="002B5F46">
        <w:rPr>
          <w:sz w:val="20"/>
          <w:szCs w:val="20"/>
        </w:rPr>
        <w:t xml:space="preserve"> </w:t>
      </w:r>
    </w:p>
    <w:p w14:paraId="39E3AD44" w14:textId="4EF9EDF4" w:rsidR="00735BF6" w:rsidRDefault="00005A75" w:rsidP="007B1CFF">
      <w:r>
        <w:t>The NSW Statewide Biobank</w:t>
      </w:r>
      <w:r w:rsidR="00084FD5">
        <w:t xml:space="preserve"> states that ownership of samples from legacy collections is </w:t>
      </w:r>
      <w:r w:rsidR="00282CCD">
        <w:t xml:space="preserve">decided </w:t>
      </w:r>
      <w:r w:rsidR="00C171F8">
        <w:t xml:space="preserve">by the </w:t>
      </w:r>
      <w:r w:rsidR="00282CCD">
        <w:t xml:space="preserve"> Human Research Ethics Committee approval </w:t>
      </w:r>
      <w:r w:rsidR="00A26055">
        <w:t>for a specific study</w:t>
      </w:r>
      <w:r w:rsidR="006B4A3E">
        <w:t>.</w:t>
      </w:r>
      <w:r w:rsidR="006B4A3E" w:rsidRPr="006B4A3E">
        <w:rPr>
          <w:rStyle w:val="FootnoteReference"/>
        </w:rPr>
        <w:t xml:space="preserve"> </w:t>
      </w:r>
      <w:r w:rsidR="006B4A3E">
        <w:rPr>
          <w:rStyle w:val="FootnoteReference"/>
        </w:rPr>
        <w:footnoteReference w:id="185"/>
      </w:r>
      <w:r w:rsidR="006B4A3E">
        <w:t xml:space="preserve"> </w:t>
      </w:r>
      <w:r w:rsidR="006B4A3E">
        <w:lastRenderedPageBreak/>
        <w:t xml:space="preserve">Ownership will typically reside with the study investigators and the investigators will determine who can use them </w:t>
      </w:r>
      <w:r w:rsidR="00282CCD">
        <w:t xml:space="preserve"> on a case-by-case basis.</w:t>
      </w:r>
      <w:r w:rsidR="00282CCD">
        <w:rPr>
          <w:rStyle w:val="FootnoteReference"/>
        </w:rPr>
        <w:footnoteReference w:id="186"/>
      </w:r>
    </w:p>
    <w:p w14:paraId="54964346" w14:textId="79BC538E" w:rsidR="00282DE1" w:rsidRDefault="00530022" w:rsidP="002B5F46">
      <w:pPr>
        <w:pStyle w:val="Heading4"/>
      </w:pPr>
      <w:r>
        <w:t xml:space="preserve">Concluding remarks </w:t>
      </w:r>
    </w:p>
    <w:p w14:paraId="19CFA3E8" w14:textId="63C61C05" w:rsidR="0097572B" w:rsidRDefault="0089372B" w:rsidP="007B1CFF">
      <w:r>
        <w:rPr>
          <w:color w:val="000000"/>
          <w:shd w:val="clear" w:color="auto" w:fill="FFFFFF"/>
        </w:rPr>
        <w:t>Ownership</w:t>
      </w:r>
      <w:r w:rsidR="00735BF6">
        <w:rPr>
          <w:color w:val="000000"/>
          <w:shd w:val="clear" w:color="auto" w:fill="FFFFFF"/>
        </w:rPr>
        <w:t xml:space="preserve"> of </w:t>
      </w:r>
      <w:r>
        <w:rPr>
          <w:color w:val="000000"/>
          <w:shd w:val="clear" w:color="auto" w:fill="FFFFFF"/>
        </w:rPr>
        <w:t xml:space="preserve">human tissue and genomic data from biobanks are subject to the specific agreements between donors, </w:t>
      </w:r>
      <w:r w:rsidR="005E67B6">
        <w:rPr>
          <w:color w:val="000000"/>
          <w:shd w:val="clear" w:color="auto" w:fill="FFFFFF"/>
        </w:rPr>
        <w:t>researchers,</w:t>
      </w:r>
      <w:r>
        <w:rPr>
          <w:color w:val="000000"/>
          <w:shd w:val="clear" w:color="auto" w:fill="FFFFFF"/>
        </w:rPr>
        <w:t xml:space="preserve"> and the biobank itself. </w:t>
      </w:r>
      <w:r w:rsidR="005E67B6">
        <w:rPr>
          <w:color w:val="000000"/>
          <w:shd w:val="clear" w:color="auto" w:fill="FFFFFF"/>
        </w:rPr>
        <w:t>Th</w:t>
      </w:r>
      <w:r w:rsidR="009F3DEE">
        <w:rPr>
          <w:color w:val="000000"/>
          <w:shd w:val="clear" w:color="auto" w:fill="FFFFFF"/>
        </w:rPr>
        <w:t xml:space="preserve">is places the onus on the institutions to </w:t>
      </w:r>
      <w:r w:rsidR="00282DE1">
        <w:rPr>
          <w:color w:val="000000"/>
          <w:shd w:val="clear" w:color="auto" w:fill="FFFFFF"/>
        </w:rPr>
        <w:t xml:space="preserve">set the frameworks of how benefits are shared and knowledge is </w:t>
      </w:r>
      <w:r w:rsidR="00275283">
        <w:rPr>
          <w:color w:val="000000"/>
          <w:shd w:val="clear" w:color="auto" w:fill="FFFFFF"/>
        </w:rPr>
        <w:t xml:space="preserve">obtained </w:t>
      </w:r>
      <w:r w:rsidR="00282DE1">
        <w:rPr>
          <w:color w:val="000000"/>
          <w:shd w:val="clear" w:color="auto" w:fill="FFFFFF"/>
        </w:rPr>
        <w:t xml:space="preserve">and used. </w:t>
      </w:r>
      <w:r w:rsidR="003F5E58">
        <w:t xml:space="preserve">A </w:t>
      </w:r>
      <w:r w:rsidR="00EF3776">
        <w:t xml:space="preserve">study </w:t>
      </w:r>
      <w:r w:rsidR="000C2D76">
        <w:t>published</w:t>
      </w:r>
      <w:r w:rsidR="00EF3776">
        <w:t xml:space="preserve"> </w:t>
      </w:r>
      <w:r w:rsidR="003F5E58">
        <w:t xml:space="preserve">in 2019 found that biobanks in Australia lacked practices and </w:t>
      </w:r>
      <w:r w:rsidR="000C2D76">
        <w:t>policies</w:t>
      </w:r>
      <w:r w:rsidR="003F5E58">
        <w:t xml:space="preserve"> to guide the inclusion and engagement of </w:t>
      </w:r>
      <w:r w:rsidR="007B461F">
        <w:t xml:space="preserve">Aboriginal and Torres Strait Islander peoples </w:t>
      </w:r>
      <w:r w:rsidR="003F5E58">
        <w:t>in Biobanks.</w:t>
      </w:r>
      <w:r w:rsidR="00BB761C">
        <w:rPr>
          <w:rStyle w:val="FootnoteReference"/>
        </w:rPr>
        <w:footnoteReference w:id="187"/>
      </w:r>
      <w:r w:rsidR="003F5E58">
        <w:t xml:space="preserve"> </w:t>
      </w:r>
      <w:r w:rsidR="00C357BD">
        <w:t xml:space="preserve">Whilst the importance of </w:t>
      </w:r>
      <w:r w:rsidR="004437E6">
        <w:t xml:space="preserve">Aboriginal and Torres Strait Islander </w:t>
      </w:r>
      <w:r w:rsidR="00C357BD">
        <w:t>representation</w:t>
      </w:r>
      <w:r w:rsidR="00E00DB4">
        <w:t xml:space="preserve"> was recognised, biobanks were ‘remiss in how to achieve this’</w:t>
      </w:r>
      <w:r w:rsidR="004A1FF2">
        <w:t>.</w:t>
      </w:r>
      <w:r w:rsidR="00E00DB4">
        <w:rPr>
          <w:rStyle w:val="FootnoteReference"/>
        </w:rPr>
        <w:footnoteReference w:id="188"/>
      </w:r>
      <w:r w:rsidR="004A1FF2">
        <w:t xml:space="preserve"> </w:t>
      </w:r>
      <w:r w:rsidR="00065AB5">
        <w:t xml:space="preserve">This is </w:t>
      </w:r>
      <w:r w:rsidR="004A1FF2">
        <w:t xml:space="preserve">reflective of a broader lack of direction </w:t>
      </w:r>
      <w:r w:rsidR="00065AB5">
        <w:t xml:space="preserve">of Indigenous health genomic policy and specific biobank </w:t>
      </w:r>
      <w:r w:rsidR="00241DE3">
        <w:t>legislative framework.</w:t>
      </w:r>
      <w:r w:rsidR="00292A94">
        <w:t xml:space="preserve"> This however</w:t>
      </w:r>
      <w:r w:rsidR="005F6663">
        <w:t xml:space="preserve"> provides </w:t>
      </w:r>
      <w:r w:rsidR="004E6961">
        <w:t xml:space="preserve">ample opportunity for the establishment of </w:t>
      </w:r>
      <w:r w:rsidR="00BB761C">
        <w:t xml:space="preserve">best practice </w:t>
      </w:r>
      <w:r w:rsidR="004E6961">
        <w:t xml:space="preserve">guidelines </w:t>
      </w:r>
      <w:r w:rsidR="00BB761C">
        <w:t xml:space="preserve">that set a high standard </w:t>
      </w:r>
      <w:r w:rsidR="004E6961">
        <w:t xml:space="preserve">for </w:t>
      </w:r>
      <w:r w:rsidR="00E37313">
        <w:t xml:space="preserve">Aboriginal and Torres Strait Islander </w:t>
      </w:r>
      <w:r w:rsidR="004E6961">
        <w:t>participation in biobanks</w:t>
      </w:r>
      <w:r w:rsidR="00C77D76">
        <w:t>.</w:t>
      </w:r>
    </w:p>
    <w:p w14:paraId="0A97B805" w14:textId="270EA017" w:rsidR="00480B64" w:rsidRPr="00F67476" w:rsidRDefault="002C1870" w:rsidP="002B5F46">
      <w:pPr>
        <w:pStyle w:val="Heading1"/>
        <w:rPr>
          <w:lang w:val="en-AU"/>
        </w:rPr>
      </w:pPr>
      <w:bookmarkStart w:id="133" w:name="_Toc118824360"/>
      <w:r>
        <w:rPr>
          <w:szCs w:val="24"/>
        </w:rPr>
        <w:t xml:space="preserve">Gap Analysis: </w:t>
      </w:r>
      <w:bookmarkStart w:id="134" w:name="_Ref44238193"/>
      <w:r w:rsidR="00BD186A" w:rsidRPr="00F67476">
        <w:rPr>
          <w:lang w:val="en-AU"/>
        </w:rPr>
        <w:t xml:space="preserve">Impact of the </w:t>
      </w:r>
      <w:r>
        <w:rPr>
          <w:lang w:val="en-AU"/>
        </w:rPr>
        <w:t xml:space="preserve">law </w:t>
      </w:r>
      <w:r w:rsidR="00BD186A" w:rsidRPr="00F67476">
        <w:rPr>
          <w:lang w:val="en-AU"/>
        </w:rPr>
        <w:t>on social and cultural issues</w:t>
      </w:r>
      <w:bookmarkEnd w:id="133"/>
      <w:r w:rsidR="003F3F11" w:rsidRPr="00F67476">
        <w:rPr>
          <w:lang w:val="en-AU"/>
        </w:rPr>
        <w:t xml:space="preserve"> </w:t>
      </w:r>
      <w:bookmarkEnd w:id="134"/>
    </w:p>
    <w:p w14:paraId="2FA1F095" w14:textId="2EE1741C" w:rsidR="004A2E8B" w:rsidRPr="00F67476" w:rsidRDefault="00F33934" w:rsidP="002B5F46">
      <w:pPr>
        <w:pStyle w:val="Heading2"/>
        <w:rPr>
          <w:lang w:val="en-AU"/>
        </w:rPr>
      </w:pPr>
      <w:bookmarkStart w:id="135" w:name="_Toc118824361"/>
      <w:r w:rsidRPr="00F67476">
        <w:rPr>
          <w:lang w:val="en-AU"/>
        </w:rPr>
        <w:t>Do Aboriginal and Torres Strait Islander people own their genes?</w:t>
      </w:r>
      <w:bookmarkEnd w:id="135"/>
      <w:r w:rsidRPr="00F67476">
        <w:rPr>
          <w:lang w:val="en-AU"/>
        </w:rPr>
        <w:t xml:space="preserve"> </w:t>
      </w:r>
    </w:p>
    <w:p w14:paraId="62EDAE71" w14:textId="5DFE9DAA" w:rsidR="00DD4053" w:rsidRPr="00D878BD" w:rsidRDefault="00DD4053" w:rsidP="00C83610">
      <w:pPr>
        <w:rPr>
          <w:szCs w:val="24"/>
        </w:rPr>
      </w:pPr>
      <w:r w:rsidRPr="00D878BD">
        <w:rPr>
          <w:szCs w:val="24"/>
        </w:rPr>
        <w:t xml:space="preserve">Questions </w:t>
      </w:r>
      <w:r w:rsidR="009E743A">
        <w:rPr>
          <w:szCs w:val="24"/>
        </w:rPr>
        <w:t>of</w:t>
      </w:r>
      <w:r w:rsidR="009E743A" w:rsidRPr="00D878BD">
        <w:rPr>
          <w:szCs w:val="24"/>
        </w:rPr>
        <w:t xml:space="preserve"> </w:t>
      </w:r>
      <w:r w:rsidRPr="00D878BD">
        <w:rPr>
          <w:szCs w:val="24"/>
        </w:rPr>
        <w:t>ownership largely come back to the agreement</w:t>
      </w:r>
      <w:r w:rsidR="00EC64FE">
        <w:rPr>
          <w:szCs w:val="24"/>
        </w:rPr>
        <w:t>s</w:t>
      </w:r>
      <w:r w:rsidRPr="00D878BD">
        <w:rPr>
          <w:szCs w:val="24"/>
        </w:rPr>
        <w:t xml:space="preserve"> entered in</w:t>
      </w:r>
      <w:r w:rsidR="006127B7">
        <w:rPr>
          <w:szCs w:val="24"/>
        </w:rPr>
        <w:t>to</w:t>
      </w:r>
      <w:r w:rsidRPr="00D878BD">
        <w:rPr>
          <w:szCs w:val="24"/>
        </w:rPr>
        <w:t xml:space="preserve"> b</w:t>
      </w:r>
      <w:r w:rsidR="006127B7">
        <w:rPr>
          <w:szCs w:val="24"/>
        </w:rPr>
        <w:t xml:space="preserve">y </w:t>
      </w:r>
      <w:r w:rsidRPr="00D878BD">
        <w:rPr>
          <w:szCs w:val="24"/>
        </w:rPr>
        <w:t xml:space="preserve">the </w:t>
      </w:r>
      <w:r w:rsidR="00C83610" w:rsidRPr="00D878BD">
        <w:rPr>
          <w:szCs w:val="24"/>
        </w:rPr>
        <w:t xml:space="preserve">individual, community and researchers. Speaking broadly, proper consultation </w:t>
      </w:r>
      <w:r w:rsidR="00195AA2" w:rsidRPr="00D878BD">
        <w:rPr>
          <w:szCs w:val="24"/>
        </w:rPr>
        <w:t xml:space="preserve">and prior informed consent </w:t>
      </w:r>
      <w:r w:rsidR="00C83610" w:rsidRPr="00D878BD">
        <w:rPr>
          <w:szCs w:val="24"/>
        </w:rPr>
        <w:t xml:space="preserve">should result in parties understanding </w:t>
      </w:r>
      <w:r w:rsidR="00E64EC5" w:rsidRPr="00D878BD">
        <w:rPr>
          <w:szCs w:val="24"/>
        </w:rPr>
        <w:t>who owns the information and who is entitled to results.</w:t>
      </w:r>
    </w:p>
    <w:p w14:paraId="2DD9157B" w14:textId="0A93F5E8" w:rsidR="00DD4053" w:rsidRPr="00A16509" w:rsidRDefault="009E1A07" w:rsidP="00DD4053">
      <w:pPr>
        <w:rPr>
          <w:szCs w:val="24"/>
        </w:rPr>
      </w:pPr>
      <w:r w:rsidRPr="00D878BD">
        <w:rPr>
          <w:szCs w:val="24"/>
        </w:rPr>
        <w:t xml:space="preserve">The data produced, absent a specific agreement that discusses ownership between parties, is most likely </w:t>
      </w:r>
      <w:r w:rsidR="00C12CB6">
        <w:rPr>
          <w:szCs w:val="24"/>
        </w:rPr>
        <w:t xml:space="preserve">owned by </w:t>
      </w:r>
      <w:r w:rsidRPr="00D878BD">
        <w:rPr>
          <w:szCs w:val="24"/>
        </w:rPr>
        <w:t>the researcher</w:t>
      </w:r>
      <w:r w:rsidR="00D712D6" w:rsidRPr="00D878BD">
        <w:rPr>
          <w:szCs w:val="24"/>
        </w:rPr>
        <w:t xml:space="preserve">s, funding party or </w:t>
      </w:r>
      <w:r w:rsidR="00623965" w:rsidRPr="00D878BD">
        <w:rPr>
          <w:szCs w:val="24"/>
        </w:rPr>
        <w:t xml:space="preserve">health </w:t>
      </w:r>
      <w:r w:rsidR="00D00CA2" w:rsidRPr="00D878BD">
        <w:rPr>
          <w:szCs w:val="24"/>
        </w:rPr>
        <w:t>organisation</w:t>
      </w:r>
      <w:r w:rsidR="00623965" w:rsidRPr="00D878BD">
        <w:rPr>
          <w:szCs w:val="24"/>
        </w:rPr>
        <w:t>.</w:t>
      </w:r>
      <w:r w:rsidR="00D576C8" w:rsidRPr="00D878BD">
        <w:rPr>
          <w:szCs w:val="24"/>
        </w:rPr>
        <w:t xml:space="preserve"> </w:t>
      </w:r>
      <w:r w:rsidR="00D576C8" w:rsidRPr="00F67476">
        <w:rPr>
          <w:szCs w:val="24"/>
        </w:rPr>
        <w:t>As discussed in</w:t>
      </w:r>
      <w:r w:rsidR="00217B25">
        <w:rPr>
          <w:szCs w:val="24"/>
        </w:rPr>
        <w:t xml:space="preserve"> </w:t>
      </w:r>
      <w:r w:rsidR="00217B25" w:rsidRPr="002B5F46">
        <w:rPr>
          <w:b/>
          <w:bCs/>
          <w:szCs w:val="24"/>
        </w:rPr>
        <w:t xml:space="preserve">Section </w:t>
      </w:r>
      <w:r w:rsidR="00217B25" w:rsidRPr="002B5F46">
        <w:rPr>
          <w:b/>
          <w:bCs/>
          <w:szCs w:val="24"/>
        </w:rPr>
        <w:fldChar w:fldCharType="begin"/>
      </w:r>
      <w:r w:rsidR="00217B25" w:rsidRPr="002B5F46">
        <w:rPr>
          <w:b/>
          <w:bCs/>
          <w:szCs w:val="24"/>
        </w:rPr>
        <w:instrText xml:space="preserve"> REF _Ref44255049 \r \h </w:instrText>
      </w:r>
      <w:r w:rsidR="00217B25" w:rsidRPr="002B5F46">
        <w:rPr>
          <w:b/>
          <w:szCs w:val="24"/>
        </w:rPr>
        <w:instrText xml:space="preserve"> </w:instrText>
      </w:r>
      <w:r w:rsidR="00217B25">
        <w:rPr>
          <w:b/>
          <w:bCs/>
          <w:szCs w:val="24"/>
        </w:rPr>
        <w:instrText xml:space="preserve">\* MERGEFORMAT </w:instrText>
      </w:r>
      <w:r w:rsidR="00217B25" w:rsidRPr="002B5F46">
        <w:rPr>
          <w:b/>
          <w:bCs/>
          <w:szCs w:val="24"/>
        </w:rPr>
      </w:r>
      <w:r w:rsidR="00217B25" w:rsidRPr="002B5F46">
        <w:rPr>
          <w:b/>
          <w:bCs/>
          <w:szCs w:val="24"/>
        </w:rPr>
        <w:fldChar w:fldCharType="separate"/>
      </w:r>
      <w:r w:rsidR="000B4085">
        <w:rPr>
          <w:b/>
          <w:bCs/>
          <w:szCs w:val="24"/>
        </w:rPr>
        <w:t>5.1</w:t>
      </w:r>
      <w:r w:rsidR="00217B25" w:rsidRPr="002B5F46">
        <w:rPr>
          <w:b/>
          <w:bCs/>
          <w:szCs w:val="24"/>
        </w:rPr>
        <w:fldChar w:fldCharType="end"/>
      </w:r>
      <w:r w:rsidR="00D576C8" w:rsidRPr="00D878BD">
        <w:rPr>
          <w:szCs w:val="24"/>
        </w:rPr>
        <w:t xml:space="preserve"> the party that applies changes </w:t>
      </w:r>
      <w:r w:rsidR="003A5089" w:rsidRPr="00D878BD">
        <w:rPr>
          <w:szCs w:val="24"/>
        </w:rPr>
        <w:t>through processing</w:t>
      </w:r>
      <w:r w:rsidR="00555F0E">
        <w:rPr>
          <w:szCs w:val="24"/>
        </w:rPr>
        <w:t>, analysing</w:t>
      </w:r>
      <w:r w:rsidR="003A5089" w:rsidRPr="00D878BD">
        <w:rPr>
          <w:szCs w:val="24"/>
        </w:rPr>
        <w:t xml:space="preserve"> and </w:t>
      </w:r>
      <w:r w:rsidR="00555F0E">
        <w:rPr>
          <w:szCs w:val="24"/>
        </w:rPr>
        <w:t>documenting the results of</w:t>
      </w:r>
      <w:r w:rsidR="003A5089" w:rsidRPr="00F67476">
        <w:rPr>
          <w:szCs w:val="24"/>
        </w:rPr>
        <w:t xml:space="preserve"> </w:t>
      </w:r>
      <w:r w:rsidR="003A5089" w:rsidRPr="00D878BD">
        <w:rPr>
          <w:szCs w:val="24"/>
        </w:rPr>
        <w:t xml:space="preserve">a sample, will often </w:t>
      </w:r>
      <w:r w:rsidR="00555F0E">
        <w:rPr>
          <w:szCs w:val="24"/>
        </w:rPr>
        <w:t xml:space="preserve">have copyright over the </w:t>
      </w:r>
      <w:r w:rsidR="00FF3644">
        <w:rPr>
          <w:szCs w:val="24"/>
        </w:rPr>
        <w:t xml:space="preserve">material expression of the </w:t>
      </w:r>
      <w:r w:rsidR="00555F0E">
        <w:rPr>
          <w:szCs w:val="24"/>
        </w:rPr>
        <w:t>data</w:t>
      </w:r>
      <w:r w:rsidR="001D15A7" w:rsidRPr="00F67476">
        <w:rPr>
          <w:szCs w:val="24"/>
        </w:rPr>
        <w:t>.</w:t>
      </w:r>
      <w:r w:rsidR="001D15A7" w:rsidRPr="00D878BD">
        <w:rPr>
          <w:szCs w:val="24"/>
        </w:rPr>
        <w:t xml:space="preserve"> Whilst data may be, and should be shared with participants, pending </w:t>
      </w:r>
      <w:r w:rsidR="003A58B5">
        <w:rPr>
          <w:szCs w:val="24"/>
        </w:rPr>
        <w:t>an</w:t>
      </w:r>
      <w:r w:rsidR="003A58B5" w:rsidRPr="00D878BD">
        <w:rPr>
          <w:szCs w:val="24"/>
        </w:rPr>
        <w:t xml:space="preserve"> </w:t>
      </w:r>
      <w:r w:rsidR="001D15A7" w:rsidRPr="00D878BD">
        <w:rPr>
          <w:szCs w:val="24"/>
        </w:rPr>
        <w:t>agreement</w:t>
      </w:r>
      <w:r w:rsidR="007637A5">
        <w:rPr>
          <w:szCs w:val="24"/>
        </w:rPr>
        <w:t xml:space="preserve"> to that effect</w:t>
      </w:r>
      <w:r w:rsidR="001D15A7" w:rsidRPr="00D878BD">
        <w:rPr>
          <w:szCs w:val="24"/>
        </w:rPr>
        <w:t xml:space="preserve">, </w:t>
      </w:r>
      <w:r w:rsidR="004031FC">
        <w:rPr>
          <w:szCs w:val="24"/>
        </w:rPr>
        <w:t xml:space="preserve">it is unlikely that </w:t>
      </w:r>
      <w:r w:rsidR="001D15A7" w:rsidRPr="00D878BD">
        <w:rPr>
          <w:szCs w:val="24"/>
        </w:rPr>
        <w:t xml:space="preserve">ownership will </w:t>
      </w:r>
      <w:r w:rsidR="0085002E" w:rsidRPr="00D878BD">
        <w:rPr>
          <w:szCs w:val="24"/>
        </w:rPr>
        <w:t>rest with the individual.</w:t>
      </w:r>
    </w:p>
    <w:p w14:paraId="3E2CE801" w14:textId="731B37A5" w:rsidR="00165D77" w:rsidRPr="00F67476" w:rsidRDefault="00F33934" w:rsidP="002B5F46">
      <w:pPr>
        <w:pStyle w:val="Heading2"/>
        <w:rPr>
          <w:lang w:val="en-AU"/>
        </w:rPr>
      </w:pPr>
      <w:bookmarkStart w:id="136" w:name="_Toc118824362"/>
      <w:r w:rsidRPr="00F67476">
        <w:rPr>
          <w:lang w:val="en-AU"/>
        </w:rPr>
        <w:t xml:space="preserve">Do the privacy laws </w:t>
      </w:r>
      <w:r w:rsidR="00944451">
        <w:rPr>
          <w:lang w:val="en-AU"/>
        </w:rPr>
        <w:t xml:space="preserve">that regulate </w:t>
      </w:r>
      <w:r w:rsidRPr="00F67476">
        <w:rPr>
          <w:lang w:val="en-AU"/>
        </w:rPr>
        <w:t xml:space="preserve">accessing and sharing genomic data provide enough </w:t>
      </w:r>
      <w:r w:rsidR="00DE1F6F" w:rsidRPr="00F67476">
        <w:rPr>
          <w:lang w:val="en-AU"/>
        </w:rPr>
        <w:t>protection</w:t>
      </w:r>
      <w:r w:rsidRPr="00F67476">
        <w:rPr>
          <w:lang w:val="en-AU"/>
        </w:rPr>
        <w:t xml:space="preserve"> for Indigenous genomics?</w:t>
      </w:r>
      <w:bookmarkEnd w:id="136"/>
      <w:r w:rsidRPr="00F67476">
        <w:rPr>
          <w:lang w:val="en-AU"/>
        </w:rPr>
        <w:t xml:space="preserve"> </w:t>
      </w:r>
    </w:p>
    <w:p w14:paraId="04315C7C" w14:textId="4C18D465" w:rsidR="00C70021" w:rsidRPr="00D878BD" w:rsidRDefault="00623965" w:rsidP="00DD4053">
      <w:pPr>
        <w:rPr>
          <w:szCs w:val="24"/>
        </w:rPr>
      </w:pPr>
      <w:r w:rsidRPr="00D878BD">
        <w:rPr>
          <w:szCs w:val="24"/>
        </w:rPr>
        <w:t xml:space="preserve">Privacy laws protect Indigenous genomics insofar as they relate to identified material. </w:t>
      </w:r>
      <w:r w:rsidR="00B34F30" w:rsidRPr="00D878BD">
        <w:rPr>
          <w:szCs w:val="24"/>
        </w:rPr>
        <w:t xml:space="preserve">Based on the current approach by the Australian Privacy Principles, there are no specific guidelines that relate to </w:t>
      </w:r>
      <w:r w:rsidR="00B320E7">
        <w:rPr>
          <w:szCs w:val="24"/>
        </w:rPr>
        <w:t xml:space="preserve">Aboriginal and Torres Strait Islander </w:t>
      </w:r>
      <w:r w:rsidR="00B34F30" w:rsidRPr="00D878BD">
        <w:rPr>
          <w:szCs w:val="24"/>
        </w:rPr>
        <w:t xml:space="preserve">genomic </w:t>
      </w:r>
      <w:r w:rsidR="0056626F" w:rsidRPr="00D878BD">
        <w:rPr>
          <w:szCs w:val="24"/>
        </w:rPr>
        <w:t>information</w:t>
      </w:r>
      <w:r w:rsidR="004C0C76" w:rsidRPr="00D878BD">
        <w:rPr>
          <w:szCs w:val="24"/>
        </w:rPr>
        <w:t>.</w:t>
      </w:r>
      <w:r w:rsidR="008E4762" w:rsidRPr="00D878BD">
        <w:rPr>
          <w:szCs w:val="24"/>
        </w:rPr>
        <w:t xml:space="preserve"> </w:t>
      </w:r>
      <w:r w:rsidR="00C70021" w:rsidRPr="00D878BD">
        <w:rPr>
          <w:szCs w:val="24"/>
        </w:rPr>
        <w:t xml:space="preserve">As such, privacy laws </w:t>
      </w:r>
      <w:r w:rsidR="00915B72" w:rsidRPr="00D878BD">
        <w:rPr>
          <w:szCs w:val="24"/>
        </w:rPr>
        <w:t xml:space="preserve">do not </w:t>
      </w:r>
      <w:r w:rsidR="009E06E1" w:rsidRPr="00D878BD">
        <w:rPr>
          <w:szCs w:val="24"/>
        </w:rPr>
        <w:t xml:space="preserve">protect </w:t>
      </w:r>
      <w:r w:rsidR="00915B72" w:rsidRPr="00D878BD">
        <w:rPr>
          <w:szCs w:val="24"/>
        </w:rPr>
        <w:t xml:space="preserve">de-identified </w:t>
      </w:r>
      <w:r w:rsidR="00B320E7">
        <w:rPr>
          <w:szCs w:val="24"/>
        </w:rPr>
        <w:t xml:space="preserve">Aboriginal and Torres Strait Islander </w:t>
      </w:r>
      <w:r w:rsidR="00B2560F" w:rsidRPr="00D878BD">
        <w:rPr>
          <w:szCs w:val="24"/>
        </w:rPr>
        <w:t xml:space="preserve">genomic </w:t>
      </w:r>
      <w:r w:rsidR="009B05D0" w:rsidRPr="00D878BD">
        <w:rPr>
          <w:szCs w:val="24"/>
        </w:rPr>
        <w:t>information</w:t>
      </w:r>
      <w:r w:rsidR="00915B72" w:rsidRPr="00D878BD">
        <w:rPr>
          <w:szCs w:val="24"/>
        </w:rPr>
        <w:t>.</w:t>
      </w:r>
    </w:p>
    <w:p w14:paraId="16387AD8" w14:textId="5982CC6D" w:rsidR="004C0C76" w:rsidRPr="00D878BD" w:rsidRDefault="006E7D1E" w:rsidP="00DD4053">
      <w:pPr>
        <w:rPr>
          <w:szCs w:val="24"/>
        </w:rPr>
      </w:pPr>
      <w:r w:rsidRPr="00D878BD">
        <w:rPr>
          <w:szCs w:val="24"/>
        </w:rPr>
        <w:t xml:space="preserve">However, </w:t>
      </w:r>
      <w:r w:rsidR="008E4762" w:rsidRPr="00D878BD">
        <w:rPr>
          <w:szCs w:val="24"/>
        </w:rPr>
        <w:t>for identified material</w:t>
      </w:r>
      <w:r w:rsidR="00EC21B3" w:rsidRPr="00D878BD">
        <w:rPr>
          <w:szCs w:val="24"/>
        </w:rPr>
        <w:t xml:space="preserve"> the protections </w:t>
      </w:r>
      <w:r w:rsidR="0079665A" w:rsidRPr="00D878BD">
        <w:rPr>
          <w:szCs w:val="24"/>
        </w:rPr>
        <w:t xml:space="preserve">afforded to individuals </w:t>
      </w:r>
      <w:r w:rsidR="00C31C60" w:rsidRPr="00D878BD">
        <w:rPr>
          <w:szCs w:val="24"/>
        </w:rPr>
        <w:t xml:space="preserve">provide limited </w:t>
      </w:r>
      <w:r w:rsidR="00914FA1" w:rsidRPr="00D878BD">
        <w:rPr>
          <w:szCs w:val="24"/>
        </w:rPr>
        <w:t>exceptions</w:t>
      </w:r>
      <w:r w:rsidR="00C31C60" w:rsidRPr="00D878BD">
        <w:rPr>
          <w:szCs w:val="24"/>
        </w:rPr>
        <w:t xml:space="preserve"> for the disclosure of identified material outside of the consent guidelines</w:t>
      </w:r>
      <w:r w:rsidR="00914FA1" w:rsidRPr="00D878BD">
        <w:rPr>
          <w:szCs w:val="24"/>
        </w:rPr>
        <w:t>.</w:t>
      </w:r>
      <w:r w:rsidR="00C70021" w:rsidRPr="00D878BD">
        <w:rPr>
          <w:szCs w:val="24"/>
        </w:rPr>
        <w:t xml:space="preserve"> Some </w:t>
      </w:r>
      <w:r w:rsidR="00C70021" w:rsidRPr="00D878BD">
        <w:rPr>
          <w:szCs w:val="24"/>
        </w:rPr>
        <w:lastRenderedPageBreak/>
        <w:t xml:space="preserve">exceptions </w:t>
      </w:r>
      <w:r w:rsidR="004D0AF3">
        <w:rPr>
          <w:szCs w:val="24"/>
        </w:rPr>
        <w:t>in</w:t>
      </w:r>
      <w:r w:rsidR="004D0AF3" w:rsidRPr="00D878BD">
        <w:rPr>
          <w:szCs w:val="24"/>
        </w:rPr>
        <w:t xml:space="preserve"> </w:t>
      </w:r>
      <w:r w:rsidR="004C0C76" w:rsidRPr="00D878BD">
        <w:rPr>
          <w:szCs w:val="24"/>
        </w:rPr>
        <w:t>the A</w:t>
      </w:r>
      <w:r w:rsidR="00AA0062" w:rsidRPr="00D878BD">
        <w:rPr>
          <w:szCs w:val="24"/>
        </w:rPr>
        <w:t xml:space="preserve">ustralian Privacy Principles </w:t>
      </w:r>
      <w:r w:rsidR="00CB4E5E">
        <w:rPr>
          <w:szCs w:val="24"/>
        </w:rPr>
        <w:t>that allow</w:t>
      </w:r>
      <w:r w:rsidR="00C11F97">
        <w:rPr>
          <w:szCs w:val="24"/>
        </w:rPr>
        <w:t xml:space="preserve"> </w:t>
      </w:r>
      <w:r w:rsidR="00AA0062" w:rsidRPr="00D878BD">
        <w:rPr>
          <w:szCs w:val="24"/>
        </w:rPr>
        <w:t>non-consensual use of data</w:t>
      </w:r>
      <w:r w:rsidR="008C2E74">
        <w:rPr>
          <w:szCs w:val="24"/>
        </w:rPr>
        <w:t xml:space="preserve"> (e.g. via </w:t>
      </w:r>
      <w:r w:rsidR="00E40F89">
        <w:rPr>
          <w:szCs w:val="24"/>
        </w:rPr>
        <w:t>c</w:t>
      </w:r>
      <w:r w:rsidR="004C0C76" w:rsidRPr="00D878BD">
        <w:rPr>
          <w:szCs w:val="24"/>
        </w:rPr>
        <w:t xml:space="preserve">ourt </w:t>
      </w:r>
      <w:r w:rsidR="00E40F89">
        <w:rPr>
          <w:szCs w:val="24"/>
        </w:rPr>
        <w:t>o</w:t>
      </w:r>
      <w:r w:rsidR="004C0C76" w:rsidRPr="00D878BD">
        <w:rPr>
          <w:szCs w:val="24"/>
        </w:rPr>
        <w:t>rder</w:t>
      </w:r>
      <w:r w:rsidR="008C2E74">
        <w:rPr>
          <w:szCs w:val="24"/>
        </w:rPr>
        <w:t>)</w:t>
      </w:r>
      <w:r w:rsidR="00521FDE">
        <w:rPr>
          <w:szCs w:val="24"/>
        </w:rPr>
        <w:t xml:space="preserve"> leave gaps in the protection of </w:t>
      </w:r>
      <w:r w:rsidR="001C51B3">
        <w:rPr>
          <w:szCs w:val="24"/>
        </w:rPr>
        <w:t xml:space="preserve">Aboriginal and Torres Strait Islander </w:t>
      </w:r>
      <w:r w:rsidR="00DE1F6F" w:rsidRPr="00D878BD">
        <w:rPr>
          <w:szCs w:val="24"/>
        </w:rPr>
        <w:t xml:space="preserve">genomic information. </w:t>
      </w:r>
      <w:r w:rsidR="00AC2513">
        <w:rPr>
          <w:szCs w:val="24"/>
        </w:rPr>
        <w:t>The Advisory Group spoke of the</w:t>
      </w:r>
      <w:r w:rsidR="00520E8D">
        <w:rPr>
          <w:szCs w:val="24"/>
        </w:rPr>
        <w:t>se concerns</w:t>
      </w:r>
      <w:r w:rsidR="00A02FFE" w:rsidRPr="00D878BD">
        <w:rPr>
          <w:szCs w:val="24"/>
        </w:rPr>
        <w:t xml:space="preserve">. </w:t>
      </w:r>
      <w:r w:rsidR="009434D5" w:rsidRPr="00D878BD">
        <w:rPr>
          <w:szCs w:val="24"/>
        </w:rPr>
        <w:t xml:space="preserve">This shows not only the seriousness of the consent procedures, but also the distrust in the police system. This is part of a wider concern about </w:t>
      </w:r>
      <w:r w:rsidR="00C70021" w:rsidRPr="00D878BD">
        <w:rPr>
          <w:szCs w:val="24"/>
        </w:rPr>
        <w:t xml:space="preserve">potential </w:t>
      </w:r>
      <w:r w:rsidR="009434D5" w:rsidRPr="00D878BD">
        <w:rPr>
          <w:szCs w:val="24"/>
        </w:rPr>
        <w:t xml:space="preserve">misuse of genetic material by </w:t>
      </w:r>
      <w:r w:rsidR="00C70021" w:rsidRPr="00D878BD">
        <w:rPr>
          <w:szCs w:val="24"/>
        </w:rPr>
        <w:t>government through court order</w:t>
      </w:r>
      <w:r w:rsidR="009434D5" w:rsidRPr="00D878BD">
        <w:rPr>
          <w:szCs w:val="24"/>
        </w:rPr>
        <w:t>, with concerns arising around the use in native title applications</w:t>
      </w:r>
      <w:r w:rsidR="00C70021" w:rsidRPr="00D878BD">
        <w:rPr>
          <w:szCs w:val="24"/>
        </w:rPr>
        <w:t xml:space="preserve"> or a possible register for</w:t>
      </w:r>
      <w:r w:rsidR="008B2946">
        <w:rPr>
          <w:szCs w:val="24"/>
        </w:rPr>
        <w:t xml:space="preserve"> Aboriginal and Torres Strait Islander</w:t>
      </w:r>
      <w:r w:rsidR="00C70021" w:rsidRPr="00D878BD">
        <w:rPr>
          <w:szCs w:val="24"/>
        </w:rPr>
        <w:t xml:space="preserve"> peoples.</w:t>
      </w:r>
    </w:p>
    <w:p w14:paraId="2A9BB56B" w14:textId="0064D260" w:rsidR="00F33934" w:rsidRPr="00F67476" w:rsidRDefault="00F33934" w:rsidP="002B5F46">
      <w:pPr>
        <w:pStyle w:val="Heading2"/>
        <w:rPr>
          <w:lang w:val="en-AU"/>
        </w:rPr>
      </w:pPr>
      <w:bookmarkStart w:id="137" w:name="_Toc118824363"/>
      <w:r w:rsidRPr="00F67476">
        <w:rPr>
          <w:lang w:val="en-AU"/>
        </w:rPr>
        <w:t>Are Aboriginal and Torres Strait Islander people getting fair access to health outcomes?</w:t>
      </w:r>
      <w:bookmarkEnd w:id="137"/>
      <w:r w:rsidRPr="00F67476">
        <w:rPr>
          <w:lang w:val="en-AU"/>
        </w:rPr>
        <w:t xml:space="preserve"> </w:t>
      </w:r>
    </w:p>
    <w:p w14:paraId="768A5782" w14:textId="09E94D3D" w:rsidR="00ED6643" w:rsidRPr="00D878BD" w:rsidRDefault="005E3F3E" w:rsidP="009F60F6">
      <w:pPr>
        <w:rPr>
          <w:szCs w:val="24"/>
        </w:rPr>
      </w:pPr>
      <w:r w:rsidRPr="00D878BD">
        <w:rPr>
          <w:szCs w:val="24"/>
        </w:rPr>
        <w:t xml:space="preserve">Fair access to health outcomes </w:t>
      </w:r>
      <w:r w:rsidR="00A93F32">
        <w:rPr>
          <w:szCs w:val="24"/>
        </w:rPr>
        <w:t>is</w:t>
      </w:r>
      <w:r w:rsidRPr="00D878BD">
        <w:rPr>
          <w:szCs w:val="24"/>
        </w:rPr>
        <w:t xml:space="preserve"> based on a number of varying factors</w:t>
      </w:r>
      <w:r w:rsidR="00ED6643" w:rsidRPr="00D878BD">
        <w:rPr>
          <w:szCs w:val="24"/>
        </w:rPr>
        <w:t xml:space="preserve">. </w:t>
      </w:r>
      <w:r w:rsidR="008974BD" w:rsidRPr="00D878BD">
        <w:rPr>
          <w:szCs w:val="24"/>
        </w:rPr>
        <w:t>In a research setting, fair access to health outcomes can take many years to eventuate, however, projects involving Aboriginal and Torres Strait Islander communities should consult and co</w:t>
      </w:r>
      <w:r w:rsidR="00B970F1">
        <w:rPr>
          <w:szCs w:val="24"/>
        </w:rPr>
        <w:t>-</w:t>
      </w:r>
      <w:r w:rsidR="008974BD" w:rsidRPr="00D878BD">
        <w:rPr>
          <w:szCs w:val="24"/>
        </w:rPr>
        <w:t xml:space="preserve">develop with </w:t>
      </w:r>
      <w:r w:rsidR="00D00CA2" w:rsidRPr="00D878BD">
        <w:rPr>
          <w:szCs w:val="24"/>
        </w:rPr>
        <w:t>communities</w:t>
      </w:r>
      <w:r w:rsidR="008974BD" w:rsidRPr="00D878BD">
        <w:rPr>
          <w:szCs w:val="24"/>
        </w:rPr>
        <w:t xml:space="preserve">, and as such, fair access to health outcomes </w:t>
      </w:r>
      <w:r w:rsidR="00F936EA" w:rsidRPr="00D878BD">
        <w:rPr>
          <w:szCs w:val="24"/>
        </w:rPr>
        <w:t xml:space="preserve">would be defined by the community based on the </w:t>
      </w:r>
      <w:r w:rsidR="00D00CA2" w:rsidRPr="00D878BD">
        <w:rPr>
          <w:szCs w:val="24"/>
        </w:rPr>
        <w:t>situation</w:t>
      </w:r>
      <w:r w:rsidR="00F936EA" w:rsidRPr="00D878BD">
        <w:rPr>
          <w:szCs w:val="24"/>
        </w:rPr>
        <w:t>.</w:t>
      </w:r>
      <w:r w:rsidR="00D24A9A" w:rsidRPr="00D878BD">
        <w:rPr>
          <w:szCs w:val="24"/>
        </w:rPr>
        <w:t xml:space="preserve"> </w:t>
      </w:r>
      <w:r w:rsidR="00CD240B" w:rsidRPr="00D878BD">
        <w:rPr>
          <w:szCs w:val="24"/>
        </w:rPr>
        <w:t xml:space="preserve">The Genomics </w:t>
      </w:r>
      <w:r w:rsidR="00D00CA2" w:rsidRPr="00D878BD">
        <w:rPr>
          <w:szCs w:val="24"/>
        </w:rPr>
        <w:t>Partnership</w:t>
      </w:r>
      <w:r w:rsidR="00CD240B" w:rsidRPr="00D878BD">
        <w:rPr>
          <w:szCs w:val="24"/>
        </w:rPr>
        <w:t xml:space="preserve"> Guidelines developed by the </w:t>
      </w:r>
      <w:r w:rsidR="00602450">
        <w:rPr>
          <w:szCs w:val="24"/>
        </w:rPr>
        <w:t>Q</w:t>
      </w:r>
      <w:r w:rsidR="00CD240B" w:rsidRPr="00D878BD">
        <w:rPr>
          <w:szCs w:val="24"/>
        </w:rPr>
        <w:t xml:space="preserve">IMR Berghofer, if </w:t>
      </w:r>
      <w:r w:rsidR="008A0550" w:rsidRPr="00D878BD">
        <w:rPr>
          <w:szCs w:val="24"/>
        </w:rPr>
        <w:t>followed can result in fair access to health outcomes for Aboriginal and Torres Strait Islander people</w:t>
      </w:r>
      <w:r w:rsidR="00D01938">
        <w:rPr>
          <w:szCs w:val="24"/>
        </w:rPr>
        <w:t>s</w:t>
      </w:r>
      <w:r w:rsidR="008A0550" w:rsidRPr="00D878BD">
        <w:rPr>
          <w:szCs w:val="24"/>
        </w:rPr>
        <w:t>. Overall</w:t>
      </w:r>
      <w:r w:rsidR="00F4768B" w:rsidRPr="00D878BD">
        <w:rPr>
          <w:szCs w:val="24"/>
        </w:rPr>
        <w:t xml:space="preserve">, in a research setting, fair access to health </w:t>
      </w:r>
      <w:r w:rsidR="000366CA" w:rsidRPr="00D878BD">
        <w:rPr>
          <w:szCs w:val="24"/>
        </w:rPr>
        <w:t>outcomes</w:t>
      </w:r>
      <w:r w:rsidR="00F4768B" w:rsidRPr="00D878BD">
        <w:rPr>
          <w:szCs w:val="24"/>
        </w:rPr>
        <w:t xml:space="preserve"> are project specific, and not all projects are </w:t>
      </w:r>
      <w:r w:rsidR="00D15815" w:rsidRPr="00D878BD">
        <w:rPr>
          <w:szCs w:val="24"/>
        </w:rPr>
        <w:t xml:space="preserve">conducted ethically or </w:t>
      </w:r>
      <w:r w:rsidR="00D00CA2" w:rsidRPr="00D878BD">
        <w:rPr>
          <w:szCs w:val="24"/>
        </w:rPr>
        <w:t>characterised</w:t>
      </w:r>
      <w:r w:rsidR="00264692" w:rsidRPr="00D878BD">
        <w:rPr>
          <w:szCs w:val="24"/>
        </w:rPr>
        <w:t xml:space="preserve"> by co-development, prior informed consent and consultation.</w:t>
      </w:r>
      <w:r w:rsidR="00D15815" w:rsidRPr="00D878BD">
        <w:rPr>
          <w:szCs w:val="24"/>
        </w:rPr>
        <w:t xml:space="preserve"> </w:t>
      </w:r>
    </w:p>
    <w:p w14:paraId="5705C791" w14:textId="2C0869E4" w:rsidR="004873F1" w:rsidRPr="00D878BD" w:rsidRDefault="009F60F6" w:rsidP="004873F1">
      <w:pPr>
        <w:rPr>
          <w:szCs w:val="24"/>
        </w:rPr>
      </w:pPr>
      <w:r w:rsidRPr="00D878BD">
        <w:rPr>
          <w:szCs w:val="24"/>
        </w:rPr>
        <w:t>However, based on research and consultations, i</w:t>
      </w:r>
      <w:r w:rsidR="002D7A32" w:rsidRPr="00D878BD">
        <w:rPr>
          <w:szCs w:val="24"/>
        </w:rPr>
        <w:t>n a clinical setting, it is likely</w:t>
      </w:r>
      <w:r w:rsidRPr="00D878BD">
        <w:rPr>
          <w:szCs w:val="24"/>
        </w:rPr>
        <w:t xml:space="preserve"> that Aboriginal and Torres Strait Islander </w:t>
      </w:r>
      <w:r w:rsidR="001F2129">
        <w:rPr>
          <w:szCs w:val="24"/>
        </w:rPr>
        <w:t>p</w:t>
      </w:r>
      <w:r w:rsidRPr="00D878BD">
        <w:rPr>
          <w:szCs w:val="24"/>
        </w:rPr>
        <w:t>eoples are not getting fair access to health outcomes</w:t>
      </w:r>
      <w:r w:rsidR="00B93D09">
        <w:rPr>
          <w:szCs w:val="24"/>
        </w:rPr>
        <w:t xml:space="preserve"> </w:t>
      </w:r>
      <w:r w:rsidR="002D7A32" w:rsidRPr="00D878BD">
        <w:rPr>
          <w:szCs w:val="24"/>
        </w:rPr>
        <w:t>if they are not embedded as part of a project</w:t>
      </w:r>
      <w:r w:rsidRPr="00D878BD">
        <w:rPr>
          <w:szCs w:val="24"/>
        </w:rPr>
        <w:t>.</w:t>
      </w:r>
      <w:r w:rsidR="00BB5295" w:rsidRPr="00D878BD">
        <w:rPr>
          <w:szCs w:val="24"/>
        </w:rPr>
        <w:t xml:space="preserve"> </w:t>
      </w:r>
      <w:r w:rsidR="008F4118">
        <w:rPr>
          <w:szCs w:val="24"/>
        </w:rPr>
        <w:t>O</w:t>
      </w:r>
      <w:r w:rsidR="004C32E0" w:rsidRPr="00D878BD">
        <w:rPr>
          <w:szCs w:val="24"/>
        </w:rPr>
        <w:t xml:space="preserve">ften </w:t>
      </w:r>
      <w:r w:rsidR="00944BD5">
        <w:rPr>
          <w:szCs w:val="24"/>
        </w:rPr>
        <w:t xml:space="preserve">in the </w:t>
      </w:r>
      <w:r w:rsidR="004C32E0" w:rsidRPr="00D878BD">
        <w:rPr>
          <w:szCs w:val="24"/>
        </w:rPr>
        <w:t xml:space="preserve">case of rare </w:t>
      </w:r>
      <w:r w:rsidR="006C55B8" w:rsidRPr="00D878BD">
        <w:rPr>
          <w:szCs w:val="24"/>
        </w:rPr>
        <w:t>disease or genetic disorders</w:t>
      </w:r>
      <w:r w:rsidR="0031460F">
        <w:rPr>
          <w:szCs w:val="24"/>
        </w:rPr>
        <w:t>,</w:t>
      </w:r>
      <w:r w:rsidR="006C55B8" w:rsidRPr="00D878BD">
        <w:rPr>
          <w:szCs w:val="24"/>
        </w:rPr>
        <w:t xml:space="preserve"> </w:t>
      </w:r>
      <w:r w:rsidR="00F81E5B">
        <w:rPr>
          <w:szCs w:val="24"/>
        </w:rPr>
        <w:t xml:space="preserve">Aboriginal and Torres Strait Islander </w:t>
      </w:r>
      <w:r w:rsidR="00D06562" w:rsidRPr="00D878BD">
        <w:rPr>
          <w:szCs w:val="24"/>
        </w:rPr>
        <w:t xml:space="preserve">families don’t get the same clinical or support </w:t>
      </w:r>
      <w:r w:rsidR="00BB5295" w:rsidRPr="00D878BD">
        <w:rPr>
          <w:szCs w:val="24"/>
        </w:rPr>
        <w:t>services</w:t>
      </w:r>
      <w:r w:rsidR="00D06562" w:rsidRPr="00D878BD">
        <w:rPr>
          <w:szCs w:val="24"/>
        </w:rPr>
        <w:t xml:space="preserve"> that other families get, in both remote and non-remote communities</w:t>
      </w:r>
      <w:r w:rsidR="006C55B8" w:rsidRPr="00D878BD">
        <w:rPr>
          <w:szCs w:val="24"/>
        </w:rPr>
        <w:t>.</w:t>
      </w:r>
      <w:r w:rsidR="007C5F6D" w:rsidRPr="00D878BD">
        <w:rPr>
          <w:szCs w:val="24"/>
        </w:rPr>
        <w:t xml:space="preserve"> </w:t>
      </w:r>
      <w:r w:rsidR="00935AD2">
        <w:rPr>
          <w:szCs w:val="24"/>
        </w:rPr>
        <w:t xml:space="preserve">The issues are well known. </w:t>
      </w:r>
      <w:r w:rsidR="00BB5295" w:rsidRPr="00D878BD">
        <w:rPr>
          <w:szCs w:val="24"/>
        </w:rPr>
        <w:t>Individual</w:t>
      </w:r>
      <w:r w:rsidR="002C6678">
        <w:rPr>
          <w:szCs w:val="24"/>
        </w:rPr>
        <w:t>s</w:t>
      </w:r>
      <w:r w:rsidR="00BB03DA" w:rsidRPr="00D878BD">
        <w:rPr>
          <w:szCs w:val="24"/>
        </w:rPr>
        <w:t xml:space="preserve"> or whole families</w:t>
      </w:r>
      <w:r w:rsidR="00D91573" w:rsidRPr="00D878BD">
        <w:rPr>
          <w:szCs w:val="24"/>
        </w:rPr>
        <w:t xml:space="preserve"> can </w:t>
      </w:r>
      <w:r w:rsidR="007C5F6D" w:rsidRPr="00D878BD">
        <w:rPr>
          <w:szCs w:val="24"/>
        </w:rPr>
        <w:t>get diagnosed with a disease</w:t>
      </w:r>
      <w:r w:rsidR="00FB5942">
        <w:rPr>
          <w:szCs w:val="24"/>
        </w:rPr>
        <w:t xml:space="preserve"> and</w:t>
      </w:r>
      <w:r w:rsidR="004F34A3" w:rsidRPr="00D878BD">
        <w:rPr>
          <w:szCs w:val="24"/>
        </w:rPr>
        <w:t xml:space="preserve"> they won’t get proper clinical service because no one goes out of their way to ensure that they are adequately taken care of.</w:t>
      </w:r>
      <w:r w:rsidR="00155A73" w:rsidRPr="00D878BD">
        <w:rPr>
          <w:szCs w:val="24"/>
        </w:rPr>
        <w:t xml:space="preserve"> </w:t>
      </w:r>
      <w:r w:rsidR="00317682" w:rsidRPr="00D878BD">
        <w:rPr>
          <w:szCs w:val="24"/>
        </w:rPr>
        <w:t xml:space="preserve">For those that are in remote communities, there are often excuses around difficult logistics, however for many families, because </w:t>
      </w:r>
      <w:r w:rsidR="00F828D1">
        <w:rPr>
          <w:szCs w:val="24"/>
        </w:rPr>
        <w:t xml:space="preserve">Aboriginal and Torres Strait Islander </w:t>
      </w:r>
      <w:r w:rsidR="00317682" w:rsidRPr="00D878BD">
        <w:rPr>
          <w:szCs w:val="24"/>
        </w:rPr>
        <w:t xml:space="preserve">communities are so relational, there is </w:t>
      </w:r>
      <w:r w:rsidR="00A76429" w:rsidRPr="00D878BD">
        <w:rPr>
          <w:szCs w:val="24"/>
        </w:rPr>
        <w:t xml:space="preserve">sometimes a suspicion around joining support groups where they do not know anyone. </w:t>
      </w:r>
      <w:r w:rsidR="00DB22B8" w:rsidRPr="00D878BD">
        <w:rPr>
          <w:szCs w:val="24"/>
        </w:rPr>
        <w:t>For the support groups in the cities, the groups may not have any issues finding individual</w:t>
      </w:r>
      <w:r w:rsidR="008A20E1" w:rsidRPr="00D878BD">
        <w:rPr>
          <w:szCs w:val="24"/>
        </w:rPr>
        <w:t>s</w:t>
      </w:r>
      <w:r w:rsidR="00DB22B8" w:rsidRPr="00D878BD">
        <w:rPr>
          <w:szCs w:val="24"/>
        </w:rPr>
        <w:t xml:space="preserve"> to join</w:t>
      </w:r>
      <w:r w:rsidR="0008577C" w:rsidRPr="00D878BD">
        <w:rPr>
          <w:szCs w:val="24"/>
        </w:rPr>
        <w:t xml:space="preserve">, whether they are </w:t>
      </w:r>
      <w:r w:rsidR="00D13897">
        <w:rPr>
          <w:szCs w:val="24"/>
        </w:rPr>
        <w:t xml:space="preserve">Aboriginal or Torres Strait Islander </w:t>
      </w:r>
      <w:r w:rsidR="0008577C" w:rsidRPr="00D878BD">
        <w:rPr>
          <w:szCs w:val="24"/>
        </w:rPr>
        <w:t xml:space="preserve">or not. </w:t>
      </w:r>
      <w:r w:rsidR="00D01341" w:rsidRPr="00D878BD">
        <w:rPr>
          <w:szCs w:val="24"/>
        </w:rPr>
        <w:t xml:space="preserve">For </w:t>
      </w:r>
      <w:r w:rsidR="00D13897">
        <w:rPr>
          <w:szCs w:val="24"/>
        </w:rPr>
        <w:t xml:space="preserve">Aboriginal and Torres Strait Islander </w:t>
      </w:r>
      <w:r w:rsidR="00D01341" w:rsidRPr="00D878BD">
        <w:rPr>
          <w:szCs w:val="24"/>
        </w:rPr>
        <w:t xml:space="preserve">patients though, </w:t>
      </w:r>
      <w:r w:rsidR="00ED3BD4" w:rsidRPr="00D878BD">
        <w:rPr>
          <w:szCs w:val="24"/>
        </w:rPr>
        <w:t>the initial reluctance to join is taken by some support groups as a disinterest and so there will be no further attempts</w:t>
      </w:r>
      <w:r w:rsidR="008978FF" w:rsidRPr="00D878BD">
        <w:rPr>
          <w:szCs w:val="24"/>
        </w:rPr>
        <w:t xml:space="preserve">. </w:t>
      </w:r>
      <w:r w:rsidR="004873F1" w:rsidRPr="00D878BD">
        <w:rPr>
          <w:szCs w:val="24"/>
        </w:rPr>
        <w:t xml:space="preserve">Some support services fail to understand that </w:t>
      </w:r>
      <w:r w:rsidR="00D13897">
        <w:rPr>
          <w:szCs w:val="24"/>
        </w:rPr>
        <w:t xml:space="preserve">Aboriginal and Torres Strait Islander </w:t>
      </w:r>
      <w:r w:rsidR="004873F1" w:rsidRPr="00D878BD">
        <w:rPr>
          <w:szCs w:val="24"/>
        </w:rPr>
        <w:t xml:space="preserve">groups are more community focused groups, rather than consumer groups and so specialist clinics and support groups should go the extra mile as some </w:t>
      </w:r>
      <w:r w:rsidR="00A902E1">
        <w:rPr>
          <w:szCs w:val="24"/>
        </w:rPr>
        <w:t xml:space="preserve">Aboriginal or Torres Strait Islander </w:t>
      </w:r>
      <w:r w:rsidR="004873F1" w:rsidRPr="00D878BD">
        <w:rPr>
          <w:szCs w:val="24"/>
        </w:rPr>
        <w:t xml:space="preserve">patients might be shy. </w:t>
      </w:r>
    </w:p>
    <w:p w14:paraId="11755EBE" w14:textId="3415A62C" w:rsidR="00D14857" w:rsidRPr="00DB0279" w:rsidRDefault="00247EBB" w:rsidP="00AC73DF">
      <w:pPr>
        <w:rPr>
          <w:szCs w:val="24"/>
        </w:rPr>
      </w:pPr>
      <w:r>
        <w:rPr>
          <w:szCs w:val="24"/>
        </w:rPr>
        <w:t xml:space="preserve">The Advisory Group </w:t>
      </w:r>
      <w:r w:rsidR="00321F00" w:rsidRPr="00D878BD">
        <w:rPr>
          <w:szCs w:val="24"/>
        </w:rPr>
        <w:t xml:space="preserve">raised issues around genetic literacy in the clinical setting. </w:t>
      </w:r>
      <w:r w:rsidR="00AA4120" w:rsidRPr="00D878BD">
        <w:rPr>
          <w:szCs w:val="24"/>
        </w:rPr>
        <w:t xml:space="preserve">Part of fair access to health outcomes, is understanding the condition one may have and improving their knowledge of the area so that they can inform their family if they possess similar </w:t>
      </w:r>
      <w:r w:rsidR="006941CB" w:rsidRPr="00D878BD">
        <w:rPr>
          <w:szCs w:val="24"/>
        </w:rPr>
        <w:t xml:space="preserve">predispositions. It was found in genetic counselling and community education, knowledge of rights and of conditions was </w:t>
      </w:r>
      <w:r w:rsidR="004873F1" w:rsidRPr="00D878BD">
        <w:rPr>
          <w:szCs w:val="24"/>
        </w:rPr>
        <w:t>lacking and of great need. Health outcomes should include knowledge of conditions and the rights that people have in regard to their genomic information</w:t>
      </w:r>
      <w:r w:rsidR="00A515F7" w:rsidRPr="00D878BD">
        <w:rPr>
          <w:szCs w:val="24"/>
        </w:rPr>
        <w:t>, and at the present moment</w:t>
      </w:r>
      <w:r w:rsidR="00AC4AD7">
        <w:rPr>
          <w:szCs w:val="24"/>
        </w:rPr>
        <w:t>.</w:t>
      </w:r>
      <w:r w:rsidR="00A515F7" w:rsidRPr="00D878BD">
        <w:rPr>
          <w:szCs w:val="24"/>
        </w:rPr>
        <w:t xml:space="preserve"> Aboriginal and Torres Strait islander people</w:t>
      </w:r>
      <w:r w:rsidR="00AC4AD7">
        <w:rPr>
          <w:szCs w:val="24"/>
        </w:rPr>
        <w:t>s</w:t>
      </w:r>
      <w:r w:rsidR="00A515F7" w:rsidRPr="00D878BD">
        <w:rPr>
          <w:szCs w:val="24"/>
        </w:rPr>
        <w:t xml:space="preserve"> are not receiving this.</w:t>
      </w:r>
    </w:p>
    <w:p w14:paraId="55DBACB2" w14:textId="59D323BF" w:rsidR="00D14857" w:rsidRPr="00F67476" w:rsidRDefault="00D14857" w:rsidP="002B5F46">
      <w:pPr>
        <w:pStyle w:val="Heading2"/>
        <w:rPr>
          <w:lang w:val="en-AU"/>
        </w:rPr>
      </w:pPr>
      <w:bookmarkStart w:id="138" w:name="_Toc118824364"/>
      <w:r w:rsidRPr="00F67476">
        <w:rPr>
          <w:lang w:val="en-AU"/>
        </w:rPr>
        <w:lastRenderedPageBreak/>
        <w:t xml:space="preserve">Does the law promote (or impede) </w:t>
      </w:r>
      <w:r w:rsidR="00A902E1">
        <w:rPr>
          <w:lang w:val="en-AU"/>
        </w:rPr>
        <w:t xml:space="preserve">Aboriginal and Torres Strait Islander </w:t>
      </w:r>
      <w:r w:rsidRPr="00F67476">
        <w:rPr>
          <w:lang w:val="en-AU"/>
        </w:rPr>
        <w:t>co-design and management of genomic projects?</w:t>
      </w:r>
      <w:bookmarkEnd w:id="138"/>
      <w:r w:rsidRPr="00F67476">
        <w:rPr>
          <w:lang w:val="en-AU"/>
        </w:rPr>
        <w:t xml:space="preserve"> </w:t>
      </w:r>
    </w:p>
    <w:p w14:paraId="677D1EC0" w14:textId="77777777" w:rsidR="00D14857" w:rsidRPr="002B5F57" w:rsidRDefault="00D14857" w:rsidP="00AC73DF">
      <w:pPr>
        <w:rPr>
          <w:szCs w:val="24"/>
        </w:rPr>
      </w:pPr>
      <w:r w:rsidRPr="002B5F57">
        <w:rPr>
          <w:szCs w:val="24"/>
        </w:rPr>
        <w:t xml:space="preserve">Aboriginal and Torres Strait Islander peoples’ genomes (the physical samples and the data derived from them) form part of their cultural heritage and part of their Indigenous Cultural and Intellectual Property (ICIP). To date, ICIP is not legally recognised in any Australian law. </w:t>
      </w:r>
    </w:p>
    <w:p w14:paraId="46118FC7" w14:textId="77777777" w:rsidR="00D14857" w:rsidRPr="002B5F57" w:rsidRDefault="00D14857" w:rsidP="00AC73DF">
      <w:pPr>
        <w:rPr>
          <w:szCs w:val="24"/>
        </w:rPr>
      </w:pPr>
      <w:r w:rsidRPr="002B5F57">
        <w:rPr>
          <w:szCs w:val="24"/>
        </w:rPr>
        <w:t xml:space="preserve">Genomic science is outpacing legal reform – tomorrow’s science is being regulated by yesterday’s law. This is made more complicated by the fact that yesterday’s law has a strong bias toward European ways of thinking about the body, the individual, and personal information. As outlined above, it does not recognise ICIP. Instead the current legal approach tends to focus on the balance between: </w:t>
      </w:r>
    </w:p>
    <w:p w14:paraId="2AC5B1F1" w14:textId="168D7A78" w:rsidR="00D14857" w:rsidRPr="00D878BD" w:rsidRDefault="00D14857" w:rsidP="00FA2D83">
      <w:pPr>
        <w:pStyle w:val="ListNumber"/>
        <w:numPr>
          <w:ilvl w:val="0"/>
          <w:numId w:val="42"/>
        </w:numPr>
      </w:pPr>
      <w:r w:rsidRPr="00FA2D83">
        <w:rPr>
          <w:b/>
        </w:rPr>
        <w:t>Preserving the rights of the individual:</w:t>
      </w:r>
      <w:r w:rsidRPr="00D878BD">
        <w:t xml:space="preserve"> Legal regimes fixate on the informed consent of the individual. As result, many legal regimes make provision for proper disclosure and capacity to consent. For example, the Human Tissue legislation across the states ha</w:t>
      </w:r>
      <w:r w:rsidR="003A5636" w:rsidRPr="00D878BD">
        <w:t>ve</w:t>
      </w:r>
      <w:r w:rsidRPr="00D878BD">
        <w:t xml:space="preserve"> provisions setting age requirements for capacity to consent (e.g. if the patient is underage, then the parents must give consent). Again, in Privacy law, there is a complicated framework setting out scope of consent, and consent for primary and secondary uses; and </w:t>
      </w:r>
    </w:p>
    <w:p w14:paraId="7D482C8F" w14:textId="310284F6" w:rsidR="00D14857" w:rsidRPr="00D878BD" w:rsidRDefault="00D14857" w:rsidP="00FA2D83">
      <w:pPr>
        <w:pStyle w:val="ListNumber"/>
      </w:pPr>
      <w:r w:rsidRPr="00D878BD">
        <w:rPr>
          <w:b/>
        </w:rPr>
        <w:t>Curtailing individual rights for the greater good:</w:t>
      </w:r>
      <w:r w:rsidRPr="00D878BD">
        <w:t xml:space="preserve"> The ‘greater good’ tend</w:t>
      </w:r>
      <w:r w:rsidR="003A5636" w:rsidRPr="00D878BD">
        <w:t>s</w:t>
      </w:r>
      <w:r w:rsidRPr="00D878BD">
        <w:t xml:space="preserve"> to be improved medical outcomes, law enforcement, and contribution to human knowledge generally. For example, the privacy law exceptions that allow access to data without the consent of the individual. </w:t>
      </w:r>
    </w:p>
    <w:p w14:paraId="54E26B20" w14:textId="790B329B" w:rsidR="00D14857" w:rsidRPr="002B5F57" w:rsidRDefault="00D14857" w:rsidP="00AC73DF">
      <w:pPr>
        <w:rPr>
          <w:szCs w:val="24"/>
        </w:rPr>
      </w:pPr>
      <w:r w:rsidRPr="002B5F57">
        <w:rPr>
          <w:szCs w:val="24"/>
        </w:rPr>
        <w:t xml:space="preserve">The greater good focuses on Australian society generally or even humanity as a whole. It does not recognise </w:t>
      </w:r>
      <w:r w:rsidR="003A5636" w:rsidRPr="002B5F57">
        <w:rPr>
          <w:szCs w:val="24"/>
        </w:rPr>
        <w:t xml:space="preserve">the </w:t>
      </w:r>
      <w:r w:rsidRPr="002B5F57">
        <w:rPr>
          <w:szCs w:val="24"/>
        </w:rPr>
        <w:t>cultural concerns o</w:t>
      </w:r>
      <w:r w:rsidR="003A5636" w:rsidRPr="002B5F57">
        <w:rPr>
          <w:szCs w:val="24"/>
        </w:rPr>
        <w:t>f</w:t>
      </w:r>
      <w:r w:rsidRPr="002B5F57">
        <w:rPr>
          <w:szCs w:val="24"/>
        </w:rPr>
        <w:t xml:space="preserve"> Aboriginal and Torres Strait Islander communities. The law has also followed the European bias that bodily samples, once separated from the body are mostly medical waste, and </w:t>
      </w:r>
      <w:r w:rsidR="00804E2F" w:rsidRPr="002B5F57">
        <w:rPr>
          <w:szCs w:val="24"/>
        </w:rPr>
        <w:t xml:space="preserve">only the </w:t>
      </w:r>
      <w:r w:rsidRPr="002B5F57">
        <w:rPr>
          <w:szCs w:val="24"/>
        </w:rPr>
        <w:t xml:space="preserve">data is valuable. </w:t>
      </w:r>
    </w:p>
    <w:p w14:paraId="0D348A29" w14:textId="36310B2E" w:rsidR="00D14857" w:rsidRPr="002B5F57" w:rsidRDefault="00D14857" w:rsidP="00AC73DF">
      <w:pPr>
        <w:rPr>
          <w:szCs w:val="24"/>
        </w:rPr>
      </w:pPr>
      <w:r w:rsidRPr="002B5F57">
        <w:rPr>
          <w:szCs w:val="24"/>
        </w:rPr>
        <w:t xml:space="preserve">There is nothing in the law that compels or motivates the genomics industry to promote </w:t>
      </w:r>
      <w:r w:rsidR="005B526A">
        <w:rPr>
          <w:szCs w:val="24"/>
        </w:rPr>
        <w:t xml:space="preserve">Aboriginal and Torres Strait Islander </w:t>
      </w:r>
      <w:r w:rsidRPr="002B5F57">
        <w:rPr>
          <w:szCs w:val="24"/>
        </w:rPr>
        <w:t>co-design or management of projects. So as momentum behind genomic science builds, and the science is governed by law with strong European bias, this lack of impetus amounts to an impediment. As a result</w:t>
      </w:r>
      <w:r w:rsidR="00F84E93" w:rsidRPr="002B5F57">
        <w:rPr>
          <w:szCs w:val="24"/>
        </w:rPr>
        <w:t xml:space="preserve"> of the lack of legal requirement for </w:t>
      </w:r>
      <w:r w:rsidR="00946AE0">
        <w:rPr>
          <w:szCs w:val="24"/>
        </w:rPr>
        <w:t xml:space="preserve">Aboriginal and Torres Strait Islander </w:t>
      </w:r>
      <w:r w:rsidRPr="002B5F57">
        <w:rPr>
          <w:szCs w:val="24"/>
        </w:rPr>
        <w:t>co-design or management of genomics project</w:t>
      </w:r>
      <w:r w:rsidR="000B0E63">
        <w:rPr>
          <w:szCs w:val="24"/>
        </w:rPr>
        <w:t>s,</w:t>
      </w:r>
      <w:r w:rsidR="00F84E93" w:rsidRPr="002B5F57">
        <w:rPr>
          <w:szCs w:val="24"/>
        </w:rPr>
        <w:t xml:space="preserve"> </w:t>
      </w:r>
      <w:r w:rsidR="001B1D66" w:rsidRPr="002B5F57">
        <w:rPr>
          <w:szCs w:val="24"/>
        </w:rPr>
        <w:t xml:space="preserve">this area of science is </w:t>
      </w:r>
      <w:r w:rsidRPr="002B5F57">
        <w:rPr>
          <w:szCs w:val="24"/>
        </w:rPr>
        <w:t xml:space="preserve">mostly left to best practice policies and procedures developed in industry.  </w:t>
      </w:r>
    </w:p>
    <w:p w14:paraId="47A1C0A0" w14:textId="0BDDF25E" w:rsidR="005B6EC0" w:rsidRPr="002B5F57" w:rsidRDefault="005B6EC0" w:rsidP="00AC73DF">
      <w:pPr>
        <w:rPr>
          <w:szCs w:val="24"/>
        </w:rPr>
      </w:pPr>
      <w:r w:rsidRPr="002B5F57">
        <w:rPr>
          <w:szCs w:val="24"/>
        </w:rPr>
        <w:t>The exception t</w:t>
      </w:r>
      <w:r w:rsidR="00FC264D">
        <w:rPr>
          <w:szCs w:val="24"/>
        </w:rPr>
        <w:t>o</w:t>
      </w:r>
      <w:r w:rsidRPr="002B5F57">
        <w:rPr>
          <w:szCs w:val="24"/>
        </w:rPr>
        <w:t xml:space="preserve"> this may come in the state based Human Rights Acts in the ACT, Queensland and Victoria. </w:t>
      </w:r>
      <w:r w:rsidR="00C37E2D" w:rsidRPr="002B5F57">
        <w:rPr>
          <w:szCs w:val="24"/>
        </w:rPr>
        <w:t>The recognition of Aboriginal and Torres Strait Islander peoples</w:t>
      </w:r>
      <w:r w:rsidR="00900896">
        <w:rPr>
          <w:szCs w:val="24"/>
        </w:rPr>
        <w:t>’</w:t>
      </w:r>
      <w:r w:rsidR="00C37E2D" w:rsidRPr="002B5F57">
        <w:rPr>
          <w:szCs w:val="24"/>
        </w:rPr>
        <w:t xml:space="preserve"> rights to control and manage kinship ties could extend to a right to be involved in the management of the </w:t>
      </w:r>
      <w:r w:rsidR="00C73B91" w:rsidRPr="002B5F57">
        <w:rPr>
          <w:szCs w:val="24"/>
        </w:rPr>
        <w:t>genomic data those kinship ties</w:t>
      </w:r>
      <w:r w:rsidR="00FD3887" w:rsidRPr="002B5F57">
        <w:rPr>
          <w:szCs w:val="24"/>
        </w:rPr>
        <w:t xml:space="preserve"> follow. </w:t>
      </w:r>
      <w:r w:rsidR="00AE7961" w:rsidRPr="002B5F57">
        <w:rPr>
          <w:szCs w:val="24"/>
        </w:rPr>
        <w:t xml:space="preserve">If that is the case, then denial of their right to manage those kinship ties and genomic information might amount to </w:t>
      </w:r>
      <w:r w:rsidR="00506E54" w:rsidRPr="002B5F57">
        <w:rPr>
          <w:szCs w:val="24"/>
        </w:rPr>
        <w:t>discrimination</w:t>
      </w:r>
      <w:r w:rsidR="00AE7961" w:rsidRPr="002B5F57">
        <w:rPr>
          <w:szCs w:val="24"/>
        </w:rPr>
        <w:t xml:space="preserve">, and therefore be actionable through the state’s </w:t>
      </w:r>
      <w:r w:rsidR="00506E54" w:rsidRPr="002B5F57">
        <w:rPr>
          <w:szCs w:val="24"/>
        </w:rPr>
        <w:t xml:space="preserve">complaints bodies. </w:t>
      </w:r>
    </w:p>
    <w:p w14:paraId="72D3E347" w14:textId="583F6EDA" w:rsidR="00341092" w:rsidRPr="00F67476" w:rsidRDefault="00F33934" w:rsidP="002B5F46">
      <w:pPr>
        <w:pStyle w:val="Heading2"/>
        <w:rPr>
          <w:lang w:val="en-AU"/>
        </w:rPr>
      </w:pPr>
      <w:bookmarkStart w:id="139" w:name="_Toc118824365"/>
      <w:r w:rsidRPr="00F67476">
        <w:rPr>
          <w:lang w:val="en-AU"/>
        </w:rPr>
        <w:t>How is community consultation impacted?</w:t>
      </w:r>
      <w:bookmarkEnd w:id="139"/>
      <w:r w:rsidRPr="00F67476">
        <w:rPr>
          <w:lang w:val="en-AU"/>
        </w:rPr>
        <w:t xml:space="preserve"> </w:t>
      </w:r>
    </w:p>
    <w:p w14:paraId="52829623" w14:textId="77777777" w:rsidR="00476EA7" w:rsidRPr="002B5F57" w:rsidRDefault="003E36DB" w:rsidP="00AC73DF">
      <w:pPr>
        <w:rPr>
          <w:szCs w:val="24"/>
        </w:rPr>
      </w:pPr>
      <w:r w:rsidRPr="002B5F57">
        <w:rPr>
          <w:szCs w:val="24"/>
        </w:rPr>
        <w:t xml:space="preserve">Many Aboriginal and </w:t>
      </w:r>
      <w:r w:rsidR="00235199" w:rsidRPr="002B5F57">
        <w:rPr>
          <w:szCs w:val="24"/>
        </w:rPr>
        <w:t xml:space="preserve">Torres Strait Islander concerns about genomic study are </w:t>
      </w:r>
      <w:r w:rsidR="005713B9" w:rsidRPr="002B5F57">
        <w:rPr>
          <w:szCs w:val="24"/>
        </w:rPr>
        <w:t xml:space="preserve">unique from </w:t>
      </w:r>
      <w:r w:rsidR="009F0C95" w:rsidRPr="002B5F57">
        <w:rPr>
          <w:szCs w:val="24"/>
        </w:rPr>
        <w:t xml:space="preserve">genomic study </w:t>
      </w:r>
      <w:r w:rsidR="008F4406" w:rsidRPr="002B5F57">
        <w:rPr>
          <w:szCs w:val="24"/>
        </w:rPr>
        <w:t xml:space="preserve">more generally. </w:t>
      </w:r>
      <w:r w:rsidR="003379EB" w:rsidRPr="002B5F57">
        <w:rPr>
          <w:szCs w:val="24"/>
        </w:rPr>
        <w:t xml:space="preserve">While the law </w:t>
      </w:r>
      <w:r w:rsidR="00D35E6C" w:rsidRPr="002B5F57">
        <w:rPr>
          <w:szCs w:val="24"/>
        </w:rPr>
        <w:t xml:space="preserve">addresses the rights of </w:t>
      </w:r>
      <w:r w:rsidR="005D0B03" w:rsidRPr="002B5F57">
        <w:rPr>
          <w:szCs w:val="24"/>
        </w:rPr>
        <w:t>individuals</w:t>
      </w:r>
      <w:r w:rsidR="00D35E6C" w:rsidRPr="002B5F57">
        <w:rPr>
          <w:szCs w:val="24"/>
        </w:rPr>
        <w:t xml:space="preserve"> </w:t>
      </w:r>
      <w:r w:rsidR="000372E9" w:rsidRPr="002B5F57">
        <w:rPr>
          <w:szCs w:val="24"/>
        </w:rPr>
        <w:t xml:space="preserve">to provide consent </w:t>
      </w:r>
      <w:r w:rsidR="00C44A02" w:rsidRPr="002B5F57">
        <w:rPr>
          <w:szCs w:val="24"/>
        </w:rPr>
        <w:t>for genomic study, i</w:t>
      </w:r>
      <w:r w:rsidR="00CD28D7" w:rsidRPr="002B5F57">
        <w:rPr>
          <w:szCs w:val="24"/>
        </w:rPr>
        <w:t>t generally does not take into account cultural well-being concerns and it does not recogni</w:t>
      </w:r>
      <w:r w:rsidR="00E60361" w:rsidRPr="002B5F57">
        <w:rPr>
          <w:szCs w:val="24"/>
        </w:rPr>
        <w:t>s</w:t>
      </w:r>
      <w:r w:rsidR="00CD28D7" w:rsidRPr="002B5F57">
        <w:rPr>
          <w:szCs w:val="24"/>
        </w:rPr>
        <w:t xml:space="preserve">e any links between cultural and mental health and </w:t>
      </w:r>
      <w:r w:rsidR="00CD28D7" w:rsidRPr="002B5F57">
        <w:rPr>
          <w:szCs w:val="24"/>
        </w:rPr>
        <w:lastRenderedPageBreak/>
        <w:t xml:space="preserve">physical health. </w:t>
      </w:r>
      <w:r w:rsidR="00D95B36" w:rsidRPr="002B5F57">
        <w:rPr>
          <w:szCs w:val="24"/>
        </w:rPr>
        <w:t xml:space="preserve">There is also nothing in the law that </w:t>
      </w:r>
      <w:r w:rsidR="00CB3E0F" w:rsidRPr="002B5F57">
        <w:rPr>
          <w:szCs w:val="24"/>
        </w:rPr>
        <w:t>considers cultural responsibilities</w:t>
      </w:r>
      <w:r w:rsidR="00763308" w:rsidRPr="002B5F57">
        <w:rPr>
          <w:szCs w:val="24"/>
        </w:rPr>
        <w:t xml:space="preserve"> or Aboriginal and Torres Strait Islander peoples on-going </w:t>
      </w:r>
      <w:r w:rsidR="004E3EA0" w:rsidRPr="002B5F57">
        <w:rPr>
          <w:szCs w:val="24"/>
        </w:rPr>
        <w:t xml:space="preserve">connection to their sample materials. </w:t>
      </w:r>
    </w:p>
    <w:p w14:paraId="15E757ED" w14:textId="5CA7AAC8" w:rsidR="00CD28D7" w:rsidRPr="002B5F57" w:rsidRDefault="000D1173" w:rsidP="00AC73DF">
      <w:pPr>
        <w:rPr>
          <w:szCs w:val="24"/>
        </w:rPr>
      </w:pPr>
      <w:r w:rsidRPr="002B5F57">
        <w:rPr>
          <w:szCs w:val="24"/>
        </w:rPr>
        <w:t xml:space="preserve">This </w:t>
      </w:r>
      <w:r w:rsidR="005753C3" w:rsidRPr="002B5F57">
        <w:rPr>
          <w:szCs w:val="24"/>
        </w:rPr>
        <w:t xml:space="preserve">raises the question: is there a legal requirement for project proponents to consult Aboriginal and Torres Strait Islander communities, so that these unique concerns </w:t>
      </w:r>
      <w:r w:rsidR="00865CC7" w:rsidRPr="002B5F57">
        <w:rPr>
          <w:szCs w:val="24"/>
        </w:rPr>
        <w:t>become visible to projects?</w:t>
      </w:r>
      <w:r w:rsidR="00C37F68" w:rsidRPr="002B5F57">
        <w:rPr>
          <w:szCs w:val="24"/>
        </w:rPr>
        <w:t xml:space="preserve"> Unfortunately </w:t>
      </w:r>
      <w:r w:rsidR="000031E6" w:rsidRPr="002B5F57">
        <w:rPr>
          <w:szCs w:val="24"/>
        </w:rPr>
        <w:t xml:space="preserve">not. The focus on individual consent </w:t>
      </w:r>
      <w:r w:rsidR="000C038A" w:rsidRPr="002B5F57">
        <w:rPr>
          <w:szCs w:val="24"/>
        </w:rPr>
        <w:t xml:space="preserve">is to the exclusion </w:t>
      </w:r>
      <w:r w:rsidR="00F533AC" w:rsidRPr="002B5F57">
        <w:rPr>
          <w:szCs w:val="24"/>
        </w:rPr>
        <w:t xml:space="preserve">of community concerns and terms that require </w:t>
      </w:r>
      <w:r w:rsidR="004D1521" w:rsidRPr="002B5F57">
        <w:rPr>
          <w:szCs w:val="24"/>
        </w:rPr>
        <w:t xml:space="preserve">proper disclosures to be made to a patient (for example, the human tissue legislation, or the ACL) </w:t>
      </w:r>
      <w:r w:rsidR="00E3785D" w:rsidRPr="002B5F57">
        <w:rPr>
          <w:szCs w:val="24"/>
        </w:rPr>
        <w:t xml:space="preserve">does not include providing the individual time to </w:t>
      </w:r>
      <w:r w:rsidR="00E5751F" w:rsidRPr="002B5F57">
        <w:rPr>
          <w:szCs w:val="24"/>
        </w:rPr>
        <w:t xml:space="preserve">return to their family </w:t>
      </w:r>
      <w:r w:rsidR="009C1B53" w:rsidRPr="002B5F57">
        <w:rPr>
          <w:szCs w:val="24"/>
        </w:rPr>
        <w:t xml:space="preserve">to discuss the implications </w:t>
      </w:r>
      <w:r w:rsidR="005A3859" w:rsidRPr="002B5F57">
        <w:rPr>
          <w:szCs w:val="24"/>
        </w:rPr>
        <w:t xml:space="preserve">of the consent. </w:t>
      </w:r>
    </w:p>
    <w:p w14:paraId="611ECFF3" w14:textId="197D694B" w:rsidR="00A6284D" w:rsidRPr="00DA5CD6" w:rsidRDefault="007C59C7" w:rsidP="00AC73DF">
      <w:pPr>
        <w:rPr>
          <w:szCs w:val="24"/>
        </w:rPr>
      </w:pPr>
      <w:r w:rsidRPr="002B5F57">
        <w:rPr>
          <w:szCs w:val="24"/>
        </w:rPr>
        <w:t xml:space="preserve">The impact of the law is that </w:t>
      </w:r>
      <w:r w:rsidR="009B11E3" w:rsidRPr="002B5F57">
        <w:rPr>
          <w:szCs w:val="24"/>
        </w:rPr>
        <w:t xml:space="preserve">community is </w:t>
      </w:r>
      <w:r w:rsidR="008E48FD" w:rsidRPr="002B5F57">
        <w:rPr>
          <w:szCs w:val="24"/>
        </w:rPr>
        <w:t xml:space="preserve">frequently not consulted. </w:t>
      </w:r>
      <w:r w:rsidR="00E51821" w:rsidRPr="002B5F57">
        <w:rPr>
          <w:szCs w:val="24"/>
        </w:rPr>
        <w:t>Community consultation provisions are largely left to p</w:t>
      </w:r>
      <w:r w:rsidR="0010036F" w:rsidRPr="002B5F57">
        <w:rPr>
          <w:szCs w:val="24"/>
        </w:rPr>
        <w:t xml:space="preserve">olicies and best practice guides. </w:t>
      </w:r>
    </w:p>
    <w:p w14:paraId="137714FF" w14:textId="4CF13521" w:rsidR="00F33934" w:rsidRPr="00F67476" w:rsidRDefault="00F33934" w:rsidP="002B5F46">
      <w:pPr>
        <w:pStyle w:val="Heading2"/>
        <w:rPr>
          <w:lang w:val="en-AU"/>
        </w:rPr>
      </w:pPr>
      <w:bookmarkStart w:id="140" w:name="_Toc118824366"/>
      <w:r w:rsidRPr="00F67476">
        <w:rPr>
          <w:lang w:val="en-AU"/>
        </w:rPr>
        <w:t>Is the legal standard for consent enough to meet ethical and cultural needs?</w:t>
      </w:r>
      <w:bookmarkEnd w:id="140"/>
      <w:r w:rsidRPr="00F67476">
        <w:rPr>
          <w:lang w:val="en-AU"/>
        </w:rPr>
        <w:t xml:space="preserve"> </w:t>
      </w:r>
    </w:p>
    <w:p w14:paraId="7111B266" w14:textId="77777777" w:rsidR="00260506" w:rsidRPr="002B5F57" w:rsidRDefault="005F6EEF" w:rsidP="00A45FEA">
      <w:pPr>
        <w:rPr>
          <w:szCs w:val="24"/>
        </w:rPr>
      </w:pPr>
      <w:r w:rsidRPr="002B5F57">
        <w:rPr>
          <w:szCs w:val="24"/>
        </w:rPr>
        <w:t>As has already been referred to, all consultation and consent models are based on the individual. The law does not</w:t>
      </w:r>
      <w:r w:rsidR="00390BCF" w:rsidRPr="002B5F57">
        <w:rPr>
          <w:szCs w:val="24"/>
        </w:rPr>
        <w:t xml:space="preserve"> explicitly</w:t>
      </w:r>
      <w:r w:rsidRPr="002B5F57">
        <w:rPr>
          <w:szCs w:val="24"/>
        </w:rPr>
        <w:t xml:space="preserve"> recognise </w:t>
      </w:r>
      <w:r w:rsidR="00FB3743" w:rsidRPr="002B5F57">
        <w:rPr>
          <w:szCs w:val="24"/>
        </w:rPr>
        <w:t xml:space="preserve">community interest and rights in genomic research. </w:t>
      </w:r>
      <w:r w:rsidR="00765103" w:rsidRPr="002B5F57">
        <w:rPr>
          <w:szCs w:val="24"/>
        </w:rPr>
        <w:t xml:space="preserve">In short, the law alone does not provide consent requirements that </w:t>
      </w:r>
      <w:r w:rsidR="00F5550B" w:rsidRPr="002B5F57">
        <w:rPr>
          <w:szCs w:val="24"/>
        </w:rPr>
        <w:t xml:space="preserve">either requires consent from the community directly, or </w:t>
      </w:r>
      <w:r w:rsidR="00B8391B" w:rsidRPr="002B5F57">
        <w:rPr>
          <w:szCs w:val="24"/>
        </w:rPr>
        <w:t xml:space="preserve">empowers Aboriginal and Torres Strait Islander individuals </w:t>
      </w:r>
      <w:r w:rsidR="0009587D" w:rsidRPr="002B5F57">
        <w:rPr>
          <w:szCs w:val="24"/>
        </w:rPr>
        <w:t xml:space="preserve">to connect with community </w:t>
      </w:r>
      <w:r w:rsidR="00674538" w:rsidRPr="002B5F57">
        <w:rPr>
          <w:szCs w:val="24"/>
        </w:rPr>
        <w:t xml:space="preserve">and discuss their consent with them. For the most part, </w:t>
      </w:r>
      <w:r w:rsidR="00DA023D" w:rsidRPr="002B5F57">
        <w:rPr>
          <w:szCs w:val="24"/>
        </w:rPr>
        <w:t xml:space="preserve">where legislation refers to standards of consent, </w:t>
      </w:r>
      <w:r w:rsidR="00F64BD7" w:rsidRPr="002B5F57">
        <w:rPr>
          <w:szCs w:val="24"/>
        </w:rPr>
        <w:t xml:space="preserve">it does not directly obstruct individuals from returning to </w:t>
      </w:r>
      <w:r w:rsidR="00951B80" w:rsidRPr="002B5F57">
        <w:rPr>
          <w:szCs w:val="24"/>
        </w:rPr>
        <w:t xml:space="preserve">community to discuss </w:t>
      </w:r>
      <w:r w:rsidR="007C001C" w:rsidRPr="002B5F57">
        <w:rPr>
          <w:szCs w:val="24"/>
        </w:rPr>
        <w:t xml:space="preserve">their consent. For example, if there is a research project collecting samples directly from Aboriginal and Torres Strait Islander </w:t>
      </w:r>
      <w:r w:rsidR="00260506" w:rsidRPr="002B5F57">
        <w:rPr>
          <w:szCs w:val="24"/>
        </w:rPr>
        <w:t>individuals</w:t>
      </w:r>
      <w:r w:rsidR="007C001C" w:rsidRPr="002B5F57">
        <w:rPr>
          <w:szCs w:val="24"/>
        </w:rPr>
        <w:t xml:space="preserve">, there is nothing in the law preventing the </w:t>
      </w:r>
      <w:r w:rsidR="00260506" w:rsidRPr="002B5F57">
        <w:rPr>
          <w:szCs w:val="24"/>
        </w:rPr>
        <w:t>individuals</w:t>
      </w:r>
      <w:r w:rsidR="007C001C" w:rsidRPr="002B5F57">
        <w:rPr>
          <w:szCs w:val="24"/>
        </w:rPr>
        <w:t xml:space="preserve"> from discussing the project with their family before they decide to participate. </w:t>
      </w:r>
    </w:p>
    <w:p w14:paraId="3814F060" w14:textId="0976E2F2" w:rsidR="00B65AA6" w:rsidRPr="002B5F57" w:rsidRDefault="007C001C" w:rsidP="00A45FEA">
      <w:pPr>
        <w:rPr>
          <w:szCs w:val="24"/>
        </w:rPr>
      </w:pPr>
      <w:r w:rsidRPr="002B5F57">
        <w:rPr>
          <w:szCs w:val="24"/>
        </w:rPr>
        <w:t>However</w:t>
      </w:r>
      <w:r w:rsidR="003E05A3" w:rsidRPr="002B5F57">
        <w:rPr>
          <w:szCs w:val="24"/>
        </w:rPr>
        <w:t xml:space="preserve">, the counter example to that, would be the increasingly common practice of rolling clinical and research consent into a single step, when a doctor recommends a patient take a diagnostic test. </w:t>
      </w:r>
      <w:r w:rsidR="00A66A87" w:rsidRPr="002B5F57">
        <w:rPr>
          <w:szCs w:val="24"/>
        </w:rPr>
        <w:t xml:space="preserve">If the doctor asks for consent to the test </w:t>
      </w:r>
      <w:r w:rsidR="00D07797" w:rsidRPr="002B5F57">
        <w:rPr>
          <w:szCs w:val="24"/>
        </w:rPr>
        <w:t xml:space="preserve">and </w:t>
      </w:r>
      <w:r w:rsidR="00EC6394" w:rsidRPr="002B5F57">
        <w:rPr>
          <w:szCs w:val="24"/>
        </w:rPr>
        <w:t xml:space="preserve">retain </w:t>
      </w:r>
      <w:r w:rsidR="00A66A87" w:rsidRPr="002B5F57">
        <w:rPr>
          <w:szCs w:val="24"/>
        </w:rPr>
        <w:t xml:space="preserve">the sample for research purposes all at once, then the patient has had no opportunity </w:t>
      </w:r>
      <w:r w:rsidR="00584B1D" w:rsidRPr="002B5F57">
        <w:rPr>
          <w:szCs w:val="24"/>
        </w:rPr>
        <w:t xml:space="preserve">to think over the consent and discuss it with family. </w:t>
      </w:r>
      <w:r w:rsidR="005C36B8" w:rsidRPr="002B5F57">
        <w:rPr>
          <w:szCs w:val="24"/>
        </w:rPr>
        <w:t xml:space="preserve">This will become more of an issue as the clinical/research divide continues to blur. </w:t>
      </w:r>
    </w:p>
    <w:p w14:paraId="5C9003FC" w14:textId="0892BE31" w:rsidR="00381CB4" w:rsidRPr="002B5F57" w:rsidRDefault="008A5759" w:rsidP="00381CB4">
      <w:pPr>
        <w:rPr>
          <w:szCs w:val="24"/>
        </w:rPr>
      </w:pPr>
      <w:r w:rsidRPr="002B5F57">
        <w:rPr>
          <w:szCs w:val="24"/>
        </w:rPr>
        <w:t xml:space="preserve">There is a potential concern around the consent standards for the </w:t>
      </w:r>
      <w:r w:rsidR="00A45FEA" w:rsidRPr="002B5F57">
        <w:rPr>
          <w:szCs w:val="24"/>
        </w:rPr>
        <w:t>My</w:t>
      </w:r>
      <w:r w:rsidR="00224969" w:rsidRPr="002B5F57">
        <w:rPr>
          <w:szCs w:val="24"/>
        </w:rPr>
        <w:t xml:space="preserve"> </w:t>
      </w:r>
      <w:r w:rsidR="00A45FEA" w:rsidRPr="002B5F57">
        <w:rPr>
          <w:szCs w:val="24"/>
        </w:rPr>
        <w:t xml:space="preserve">Health </w:t>
      </w:r>
      <w:r w:rsidRPr="002B5F57">
        <w:rPr>
          <w:szCs w:val="24"/>
        </w:rPr>
        <w:t>R</w:t>
      </w:r>
      <w:r w:rsidR="00A45FEA" w:rsidRPr="002B5F57">
        <w:rPr>
          <w:szCs w:val="24"/>
        </w:rPr>
        <w:t>ecords</w:t>
      </w:r>
      <w:r w:rsidR="00224969" w:rsidRPr="002B5F57">
        <w:rPr>
          <w:szCs w:val="24"/>
        </w:rPr>
        <w:t xml:space="preserve">. The My Health Records framework was discussed in detail in </w:t>
      </w:r>
      <w:r w:rsidR="006701BB" w:rsidRPr="002B5F46">
        <w:rPr>
          <w:b/>
          <w:bCs/>
          <w:szCs w:val="24"/>
        </w:rPr>
        <w:t>Section</w:t>
      </w:r>
      <w:r w:rsidR="006701BB">
        <w:rPr>
          <w:szCs w:val="24"/>
        </w:rPr>
        <w:t xml:space="preserve"> </w:t>
      </w:r>
      <w:r w:rsidR="0078311C" w:rsidRPr="00A7008D">
        <w:rPr>
          <w:b/>
          <w:sz w:val="20"/>
          <w:szCs w:val="24"/>
        </w:rPr>
        <w:fldChar w:fldCharType="begin"/>
      </w:r>
      <w:r w:rsidR="0078311C" w:rsidRPr="00A7008D">
        <w:rPr>
          <w:b/>
          <w:sz w:val="20"/>
          <w:szCs w:val="24"/>
        </w:rPr>
        <w:instrText xml:space="preserve"> REF _Ref39135505 \r \h </w:instrText>
      </w:r>
      <w:r w:rsidR="0078311C" w:rsidRPr="00A7008D">
        <w:rPr>
          <w:b/>
          <w:sz w:val="20"/>
          <w:szCs w:val="24"/>
        </w:rPr>
      </w:r>
      <w:r w:rsidR="0078311C" w:rsidRPr="00A7008D">
        <w:rPr>
          <w:b/>
          <w:sz w:val="20"/>
          <w:szCs w:val="24"/>
        </w:rPr>
        <w:fldChar w:fldCharType="separate"/>
      </w:r>
      <w:r w:rsidR="000B4085">
        <w:rPr>
          <w:b/>
          <w:sz w:val="20"/>
          <w:szCs w:val="24"/>
        </w:rPr>
        <w:t>5.7</w:t>
      </w:r>
      <w:r w:rsidR="0078311C" w:rsidRPr="00A7008D">
        <w:rPr>
          <w:b/>
          <w:sz w:val="20"/>
          <w:szCs w:val="24"/>
        </w:rPr>
        <w:fldChar w:fldCharType="end"/>
      </w:r>
      <w:r w:rsidR="0078311C" w:rsidRPr="002B5F46">
        <w:rPr>
          <w:b/>
          <w:bCs/>
          <w:szCs w:val="24"/>
        </w:rPr>
        <w:t xml:space="preserve"> </w:t>
      </w:r>
      <w:r w:rsidR="0078311C" w:rsidRPr="004765B9">
        <w:rPr>
          <w:b/>
          <w:sz w:val="20"/>
          <w:szCs w:val="24"/>
        </w:rPr>
        <w:fldChar w:fldCharType="begin"/>
      </w:r>
      <w:r w:rsidR="0078311C" w:rsidRPr="002B5F46">
        <w:rPr>
          <w:b/>
          <w:bCs/>
          <w:sz w:val="20"/>
          <w:szCs w:val="24"/>
        </w:rPr>
        <w:instrText xml:space="preserve"> REF _Ref39135505 \h </w:instrText>
      </w:r>
      <w:r w:rsidR="006701BB" w:rsidRPr="002B5F46">
        <w:rPr>
          <w:b/>
          <w:sz w:val="20"/>
          <w:szCs w:val="24"/>
        </w:rPr>
        <w:instrText xml:space="preserve"> </w:instrText>
      </w:r>
      <w:r w:rsidR="006701BB">
        <w:rPr>
          <w:b/>
          <w:bCs/>
          <w:sz w:val="20"/>
          <w:szCs w:val="24"/>
        </w:rPr>
        <w:instrText xml:space="preserve">\* MERGEFORMAT </w:instrText>
      </w:r>
      <w:r w:rsidR="0078311C" w:rsidRPr="004765B9">
        <w:rPr>
          <w:b/>
          <w:sz w:val="20"/>
          <w:szCs w:val="24"/>
        </w:rPr>
      </w:r>
      <w:r w:rsidR="0078311C" w:rsidRPr="004765B9">
        <w:rPr>
          <w:b/>
          <w:bCs/>
          <w:sz w:val="20"/>
          <w:szCs w:val="24"/>
        </w:rPr>
        <w:fldChar w:fldCharType="separate"/>
      </w:r>
      <w:r w:rsidR="000B4085" w:rsidRPr="000B4085">
        <w:rPr>
          <w:b/>
          <w:bCs/>
        </w:rPr>
        <w:t>Health records laws</w:t>
      </w:r>
      <w:r w:rsidR="0078311C" w:rsidRPr="004765B9">
        <w:rPr>
          <w:b/>
          <w:sz w:val="20"/>
          <w:szCs w:val="24"/>
        </w:rPr>
        <w:fldChar w:fldCharType="end"/>
      </w:r>
      <w:r w:rsidR="00224969" w:rsidRPr="002B5F57">
        <w:rPr>
          <w:szCs w:val="24"/>
        </w:rPr>
        <w:t xml:space="preserve">. </w:t>
      </w:r>
      <w:r w:rsidR="00A45FEA" w:rsidRPr="002B5F57">
        <w:rPr>
          <w:szCs w:val="24"/>
        </w:rPr>
        <w:t xml:space="preserve"> </w:t>
      </w:r>
      <w:r w:rsidR="00224969" w:rsidRPr="002B5F57">
        <w:rPr>
          <w:szCs w:val="24"/>
        </w:rPr>
        <w:t xml:space="preserve">As was seen there, there is actually quite a lot of potential </w:t>
      </w:r>
      <w:r w:rsidR="00E80EB6" w:rsidRPr="002B5F57">
        <w:rPr>
          <w:szCs w:val="24"/>
        </w:rPr>
        <w:t>access to data</w:t>
      </w:r>
      <w:r w:rsidR="004849E9" w:rsidRPr="002B5F57">
        <w:rPr>
          <w:szCs w:val="24"/>
        </w:rPr>
        <w:t xml:space="preserve">, most of it deidentified. </w:t>
      </w:r>
      <w:r w:rsidR="007E71F9" w:rsidRPr="002B5F57">
        <w:rPr>
          <w:szCs w:val="24"/>
        </w:rPr>
        <w:t xml:space="preserve">However, </w:t>
      </w:r>
      <w:r w:rsidR="0087131A" w:rsidRPr="002B5F57">
        <w:rPr>
          <w:szCs w:val="24"/>
        </w:rPr>
        <w:t>the My Health Records laws allows for retention of the records for up to 30 years after the death of the individual</w:t>
      </w:r>
      <w:r w:rsidR="00D614F0" w:rsidRPr="002B5F57">
        <w:rPr>
          <w:szCs w:val="24"/>
        </w:rPr>
        <w:t xml:space="preserve">, while Privacy Laws cease to apply on the death of the individual. There is therefore a potential </w:t>
      </w:r>
      <w:r w:rsidR="00F969E5" w:rsidRPr="002B5F57">
        <w:rPr>
          <w:szCs w:val="24"/>
        </w:rPr>
        <w:t>period of time, after the death of the individual, whe</w:t>
      </w:r>
      <w:r w:rsidR="00DF3CFF" w:rsidRPr="002B5F57">
        <w:rPr>
          <w:szCs w:val="24"/>
        </w:rPr>
        <w:t>n the</w:t>
      </w:r>
      <w:r w:rsidR="00C900C5" w:rsidRPr="002B5F57">
        <w:rPr>
          <w:szCs w:val="24"/>
        </w:rPr>
        <w:t>ir health records would not be subject to privacy laws</w:t>
      </w:r>
      <w:r w:rsidR="00740BD8" w:rsidRPr="002B5F57">
        <w:rPr>
          <w:szCs w:val="24"/>
        </w:rPr>
        <w:t xml:space="preserve">. Although, they would still need to be handled in accordance with the My Health Records legislation and its specific privacy provisions. </w:t>
      </w:r>
    </w:p>
    <w:p w14:paraId="14B43D3C" w14:textId="77777777" w:rsidR="000565BB" w:rsidRPr="008E5C92" w:rsidRDefault="000565BB" w:rsidP="00AC73DF">
      <w:pPr>
        <w:pStyle w:val="Heading1"/>
        <w:rPr>
          <w:lang w:val="en-AU"/>
        </w:rPr>
      </w:pPr>
      <w:bookmarkStart w:id="141" w:name="_Ref39152698"/>
      <w:bookmarkStart w:id="142" w:name="_Toc118824367"/>
      <w:r w:rsidRPr="008E5C92">
        <w:rPr>
          <w:lang w:val="en-AU"/>
        </w:rPr>
        <w:t>Policy</w:t>
      </w:r>
      <w:bookmarkEnd w:id="141"/>
      <w:bookmarkEnd w:id="142"/>
    </w:p>
    <w:p w14:paraId="1ED1C5F0" w14:textId="0737C9B5" w:rsidR="001E24B1" w:rsidRDefault="00147F0D" w:rsidP="00AC73DF">
      <w:r>
        <w:t xml:space="preserve">In the absence of specific </w:t>
      </w:r>
      <w:r w:rsidR="006E56BD">
        <w:t>law</w:t>
      </w:r>
      <w:r w:rsidR="004207E3">
        <w:t xml:space="preserve">s </w:t>
      </w:r>
      <w:r w:rsidR="00625EE6">
        <w:t>to regulate</w:t>
      </w:r>
      <w:r w:rsidR="004207E3">
        <w:t xml:space="preserve"> Indigenous genomic </w:t>
      </w:r>
      <w:r w:rsidR="00FE2700">
        <w:t xml:space="preserve">projects, there </w:t>
      </w:r>
      <w:r w:rsidR="00963821">
        <w:t>are</w:t>
      </w:r>
      <w:r w:rsidR="00FE2700">
        <w:t xml:space="preserve"> a number of key policies that attempt to deal with</w:t>
      </w:r>
      <w:r>
        <w:t xml:space="preserve"> </w:t>
      </w:r>
      <w:r w:rsidR="00FD078C">
        <w:t>many of the social, ethical and cultural issues</w:t>
      </w:r>
      <w:r>
        <w:t xml:space="preserve"> </w:t>
      </w:r>
      <w:r w:rsidR="009B724F">
        <w:t xml:space="preserve">that arise </w:t>
      </w:r>
      <w:r w:rsidR="00E36B5C">
        <w:t>in Aboriginal and Torres Strait Islander genomic</w:t>
      </w:r>
      <w:r w:rsidR="004210A6">
        <w:t>s</w:t>
      </w:r>
      <w:r w:rsidR="00FE2700">
        <w:t xml:space="preserve">. </w:t>
      </w:r>
      <w:r w:rsidR="006B1AA1">
        <w:t>The</w:t>
      </w:r>
      <w:r w:rsidR="001F5A3B">
        <w:t xml:space="preserve"> </w:t>
      </w:r>
      <w:r w:rsidR="001F5A3B" w:rsidRPr="002B5F46">
        <w:rPr>
          <w:i/>
          <w:iCs/>
        </w:rPr>
        <w:t>National S</w:t>
      </w:r>
      <w:r w:rsidR="00271F0F" w:rsidRPr="002B5F46">
        <w:rPr>
          <w:i/>
          <w:iCs/>
        </w:rPr>
        <w:t>tatement on Ethical Conduct in Human Research</w:t>
      </w:r>
      <w:r w:rsidR="00271F0F">
        <w:t xml:space="preserve"> and the </w:t>
      </w:r>
      <w:r w:rsidR="00271F0F" w:rsidRPr="002B5F46">
        <w:rPr>
          <w:i/>
          <w:iCs/>
        </w:rPr>
        <w:t>Ethical Conduct in Research with Aboriginal and Torres Strait Islander Communities</w:t>
      </w:r>
      <w:r w:rsidR="00070743">
        <w:t xml:space="preserve">, both published by the National Health and Medical </w:t>
      </w:r>
      <w:r w:rsidR="00070743">
        <w:lastRenderedPageBreak/>
        <w:t>Research Coun</w:t>
      </w:r>
      <w:r w:rsidR="00BE39A9">
        <w:t>c</w:t>
      </w:r>
      <w:r w:rsidR="00070743">
        <w:t xml:space="preserve">il, </w:t>
      </w:r>
      <w:r w:rsidR="000C543A">
        <w:t xml:space="preserve">are </w:t>
      </w:r>
      <w:r w:rsidR="004210A6">
        <w:t xml:space="preserve">key </w:t>
      </w:r>
      <w:r w:rsidR="00B538BE">
        <w:t>examples</w:t>
      </w:r>
      <w:r w:rsidR="0055429A">
        <w:t xml:space="preserve">. </w:t>
      </w:r>
      <w:r w:rsidR="006B1AA1">
        <w:t>Also,</w:t>
      </w:r>
      <w:r w:rsidR="006D3E24">
        <w:t xml:space="preserve"> in the </w:t>
      </w:r>
      <w:r w:rsidR="006127DC">
        <w:t>clinical setting</w:t>
      </w:r>
      <w:r w:rsidR="0062472C">
        <w:t xml:space="preserve">, </w:t>
      </w:r>
      <w:r w:rsidR="00B538BE">
        <w:t>there are</w:t>
      </w:r>
      <w:r w:rsidR="0062472C">
        <w:t xml:space="preserve"> </w:t>
      </w:r>
      <w:r w:rsidR="005E3BF1">
        <w:t>polic</w:t>
      </w:r>
      <w:r w:rsidR="00DD114E">
        <w:t>ies and guidelines have been developed.</w:t>
      </w:r>
    </w:p>
    <w:p w14:paraId="437D8C54" w14:textId="1286C39F" w:rsidR="00B11F60" w:rsidRDefault="00D72A13" w:rsidP="00AC73DF">
      <w:r>
        <w:t xml:space="preserve">While </w:t>
      </w:r>
      <w:r w:rsidR="001E24B1">
        <w:t>these policies and guidelines are</w:t>
      </w:r>
      <w:r>
        <w:t xml:space="preserve"> not legislative, th</w:t>
      </w:r>
      <w:r w:rsidR="00B8116F">
        <w:t>e</w:t>
      </w:r>
      <w:r w:rsidR="001100A1">
        <w:t>se</w:t>
      </w:r>
      <w:r w:rsidR="00041D0E">
        <w:t xml:space="preserve"> documents</w:t>
      </w:r>
      <w:r>
        <w:t xml:space="preserve"> are potentially legally enforceable</w:t>
      </w:r>
      <w:r w:rsidR="00B8116F">
        <w:t>. For example,</w:t>
      </w:r>
      <w:r>
        <w:t xml:space="preserve"> through contract law</w:t>
      </w:r>
      <w:r w:rsidR="00F8278F">
        <w:t>,</w:t>
      </w:r>
      <w:r>
        <w:t xml:space="preserve"> </w:t>
      </w:r>
      <w:r w:rsidR="001C3B63">
        <w:t>research agreements</w:t>
      </w:r>
      <w:r w:rsidR="008E7917">
        <w:t xml:space="preserve"> between a university and an </w:t>
      </w:r>
      <w:r w:rsidR="000435E7">
        <w:t xml:space="preserve">Aboriginal or Torres Strait Islander </w:t>
      </w:r>
      <w:r w:rsidR="008E7917">
        <w:t>community organisation can make compliance with policies a condition of the agreement</w:t>
      </w:r>
      <w:r w:rsidR="001C3B63">
        <w:t xml:space="preserve">. </w:t>
      </w:r>
    </w:p>
    <w:p w14:paraId="208786C9" w14:textId="5B0AAC36" w:rsidR="003E3A7A" w:rsidRDefault="00C47DED" w:rsidP="00AC73DF">
      <w:r>
        <w:t>Policies, protocols and guidelines also create industry norms</w:t>
      </w:r>
      <w:r w:rsidR="00134713">
        <w:t xml:space="preserve">. </w:t>
      </w:r>
      <w:r w:rsidR="000B2768">
        <w:t xml:space="preserve">Below is an overview of the key </w:t>
      </w:r>
      <w:r w:rsidR="003244F4">
        <w:t xml:space="preserve">policies, protocols and guidelines </w:t>
      </w:r>
      <w:r w:rsidR="00DC1679">
        <w:t>th</w:t>
      </w:r>
      <w:r w:rsidR="003244F4">
        <w:t>at apply to Aboriginal and Torres Strait Islander research</w:t>
      </w:r>
      <w:r w:rsidR="006D15EE">
        <w:t>,</w:t>
      </w:r>
      <w:r w:rsidR="003244F4">
        <w:t xml:space="preserve"> and </w:t>
      </w:r>
      <w:r w:rsidR="006D15EE">
        <w:t xml:space="preserve">therefore, apply to </w:t>
      </w:r>
      <w:r w:rsidR="00A53DB9">
        <w:t xml:space="preserve">genomic </w:t>
      </w:r>
      <w:r w:rsidR="006D15EE">
        <w:t>research involving</w:t>
      </w:r>
      <w:r w:rsidR="005D225B">
        <w:t xml:space="preserve"> </w:t>
      </w:r>
      <w:r w:rsidR="003244F4">
        <w:t xml:space="preserve">Aboriginal and Torres Strait Islander </w:t>
      </w:r>
      <w:r w:rsidR="005D225B">
        <w:t>peoples</w:t>
      </w:r>
      <w:r w:rsidR="006D15EE">
        <w:t xml:space="preserve"> and their genes</w:t>
      </w:r>
      <w:r w:rsidR="0085432A">
        <w:t>.</w:t>
      </w:r>
      <w:r w:rsidR="005D225B">
        <w:t xml:space="preserve"> </w:t>
      </w:r>
    </w:p>
    <w:p w14:paraId="357DB4F9" w14:textId="7DAA1ADA" w:rsidR="00AB6F66" w:rsidRPr="008E5C92" w:rsidRDefault="00AB6F66" w:rsidP="00DC5EAC">
      <w:pPr>
        <w:pStyle w:val="Heading2"/>
        <w:rPr>
          <w:lang w:val="en-AU"/>
        </w:rPr>
      </w:pPr>
      <w:bookmarkStart w:id="143" w:name="_Ref39149342"/>
      <w:bookmarkStart w:id="144" w:name="_Ref39149385"/>
      <w:bookmarkStart w:id="145" w:name="_Toc118824368"/>
      <w:r w:rsidRPr="008E5C92">
        <w:rPr>
          <w:i/>
          <w:lang w:val="en-AU"/>
        </w:rPr>
        <w:t xml:space="preserve">National Statement on Ethical </w:t>
      </w:r>
      <w:r w:rsidR="00021264" w:rsidRPr="008E5C92">
        <w:rPr>
          <w:i/>
          <w:lang w:val="en-AU"/>
        </w:rPr>
        <w:t>Conduct in Human Research</w:t>
      </w:r>
      <w:r w:rsidR="00021264" w:rsidRPr="008E5C92">
        <w:rPr>
          <w:lang w:val="en-AU"/>
        </w:rPr>
        <w:t xml:space="preserve"> </w:t>
      </w:r>
      <w:r w:rsidR="00F233D2" w:rsidRPr="008E5C92">
        <w:rPr>
          <w:lang w:val="en-AU"/>
        </w:rPr>
        <w:t>(20</w:t>
      </w:r>
      <w:r w:rsidR="008C2F3E">
        <w:rPr>
          <w:lang w:val="en-AU"/>
        </w:rPr>
        <w:t xml:space="preserve">07, updated </w:t>
      </w:r>
      <w:r w:rsidR="00F233D2" w:rsidRPr="008E5C92">
        <w:rPr>
          <w:lang w:val="en-AU"/>
        </w:rPr>
        <w:t>2018)</w:t>
      </w:r>
      <w:r w:rsidR="00ED4C19" w:rsidRPr="008E5C92">
        <w:rPr>
          <w:lang w:val="en-AU"/>
        </w:rPr>
        <w:t xml:space="preserve">, National Health and Medical Research Council </w:t>
      </w:r>
      <w:r w:rsidR="00F233D2" w:rsidRPr="008E5C92">
        <w:rPr>
          <w:lang w:val="en-AU"/>
        </w:rPr>
        <w:t>(N</w:t>
      </w:r>
      <w:r w:rsidR="00B50672" w:rsidRPr="008E5C92">
        <w:rPr>
          <w:lang w:val="en-AU"/>
        </w:rPr>
        <w:t>HMRC)</w:t>
      </w:r>
      <w:bookmarkEnd w:id="143"/>
      <w:bookmarkEnd w:id="144"/>
      <w:bookmarkEnd w:id="145"/>
    </w:p>
    <w:p w14:paraId="32A1BE78" w14:textId="63CFF13C" w:rsidR="008970E5" w:rsidRPr="008E5C92" w:rsidRDefault="008970E5" w:rsidP="00D53C55">
      <w:pPr>
        <w:pStyle w:val="Heading3"/>
        <w:rPr>
          <w:lang w:val="en-AU"/>
        </w:rPr>
      </w:pPr>
      <w:bookmarkStart w:id="146" w:name="_Toc118824369"/>
      <w:r w:rsidRPr="008E5C92">
        <w:rPr>
          <w:lang w:val="en-AU"/>
        </w:rPr>
        <w:t>What is it?</w:t>
      </w:r>
      <w:bookmarkEnd w:id="146"/>
      <w:r w:rsidRPr="008E5C92">
        <w:rPr>
          <w:lang w:val="en-AU"/>
        </w:rPr>
        <w:t xml:space="preserve"> </w:t>
      </w:r>
    </w:p>
    <w:p w14:paraId="0BC10B16" w14:textId="7EAC3889" w:rsidR="00866380" w:rsidRDefault="00222500" w:rsidP="00A2009B">
      <w:r>
        <w:t xml:space="preserve">The </w:t>
      </w:r>
      <w:r w:rsidRPr="006921A2">
        <w:rPr>
          <w:i/>
        </w:rPr>
        <w:t>National Statement</w:t>
      </w:r>
      <w:r>
        <w:t xml:space="preserve"> </w:t>
      </w:r>
      <w:r w:rsidR="00A22639" w:rsidRPr="00B0028D">
        <w:rPr>
          <w:i/>
        </w:rPr>
        <w:t>on</w:t>
      </w:r>
      <w:r w:rsidRPr="00B0028D">
        <w:rPr>
          <w:i/>
        </w:rPr>
        <w:t xml:space="preserve"> Ethical Conduct in Human Research </w:t>
      </w:r>
      <w:r>
        <w:t xml:space="preserve">was </w:t>
      </w:r>
      <w:r w:rsidR="00001433">
        <w:t>first</w:t>
      </w:r>
      <w:r>
        <w:t xml:space="preserve"> developed </w:t>
      </w:r>
      <w:r w:rsidR="00114140">
        <w:t xml:space="preserve">in 2007 </w:t>
      </w:r>
      <w:r>
        <w:t>jointly by the National Health and Medical Research C</w:t>
      </w:r>
      <w:r w:rsidR="00E50469">
        <w:t>ounci</w:t>
      </w:r>
      <w:r w:rsidR="00A9652E">
        <w:t>l, the Australian Research Council and Universities Australia.</w:t>
      </w:r>
      <w:r w:rsidR="00974228">
        <w:t xml:space="preserve"> </w:t>
      </w:r>
    </w:p>
    <w:p w14:paraId="4B47A79F" w14:textId="1F0134D0" w:rsidR="006A31FB" w:rsidRDefault="00974228" w:rsidP="00A2009B">
      <w:r>
        <w:t xml:space="preserve">The </w:t>
      </w:r>
      <w:r w:rsidRPr="00540422">
        <w:rPr>
          <w:i/>
        </w:rPr>
        <w:t>National Health and Medical Research Council Act 1992</w:t>
      </w:r>
      <w:r w:rsidR="00334DBC">
        <w:t xml:space="preserve"> </w:t>
      </w:r>
      <w:r w:rsidR="00540422">
        <w:t xml:space="preserve">(Cth) </w:t>
      </w:r>
      <w:r w:rsidR="00334DBC">
        <w:t>establishe</w:t>
      </w:r>
      <w:r w:rsidR="00832FFA">
        <w:t>d</w:t>
      </w:r>
      <w:r w:rsidR="00334DBC">
        <w:t xml:space="preserve"> the </w:t>
      </w:r>
      <w:r w:rsidR="00E15E24">
        <w:t xml:space="preserve">National Health and Medical Research Council </w:t>
      </w:r>
      <w:r w:rsidR="005B0BF8">
        <w:t xml:space="preserve">whose role includes ‘to foster </w:t>
      </w:r>
      <w:r w:rsidR="00244179">
        <w:t>consideration of ethical issues relating to health’.</w:t>
      </w:r>
      <w:r w:rsidR="00244179">
        <w:rPr>
          <w:rStyle w:val="FootnoteReference"/>
        </w:rPr>
        <w:footnoteReference w:id="189"/>
      </w:r>
      <w:r w:rsidR="00244179">
        <w:t xml:space="preserve"> </w:t>
      </w:r>
      <w:r w:rsidR="006A31FB">
        <w:t xml:space="preserve">The NHMRC Council is required to have one member </w:t>
      </w:r>
      <w:r w:rsidR="009003D0">
        <w:t>with expertise in Aboriginal and Torres Strait Islander health needs, and also a member with expertise in human research ethics</w:t>
      </w:r>
      <w:r w:rsidR="006A31FB">
        <w:t>.</w:t>
      </w:r>
      <w:r w:rsidR="00387C5E">
        <w:rPr>
          <w:rStyle w:val="FootnoteReference"/>
        </w:rPr>
        <w:footnoteReference w:id="190"/>
      </w:r>
      <w:r w:rsidR="00E01F32">
        <w:t xml:space="preserve"> </w:t>
      </w:r>
    </w:p>
    <w:p w14:paraId="49810130" w14:textId="1277815D" w:rsidR="008970E5" w:rsidRDefault="006A31FB" w:rsidP="00A2009B">
      <w:r>
        <w:t xml:space="preserve">The </w:t>
      </w:r>
      <w:r w:rsidR="00E01F32" w:rsidRPr="00540422">
        <w:rPr>
          <w:i/>
          <w:iCs/>
        </w:rPr>
        <w:t>National Health and Medical Research Council Act 1992</w:t>
      </w:r>
      <w:r w:rsidR="00E01F32">
        <w:rPr>
          <w:i/>
          <w:iCs/>
        </w:rPr>
        <w:t xml:space="preserve"> </w:t>
      </w:r>
      <w:r w:rsidR="00E01F32" w:rsidRPr="00E01F32">
        <w:t>provide</w:t>
      </w:r>
      <w:r w:rsidR="00E663B4">
        <w:t>d</w:t>
      </w:r>
      <w:r w:rsidR="00E01F32" w:rsidRPr="00E01F32">
        <w:t xml:space="preserve"> that</w:t>
      </w:r>
      <w:r w:rsidR="00334DBC">
        <w:t xml:space="preserve"> the CEO </w:t>
      </w:r>
      <w:r w:rsidR="00C44951">
        <w:t>may issue</w:t>
      </w:r>
      <w:r w:rsidR="00BC6249">
        <w:t xml:space="preserve"> human research </w:t>
      </w:r>
      <w:r w:rsidR="00FC3A42">
        <w:t>guidelines</w:t>
      </w:r>
      <w:r w:rsidR="00BC6249">
        <w:t>.</w:t>
      </w:r>
      <w:r w:rsidR="00BC6249">
        <w:rPr>
          <w:rStyle w:val="FootnoteReference"/>
        </w:rPr>
        <w:footnoteReference w:id="191"/>
      </w:r>
      <w:r w:rsidR="00416007">
        <w:t xml:space="preserve">  </w:t>
      </w:r>
      <w:r w:rsidR="00F44FC4">
        <w:t xml:space="preserve">The Act sets out the process </w:t>
      </w:r>
      <w:r w:rsidR="00D03BFA">
        <w:t>for</w:t>
      </w:r>
      <w:r w:rsidR="00F44FC4">
        <w:t xml:space="preserve"> developing the guidelines</w:t>
      </w:r>
      <w:r w:rsidR="00D22398">
        <w:t xml:space="preserve"> </w:t>
      </w:r>
      <w:r w:rsidR="00F44FC4">
        <w:t>with the Australian Health Ethics Committee (AHEC)</w:t>
      </w:r>
      <w:r w:rsidR="000A2FAB">
        <w:t>.</w:t>
      </w:r>
      <w:r w:rsidR="00416007">
        <w:t xml:space="preserve"> </w:t>
      </w:r>
      <w:r w:rsidR="000443CF">
        <w:t>There is a complaints process outlined in the Act</w:t>
      </w:r>
      <w:r w:rsidR="00CB7DAE">
        <w:t>.</w:t>
      </w:r>
      <w:r w:rsidR="00CB7DAE">
        <w:rPr>
          <w:rStyle w:val="FootnoteReference"/>
        </w:rPr>
        <w:footnoteReference w:id="192"/>
      </w:r>
    </w:p>
    <w:p w14:paraId="1D0E2D13" w14:textId="77777777" w:rsidR="008970E5" w:rsidRPr="008E5C92" w:rsidRDefault="008970E5" w:rsidP="00D53C55">
      <w:pPr>
        <w:pStyle w:val="Heading3"/>
        <w:rPr>
          <w:lang w:val="en-AU"/>
        </w:rPr>
      </w:pPr>
      <w:bookmarkStart w:id="147" w:name="_Toc118824370"/>
      <w:r w:rsidRPr="008E5C92">
        <w:rPr>
          <w:lang w:val="en-AU"/>
        </w:rPr>
        <w:t>Who does it apply to?</w:t>
      </w:r>
      <w:bookmarkEnd w:id="147"/>
      <w:r w:rsidRPr="008E5C92">
        <w:rPr>
          <w:lang w:val="en-AU"/>
        </w:rPr>
        <w:t xml:space="preserve">  </w:t>
      </w:r>
    </w:p>
    <w:p w14:paraId="418866DE" w14:textId="4461EE47" w:rsidR="00FD0951" w:rsidRPr="008E5C92" w:rsidRDefault="00FD0951" w:rsidP="00FD0951">
      <w:r w:rsidRPr="008E5C92">
        <w:t>Th</w:t>
      </w:r>
      <w:r w:rsidR="007C1BD8" w:rsidRPr="008E5C92">
        <w:t xml:space="preserve">e </w:t>
      </w:r>
      <w:r w:rsidR="007C1BD8" w:rsidRPr="00B0028D">
        <w:rPr>
          <w:i/>
        </w:rPr>
        <w:t>National Statement</w:t>
      </w:r>
      <w:r w:rsidR="007C1BD8" w:rsidRPr="008E5C92">
        <w:t xml:space="preserve"> </w:t>
      </w:r>
      <w:r w:rsidR="00AE4A20" w:rsidRPr="008E5C92">
        <w:t xml:space="preserve">applies to: </w:t>
      </w:r>
    </w:p>
    <w:p w14:paraId="7D1AB370" w14:textId="7BD9EAAD" w:rsidR="00AE4A20" w:rsidRPr="008E5C92" w:rsidRDefault="002F2A3D" w:rsidP="001B3344">
      <w:pPr>
        <w:pStyle w:val="ListBullet"/>
      </w:pPr>
      <w:r w:rsidRPr="008E5C92">
        <w:t>a</w:t>
      </w:r>
      <w:r w:rsidR="00316A3A" w:rsidRPr="008E5C92">
        <w:t xml:space="preserve">ny researcher conducting research with human participants; </w:t>
      </w:r>
    </w:p>
    <w:p w14:paraId="516FB191" w14:textId="74FF3A42" w:rsidR="00316A3A" w:rsidRPr="008E5C92" w:rsidRDefault="002F2A3D" w:rsidP="001B3344">
      <w:pPr>
        <w:pStyle w:val="ListBullet"/>
      </w:pPr>
      <w:r w:rsidRPr="008E5C92">
        <w:t>a</w:t>
      </w:r>
      <w:r w:rsidR="00D35197" w:rsidRPr="008E5C92">
        <w:t xml:space="preserve">ny member of an ethical review body reviewing that research; </w:t>
      </w:r>
    </w:p>
    <w:p w14:paraId="182315B5" w14:textId="66342E52" w:rsidR="00D35197" w:rsidRPr="008E5C92" w:rsidRDefault="002F2A3D" w:rsidP="001B3344">
      <w:pPr>
        <w:pStyle w:val="ListBullet"/>
      </w:pPr>
      <w:r w:rsidRPr="008E5C92">
        <w:t>t</w:t>
      </w:r>
      <w:r w:rsidR="00D35197" w:rsidRPr="008E5C92">
        <w:t>hose involved in rese</w:t>
      </w:r>
      <w:r w:rsidR="005A65ED" w:rsidRPr="008E5C92">
        <w:t xml:space="preserve">arch governance; and </w:t>
      </w:r>
    </w:p>
    <w:p w14:paraId="0A827EA8" w14:textId="4C99D685" w:rsidR="005A65ED" w:rsidRPr="008E5C92" w:rsidRDefault="002F2A3D" w:rsidP="001B3344">
      <w:pPr>
        <w:pStyle w:val="ListBullet"/>
      </w:pPr>
      <w:r w:rsidRPr="008E5C92">
        <w:t>p</w:t>
      </w:r>
      <w:r w:rsidR="005A65ED" w:rsidRPr="008E5C92">
        <w:t>otential research participants.</w:t>
      </w:r>
      <w:r w:rsidR="00E9359E" w:rsidRPr="008E5C92">
        <w:rPr>
          <w:rStyle w:val="FootnoteReference"/>
        </w:rPr>
        <w:footnoteReference w:id="193"/>
      </w:r>
      <w:r w:rsidR="005A65ED" w:rsidRPr="008E5C92">
        <w:t xml:space="preserve"> </w:t>
      </w:r>
    </w:p>
    <w:p w14:paraId="41C5BEA7" w14:textId="0F572D10" w:rsidR="005A65ED" w:rsidRPr="008E5C92" w:rsidRDefault="005A65ED" w:rsidP="005A65ED">
      <w:r w:rsidRPr="008E5C92">
        <w:lastRenderedPageBreak/>
        <w:t xml:space="preserve">In short, it is </w:t>
      </w:r>
      <w:r w:rsidR="009665B0" w:rsidRPr="008E5C92">
        <w:t xml:space="preserve">leading nationally </w:t>
      </w:r>
      <w:r w:rsidR="002F2A3D" w:rsidRPr="008E5C92">
        <w:t xml:space="preserve">applicable ethical </w:t>
      </w:r>
      <w:r w:rsidR="005A11D6" w:rsidRPr="008E5C92">
        <w:t>standard setting document for research</w:t>
      </w:r>
      <w:r w:rsidR="00747114" w:rsidRPr="008E5C92">
        <w:t xml:space="preserve"> conducted with or about people, or their data or tissue</w:t>
      </w:r>
      <w:r w:rsidR="005A11D6" w:rsidRPr="008E5C92">
        <w:t>.</w:t>
      </w:r>
      <w:r w:rsidR="00747114" w:rsidRPr="008E5C92">
        <w:rPr>
          <w:rStyle w:val="FootnoteReference"/>
        </w:rPr>
        <w:footnoteReference w:id="194"/>
      </w:r>
    </w:p>
    <w:p w14:paraId="00096B61" w14:textId="01EAAF75" w:rsidR="00916A8B" w:rsidRPr="008E5C92" w:rsidRDefault="007F2920" w:rsidP="005A65ED">
      <w:r w:rsidRPr="008E5C92">
        <w:t xml:space="preserve">Importantly, the </w:t>
      </w:r>
      <w:r w:rsidRPr="00B0028D">
        <w:rPr>
          <w:i/>
        </w:rPr>
        <w:t>National Statement</w:t>
      </w:r>
      <w:r w:rsidRPr="008E5C92">
        <w:t xml:space="preserve"> emphasi</w:t>
      </w:r>
      <w:r w:rsidR="001052EA" w:rsidRPr="008E5C92">
        <w:t>s</w:t>
      </w:r>
      <w:r w:rsidRPr="008E5C92">
        <w:t xml:space="preserve">es not just the duties of researchers, but also the duties of </w:t>
      </w:r>
      <w:r w:rsidR="00997947" w:rsidRPr="008E5C92">
        <w:t>institutions</w:t>
      </w:r>
      <w:r w:rsidR="00B4035C" w:rsidRPr="008E5C92">
        <w:t xml:space="preserve"> to the ethical conduct of </w:t>
      </w:r>
      <w:r w:rsidR="006256AD" w:rsidRPr="008E5C92">
        <w:t xml:space="preserve">research they </w:t>
      </w:r>
      <w:r w:rsidR="00453AA4" w:rsidRPr="008E5C92">
        <w:t>fund, or are otherwise involved in</w:t>
      </w:r>
      <w:r w:rsidR="00997947" w:rsidRPr="008E5C92">
        <w:t>.</w:t>
      </w:r>
      <w:r w:rsidR="00997947" w:rsidRPr="008E5C92">
        <w:rPr>
          <w:rStyle w:val="FootnoteReference"/>
        </w:rPr>
        <w:footnoteReference w:id="195"/>
      </w:r>
      <w:r w:rsidR="001F52BA" w:rsidRPr="008E5C92">
        <w:t xml:space="preserve"> This includes</w:t>
      </w:r>
      <w:r w:rsidR="00916A8B" w:rsidRPr="008E5C92">
        <w:t xml:space="preserve"> governments, industry, private individuals, organi</w:t>
      </w:r>
      <w:r w:rsidR="001052EA" w:rsidRPr="008E5C92">
        <w:t>s</w:t>
      </w:r>
      <w:r w:rsidR="00916A8B" w:rsidRPr="008E5C92">
        <w:t>ation and networks of organisations.</w:t>
      </w:r>
      <w:r w:rsidR="00916A8B" w:rsidRPr="008E5C92">
        <w:rPr>
          <w:rStyle w:val="FootnoteReference"/>
        </w:rPr>
        <w:footnoteReference w:id="196"/>
      </w:r>
      <w:r w:rsidR="00916A8B" w:rsidRPr="008E5C92">
        <w:t xml:space="preserve"> </w:t>
      </w:r>
    </w:p>
    <w:p w14:paraId="1CC05612" w14:textId="70F5ED36" w:rsidR="003323C1" w:rsidRPr="008E5C92" w:rsidRDefault="00DC2E39" w:rsidP="005A65ED">
      <w:r w:rsidRPr="008E5C92">
        <w:t xml:space="preserve">It is intended to be read in conjunction with </w:t>
      </w:r>
      <w:r w:rsidRPr="008E5C92">
        <w:rPr>
          <w:i/>
        </w:rPr>
        <w:t>Ethical conduct in research with Aboriginal and Torres Strait Islander Peoples and communities</w:t>
      </w:r>
      <w:r w:rsidR="0038638C" w:rsidRPr="008E5C92">
        <w:rPr>
          <w:i/>
        </w:rPr>
        <w:t>: Guidelines for researchers and stakeholders</w:t>
      </w:r>
      <w:r w:rsidR="00AA3704">
        <w:rPr>
          <w:i/>
        </w:rPr>
        <w:t xml:space="preserve"> </w:t>
      </w:r>
      <w:r w:rsidR="00AA3704">
        <w:rPr>
          <w:iCs/>
        </w:rPr>
        <w:t>(</w:t>
      </w:r>
      <w:r w:rsidR="00AA3704" w:rsidRPr="002B5F46">
        <w:rPr>
          <w:b/>
          <w:bCs/>
          <w:iCs/>
        </w:rPr>
        <w:t xml:space="preserve">Section </w:t>
      </w:r>
      <w:r w:rsidR="00AA3704" w:rsidRPr="002B5F46">
        <w:rPr>
          <w:b/>
          <w:bCs/>
          <w:iCs/>
        </w:rPr>
        <w:fldChar w:fldCharType="begin"/>
      </w:r>
      <w:r w:rsidR="00AA3704" w:rsidRPr="002B5F46">
        <w:rPr>
          <w:b/>
          <w:bCs/>
          <w:iCs/>
        </w:rPr>
        <w:instrText xml:space="preserve"> REF _Ref45099324 \r \h </w:instrText>
      </w:r>
      <w:r w:rsidR="00AA3704" w:rsidRPr="002B5F46">
        <w:rPr>
          <w:b/>
        </w:rPr>
        <w:instrText xml:space="preserve"> </w:instrText>
      </w:r>
      <w:r w:rsidR="00AA3704">
        <w:rPr>
          <w:b/>
          <w:bCs/>
          <w:iCs/>
        </w:rPr>
        <w:instrText xml:space="preserve">\* MERGEFORMAT </w:instrText>
      </w:r>
      <w:r w:rsidR="00AA3704" w:rsidRPr="002B5F46">
        <w:rPr>
          <w:b/>
          <w:bCs/>
          <w:iCs/>
        </w:rPr>
      </w:r>
      <w:r w:rsidR="00AA3704" w:rsidRPr="002B5F46">
        <w:rPr>
          <w:b/>
          <w:bCs/>
          <w:iCs/>
        </w:rPr>
        <w:fldChar w:fldCharType="separate"/>
      </w:r>
      <w:r w:rsidR="000B4085">
        <w:rPr>
          <w:b/>
          <w:bCs/>
          <w:iCs/>
        </w:rPr>
        <w:t>7.2</w:t>
      </w:r>
      <w:r w:rsidR="00AA3704" w:rsidRPr="002B5F46">
        <w:rPr>
          <w:b/>
          <w:bCs/>
          <w:iCs/>
        </w:rPr>
        <w:fldChar w:fldCharType="end"/>
      </w:r>
      <w:r w:rsidR="00AA3704">
        <w:rPr>
          <w:iCs/>
        </w:rPr>
        <w:t>)</w:t>
      </w:r>
      <w:r w:rsidR="00E05D66" w:rsidRPr="008E5C92">
        <w:rPr>
          <w:i/>
        </w:rPr>
        <w:t xml:space="preserve">; </w:t>
      </w:r>
      <w:r w:rsidR="003323C1" w:rsidRPr="008E5C92">
        <w:rPr>
          <w:i/>
        </w:rPr>
        <w:t>Keeping research on track II</w:t>
      </w:r>
      <w:r w:rsidR="00E05D66" w:rsidRPr="008E5C92">
        <w:rPr>
          <w:i/>
        </w:rPr>
        <w:t xml:space="preserve"> </w:t>
      </w:r>
      <w:r w:rsidR="00AA3704">
        <w:rPr>
          <w:iCs/>
        </w:rPr>
        <w:t>(</w:t>
      </w:r>
      <w:r w:rsidR="00AA3704" w:rsidRPr="002B5F46">
        <w:rPr>
          <w:b/>
          <w:bCs/>
          <w:iCs/>
        </w:rPr>
        <w:t xml:space="preserve">Section </w:t>
      </w:r>
      <w:r w:rsidR="00AA3704" w:rsidRPr="002B5F46">
        <w:rPr>
          <w:b/>
          <w:bCs/>
          <w:iCs/>
        </w:rPr>
        <w:fldChar w:fldCharType="begin"/>
      </w:r>
      <w:r w:rsidR="00AA3704" w:rsidRPr="002B5F46">
        <w:rPr>
          <w:b/>
          <w:bCs/>
          <w:iCs/>
        </w:rPr>
        <w:instrText xml:space="preserve"> REF _Ref45099351 \r \h </w:instrText>
      </w:r>
      <w:r w:rsidR="00AA3704" w:rsidRPr="002B5F46">
        <w:rPr>
          <w:b/>
        </w:rPr>
        <w:instrText xml:space="preserve"> </w:instrText>
      </w:r>
      <w:r w:rsidR="00AA3704">
        <w:rPr>
          <w:b/>
          <w:bCs/>
          <w:iCs/>
        </w:rPr>
        <w:instrText xml:space="preserve">\* MERGEFORMAT </w:instrText>
      </w:r>
      <w:r w:rsidR="00AA3704" w:rsidRPr="002B5F46">
        <w:rPr>
          <w:b/>
          <w:bCs/>
          <w:iCs/>
        </w:rPr>
      </w:r>
      <w:r w:rsidR="00AA3704" w:rsidRPr="002B5F46">
        <w:rPr>
          <w:b/>
          <w:bCs/>
          <w:iCs/>
        </w:rPr>
        <w:fldChar w:fldCharType="separate"/>
      </w:r>
      <w:r w:rsidR="000B4085">
        <w:rPr>
          <w:b/>
          <w:bCs/>
          <w:iCs/>
        </w:rPr>
        <w:t>7.3</w:t>
      </w:r>
      <w:r w:rsidR="00AA3704" w:rsidRPr="002B5F46">
        <w:rPr>
          <w:b/>
          <w:bCs/>
          <w:iCs/>
        </w:rPr>
        <w:fldChar w:fldCharType="end"/>
      </w:r>
      <w:r w:rsidR="00AA3704">
        <w:rPr>
          <w:iCs/>
        </w:rPr>
        <w:t xml:space="preserve">) </w:t>
      </w:r>
      <w:r w:rsidR="00E05D66" w:rsidRPr="008E5C92">
        <w:t xml:space="preserve">and </w:t>
      </w:r>
      <w:r w:rsidR="003323C1" w:rsidRPr="008E5C92">
        <w:rPr>
          <w:i/>
        </w:rPr>
        <w:t xml:space="preserve">Guidelines for </w:t>
      </w:r>
      <w:r w:rsidR="00E05D66" w:rsidRPr="008E5C92">
        <w:rPr>
          <w:i/>
        </w:rPr>
        <w:t>Ethical</w:t>
      </w:r>
      <w:r w:rsidR="003323C1" w:rsidRPr="008E5C92">
        <w:rPr>
          <w:i/>
        </w:rPr>
        <w:t xml:space="preserve"> Research </w:t>
      </w:r>
      <w:r w:rsidR="00E05D66" w:rsidRPr="008E5C92">
        <w:rPr>
          <w:i/>
        </w:rPr>
        <w:t>in Australian Indigenous Studies (GERAIS)</w:t>
      </w:r>
      <w:r w:rsidR="00680ABA">
        <w:rPr>
          <w:i/>
        </w:rPr>
        <w:t xml:space="preserve"> </w:t>
      </w:r>
      <w:r w:rsidR="00680ABA">
        <w:rPr>
          <w:iCs/>
        </w:rPr>
        <w:t>(</w:t>
      </w:r>
      <w:r w:rsidR="00680ABA" w:rsidRPr="002B5F46">
        <w:rPr>
          <w:b/>
          <w:bCs/>
          <w:iCs/>
        </w:rPr>
        <w:t xml:space="preserve">Section </w:t>
      </w:r>
      <w:r w:rsidR="00680ABA" w:rsidRPr="002B5F46">
        <w:rPr>
          <w:b/>
          <w:bCs/>
          <w:iCs/>
        </w:rPr>
        <w:fldChar w:fldCharType="begin"/>
      </w:r>
      <w:r w:rsidR="00680ABA" w:rsidRPr="002B5F46">
        <w:rPr>
          <w:b/>
          <w:bCs/>
          <w:iCs/>
        </w:rPr>
        <w:instrText xml:space="preserve"> REF _Ref45099395 \r \h </w:instrText>
      </w:r>
      <w:r w:rsidR="00680ABA" w:rsidRPr="002B5F46">
        <w:rPr>
          <w:b/>
        </w:rPr>
        <w:instrText xml:space="preserve"> </w:instrText>
      </w:r>
      <w:r w:rsidR="00680ABA">
        <w:rPr>
          <w:b/>
          <w:bCs/>
          <w:iCs/>
        </w:rPr>
        <w:instrText xml:space="preserve">\* MERGEFORMAT </w:instrText>
      </w:r>
      <w:r w:rsidR="00680ABA" w:rsidRPr="002B5F46">
        <w:rPr>
          <w:b/>
          <w:bCs/>
          <w:iCs/>
        </w:rPr>
      </w:r>
      <w:r w:rsidR="00680ABA" w:rsidRPr="002B5F46">
        <w:rPr>
          <w:b/>
          <w:bCs/>
          <w:iCs/>
        </w:rPr>
        <w:fldChar w:fldCharType="separate"/>
      </w:r>
      <w:r w:rsidR="000B4085">
        <w:rPr>
          <w:b/>
          <w:bCs/>
          <w:iCs/>
        </w:rPr>
        <w:t>7.5</w:t>
      </w:r>
      <w:r w:rsidR="00680ABA" w:rsidRPr="002B5F46">
        <w:rPr>
          <w:b/>
          <w:bCs/>
          <w:iCs/>
        </w:rPr>
        <w:fldChar w:fldCharType="end"/>
      </w:r>
      <w:r w:rsidR="00680ABA">
        <w:rPr>
          <w:iCs/>
        </w:rPr>
        <w:t>)</w:t>
      </w:r>
      <w:r w:rsidR="00E05D66" w:rsidRPr="008E5C92">
        <w:t xml:space="preserve">. </w:t>
      </w:r>
    </w:p>
    <w:p w14:paraId="0603530A" w14:textId="754317A2" w:rsidR="008A2818" w:rsidRPr="008E5C92" w:rsidRDefault="00DE2CB1" w:rsidP="00D53C55">
      <w:pPr>
        <w:pStyle w:val="Heading3"/>
        <w:rPr>
          <w:lang w:val="en-AU"/>
        </w:rPr>
      </w:pPr>
      <w:r w:rsidRPr="008E5C92">
        <w:rPr>
          <w:lang w:val="en-AU"/>
        </w:rPr>
        <w:t xml:space="preserve"> </w:t>
      </w:r>
      <w:bookmarkStart w:id="148" w:name="_Toc118824371"/>
      <w:r w:rsidRPr="008E5C92">
        <w:rPr>
          <w:lang w:val="en-AU"/>
        </w:rPr>
        <w:t>Overview of provisions</w:t>
      </w:r>
      <w:bookmarkEnd w:id="148"/>
      <w:r w:rsidRPr="008E5C92">
        <w:rPr>
          <w:lang w:val="en-AU"/>
        </w:rPr>
        <w:t xml:space="preserve"> </w:t>
      </w:r>
    </w:p>
    <w:p w14:paraId="37A78A03" w14:textId="77777777" w:rsidR="0044754E" w:rsidRDefault="001A6A33" w:rsidP="00A2009B">
      <w:r>
        <w:t xml:space="preserve">The </w:t>
      </w:r>
      <w:r w:rsidRPr="00B0028D">
        <w:rPr>
          <w:i/>
        </w:rPr>
        <w:t>National Statement</w:t>
      </w:r>
      <w:r>
        <w:t xml:space="preserve"> </w:t>
      </w:r>
      <w:r w:rsidR="00757A53">
        <w:t>recognises</w:t>
      </w:r>
      <w:r>
        <w:t xml:space="preserve"> the unique concerns of Aboriginal and Torres Strait Islander peoples and acknowledges that design and conduct of research involving Aboriginal or Torres Strait Islander peoples must </w:t>
      </w:r>
      <w:r w:rsidR="00E4685F">
        <w:t xml:space="preserve">adapt to the requirements of the context. </w:t>
      </w:r>
      <w:r w:rsidR="00757A53">
        <w:t xml:space="preserve">Any research that </w:t>
      </w:r>
      <w:r w:rsidR="003E3D39">
        <w:t>involves</w:t>
      </w:r>
      <w:r w:rsidR="00757A53">
        <w:t xml:space="preserve"> Aboriginal or Torres Strait Islander peoples must be reviewed by a Human Research Ethics Committee, and will never fall into the ‘low risk’ or ‘negligible risk’ categories that might justify a lower level of ethical oversight.</w:t>
      </w:r>
      <w:r w:rsidR="00757A53">
        <w:rPr>
          <w:rStyle w:val="FootnoteReference"/>
        </w:rPr>
        <w:footnoteReference w:id="197"/>
      </w:r>
      <w:r w:rsidR="00757A53">
        <w:t xml:space="preserve"> </w:t>
      </w:r>
    </w:p>
    <w:p w14:paraId="53EBBA86" w14:textId="7C03DA9E" w:rsidR="00757A53" w:rsidRDefault="00361AB2" w:rsidP="00A2009B">
      <w:r>
        <w:t xml:space="preserve">The </w:t>
      </w:r>
      <w:r w:rsidRPr="00B0028D">
        <w:rPr>
          <w:i/>
        </w:rPr>
        <w:t>National Statement</w:t>
      </w:r>
      <w:r>
        <w:t xml:space="preserve"> further requires that the Human Research Ethics Committee that reviews the research </w:t>
      </w:r>
      <w:r w:rsidR="00BD707B">
        <w:t>include</w:t>
      </w:r>
      <w:r w:rsidR="00A1402E">
        <w:t xml:space="preserve"> assessment by</w:t>
      </w:r>
      <w:r w:rsidR="002E06ED">
        <w:t>,</w:t>
      </w:r>
      <w:r w:rsidR="00A1402E">
        <w:t xml:space="preserve"> or advice from</w:t>
      </w:r>
      <w:r w:rsidR="002E06ED">
        <w:t>,</w:t>
      </w:r>
      <w:r w:rsidR="00A1402E">
        <w:t xml:space="preserve"> </w:t>
      </w:r>
      <w:r w:rsidR="001968E1">
        <w:t>people who have networks with Aboriginal and Torres Strait Islander peoples</w:t>
      </w:r>
      <w:r w:rsidR="00822C70">
        <w:t xml:space="preserve">, knowledge of Aboriginal and Torres Strait Islander research </w:t>
      </w:r>
      <w:r w:rsidR="009F0CEF">
        <w:t xml:space="preserve">and people </w:t>
      </w:r>
      <w:r w:rsidR="001F37F7">
        <w:t xml:space="preserve">familiar with the cultural and practices of </w:t>
      </w:r>
      <w:r w:rsidR="00CF61B2">
        <w:t>the relevant Aboriginal or Torres Strait Islander group.</w:t>
      </w:r>
      <w:r w:rsidR="00CF61B2">
        <w:rPr>
          <w:rStyle w:val="FootnoteReference"/>
        </w:rPr>
        <w:footnoteReference w:id="198"/>
      </w:r>
    </w:p>
    <w:p w14:paraId="48C361BF" w14:textId="1E18311F" w:rsidR="00443AE2" w:rsidRPr="008E5C92" w:rsidRDefault="00DE20CD" w:rsidP="00443AE2">
      <w:pPr>
        <w:pStyle w:val="Heading2"/>
        <w:rPr>
          <w:lang w:val="en-AU"/>
        </w:rPr>
      </w:pPr>
      <w:bookmarkStart w:id="149" w:name="_Ref45099324"/>
      <w:bookmarkStart w:id="150" w:name="_Toc118824372"/>
      <w:r w:rsidRPr="008E5C92">
        <w:rPr>
          <w:i/>
          <w:lang w:val="en-AU"/>
        </w:rPr>
        <w:t xml:space="preserve">Ethical Conduct </w:t>
      </w:r>
      <w:r w:rsidR="00AB2B6D" w:rsidRPr="008E5C92">
        <w:rPr>
          <w:i/>
          <w:lang w:val="en-AU"/>
        </w:rPr>
        <w:t>in Research with Aboriginal and Torres Strait Islander Peoples and Communities: Guidelines for Researchers and Stakeholders</w:t>
      </w:r>
      <w:r w:rsidR="00EC58D2" w:rsidRPr="008E5C92">
        <w:rPr>
          <w:lang w:val="en-AU"/>
        </w:rPr>
        <w:t>,</w:t>
      </w:r>
      <w:r w:rsidR="00443AE2" w:rsidRPr="008E5C92">
        <w:rPr>
          <w:lang w:val="en-AU"/>
        </w:rPr>
        <w:t xml:space="preserve"> National Health and Medical Research Council (NHMRC)</w:t>
      </w:r>
      <w:bookmarkEnd w:id="149"/>
      <w:bookmarkEnd w:id="150"/>
    </w:p>
    <w:p w14:paraId="16AB7213" w14:textId="0D22BC8C" w:rsidR="00DE20CD" w:rsidRPr="008E5C92" w:rsidRDefault="005A6D19" w:rsidP="005A6D19">
      <w:pPr>
        <w:pStyle w:val="Heading3"/>
        <w:rPr>
          <w:lang w:val="en-AU"/>
        </w:rPr>
      </w:pPr>
      <w:bookmarkStart w:id="151" w:name="_Toc118824373"/>
      <w:r w:rsidRPr="008E5C92">
        <w:rPr>
          <w:lang w:val="en-AU"/>
        </w:rPr>
        <w:t>What is it?</w:t>
      </w:r>
      <w:bookmarkEnd w:id="151"/>
      <w:r w:rsidRPr="008E5C92">
        <w:rPr>
          <w:lang w:val="en-AU"/>
        </w:rPr>
        <w:t xml:space="preserve"> </w:t>
      </w:r>
    </w:p>
    <w:p w14:paraId="1DDA1FF8" w14:textId="28105173" w:rsidR="00994C3A" w:rsidRPr="008E5C92" w:rsidRDefault="00C26BEF" w:rsidP="00994C3A">
      <w:r>
        <w:t>T</w:t>
      </w:r>
      <w:r w:rsidR="00994C3A" w:rsidRPr="008E5C92">
        <w:t>he N</w:t>
      </w:r>
      <w:r w:rsidR="00B57643" w:rsidRPr="008E5C92">
        <w:t>HMRC</w:t>
      </w:r>
      <w:r>
        <w:t xml:space="preserve"> has also published an ethics document entitled </w:t>
      </w:r>
      <w:r w:rsidRPr="00C26BEF">
        <w:rPr>
          <w:i/>
          <w:iCs/>
        </w:rPr>
        <w:t>Ethical Conduct in Research with Aboriginal and Torres Strait Islander Peoples and Communities: Guidelines for Researchers and Stakeholders</w:t>
      </w:r>
      <w:r w:rsidR="00257C69">
        <w:t>.</w:t>
      </w:r>
      <w:r w:rsidR="0024183B">
        <w:rPr>
          <w:rStyle w:val="FootnoteReference"/>
        </w:rPr>
        <w:footnoteReference w:id="199"/>
      </w:r>
      <w:r w:rsidR="00257C69">
        <w:t xml:space="preserve"> </w:t>
      </w:r>
      <w:r w:rsidR="009411BA">
        <w:t xml:space="preserve">First published in 2003 and then updated in </w:t>
      </w:r>
      <w:r w:rsidR="00B7664B">
        <w:t>2018,</w:t>
      </w:r>
      <w:r w:rsidR="00257C69">
        <w:t xml:space="preserve"> </w:t>
      </w:r>
      <w:r w:rsidR="00B57643" w:rsidRPr="008E5C92">
        <w:t xml:space="preserve">these Guidelines </w:t>
      </w:r>
      <w:r w:rsidR="0078743A" w:rsidRPr="008E5C92">
        <w:t xml:space="preserve">build on the provisions of the </w:t>
      </w:r>
      <w:r w:rsidR="0078743A" w:rsidRPr="00B232FF">
        <w:rPr>
          <w:i/>
        </w:rPr>
        <w:t>National Statement</w:t>
      </w:r>
      <w:r w:rsidR="0078743A" w:rsidRPr="008E5C92">
        <w:t xml:space="preserve"> </w:t>
      </w:r>
      <w:r w:rsidR="00A103F8">
        <w:t>(</w:t>
      </w:r>
      <w:r w:rsidR="00A103F8" w:rsidRPr="002B5F46">
        <w:rPr>
          <w:b/>
          <w:bCs/>
        </w:rPr>
        <w:t xml:space="preserve">Section </w:t>
      </w:r>
      <w:r w:rsidR="00A103F8" w:rsidRPr="002B5F46">
        <w:rPr>
          <w:b/>
          <w:bCs/>
        </w:rPr>
        <w:fldChar w:fldCharType="begin"/>
      </w:r>
      <w:r w:rsidR="00A103F8" w:rsidRPr="002B5F46">
        <w:rPr>
          <w:b/>
          <w:bCs/>
        </w:rPr>
        <w:instrText xml:space="preserve"> REF _Ref39149342 \r \h </w:instrText>
      </w:r>
      <w:r w:rsidR="00A103F8" w:rsidRPr="002B5F46">
        <w:rPr>
          <w:b/>
        </w:rPr>
        <w:instrText xml:space="preserve"> </w:instrText>
      </w:r>
      <w:r w:rsidR="00A103F8">
        <w:rPr>
          <w:b/>
          <w:bCs/>
        </w:rPr>
        <w:instrText xml:space="preserve">\* MERGEFORMAT </w:instrText>
      </w:r>
      <w:r w:rsidR="00A103F8" w:rsidRPr="002B5F46">
        <w:rPr>
          <w:b/>
          <w:bCs/>
        </w:rPr>
      </w:r>
      <w:r w:rsidR="00A103F8" w:rsidRPr="002B5F46">
        <w:rPr>
          <w:b/>
          <w:bCs/>
        </w:rPr>
        <w:fldChar w:fldCharType="separate"/>
      </w:r>
      <w:r w:rsidR="000B4085">
        <w:rPr>
          <w:b/>
          <w:bCs/>
        </w:rPr>
        <w:t>7.1</w:t>
      </w:r>
      <w:r w:rsidR="00A103F8" w:rsidRPr="002B5F46">
        <w:rPr>
          <w:b/>
          <w:bCs/>
        </w:rPr>
        <w:fldChar w:fldCharType="end"/>
      </w:r>
      <w:r w:rsidR="00A103F8">
        <w:t xml:space="preserve">) </w:t>
      </w:r>
      <w:r w:rsidR="0078743A" w:rsidRPr="008E5C92">
        <w:t xml:space="preserve">to address </w:t>
      </w:r>
      <w:r w:rsidR="0078743A" w:rsidRPr="008E5C92">
        <w:lastRenderedPageBreak/>
        <w:t xml:space="preserve">specific issues in relation to research that involves Aboriginal and Torres Strait Islander peoples. </w:t>
      </w:r>
    </w:p>
    <w:p w14:paraId="317A6D0D" w14:textId="49F02BB5" w:rsidR="005A6D19" w:rsidRPr="008E5C92" w:rsidRDefault="005A6D19" w:rsidP="005A6D19">
      <w:pPr>
        <w:pStyle w:val="Heading3"/>
        <w:rPr>
          <w:lang w:val="en-AU"/>
        </w:rPr>
      </w:pPr>
      <w:bookmarkStart w:id="152" w:name="_Toc118824374"/>
      <w:r w:rsidRPr="008E5C92">
        <w:rPr>
          <w:lang w:val="en-AU"/>
        </w:rPr>
        <w:t>Who does it apply to?</w:t>
      </w:r>
      <w:bookmarkEnd w:id="152"/>
      <w:r w:rsidRPr="008E5C92">
        <w:rPr>
          <w:lang w:val="en-AU"/>
        </w:rPr>
        <w:t xml:space="preserve"> </w:t>
      </w:r>
    </w:p>
    <w:p w14:paraId="0DEDB078" w14:textId="527A9585" w:rsidR="00A25685" w:rsidRPr="008E5C92" w:rsidRDefault="00A25685" w:rsidP="00A25685">
      <w:r w:rsidRPr="008E5C92">
        <w:t xml:space="preserve">The Guidelines apply to </w:t>
      </w:r>
      <w:r w:rsidR="00E648EA" w:rsidRPr="008E5C92">
        <w:t>researchers and ethics review bod</w:t>
      </w:r>
      <w:r w:rsidR="002362E1" w:rsidRPr="008E5C92">
        <w:t xml:space="preserve">ies, as well as Aboriginal and Torres Strait Islander peoples and individual research participants and </w:t>
      </w:r>
      <w:r w:rsidR="00050229" w:rsidRPr="008E5C92">
        <w:t>groups more generally.</w:t>
      </w:r>
      <w:r w:rsidR="005D7E8A" w:rsidRPr="008E5C92">
        <w:rPr>
          <w:rStyle w:val="FootnoteReference"/>
        </w:rPr>
        <w:footnoteReference w:id="200"/>
      </w:r>
      <w:r w:rsidR="00050229" w:rsidRPr="008E5C92">
        <w:t xml:space="preserve"> </w:t>
      </w:r>
    </w:p>
    <w:p w14:paraId="5A882A09" w14:textId="1FC697FA" w:rsidR="005A6D19" w:rsidRPr="008E5C92" w:rsidRDefault="005A6D19" w:rsidP="005A6D19">
      <w:pPr>
        <w:pStyle w:val="Heading3"/>
        <w:rPr>
          <w:lang w:val="en-AU"/>
        </w:rPr>
      </w:pPr>
      <w:bookmarkStart w:id="153" w:name="_Ref45100562"/>
      <w:bookmarkStart w:id="154" w:name="_Toc118824375"/>
      <w:r w:rsidRPr="008E5C92">
        <w:rPr>
          <w:lang w:val="en-AU"/>
        </w:rPr>
        <w:t>Overview of provisions</w:t>
      </w:r>
      <w:bookmarkEnd w:id="153"/>
      <w:bookmarkEnd w:id="154"/>
      <w:r w:rsidRPr="008E5C92">
        <w:rPr>
          <w:lang w:val="en-AU"/>
        </w:rPr>
        <w:t xml:space="preserve"> </w:t>
      </w:r>
    </w:p>
    <w:p w14:paraId="194978E3" w14:textId="416E341C" w:rsidR="00122EFE" w:rsidRDefault="001E4291" w:rsidP="00FA2D83">
      <w:r>
        <w:t>The Guidelines recognise that it is important that research with Aboriginal and Torres Strait Islander peoples is led by</w:t>
      </w:r>
      <w:r w:rsidR="00CE33B5">
        <w:t xml:space="preserve"> </w:t>
      </w:r>
      <w:r w:rsidR="00A947CA">
        <w:t xml:space="preserve">the </w:t>
      </w:r>
      <w:r w:rsidR="00CE33B5">
        <w:t>Aboriginal and Torres Strait Islander communities</w:t>
      </w:r>
      <w:r w:rsidR="00A947CA">
        <w:t xml:space="preserve"> in which the research is taking place</w:t>
      </w:r>
      <w:r w:rsidR="00CE33B5">
        <w:t>.</w:t>
      </w:r>
      <w:r w:rsidR="00CE33B5">
        <w:rPr>
          <w:rStyle w:val="FootnoteReference"/>
        </w:rPr>
        <w:footnoteReference w:id="201"/>
      </w:r>
      <w:r w:rsidR="009018F1">
        <w:t xml:space="preserve"> The Guidelines recognise 6 core values:</w:t>
      </w:r>
    </w:p>
    <w:p w14:paraId="239DA1F2" w14:textId="70276231" w:rsidR="00131679" w:rsidRDefault="00131679" w:rsidP="00FF0989">
      <w:pPr>
        <w:pStyle w:val="ListNumber"/>
        <w:numPr>
          <w:ilvl w:val="0"/>
          <w:numId w:val="33"/>
        </w:numPr>
      </w:pPr>
      <w:r w:rsidRPr="00FF0989">
        <w:rPr>
          <w:b/>
          <w:bCs/>
        </w:rPr>
        <w:t>Spirit and integrity</w:t>
      </w:r>
      <w:r w:rsidR="00617743" w:rsidRPr="00FF0989">
        <w:rPr>
          <w:b/>
          <w:bCs/>
        </w:rPr>
        <w:t>:</w:t>
      </w:r>
      <w:r w:rsidR="00617743">
        <w:t xml:space="preserve"> </w:t>
      </w:r>
      <w:r w:rsidR="00DB5887">
        <w:t>respectful behaviours and maintaining cultural continuity</w:t>
      </w:r>
      <w:r w:rsidR="00A24854">
        <w:rPr>
          <w:rStyle w:val="FootnoteReference"/>
        </w:rPr>
        <w:footnoteReference w:id="202"/>
      </w:r>
      <w:r w:rsidR="00DB5887">
        <w:t xml:space="preserve"> </w:t>
      </w:r>
    </w:p>
    <w:p w14:paraId="62A2C247" w14:textId="3BC476DA" w:rsidR="00131679" w:rsidRDefault="00131679" w:rsidP="00FF0989">
      <w:pPr>
        <w:pStyle w:val="ListNumber"/>
      </w:pPr>
      <w:r w:rsidRPr="008916D6">
        <w:rPr>
          <w:b/>
          <w:bCs/>
        </w:rPr>
        <w:t>Cultural continuity</w:t>
      </w:r>
      <w:r w:rsidR="00D35F21" w:rsidRPr="008916D6">
        <w:rPr>
          <w:b/>
          <w:bCs/>
        </w:rPr>
        <w:t>:</w:t>
      </w:r>
      <w:r w:rsidR="00D35F21">
        <w:t xml:space="preserve"> </w:t>
      </w:r>
      <w:r w:rsidR="00CC2846">
        <w:t xml:space="preserve">maintaining bonds between people, </w:t>
      </w:r>
      <w:r w:rsidR="00E330A1">
        <w:t>their environment and their cultural knowledge</w:t>
      </w:r>
      <w:r w:rsidR="008916D6">
        <w:rPr>
          <w:rStyle w:val="FootnoteReference"/>
        </w:rPr>
        <w:footnoteReference w:id="203"/>
      </w:r>
    </w:p>
    <w:p w14:paraId="5A481869" w14:textId="79411200" w:rsidR="00131679" w:rsidRDefault="00131679" w:rsidP="00FF0989">
      <w:pPr>
        <w:pStyle w:val="ListNumber"/>
      </w:pPr>
      <w:r w:rsidRPr="005D1478">
        <w:rPr>
          <w:b/>
          <w:bCs/>
        </w:rPr>
        <w:t>Equity</w:t>
      </w:r>
      <w:r w:rsidR="00AB1E8D">
        <w:t xml:space="preserve">: </w:t>
      </w:r>
      <w:r w:rsidR="00EC614D">
        <w:t>demonstrating fairness and justice that enables Aboriginal and Torres Strait Is</w:t>
      </w:r>
      <w:r w:rsidR="00C72E0B">
        <w:t xml:space="preserve">lander people to be respected, to avoid discrimination and </w:t>
      </w:r>
      <w:r w:rsidR="005D1478">
        <w:t>recognises culture, history and knowledge</w:t>
      </w:r>
      <w:r w:rsidR="008D1172">
        <w:rPr>
          <w:rStyle w:val="FootnoteReference"/>
        </w:rPr>
        <w:footnoteReference w:id="204"/>
      </w:r>
      <w:r w:rsidR="005D1478">
        <w:t xml:space="preserve">. </w:t>
      </w:r>
    </w:p>
    <w:p w14:paraId="2771ECE6" w14:textId="157579A3" w:rsidR="00131679" w:rsidRDefault="00131679" w:rsidP="00FF0989">
      <w:pPr>
        <w:pStyle w:val="ListNumber"/>
      </w:pPr>
      <w:r w:rsidRPr="009409C7">
        <w:rPr>
          <w:b/>
          <w:bCs/>
        </w:rPr>
        <w:t>Reciprocity</w:t>
      </w:r>
      <w:r w:rsidR="00C120C8">
        <w:t xml:space="preserve">: </w:t>
      </w:r>
      <w:r w:rsidR="009F5C05">
        <w:t>recognising the contributions of a</w:t>
      </w:r>
      <w:r w:rsidR="00264075">
        <w:t>l</w:t>
      </w:r>
      <w:r w:rsidR="009F5C05">
        <w:t xml:space="preserve">l project </w:t>
      </w:r>
      <w:r w:rsidR="00DE3AE5">
        <w:t xml:space="preserve">participants, ensuring </w:t>
      </w:r>
      <w:r w:rsidR="009409C7">
        <w:t xml:space="preserve">equitable </w:t>
      </w:r>
      <w:r w:rsidR="00DE3AE5">
        <w:t>return of benefit</w:t>
      </w:r>
      <w:r w:rsidR="009409C7">
        <w:rPr>
          <w:rStyle w:val="FootnoteReference"/>
        </w:rPr>
        <w:footnoteReference w:id="205"/>
      </w:r>
      <w:r w:rsidR="00DE3AE5">
        <w:t xml:space="preserve"> </w:t>
      </w:r>
    </w:p>
    <w:p w14:paraId="3CC4F88D" w14:textId="55E97B39" w:rsidR="008D1172" w:rsidRDefault="008D1172" w:rsidP="00FF0989">
      <w:pPr>
        <w:pStyle w:val="ListNumber"/>
      </w:pPr>
      <w:r w:rsidRPr="0005287F">
        <w:rPr>
          <w:b/>
          <w:bCs/>
        </w:rPr>
        <w:t>Respect:</w:t>
      </w:r>
      <w:r>
        <w:t xml:space="preserve"> </w:t>
      </w:r>
      <w:r w:rsidR="009409C7">
        <w:t xml:space="preserve"> </w:t>
      </w:r>
      <w:r w:rsidR="00212669">
        <w:t xml:space="preserve">This includes respecting difference, </w:t>
      </w:r>
      <w:r w:rsidR="009E6FF7">
        <w:t>self-awareness</w:t>
      </w:r>
      <w:r w:rsidR="00212669">
        <w:t xml:space="preserve"> about one’s own bel</w:t>
      </w:r>
      <w:r w:rsidR="0005287F">
        <w:t>iefs and recognising and supporting everyone’s contribution to a projec</w:t>
      </w:r>
      <w:r w:rsidR="009E6FF7">
        <w:t xml:space="preserve">t. Importantly, this includes engaging with Aboriginal and Torres Strait Islander communities and institutional structures </w:t>
      </w:r>
      <w:r w:rsidR="009C5C23">
        <w:t>when seeking ethics approval.</w:t>
      </w:r>
      <w:r w:rsidR="009C5C23">
        <w:rPr>
          <w:rStyle w:val="FootnoteReference"/>
        </w:rPr>
        <w:footnoteReference w:id="206"/>
      </w:r>
    </w:p>
    <w:p w14:paraId="5A79EAA2" w14:textId="65E62F4C" w:rsidR="008D1172" w:rsidRDefault="008D1172" w:rsidP="00FF0989">
      <w:pPr>
        <w:pStyle w:val="ListNumber"/>
      </w:pPr>
      <w:r w:rsidRPr="00DE2380">
        <w:rPr>
          <w:b/>
          <w:bCs/>
        </w:rPr>
        <w:t>Responsibility</w:t>
      </w:r>
      <w:r w:rsidR="009C5C23" w:rsidRPr="00DE2380">
        <w:rPr>
          <w:b/>
          <w:bCs/>
        </w:rPr>
        <w:t>:</w:t>
      </w:r>
      <w:r w:rsidR="009C5C23">
        <w:t xml:space="preserve"> </w:t>
      </w:r>
      <w:r w:rsidR="000C0E05">
        <w:t xml:space="preserve">negotiating and planning a research project with Aboriginal and Torres Strait Islander peoples that empower them to </w:t>
      </w:r>
      <w:r w:rsidR="00F367AA">
        <w:t xml:space="preserve">follow their cultural responsibilities to caring for country, kinship bonds, </w:t>
      </w:r>
      <w:r w:rsidR="00DE2380">
        <w:t xml:space="preserve">and </w:t>
      </w:r>
      <w:r w:rsidR="00060A29">
        <w:t>caring for others.</w:t>
      </w:r>
      <w:r w:rsidR="00DE2380">
        <w:rPr>
          <w:rStyle w:val="FootnoteReference"/>
        </w:rPr>
        <w:footnoteReference w:id="207"/>
      </w:r>
      <w:r w:rsidR="00060A29">
        <w:t xml:space="preserve"> </w:t>
      </w:r>
    </w:p>
    <w:p w14:paraId="15D51443" w14:textId="570FFAC9" w:rsidR="0015220F" w:rsidRDefault="00971C42" w:rsidP="00FF0989">
      <w:r>
        <w:t>In applying these principles to</w:t>
      </w:r>
      <w:r w:rsidR="00743747">
        <w:t xml:space="preserve"> specific projects, the Guidelines state that </w:t>
      </w:r>
      <w:r w:rsidR="001F2867">
        <w:t xml:space="preserve">the manner of their implementation </w:t>
      </w:r>
      <w:r w:rsidR="00743747">
        <w:t xml:space="preserve">will </w:t>
      </w:r>
      <w:r w:rsidR="003C2C10">
        <w:t xml:space="preserve">determined </w:t>
      </w:r>
      <w:r w:rsidR="00743747">
        <w:t>by the representative community/organisation that takes part in the research.</w:t>
      </w:r>
      <w:r w:rsidR="00743747">
        <w:rPr>
          <w:rStyle w:val="FootnoteReference"/>
        </w:rPr>
        <w:footnoteReference w:id="208"/>
      </w:r>
      <w:r w:rsidR="00743747">
        <w:t xml:space="preserve"> </w:t>
      </w:r>
      <w:r w:rsidR="002C1D7F">
        <w:t xml:space="preserve">Importantly, the Guidelines </w:t>
      </w:r>
      <w:r w:rsidR="00743747">
        <w:t xml:space="preserve">also </w:t>
      </w:r>
      <w:r w:rsidR="002C1D7F">
        <w:t>note that Aboriginal and Torres Strait Islander peoples have the right to own and control their cultural and intellectual property</w:t>
      </w:r>
      <w:r w:rsidR="00F052C8">
        <w:t>. This includes more holistic forms of knowledge and cultural property that is recognised by Australia’s intellectual property laws</w:t>
      </w:r>
      <w:r w:rsidR="000F7AA1">
        <w:t xml:space="preserve">. Therefore, </w:t>
      </w:r>
      <w:r w:rsidR="00F052C8">
        <w:t xml:space="preserve">research agreements should make </w:t>
      </w:r>
      <w:r w:rsidR="00F052C8">
        <w:lastRenderedPageBreak/>
        <w:t xml:space="preserve">appropriate provision for on-going ownership and control of </w:t>
      </w:r>
      <w:r w:rsidR="00705DB4">
        <w:t>Aboriginal and Torres Strait Islander cultural and intellectual property.</w:t>
      </w:r>
      <w:r w:rsidR="00705DB4">
        <w:rPr>
          <w:rStyle w:val="FootnoteReference"/>
        </w:rPr>
        <w:footnoteReference w:id="209"/>
      </w:r>
      <w:r w:rsidR="00705DB4">
        <w:t xml:space="preserve"> </w:t>
      </w:r>
    </w:p>
    <w:p w14:paraId="35679FC0" w14:textId="76CA1708" w:rsidR="0015220F" w:rsidRPr="008E5C92" w:rsidRDefault="0015220F" w:rsidP="00AE0C2D">
      <w:pPr>
        <w:pStyle w:val="Heading2"/>
        <w:rPr>
          <w:lang w:val="en-AU"/>
        </w:rPr>
      </w:pPr>
      <w:bookmarkStart w:id="155" w:name="_Ref45099351"/>
      <w:bookmarkStart w:id="156" w:name="_Toc118824376"/>
      <w:r w:rsidRPr="008E5C92">
        <w:rPr>
          <w:i/>
          <w:lang w:val="en-AU"/>
        </w:rPr>
        <w:t xml:space="preserve">Keeping </w:t>
      </w:r>
      <w:r w:rsidR="00434586" w:rsidRPr="008E5C92">
        <w:rPr>
          <w:i/>
          <w:lang w:val="en-AU"/>
        </w:rPr>
        <w:t>Research on Track II</w:t>
      </w:r>
      <w:r w:rsidR="00866B2D" w:rsidRPr="008E5C92">
        <w:rPr>
          <w:i/>
          <w:lang w:val="en-AU"/>
        </w:rPr>
        <w:t>,</w:t>
      </w:r>
      <w:r w:rsidR="00AE0C2D" w:rsidRPr="008E5C92">
        <w:rPr>
          <w:lang w:val="en-AU"/>
        </w:rPr>
        <w:t xml:space="preserve"> National Health and Medical Research Council (NHMRC)</w:t>
      </w:r>
      <w:bookmarkEnd w:id="155"/>
      <w:bookmarkEnd w:id="156"/>
    </w:p>
    <w:p w14:paraId="17831094" w14:textId="0C487157" w:rsidR="002F42F5" w:rsidRPr="008E5C92" w:rsidRDefault="00D954CD" w:rsidP="00D954CD">
      <w:pPr>
        <w:pStyle w:val="Heading3"/>
        <w:rPr>
          <w:lang w:val="en-AU"/>
        </w:rPr>
      </w:pPr>
      <w:bookmarkStart w:id="157" w:name="_Toc118824377"/>
      <w:r w:rsidRPr="008E5C92">
        <w:rPr>
          <w:lang w:val="en-AU"/>
        </w:rPr>
        <w:t>What is it?</w:t>
      </w:r>
      <w:bookmarkEnd w:id="157"/>
      <w:r w:rsidRPr="008E5C92">
        <w:rPr>
          <w:lang w:val="en-AU"/>
        </w:rPr>
        <w:t xml:space="preserve"> </w:t>
      </w:r>
    </w:p>
    <w:p w14:paraId="5ABC0950" w14:textId="56F01111" w:rsidR="000536FF" w:rsidRPr="008E5C92" w:rsidRDefault="00506DF8" w:rsidP="000536FF">
      <w:r w:rsidRPr="006F6237">
        <w:rPr>
          <w:i/>
          <w:iCs/>
        </w:rPr>
        <w:t>Keeping Research on Track II</w:t>
      </w:r>
      <w:r w:rsidRPr="008E5C92">
        <w:t xml:space="preserve"> is a companion document to the </w:t>
      </w:r>
      <w:r w:rsidRPr="008E5C92">
        <w:rPr>
          <w:i/>
        </w:rPr>
        <w:t>Ethical Conduct in Research with Aboriginal and Torres Strai</w:t>
      </w:r>
      <w:r w:rsidR="00847DB1">
        <w:rPr>
          <w:i/>
        </w:rPr>
        <w:t>t</w:t>
      </w:r>
      <w:r w:rsidRPr="008E5C92">
        <w:rPr>
          <w:i/>
        </w:rPr>
        <w:t xml:space="preserve"> Islander Peoples and Communities</w:t>
      </w:r>
      <w:r w:rsidR="00C565FC">
        <w:rPr>
          <w:i/>
        </w:rPr>
        <w:t xml:space="preserve"> </w:t>
      </w:r>
      <w:r w:rsidR="00C565FC">
        <w:rPr>
          <w:iCs/>
        </w:rPr>
        <w:t>(</w:t>
      </w:r>
      <w:r w:rsidR="00C565FC" w:rsidRPr="002B5F46">
        <w:rPr>
          <w:b/>
          <w:bCs/>
          <w:iCs/>
        </w:rPr>
        <w:t xml:space="preserve">Section </w:t>
      </w:r>
      <w:r w:rsidR="00C565FC" w:rsidRPr="002B5F46">
        <w:rPr>
          <w:b/>
          <w:bCs/>
          <w:iCs/>
        </w:rPr>
        <w:fldChar w:fldCharType="begin"/>
      </w:r>
      <w:r w:rsidR="00C565FC" w:rsidRPr="002B5F46">
        <w:rPr>
          <w:b/>
          <w:bCs/>
          <w:iCs/>
        </w:rPr>
        <w:instrText xml:space="preserve"> REF _Ref45099324 \r \h </w:instrText>
      </w:r>
      <w:r w:rsidR="00C565FC" w:rsidRPr="002B5F46">
        <w:rPr>
          <w:b/>
        </w:rPr>
        <w:instrText xml:space="preserve"> </w:instrText>
      </w:r>
      <w:r w:rsidR="00C565FC">
        <w:rPr>
          <w:b/>
          <w:bCs/>
          <w:iCs/>
        </w:rPr>
        <w:instrText xml:space="preserve">\* MERGEFORMAT </w:instrText>
      </w:r>
      <w:r w:rsidR="00C565FC" w:rsidRPr="002B5F46">
        <w:rPr>
          <w:b/>
          <w:bCs/>
          <w:iCs/>
        </w:rPr>
      </w:r>
      <w:r w:rsidR="00C565FC" w:rsidRPr="002B5F46">
        <w:rPr>
          <w:b/>
          <w:bCs/>
          <w:iCs/>
        </w:rPr>
        <w:fldChar w:fldCharType="separate"/>
      </w:r>
      <w:r w:rsidR="000B4085">
        <w:rPr>
          <w:b/>
          <w:bCs/>
          <w:iCs/>
        </w:rPr>
        <w:t>7.2</w:t>
      </w:r>
      <w:r w:rsidR="00C565FC" w:rsidRPr="002B5F46">
        <w:rPr>
          <w:b/>
          <w:bCs/>
          <w:iCs/>
        </w:rPr>
        <w:fldChar w:fldCharType="end"/>
      </w:r>
      <w:r w:rsidR="00C565FC">
        <w:rPr>
          <w:iCs/>
        </w:rPr>
        <w:t>)</w:t>
      </w:r>
      <w:r w:rsidRPr="008E5C92">
        <w:t xml:space="preserve">. </w:t>
      </w:r>
      <w:r w:rsidR="00112DC8">
        <w:rPr>
          <w:rStyle w:val="FootnoteReference"/>
        </w:rPr>
        <w:footnoteReference w:id="210"/>
      </w:r>
    </w:p>
    <w:p w14:paraId="33B72575" w14:textId="23915801" w:rsidR="00D954CD" w:rsidRPr="008E5C92" w:rsidRDefault="00D954CD" w:rsidP="00D954CD">
      <w:pPr>
        <w:pStyle w:val="Heading3"/>
        <w:rPr>
          <w:lang w:val="en-AU"/>
        </w:rPr>
      </w:pPr>
      <w:bookmarkStart w:id="158" w:name="_Toc118824378"/>
      <w:r w:rsidRPr="008E5C92">
        <w:rPr>
          <w:lang w:val="en-AU"/>
        </w:rPr>
        <w:t>Who does it apply to?</w:t>
      </w:r>
      <w:bookmarkEnd w:id="158"/>
    </w:p>
    <w:p w14:paraId="1951B68B" w14:textId="2FBF77D8" w:rsidR="00361FE2" w:rsidRPr="008E5C92" w:rsidRDefault="00325C6D" w:rsidP="00361FE2">
      <w:r w:rsidRPr="008E5C92">
        <w:t>The intended audience is primarily Aboriginal and Torres Strait Islander research participants and communities.</w:t>
      </w:r>
      <w:r w:rsidRPr="008E5C92">
        <w:rPr>
          <w:rStyle w:val="FootnoteReference"/>
        </w:rPr>
        <w:footnoteReference w:id="211"/>
      </w:r>
      <w:r w:rsidRPr="008E5C92">
        <w:t xml:space="preserve">  </w:t>
      </w:r>
    </w:p>
    <w:p w14:paraId="56E3121F" w14:textId="36552BC8" w:rsidR="00AE0C2D" w:rsidRPr="008E5C92" w:rsidRDefault="00D954CD" w:rsidP="00A8463A">
      <w:pPr>
        <w:pStyle w:val="Heading3"/>
        <w:rPr>
          <w:lang w:val="en-AU"/>
        </w:rPr>
      </w:pPr>
      <w:bookmarkStart w:id="159" w:name="_Toc118824379"/>
      <w:r w:rsidRPr="008E5C92">
        <w:rPr>
          <w:lang w:val="en-AU"/>
        </w:rPr>
        <w:t>Overview of provisions</w:t>
      </w:r>
      <w:bookmarkEnd w:id="159"/>
      <w:r w:rsidRPr="008E5C92">
        <w:rPr>
          <w:lang w:val="en-AU"/>
        </w:rPr>
        <w:t xml:space="preserve"> </w:t>
      </w:r>
    </w:p>
    <w:p w14:paraId="7155BF61" w14:textId="69B690E3" w:rsidR="00A8463A" w:rsidRPr="008E5C92" w:rsidRDefault="00A8463A" w:rsidP="00A8463A">
      <w:r w:rsidRPr="006F6237">
        <w:rPr>
          <w:i/>
          <w:iCs/>
        </w:rPr>
        <w:t>Keeping Research on Track II</w:t>
      </w:r>
      <w:r w:rsidRPr="008E5C92">
        <w:t xml:space="preserve"> builds on the six core values set out in the </w:t>
      </w:r>
      <w:r w:rsidR="007214B4" w:rsidRPr="008E5C92">
        <w:t xml:space="preserve">Guidelines </w:t>
      </w:r>
      <w:r w:rsidR="00185411">
        <w:t>(</w:t>
      </w:r>
      <w:r w:rsidR="00185411" w:rsidRPr="002B5F46">
        <w:rPr>
          <w:b/>
          <w:bCs/>
        </w:rPr>
        <w:t xml:space="preserve">Section </w:t>
      </w:r>
      <w:r w:rsidR="00185411" w:rsidRPr="002B5F46">
        <w:rPr>
          <w:b/>
          <w:bCs/>
        </w:rPr>
        <w:fldChar w:fldCharType="begin"/>
      </w:r>
      <w:r w:rsidR="00185411" w:rsidRPr="002B5F46">
        <w:rPr>
          <w:b/>
          <w:bCs/>
        </w:rPr>
        <w:instrText xml:space="preserve"> REF _Ref45100562 \r \h </w:instrText>
      </w:r>
      <w:r w:rsidR="00185411" w:rsidRPr="002B5F46">
        <w:rPr>
          <w:b/>
        </w:rPr>
        <w:instrText xml:space="preserve"> </w:instrText>
      </w:r>
      <w:r w:rsidR="00185411">
        <w:rPr>
          <w:b/>
          <w:bCs/>
        </w:rPr>
        <w:instrText xml:space="preserve">\* MERGEFORMAT </w:instrText>
      </w:r>
      <w:r w:rsidR="00185411" w:rsidRPr="002B5F46">
        <w:rPr>
          <w:b/>
          <w:bCs/>
        </w:rPr>
      </w:r>
      <w:r w:rsidR="00185411" w:rsidRPr="002B5F46">
        <w:rPr>
          <w:b/>
          <w:bCs/>
        </w:rPr>
        <w:fldChar w:fldCharType="separate"/>
      </w:r>
      <w:r w:rsidR="000B4085">
        <w:rPr>
          <w:b/>
          <w:bCs/>
        </w:rPr>
        <w:t>7.2.3</w:t>
      </w:r>
      <w:r w:rsidR="00185411" w:rsidRPr="002B5F46">
        <w:rPr>
          <w:b/>
          <w:bCs/>
        </w:rPr>
        <w:fldChar w:fldCharType="end"/>
      </w:r>
      <w:r w:rsidR="00185411">
        <w:t xml:space="preserve">) </w:t>
      </w:r>
      <w:r w:rsidR="007214B4" w:rsidRPr="008E5C92">
        <w:t>and sets out a rights based approach to participation in research including the right to self-determination, the right to free, prior informed consent, the right have input into the research agenda</w:t>
      </w:r>
      <w:r w:rsidR="00AD1AE0" w:rsidRPr="008E5C92">
        <w:t>, the right to seek advice and support to negotiate a written research agreement, and the right to make a complain</w:t>
      </w:r>
      <w:r w:rsidR="0082199F">
        <w:t>t</w:t>
      </w:r>
      <w:r w:rsidR="00AD1AE0" w:rsidRPr="008E5C92">
        <w:t xml:space="preserve"> if something goes wrong. </w:t>
      </w:r>
      <w:r w:rsidR="00ED2797" w:rsidRPr="008E5C92">
        <w:t xml:space="preserve">It then gives the audience an overview of the eight steps of a research project including: </w:t>
      </w:r>
    </w:p>
    <w:p w14:paraId="410A2997" w14:textId="27373D92" w:rsidR="00ED2797" w:rsidRPr="008E5C92" w:rsidRDefault="00EC2B0E" w:rsidP="00FF0989">
      <w:pPr>
        <w:pStyle w:val="ListNumber"/>
        <w:numPr>
          <w:ilvl w:val="0"/>
          <w:numId w:val="34"/>
        </w:numPr>
      </w:pPr>
      <w:r w:rsidRPr="008E5C92">
        <w:t>b</w:t>
      </w:r>
      <w:r w:rsidR="00ED2797" w:rsidRPr="008E5C92">
        <w:t xml:space="preserve">uilding relationships; </w:t>
      </w:r>
    </w:p>
    <w:p w14:paraId="380A2B7A" w14:textId="724C885F" w:rsidR="00ED2797" w:rsidRPr="008E5C92" w:rsidRDefault="00EC2B0E" w:rsidP="00FF0989">
      <w:pPr>
        <w:pStyle w:val="ListNumber"/>
      </w:pPr>
      <w:r w:rsidRPr="008E5C92">
        <w:t>d</w:t>
      </w:r>
      <w:r w:rsidR="00ED2797" w:rsidRPr="008E5C92">
        <w:t>eveloping the research idea</w:t>
      </w:r>
      <w:r w:rsidRPr="008E5C92">
        <w:t>;</w:t>
      </w:r>
      <w:r w:rsidR="00ED2797" w:rsidRPr="008E5C92">
        <w:t xml:space="preserve"> </w:t>
      </w:r>
    </w:p>
    <w:p w14:paraId="48014F89" w14:textId="54F08A0A" w:rsidR="00ED2797" w:rsidRPr="008E5C92" w:rsidRDefault="00EC2B0E" w:rsidP="00FF0989">
      <w:pPr>
        <w:pStyle w:val="ListNumber"/>
      </w:pPr>
      <w:r w:rsidRPr="008E5C92">
        <w:t>d</w:t>
      </w:r>
      <w:r w:rsidR="00ED2797" w:rsidRPr="008E5C92">
        <w:t xml:space="preserve">eveloping the </w:t>
      </w:r>
      <w:r w:rsidR="00286F4A" w:rsidRPr="008E5C92">
        <w:t>project</w:t>
      </w:r>
      <w:r w:rsidR="00ED2797" w:rsidRPr="008E5C92">
        <w:t xml:space="preserve"> and seeking agreement</w:t>
      </w:r>
      <w:r w:rsidRPr="008E5C92">
        <w:t>;</w:t>
      </w:r>
      <w:r w:rsidR="00ED2797" w:rsidRPr="008E5C92">
        <w:t xml:space="preserve"> </w:t>
      </w:r>
    </w:p>
    <w:p w14:paraId="70F8FDC5" w14:textId="31F01AC8" w:rsidR="00ED2797" w:rsidRPr="008E5C92" w:rsidRDefault="00EC2B0E" w:rsidP="00FF0989">
      <w:pPr>
        <w:pStyle w:val="ListNumber"/>
      </w:pPr>
      <w:r w:rsidRPr="008E5C92">
        <w:t>d</w:t>
      </w:r>
      <w:r w:rsidR="00ED2797" w:rsidRPr="008E5C92">
        <w:t>ata collection</w:t>
      </w:r>
      <w:r w:rsidRPr="008E5C92">
        <w:t>;</w:t>
      </w:r>
      <w:r w:rsidR="00ED2797" w:rsidRPr="008E5C92">
        <w:t xml:space="preserve"> </w:t>
      </w:r>
    </w:p>
    <w:p w14:paraId="0C0B5918" w14:textId="63404398" w:rsidR="00ED2797" w:rsidRPr="008E5C92" w:rsidRDefault="00EC2B0E" w:rsidP="00FF0989">
      <w:pPr>
        <w:pStyle w:val="ListNumber"/>
      </w:pPr>
      <w:r w:rsidRPr="008E5C92">
        <w:t>a</w:t>
      </w:r>
      <w:r w:rsidR="00ED2797" w:rsidRPr="008E5C92">
        <w:t>nalysing the data and making sense of the findings</w:t>
      </w:r>
      <w:r w:rsidRPr="008E5C92">
        <w:t>;</w:t>
      </w:r>
      <w:r w:rsidR="00ED2797" w:rsidRPr="008E5C92">
        <w:t xml:space="preserve"> </w:t>
      </w:r>
    </w:p>
    <w:p w14:paraId="0958C72C" w14:textId="336E0F5D" w:rsidR="00ED2797" w:rsidRPr="008E5C92" w:rsidRDefault="00EC2B0E" w:rsidP="00FF0989">
      <w:pPr>
        <w:pStyle w:val="ListNumber"/>
      </w:pPr>
      <w:r w:rsidRPr="008E5C92">
        <w:t>r</w:t>
      </w:r>
      <w:r w:rsidR="00ED2797" w:rsidRPr="008E5C92">
        <w:t>eport writing</w:t>
      </w:r>
      <w:r w:rsidRPr="008E5C92">
        <w:t>;</w:t>
      </w:r>
      <w:r w:rsidR="00ED2797" w:rsidRPr="008E5C92">
        <w:t xml:space="preserve"> </w:t>
      </w:r>
    </w:p>
    <w:p w14:paraId="388931E6" w14:textId="19C2E6F2" w:rsidR="00ED2797" w:rsidRPr="008E5C92" w:rsidRDefault="00EC2B0E" w:rsidP="00FF0989">
      <w:pPr>
        <w:pStyle w:val="ListNumber"/>
      </w:pPr>
      <w:r w:rsidRPr="008E5C92">
        <w:t>s</w:t>
      </w:r>
      <w:r w:rsidR="00ED2797" w:rsidRPr="008E5C92">
        <w:t>haring and translating the results into action</w:t>
      </w:r>
      <w:r w:rsidRPr="008E5C92">
        <w:t>; and</w:t>
      </w:r>
      <w:r w:rsidR="00ED2797" w:rsidRPr="008E5C92">
        <w:t xml:space="preserve"> </w:t>
      </w:r>
    </w:p>
    <w:p w14:paraId="0A9DEA3C" w14:textId="619F44D1" w:rsidR="00705DB4" w:rsidRDefault="00EC2B0E" w:rsidP="00FF0989">
      <w:pPr>
        <w:pStyle w:val="ListNumber"/>
      </w:pPr>
      <w:r w:rsidRPr="008E5C92">
        <w:t>l</w:t>
      </w:r>
      <w:r w:rsidR="00ED2797" w:rsidRPr="008E5C92">
        <w:t xml:space="preserve">earning from experience. </w:t>
      </w:r>
    </w:p>
    <w:p w14:paraId="43E22ECB" w14:textId="01CABFB9" w:rsidR="00E9186E" w:rsidRDefault="001B6146" w:rsidP="00E9186E">
      <w:r>
        <w:t xml:space="preserve">The </w:t>
      </w:r>
      <w:r w:rsidR="00932AB6">
        <w:t xml:space="preserve">document recommends that </w:t>
      </w:r>
      <w:r w:rsidR="00592F88">
        <w:t>the negotiated research agreement should cover</w:t>
      </w:r>
      <w:r w:rsidR="004112EA">
        <w:t xml:space="preserve"> copyright and intellectual property management </w:t>
      </w:r>
      <w:r w:rsidR="00240FEE">
        <w:t>as well as data collection, ownership, analysis and storage.</w:t>
      </w:r>
      <w:r w:rsidR="002B0F8F">
        <w:rPr>
          <w:rStyle w:val="FootnoteReference"/>
        </w:rPr>
        <w:footnoteReference w:id="212"/>
      </w:r>
    </w:p>
    <w:p w14:paraId="538A612B" w14:textId="7E00702C" w:rsidR="00916C28" w:rsidRPr="008E5C92" w:rsidRDefault="00686BCA" w:rsidP="00916C28">
      <w:pPr>
        <w:pStyle w:val="Heading2"/>
        <w:rPr>
          <w:lang w:val="en-AU"/>
        </w:rPr>
      </w:pPr>
      <w:bookmarkStart w:id="160" w:name="_Toc118824380"/>
      <w:r w:rsidRPr="008E5C92">
        <w:rPr>
          <w:i/>
          <w:lang w:val="en-AU"/>
        </w:rPr>
        <w:lastRenderedPageBreak/>
        <w:t>Road Map 3:</w:t>
      </w:r>
      <w:r w:rsidR="009A4B61" w:rsidRPr="008E5C92">
        <w:rPr>
          <w:i/>
          <w:lang w:val="en-AU"/>
        </w:rPr>
        <w:t xml:space="preserve"> </w:t>
      </w:r>
      <w:r w:rsidRPr="008E5C92">
        <w:rPr>
          <w:i/>
          <w:lang w:val="en-AU"/>
        </w:rPr>
        <w:t>A strategic framework for improving Aboriginal and Torres Strait Islander health through research</w:t>
      </w:r>
      <w:r w:rsidR="009A4B61" w:rsidRPr="008E5C92">
        <w:rPr>
          <w:lang w:val="en-AU"/>
        </w:rPr>
        <w:t>,</w:t>
      </w:r>
      <w:r w:rsidR="00916C28" w:rsidRPr="008E5C92">
        <w:rPr>
          <w:lang w:val="en-AU"/>
        </w:rPr>
        <w:t xml:space="preserve"> National Health and Medical Research Council (NHMRC)</w:t>
      </w:r>
      <w:bookmarkEnd w:id="160"/>
    </w:p>
    <w:p w14:paraId="4A4814E2" w14:textId="7EE3DF68" w:rsidR="00553C81" w:rsidRPr="008E5C92" w:rsidRDefault="009A4B61" w:rsidP="009A4B61">
      <w:pPr>
        <w:pStyle w:val="Heading3"/>
        <w:rPr>
          <w:lang w:val="en-AU"/>
        </w:rPr>
      </w:pPr>
      <w:bookmarkStart w:id="161" w:name="_Toc118824381"/>
      <w:r w:rsidRPr="008E5C92">
        <w:rPr>
          <w:lang w:val="en-AU"/>
        </w:rPr>
        <w:t>What is it?</w:t>
      </w:r>
      <w:bookmarkEnd w:id="161"/>
      <w:r w:rsidRPr="008E5C92">
        <w:rPr>
          <w:lang w:val="en-AU"/>
        </w:rPr>
        <w:t xml:space="preserve"> </w:t>
      </w:r>
    </w:p>
    <w:p w14:paraId="58EF5C0E" w14:textId="462BE70D" w:rsidR="00F755AF" w:rsidRPr="008E5C92" w:rsidRDefault="00F755AF" w:rsidP="00F755AF">
      <w:r w:rsidRPr="008E5C92">
        <w:t>Road Map 3 is a 10</w:t>
      </w:r>
      <w:r w:rsidR="0089178A" w:rsidRPr="008E5C92">
        <w:t>-</w:t>
      </w:r>
      <w:r w:rsidRPr="008E5C92">
        <w:t xml:space="preserve">year strategic plan </w:t>
      </w:r>
      <w:r w:rsidR="009772AA" w:rsidRPr="008E5C92">
        <w:t xml:space="preserve">to improve Australia’s Aboriginal and Torres Strait Islander </w:t>
      </w:r>
      <w:r w:rsidR="009D0B31" w:rsidRPr="008E5C92">
        <w:t xml:space="preserve">peoples’ health through research. </w:t>
      </w:r>
      <w:r w:rsidR="00DF3F55" w:rsidRPr="008E5C92">
        <w:t xml:space="preserve">It is the third of its kind. </w:t>
      </w:r>
    </w:p>
    <w:p w14:paraId="6EA4BFB6" w14:textId="2BC5D61F" w:rsidR="009A4B61" w:rsidRPr="008E5C92" w:rsidRDefault="009A4B61" w:rsidP="009A4B61">
      <w:pPr>
        <w:pStyle w:val="Heading3"/>
        <w:rPr>
          <w:lang w:val="en-AU"/>
        </w:rPr>
      </w:pPr>
      <w:bookmarkStart w:id="162" w:name="_Toc118824382"/>
      <w:r w:rsidRPr="008E5C92">
        <w:rPr>
          <w:lang w:val="en-AU"/>
        </w:rPr>
        <w:t>Who does it apply to?</w:t>
      </w:r>
      <w:bookmarkEnd w:id="162"/>
      <w:r w:rsidRPr="008E5C92">
        <w:rPr>
          <w:lang w:val="en-AU"/>
        </w:rPr>
        <w:t xml:space="preserve"> </w:t>
      </w:r>
    </w:p>
    <w:p w14:paraId="2AC7B175" w14:textId="5E3E1DF6" w:rsidR="00712891" w:rsidRPr="008E5C92" w:rsidRDefault="00CF4F98" w:rsidP="00CF4F98">
      <w:r w:rsidRPr="008E5C92">
        <w:t xml:space="preserve">NHMRC </w:t>
      </w:r>
      <w:r w:rsidR="00EA1321" w:rsidRPr="008E5C92">
        <w:t xml:space="preserve">is Australia’s leading expert body in health and medical research. </w:t>
      </w:r>
      <w:r w:rsidR="00E20CBA" w:rsidRPr="008E5C92">
        <w:t xml:space="preserve">They set industry standards for ethical research. </w:t>
      </w:r>
      <w:r w:rsidR="0089178A" w:rsidRPr="008E5C92">
        <w:t xml:space="preserve">Making their 10-year strategic plan </w:t>
      </w:r>
      <w:r w:rsidR="00A322DC" w:rsidRPr="008E5C92">
        <w:t xml:space="preserve">to improve </w:t>
      </w:r>
      <w:r w:rsidR="000D49B6" w:rsidRPr="008E5C92">
        <w:t xml:space="preserve">the conduct and management of research involving Aboriginal and Torres Strait Islander peoples, </w:t>
      </w:r>
      <w:r w:rsidR="00D02DB9" w:rsidRPr="008E5C92">
        <w:t xml:space="preserve">sets the bar for </w:t>
      </w:r>
      <w:r w:rsidR="00712891" w:rsidRPr="008E5C92">
        <w:t xml:space="preserve">researchers, ethics review bodies, those involved in research governance and research participants. </w:t>
      </w:r>
    </w:p>
    <w:p w14:paraId="1E618C9D" w14:textId="08641C55" w:rsidR="006D2E73" w:rsidRPr="00860519" w:rsidRDefault="009A4B61" w:rsidP="006D2E73">
      <w:pPr>
        <w:pStyle w:val="Heading3"/>
        <w:rPr>
          <w:lang w:val="en-AU"/>
        </w:rPr>
      </w:pPr>
      <w:bookmarkStart w:id="163" w:name="_Toc118824383"/>
      <w:r w:rsidRPr="008E5C92">
        <w:rPr>
          <w:lang w:val="en-AU"/>
        </w:rPr>
        <w:t>Overview of provisions</w:t>
      </w:r>
      <w:bookmarkEnd w:id="163"/>
      <w:r w:rsidRPr="008E5C92">
        <w:rPr>
          <w:lang w:val="en-AU"/>
        </w:rPr>
        <w:t xml:space="preserve"> </w:t>
      </w:r>
    </w:p>
    <w:p w14:paraId="4F848B72" w14:textId="50D52BC9" w:rsidR="00617EC4" w:rsidRDefault="00617EC4" w:rsidP="00617EC4">
      <w:r>
        <w:t xml:space="preserve">The primary objective of Road Map 3 is to: </w:t>
      </w:r>
    </w:p>
    <w:p w14:paraId="4A77FBE9" w14:textId="04A1EDD3" w:rsidR="00617EC4" w:rsidRPr="002B5F46" w:rsidRDefault="00617EC4" w:rsidP="00B254C3">
      <w:pPr>
        <w:ind w:left="567" w:right="1088"/>
        <w:rPr>
          <w:iCs/>
          <w:sz w:val="20"/>
          <w:szCs w:val="20"/>
        </w:rPr>
      </w:pPr>
      <w:r w:rsidRPr="002B5F46">
        <w:rPr>
          <w:iCs/>
          <w:sz w:val="20"/>
          <w:szCs w:val="20"/>
        </w:rPr>
        <w:t>Guide NHMRC to improve health, social and wellbeing outcomes for Aboriginal and Torres Strait Islander</w:t>
      </w:r>
      <w:r w:rsidR="00B90E4E" w:rsidRPr="002B5F46">
        <w:rPr>
          <w:iCs/>
          <w:sz w:val="20"/>
          <w:szCs w:val="20"/>
        </w:rPr>
        <w:t xml:space="preserve"> peoples by ensuring research excellence and integrity – highlighting research priorities driven by Aboriginal and Torres Strait Islander communities.</w:t>
      </w:r>
      <w:r w:rsidR="00DA3409" w:rsidRPr="002B5F46">
        <w:rPr>
          <w:rStyle w:val="FootnoteReference"/>
          <w:iCs/>
          <w:sz w:val="20"/>
          <w:szCs w:val="20"/>
        </w:rPr>
        <w:footnoteReference w:id="213"/>
      </w:r>
      <w:r w:rsidR="00B90E4E" w:rsidRPr="002B5F46">
        <w:rPr>
          <w:iCs/>
          <w:sz w:val="20"/>
          <w:szCs w:val="20"/>
        </w:rPr>
        <w:t xml:space="preserve"> </w:t>
      </w:r>
    </w:p>
    <w:p w14:paraId="403896BA" w14:textId="5337373E" w:rsidR="00DA3409" w:rsidRDefault="00EB1A4E" w:rsidP="00617EC4">
      <w:r>
        <w:t xml:space="preserve">This will be achieved through: </w:t>
      </w:r>
    </w:p>
    <w:p w14:paraId="5F89D7E9" w14:textId="1B14C9E3" w:rsidR="00EB1A4E" w:rsidRDefault="00957AB6" w:rsidP="001B3344">
      <w:pPr>
        <w:pStyle w:val="ListBullet"/>
      </w:pPr>
      <w:r>
        <w:t>s</w:t>
      </w:r>
      <w:r w:rsidR="00EB1A4E">
        <w:t>trengthening the Aboriginal and Torres Strait Islander researcher workforce</w:t>
      </w:r>
      <w:r w:rsidR="0043373F">
        <w:t xml:space="preserve">, </w:t>
      </w:r>
      <w:r w:rsidR="00C446ED">
        <w:t xml:space="preserve">by building capacity in the sector and </w:t>
      </w:r>
      <w:r w:rsidR="009526A6">
        <w:t>supporting community</w:t>
      </w:r>
      <w:r w:rsidR="006B3B0D">
        <w:t>-</w:t>
      </w:r>
      <w:r w:rsidR="009526A6">
        <w:t>based researchers</w:t>
      </w:r>
      <w:r>
        <w:t>;</w:t>
      </w:r>
    </w:p>
    <w:p w14:paraId="3B4A4EBB" w14:textId="0791CD47" w:rsidR="009526A6" w:rsidRDefault="00957AB6" w:rsidP="001B3344">
      <w:pPr>
        <w:pStyle w:val="ListBullet"/>
      </w:pPr>
      <w:r>
        <w:t>e</w:t>
      </w:r>
      <w:r w:rsidR="009526A6">
        <w:t xml:space="preserve">ngaging with Aboriginal and Torres Strait Islander communities, </w:t>
      </w:r>
      <w:r w:rsidR="002D7132">
        <w:t>for example by supporting researchers to engage with communities and continually improving key protocol documents and guidelines</w:t>
      </w:r>
      <w:r>
        <w:t>; and</w:t>
      </w:r>
      <w:r w:rsidR="002D7132">
        <w:t xml:space="preserve"> </w:t>
      </w:r>
    </w:p>
    <w:p w14:paraId="67A74B55" w14:textId="7F7CDF07" w:rsidR="006D2E73" w:rsidRDefault="00957AB6" w:rsidP="001B3344">
      <w:pPr>
        <w:pStyle w:val="ListBullet"/>
      </w:pPr>
      <w:r>
        <w:t>s</w:t>
      </w:r>
      <w:r w:rsidR="002D7132">
        <w:t>upporting research in high priority area</w:t>
      </w:r>
      <w:r w:rsidR="00BD5EC0">
        <w:t>s</w:t>
      </w:r>
      <w:r w:rsidR="0096467E">
        <w:t xml:space="preserve">, while </w:t>
      </w:r>
      <w:r w:rsidR="0068748B">
        <w:t>recognising</w:t>
      </w:r>
      <w:r w:rsidR="0096467E">
        <w:t xml:space="preserve"> that </w:t>
      </w:r>
      <w:r w:rsidR="001A7600">
        <w:t>priorities will differ over time, and will differ between Aboriginal and Torres Strait Islander communities</w:t>
      </w:r>
      <w:r w:rsidR="0068748B">
        <w:t>.</w:t>
      </w:r>
      <w:r w:rsidR="0068748B">
        <w:rPr>
          <w:rStyle w:val="FootnoteReference"/>
        </w:rPr>
        <w:footnoteReference w:id="214"/>
      </w:r>
    </w:p>
    <w:p w14:paraId="3EF0F82F" w14:textId="7484FF42" w:rsidR="00067327" w:rsidRPr="008E5C92" w:rsidRDefault="00901299" w:rsidP="00F46FA5">
      <w:pPr>
        <w:pStyle w:val="Heading2"/>
        <w:rPr>
          <w:lang w:val="en-AU"/>
        </w:rPr>
      </w:pPr>
      <w:bookmarkStart w:id="164" w:name="_Ref45099395"/>
      <w:bookmarkStart w:id="165" w:name="_Toc118824384"/>
      <w:r w:rsidRPr="008E5C92">
        <w:rPr>
          <w:i/>
          <w:lang w:val="en-AU"/>
        </w:rPr>
        <w:t xml:space="preserve">Guidelines for Ethical Research in Australian Indigenous </w:t>
      </w:r>
      <w:r w:rsidR="00760EDF">
        <w:rPr>
          <w:i/>
          <w:lang w:val="en-AU"/>
        </w:rPr>
        <w:t>S</w:t>
      </w:r>
      <w:r w:rsidRPr="008E5C92">
        <w:rPr>
          <w:i/>
          <w:lang w:val="en-AU"/>
        </w:rPr>
        <w:t xml:space="preserve">tudies </w:t>
      </w:r>
      <w:r w:rsidR="00F46FA5" w:rsidRPr="008E5C92">
        <w:rPr>
          <w:i/>
          <w:lang w:val="en-AU"/>
        </w:rPr>
        <w:t>(GERAIS)</w:t>
      </w:r>
      <w:r w:rsidR="00F46FA5" w:rsidRPr="008E5C92">
        <w:rPr>
          <w:lang w:val="en-AU"/>
        </w:rPr>
        <w:t>, Australian Aboriginal Institute of Aboriginal and Torres Strait Islander Studies</w:t>
      </w:r>
      <w:bookmarkEnd w:id="164"/>
      <w:bookmarkEnd w:id="165"/>
      <w:r w:rsidR="00F46FA5" w:rsidRPr="008E5C92">
        <w:rPr>
          <w:lang w:val="en-AU"/>
        </w:rPr>
        <w:t xml:space="preserve"> </w:t>
      </w:r>
    </w:p>
    <w:p w14:paraId="3A697686" w14:textId="5B05E739" w:rsidR="00E56410" w:rsidRPr="008E5C92" w:rsidRDefault="00F46FA5" w:rsidP="00F46FA5">
      <w:pPr>
        <w:pStyle w:val="Heading3"/>
        <w:rPr>
          <w:lang w:val="en-AU"/>
        </w:rPr>
      </w:pPr>
      <w:bookmarkStart w:id="166" w:name="_Toc118824385"/>
      <w:r w:rsidRPr="008E5C92">
        <w:rPr>
          <w:lang w:val="en-AU"/>
        </w:rPr>
        <w:t>What is it?</w:t>
      </w:r>
      <w:bookmarkEnd w:id="166"/>
      <w:r w:rsidRPr="008E5C92">
        <w:rPr>
          <w:lang w:val="en-AU"/>
        </w:rPr>
        <w:t xml:space="preserve"> </w:t>
      </w:r>
    </w:p>
    <w:p w14:paraId="5A5E4F16" w14:textId="1F5748D2" w:rsidR="00411276" w:rsidRPr="008E5C92" w:rsidRDefault="00411276" w:rsidP="00411276">
      <w:r w:rsidRPr="008E5C92">
        <w:t xml:space="preserve">These Guidelines were prepared by AIATSIS. </w:t>
      </w:r>
      <w:r w:rsidR="00BB251C" w:rsidRPr="008E5C92">
        <w:t>They are guidelines for ethical research involving Aboriginal or Torres Strait Islander participants</w:t>
      </w:r>
      <w:r w:rsidR="00571F54" w:rsidRPr="008E5C92">
        <w:t xml:space="preserve">, although they are not specific to health and medical research. Nevertheless, they are still relevant to the Indigenous genomics study space and </w:t>
      </w:r>
      <w:r w:rsidR="003017CD" w:rsidRPr="008E5C92">
        <w:t xml:space="preserve">set important principles and rights that Aboriginal and Torres </w:t>
      </w:r>
      <w:r w:rsidR="003017CD" w:rsidRPr="008E5C92">
        <w:lastRenderedPageBreak/>
        <w:t xml:space="preserve">Strait Islander people </w:t>
      </w:r>
      <w:r w:rsidR="003746E7" w:rsidRPr="008E5C92">
        <w:t xml:space="preserve">have in relation to all research that they are involved in, or that incorporates their knowledge. </w:t>
      </w:r>
    </w:p>
    <w:p w14:paraId="4A9C0327" w14:textId="4DFBE4B1" w:rsidR="00F46FA5" w:rsidRPr="008E5C92" w:rsidRDefault="00F46FA5" w:rsidP="00F46FA5">
      <w:pPr>
        <w:pStyle w:val="Heading3"/>
        <w:rPr>
          <w:lang w:val="en-AU"/>
        </w:rPr>
      </w:pPr>
      <w:bookmarkStart w:id="167" w:name="_Toc118824386"/>
      <w:r w:rsidRPr="008E5C92">
        <w:rPr>
          <w:lang w:val="en-AU"/>
        </w:rPr>
        <w:t>Who does it apply to?</w:t>
      </w:r>
      <w:bookmarkEnd w:id="167"/>
      <w:r w:rsidRPr="008E5C92">
        <w:rPr>
          <w:lang w:val="en-AU"/>
        </w:rPr>
        <w:t xml:space="preserve"> </w:t>
      </w:r>
    </w:p>
    <w:p w14:paraId="6554C062" w14:textId="2A341164" w:rsidR="00541D80" w:rsidRPr="008E5C92" w:rsidRDefault="00541D80" w:rsidP="00541D80">
      <w:r w:rsidRPr="008E5C92">
        <w:t>It applies to anyone conduc</w:t>
      </w:r>
      <w:r w:rsidR="00FA4C8B">
        <w:t>t</w:t>
      </w:r>
      <w:r w:rsidRPr="008E5C92">
        <w:t>ing any kind of research involving Aboriginal or Torres Strait Islander people</w:t>
      </w:r>
      <w:r w:rsidR="0052629B">
        <w:t>s</w:t>
      </w:r>
      <w:r w:rsidRPr="008E5C92">
        <w:t xml:space="preserve"> or their knowledge. </w:t>
      </w:r>
    </w:p>
    <w:p w14:paraId="2077A6B5" w14:textId="37CB74CC" w:rsidR="00F46FA5" w:rsidRPr="008E5C92" w:rsidRDefault="00F46FA5" w:rsidP="00F46FA5">
      <w:pPr>
        <w:pStyle w:val="Heading3"/>
        <w:rPr>
          <w:lang w:val="en-AU"/>
        </w:rPr>
      </w:pPr>
      <w:bookmarkStart w:id="168" w:name="_Toc118824387"/>
      <w:r w:rsidRPr="008E5C92">
        <w:rPr>
          <w:lang w:val="en-AU"/>
        </w:rPr>
        <w:t>Overview of provisions</w:t>
      </w:r>
      <w:bookmarkEnd w:id="168"/>
      <w:r w:rsidRPr="008E5C92">
        <w:rPr>
          <w:lang w:val="en-AU"/>
        </w:rPr>
        <w:t xml:space="preserve"> </w:t>
      </w:r>
    </w:p>
    <w:p w14:paraId="1D96ABEC" w14:textId="570B716B" w:rsidR="00541D80" w:rsidRPr="008E5C92" w:rsidRDefault="00541D80" w:rsidP="00541D80">
      <w:r w:rsidRPr="008E5C92">
        <w:t>It recogni</w:t>
      </w:r>
      <w:r w:rsidR="001052EA" w:rsidRPr="008E5C92">
        <w:t>s</w:t>
      </w:r>
      <w:r w:rsidRPr="008E5C92">
        <w:t>es the inherent rights of</w:t>
      </w:r>
      <w:r w:rsidR="00F27F9C">
        <w:t xml:space="preserve"> Aboriginal and Torres Strait Islander </w:t>
      </w:r>
      <w:r w:rsidRPr="008E5C92">
        <w:t>peoples including their right to self</w:t>
      </w:r>
      <w:r w:rsidR="006F70D1">
        <w:t>-</w:t>
      </w:r>
      <w:r w:rsidRPr="008E5C92">
        <w:t>determination</w:t>
      </w:r>
      <w:r w:rsidR="003D27DC" w:rsidRPr="008E5C92">
        <w:t xml:space="preserve">, full and fair participation in any process </w:t>
      </w:r>
      <w:r w:rsidR="00B80B66" w:rsidRPr="008E5C92">
        <w:t>and the right to control and maintain their culture and heritage.</w:t>
      </w:r>
      <w:r w:rsidR="00B80B66" w:rsidRPr="008E5C92">
        <w:rPr>
          <w:rStyle w:val="FootnoteReference"/>
        </w:rPr>
        <w:footnoteReference w:id="215"/>
      </w:r>
    </w:p>
    <w:p w14:paraId="382094BF" w14:textId="629E9CF6" w:rsidR="00B80B66" w:rsidRPr="008E5C92" w:rsidRDefault="00C1620A" w:rsidP="00541D80">
      <w:r w:rsidRPr="008E5C92">
        <w:t xml:space="preserve">It goes on to set 14 research principles, grouped under the broad categories of: </w:t>
      </w:r>
    </w:p>
    <w:p w14:paraId="4A10EDC5" w14:textId="440BE5FA" w:rsidR="00C1620A" w:rsidRPr="008E5C92" w:rsidRDefault="003B0BFF" w:rsidP="001B3344">
      <w:pPr>
        <w:pStyle w:val="ListBullet"/>
      </w:pPr>
      <w:r w:rsidRPr="008E5C92">
        <w:t>r</w:t>
      </w:r>
      <w:r w:rsidR="00C1620A" w:rsidRPr="008E5C92">
        <w:t>ights, respect and recognition</w:t>
      </w:r>
      <w:r w:rsidR="008D4416" w:rsidRPr="008E5C92">
        <w:t>;</w:t>
      </w:r>
      <w:r w:rsidR="00C1620A" w:rsidRPr="008E5C92">
        <w:t xml:space="preserve"> </w:t>
      </w:r>
    </w:p>
    <w:p w14:paraId="1A833E8D" w14:textId="2DB79669" w:rsidR="00C1620A" w:rsidRPr="008E5C92" w:rsidRDefault="003B0BFF" w:rsidP="001B3344">
      <w:pPr>
        <w:pStyle w:val="ListBullet"/>
      </w:pPr>
      <w:r w:rsidRPr="008E5C92">
        <w:t>n</w:t>
      </w:r>
      <w:r w:rsidR="00C1620A" w:rsidRPr="008E5C92">
        <w:t>egotiation, consultation, agreement and mutual understanding</w:t>
      </w:r>
      <w:r w:rsidR="008D4416" w:rsidRPr="008E5C92">
        <w:t>;</w:t>
      </w:r>
    </w:p>
    <w:p w14:paraId="1456ABA9" w14:textId="07EC6662" w:rsidR="00C1620A" w:rsidRPr="008E5C92" w:rsidRDefault="003B0BFF" w:rsidP="001B3344">
      <w:pPr>
        <w:pStyle w:val="ListBullet"/>
      </w:pPr>
      <w:r w:rsidRPr="008E5C92">
        <w:t>p</w:t>
      </w:r>
      <w:r w:rsidR="00C1620A" w:rsidRPr="008E5C92">
        <w:t>articipation, collaboration and partnership</w:t>
      </w:r>
      <w:r w:rsidR="008D4416" w:rsidRPr="008E5C92">
        <w:t>;</w:t>
      </w:r>
      <w:r w:rsidR="00C1620A" w:rsidRPr="008E5C92">
        <w:t xml:space="preserve"> </w:t>
      </w:r>
    </w:p>
    <w:p w14:paraId="481C4C2E" w14:textId="5EAA5D6B" w:rsidR="00C1620A" w:rsidRPr="008E5C92" w:rsidRDefault="003B0BFF" w:rsidP="001B3344">
      <w:pPr>
        <w:pStyle w:val="ListBullet"/>
      </w:pPr>
      <w:r w:rsidRPr="008E5C92">
        <w:t>b</w:t>
      </w:r>
      <w:r w:rsidR="00C1620A" w:rsidRPr="008E5C92">
        <w:t>enefits, outcome and giving back</w:t>
      </w:r>
      <w:r w:rsidR="008D4416" w:rsidRPr="008E5C92">
        <w:t>;</w:t>
      </w:r>
      <w:r w:rsidR="00C1620A" w:rsidRPr="008E5C92">
        <w:t xml:space="preserve"> </w:t>
      </w:r>
    </w:p>
    <w:p w14:paraId="7563992B" w14:textId="3ED451CD" w:rsidR="00C1620A" w:rsidRPr="008E5C92" w:rsidRDefault="003B0BFF" w:rsidP="001B3344">
      <w:pPr>
        <w:pStyle w:val="ListBullet"/>
      </w:pPr>
      <w:r w:rsidRPr="008E5C92">
        <w:t>m</w:t>
      </w:r>
      <w:r w:rsidR="008D4416" w:rsidRPr="008E5C92">
        <w:t xml:space="preserve">anaging research: use, storage and access; and </w:t>
      </w:r>
    </w:p>
    <w:p w14:paraId="3A915E08" w14:textId="76A06025" w:rsidR="008D4416" w:rsidRPr="008E5C92" w:rsidRDefault="003B0BFF" w:rsidP="001B3344">
      <w:pPr>
        <w:pStyle w:val="ListBullet"/>
      </w:pPr>
      <w:r w:rsidRPr="008E5C92">
        <w:t>r</w:t>
      </w:r>
      <w:r w:rsidR="008D4416" w:rsidRPr="008E5C92">
        <w:t xml:space="preserve">eporting and compliance. </w:t>
      </w:r>
    </w:p>
    <w:p w14:paraId="7BAB0DBA" w14:textId="510A05B9" w:rsidR="00CE1A5C" w:rsidRPr="00F67476" w:rsidRDefault="00DA3E5C" w:rsidP="005206D7">
      <w:pPr>
        <w:pStyle w:val="Heading2"/>
        <w:rPr>
          <w:lang w:val="en-AU"/>
        </w:rPr>
      </w:pPr>
      <w:bookmarkStart w:id="169" w:name="_Ref39157542"/>
      <w:bookmarkStart w:id="170" w:name="_Ref39157545"/>
      <w:bookmarkStart w:id="171" w:name="_Toc118824388"/>
      <w:r w:rsidRPr="00F67476">
        <w:rPr>
          <w:lang w:val="en-AU"/>
        </w:rPr>
        <w:t xml:space="preserve">Genomics Partnerships, </w:t>
      </w:r>
      <w:r w:rsidR="0041460E" w:rsidRPr="00F67476">
        <w:rPr>
          <w:lang w:val="en-AU"/>
        </w:rPr>
        <w:t xml:space="preserve">QIMR </w:t>
      </w:r>
      <w:r w:rsidRPr="00F67476">
        <w:rPr>
          <w:lang w:val="en-AU"/>
        </w:rPr>
        <w:t>Berghofer</w:t>
      </w:r>
      <w:bookmarkEnd w:id="169"/>
      <w:bookmarkEnd w:id="170"/>
      <w:bookmarkEnd w:id="171"/>
      <w:r w:rsidRPr="00F67476">
        <w:rPr>
          <w:lang w:val="en-AU"/>
        </w:rPr>
        <w:t xml:space="preserve"> </w:t>
      </w:r>
    </w:p>
    <w:p w14:paraId="18849EAB" w14:textId="15368899" w:rsidR="007A339D" w:rsidRDefault="002620A5" w:rsidP="00CE1A5C">
      <w:r>
        <w:t xml:space="preserve">QIMR Berghofer Medical Research Institute has published a document, </w:t>
      </w:r>
      <w:r w:rsidR="003A7600" w:rsidRPr="003A7600">
        <w:rPr>
          <w:i/>
          <w:iCs/>
        </w:rPr>
        <w:t>Genomic Partnerships: Guidelines for genomic research with Aboriginal and Torres Strait Islander peoples of Queensland</w:t>
      </w:r>
      <w:r w:rsidR="003A7600">
        <w:t>.</w:t>
      </w:r>
      <w:r w:rsidR="003A7600">
        <w:rPr>
          <w:rStyle w:val="FootnoteReference"/>
        </w:rPr>
        <w:footnoteReference w:id="216"/>
      </w:r>
      <w:r w:rsidR="00654DA4">
        <w:t xml:space="preserve">  </w:t>
      </w:r>
      <w:r w:rsidR="009D3AB1">
        <w:t>T</w:t>
      </w:r>
      <w:r w:rsidR="001022E8">
        <w:t xml:space="preserve">he </w:t>
      </w:r>
      <w:r w:rsidR="009E42CB">
        <w:t>G</w:t>
      </w:r>
      <w:r w:rsidR="001022E8">
        <w:t xml:space="preserve">uidelines aim to provide researchers with </w:t>
      </w:r>
      <w:r w:rsidR="00A54DB4">
        <w:t>practical advice</w:t>
      </w:r>
      <w:r w:rsidR="00723FC3">
        <w:t xml:space="preserve"> before planning research with</w:t>
      </w:r>
      <w:r w:rsidR="008F0ECB">
        <w:t xml:space="preserve"> </w:t>
      </w:r>
      <w:r w:rsidR="008B5BCD">
        <w:t>Aboriginal and Torres Strait Islander</w:t>
      </w:r>
      <w:r w:rsidR="009D5D77">
        <w:t xml:space="preserve"> communities in Queensland</w:t>
      </w:r>
      <w:r w:rsidR="00723FC3">
        <w:t>.</w:t>
      </w:r>
      <w:r w:rsidR="00E02D70">
        <w:t xml:space="preserve">  Using the NHMRC’s </w:t>
      </w:r>
      <w:r w:rsidR="00942B21">
        <w:t xml:space="preserve">6 </w:t>
      </w:r>
      <w:r w:rsidR="00E02D70">
        <w:t xml:space="preserve">core </w:t>
      </w:r>
      <w:r w:rsidR="00942B21">
        <w:t>values, the document sets out how to approach engagement with communities.</w:t>
      </w:r>
      <w:r w:rsidR="00A02CAE">
        <w:t xml:space="preserve">  </w:t>
      </w:r>
      <w:r w:rsidR="00366B9D">
        <w:t>Using a North American First Nations communities framework</w:t>
      </w:r>
      <w:r w:rsidR="00020385">
        <w:t xml:space="preserve">, the approach for partnership is </w:t>
      </w:r>
      <w:r w:rsidR="009655B1">
        <w:t xml:space="preserve">based </w:t>
      </w:r>
      <w:r w:rsidR="00020385">
        <w:t xml:space="preserve">on co-designed research and incorporating </w:t>
      </w:r>
      <w:r w:rsidR="00AA2750">
        <w:t xml:space="preserve">Aboriginal and Torres Strait Islander </w:t>
      </w:r>
      <w:r w:rsidR="00020385">
        <w:t>research methodologies.</w:t>
      </w:r>
    </w:p>
    <w:p w14:paraId="71015BA8" w14:textId="3F59CC6C" w:rsidR="008303F3" w:rsidRDefault="00EC5A6E" w:rsidP="00CE1A5C">
      <w:r>
        <w:t>Section</w:t>
      </w:r>
      <w:r w:rsidR="007A339D">
        <w:t>s</w:t>
      </w:r>
      <w:r>
        <w:t xml:space="preserve"> 3 and 4 of the document cover sovereignty and </w:t>
      </w:r>
      <w:r w:rsidR="00700FB3">
        <w:t>research regulation.</w:t>
      </w:r>
      <w:r w:rsidR="00A95166">
        <w:t xml:space="preserve"> It is here that the document sets out the support documents for research projects which include letters of support, res</w:t>
      </w:r>
      <w:r w:rsidR="00916AF8">
        <w:t>ear</w:t>
      </w:r>
      <w:r w:rsidR="00A95166">
        <w:t>ch agreement</w:t>
      </w:r>
      <w:r w:rsidR="00F05ABC">
        <w:t>s</w:t>
      </w:r>
      <w:r w:rsidR="00A95166">
        <w:t xml:space="preserve">, </w:t>
      </w:r>
      <w:r w:rsidR="00F05ABC">
        <w:t xml:space="preserve">and </w:t>
      </w:r>
      <w:r w:rsidR="00A95166">
        <w:t>Memoran</w:t>
      </w:r>
      <w:r w:rsidR="00916AF8">
        <w:t>d</w:t>
      </w:r>
      <w:r w:rsidR="00A95166">
        <w:t xml:space="preserve">um of </w:t>
      </w:r>
      <w:r w:rsidR="00F05ABC">
        <w:t>U</w:t>
      </w:r>
      <w:r w:rsidR="00A95166">
        <w:t>nderstanding</w:t>
      </w:r>
      <w:r w:rsidR="00F05ABC">
        <w:t xml:space="preserve"> (MOUs)</w:t>
      </w:r>
      <w:r w:rsidR="00796DCA">
        <w:t>. Th</w:t>
      </w:r>
      <w:r w:rsidR="002E07F0">
        <w:t>e document highlights the importance of intellectual property issues</w:t>
      </w:r>
      <w:r w:rsidR="00916AF8">
        <w:t xml:space="preserve"> being covered in discussion and negotiated in agreements</w:t>
      </w:r>
      <w:r w:rsidR="008303F3">
        <w:t>:</w:t>
      </w:r>
    </w:p>
    <w:p w14:paraId="21561DEA" w14:textId="7E2C5CCF" w:rsidR="00796DCA" w:rsidRPr="00581FB6" w:rsidRDefault="008303F3" w:rsidP="00FF0989">
      <w:pPr>
        <w:pStyle w:val="Quote"/>
      </w:pPr>
      <w:r w:rsidRPr="00581FB6">
        <w:t>In circumstances where there is the possibility of commercially relevant intellectual property (IP) or financial gain from the research, this needs to be clearly communicated with the participants and the community. Discussions and agreements about compensation and ownership of IP need to be made early, even when a project is unlikely to yield these outcomes</w:t>
      </w:r>
      <w:r w:rsidRPr="00581FB6">
        <w:rPr>
          <w:rStyle w:val="FootnoteReference"/>
          <w:szCs w:val="20"/>
        </w:rPr>
        <w:footnoteReference w:id="217"/>
      </w:r>
    </w:p>
    <w:p w14:paraId="3809AA66" w14:textId="1EA45EE4" w:rsidR="0041460E" w:rsidRPr="00F67476" w:rsidRDefault="0041460E" w:rsidP="005206D7">
      <w:pPr>
        <w:pStyle w:val="Heading2"/>
        <w:rPr>
          <w:lang w:val="en-AU"/>
        </w:rPr>
      </w:pPr>
      <w:bookmarkStart w:id="172" w:name="_Toc118824389"/>
      <w:r w:rsidRPr="00F67476">
        <w:rPr>
          <w:lang w:val="en-AU"/>
        </w:rPr>
        <w:lastRenderedPageBreak/>
        <w:t>Central Australian Academic Health Science Network</w:t>
      </w:r>
      <w:bookmarkEnd w:id="172"/>
      <w:r w:rsidRPr="00F67476">
        <w:rPr>
          <w:lang w:val="en-AU"/>
        </w:rPr>
        <w:t xml:space="preserve"> </w:t>
      </w:r>
    </w:p>
    <w:p w14:paraId="3BBD348D" w14:textId="5CFE12EE" w:rsidR="00C06C4D" w:rsidRPr="00C06C4D" w:rsidRDefault="00C06C4D" w:rsidP="00C06C4D">
      <w:r>
        <w:t>The Central Australian Academic Health Science Network (CAAHSN)</w:t>
      </w:r>
      <w:r w:rsidR="005C7922">
        <w:t xml:space="preserve"> is a partnership between health services, </w:t>
      </w:r>
      <w:r w:rsidR="00725C4E">
        <w:t>h</w:t>
      </w:r>
      <w:r w:rsidR="00725C4E" w:rsidRPr="00725C4E">
        <w:t>ealth/medical research organisations and educational institutions in Central Australia.</w:t>
      </w:r>
      <w:r w:rsidR="00B246C6">
        <w:t xml:space="preserve">  Focussing on collaboration research projects</w:t>
      </w:r>
      <w:r w:rsidR="00931C9A">
        <w:t xml:space="preserve"> </w:t>
      </w:r>
      <w:r w:rsidR="006952DC">
        <w:t>which benefit the health of Central Australians</w:t>
      </w:r>
      <w:r w:rsidR="0075271E">
        <w:t>, it was formally recognised as a Centre for Innovation in Regional Health in 2017.</w:t>
      </w:r>
    </w:p>
    <w:p w14:paraId="7CDB9468" w14:textId="593FFF47" w:rsidR="00BF21D7" w:rsidRPr="00F67476" w:rsidRDefault="003B34C4" w:rsidP="005206D7">
      <w:pPr>
        <w:pStyle w:val="Heading2"/>
        <w:rPr>
          <w:lang w:val="en-AU"/>
        </w:rPr>
      </w:pPr>
      <w:bookmarkStart w:id="173" w:name="_Toc118824390"/>
      <w:r w:rsidRPr="00F67476">
        <w:rPr>
          <w:lang w:val="en-AU"/>
        </w:rPr>
        <w:t>Kimber</w:t>
      </w:r>
      <w:r w:rsidR="0071088B" w:rsidRPr="00F67476">
        <w:rPr>
          <w:lang w:val="en-AU"/>
        </w:rPr>
        <w:t>ley Land Council Policies</w:t>
      </w:r>
      <w:bookmarkEnd w:id="173"/>
      <w:r w:rsidR="0071088B" w:rsidRPr="00F67476">
        <w:rPr>
          <w:lang w:val="en-AU"/>
        </w:rPr>
        <w:t xml:space="preserve"> </w:t>
      </w:r>
    </w:p>
    <w:p w14:paraId="25629E55" w14:textId="77777777" w:rsidR="00C56C11" w:rsidRDefault="00F37461" w:rsidP="00BF21D7">
      <w:pPr>
        <w:rPr>
          <w:rFonts w:cs="Arial"/>
        </w:rPr>
      </w:pPr>
      <w:r w:rsidRPr="0020353D">
        <w:t>The Kimberley Land Council has developed protocols and policies that relate to traditional knowledge, intellectual property and conducting research in the Kimberley</w:t>
      </w:r>
      <w:r w:rsidR="000C5A44" w:rsidRPr="0020353D">
        <w:t xml:space="preserve"> - </w:t>
      </w:r>
      <w:r w:rsidR="000C5A44" w:rsidRPr="0020353D">
        <w:rPr>
          <w:rFonts w:cs="Arial"/>
        </w:rPr>
        <w:t>The Kimberley Land Council’s Intellectual Property and Traditional Knowledge Policy.</w:t>
      </w:r>
      <w:r w:rsidR="00834EC3" w:rsidRPr="0020353D">
        <w:rPr>
          <w:rFonts w:cs="Arial"/>
        </w:rPr>
        <w:t xml:space="preserve"> </w:t>
      </w:r>
    </w:p>
    <w:p w14:paraId="0C585701" w14:textId="3007D849" w:rsidR="00F37461" w:rsidRDefault="00834EC3" w:rsidP="00BF21D7">
      <w:pPr>
        <w:rPr>
          <w:rFonts w:cs="Arial"/>
        </w:rPr>
      </w:pPr>
      <w:r w:rsidRPr="0020353D">
        <w:rPr>
          <w:rFonts w:cs="Arial"/>
        </w:rPr>
        <w:t xml:space="preserve">The </w:t>
      </w:r>
      <w:r w:rsidR="005E7F1A">
        <w:rPr>
          <w:rFonts w:cs="Arial"/>
        </w:rPr>
        <w:t>P</w:t>
      </w:r>
      <w:r w:rsidRPr="0020353D">
        <w:rPr>
          <w:rFonts w:cs="Arial"/>
        </w:rPr>
        <w:t>olicy covers ‘Abor</w:t>
      </w:r>
      <w:r w:rsidR="0020353D" w:rsidRPr="0020353D">
        <w:rPr>
          <w:rFonts w:cs="Arial"/>
        </w:rPr>
        <w:t>i</w:t>
      </w:r>
      <w:r w:rsidRPr="0020353D">
        <w:rPr>
          <w:rFonts w:cs="Arial"/>
        </w:rPr>
        <w:t>ginal Cultural and Intellec</w:t>
      </w:r>
      <w:r w:rsidR="0020353D" w:rsidRPr="0020353D">
        <w:rPr>
          <w:rFonts w:cs="Arial"/>
        </w:rPr>
        <w:t>tu</w:t>
      </w:r>
      <w:r w:rsidRPr="0020353D">
        <w:rPr>
          <w:rFonts w:cs="Arial"/>
        </w:rPr>
        <w:t xml:space="preserve">al Property Rights’ which includes rights to </w:t>
      </w:r>
      <w:r w:rsidR="00423BBF">
        <w:rPr>
          <w:rFonts w:cs="Arial"/>
        </w:rPr>
        <w:t>h</w:t>
      </w:r>
      <w:r w:rsidR="005E258E" w:rsidRPr="0020353D">
        <w:rPr>
          <w:rFonts w:cs="Arial"/>
        </w:rPr>
        <w:t>eritage</w:t>
      </w:r>
      <w:r w:rsidR="00DD37A8">
        <w:rPr>
          <w:rFonts w:cs="Arial"/>
        </w:rPr>
        <w:t>,</w:t>
      </w:r>
      <w:r w:rsidR="005E258E" w:rsidRPr="0020353D">
        <w:rPr>
          <w:rFonts w:cs="Arial"/>
        </w:rPr>
        <w:t xml:space="preserve"> ‘human genetic material’</w:t>
      </w:r>
      <w:r w:rsidR="000E180D">
        <w:rPr>
          <w:rFonts w:cs="Arial"/>
        </w:rPr>
        <w:t xml:space="preserve"> and ‘genealogical information and kinship relationships’</w:t>
      </w:r>
      <w:r w:rsidR="005E258E" w:rsidRPr="0020353D">
        <w:rPr>
          <w:rFonts w:cs="Arial"/>
        </w:rPr>
        <w:t>.</w:t>
      </w:r>
      <w:r w:rsidR="005E258E" w:rsidRPr="0020353D">
        <w:rPr>
          <w:rStyle w:val="FootnoteReference"/>
          <w:rFonts w:cs="Arial"/>
        </w:rPr>
        <w:footnoteReference w:id="218"/>
      </w:r>
      <w:r w:rsidR="0020353D">
        <w:rPr>
          <w:rFonts w:cs="Arial"/>
        </w:rPr>
        <w:t xml:space="preserve">  It also covers knowledge and</w:t>
      </w:r>
      <w:r w:rsidR="003B1CA3">
        <w:rPr>
          <w:rFonts w:cs="Arial"/>
        </w:rPr>
        <w:t xml:space="preserve"> documentation of Aboriginal people’s heritage which would be collected during research projects.</w:t>
      </w:r>
      <w:r w:rsidR="00A811D3">
        <w:rPr>
          <w:rFonts w:cs="Arial"/>
        </w:rPr>
        <w:t xml:space="preserve"> </w:t>
      </w:r>
    </w:p>
    <w:p w14:paraId="19BD94D2" w14:textId="5CB0AE3D" w:rsidR="00A811D3" w:rsidRPr="0020353D" w:rsidRDefault="00A811D3" w:rsidP="00BF21D7">
      <w:r>
        <w:rPr>
          <w:rFonts w:cs="Arial"/>
        </w:rPr>
        <w:t xml:space="preserve">The Policy promotes 9 principles, </w:t>
      </w:r>
      <w:r w:rsidR="00E9327B">
        <w:rPr>
          <w:rFonts w:cs="Arial"/>
        </w:rPr>
        <w:t>including:</w:t>
      </w:r>
    </w:p>
    <w:p w14:paraId="3FEF6A08" w14:textId="38012E0E" w:rsidR="00E9327B" w:rsidRPr="0020353D" w:rsidRDefault="00120072" w:rsidP="001B3344">
      <w:pPr>
        <w:pStyle w:val="ListBullet"/>
      </w:pPr>
      <w:r>
        <w:rPr>
          <w:b/>
          <w:bCs/>
        </w:rPr>
        <w:t>m</w:t>
      </w:r>
      <w:r w:rsidR="00E9327B" w:rsidRPr="002B5F46">
        <w:rPr>
          <w:b/>
          <w:bCs/>
        </w:rPr>
        <w:t>utual arrangements</w:t>
      </w:r>
      <w:r w:rsidR="00E9327B" w:rsidRPr="00A86A7C">
        <w:t xml:space="preserve">: the </w:t>
      </w:r>
      <w:r w:rsidR="005656C5" w:rsidRPr="00A86A7C">
        <w:t>researched community must not be disadvantaged by the project;</w:t>
      </w:r>
      <w:r>
        <w:t xml:space="preserve"> and</w:t>
      </w:r>
    </w:p>
    <w:p w14:paraId="2ACB6D13" w14:textId="20509825" w:rsidR="005656C5" w:rsidRPr="0020353D" w:rsidRDefault="00120072" w:rsidP="001B3344">
      <w:pPr>
        <w:pStyle w:val="ListBullet"/>
      </w:pPr>
      <w:r>
        <w:rPr>
          <w:b/>
          <w:bCs/>
        </w:rPr>
        <w:t>f</w:t>
      </w:r>
      <w:r w:rsidR="005656C5" w:rsidRPr="002B5F46">
        <w:rPr>
          <w:b/>
          <w:bCs/>
        </w:rPr>
        <w:t>ormal agreement</w:t>
      </w:r>
      <w:r w:rsidR="005656C5" w:rsidRPr="00A86A7C">
        <w:t>: negotiation should result in a formal agreement, based on good faith and Free, Prior Inf</w:t>
      </w:r>
      <w:r w:rsidR="00A86A7C">
        <w:t>or</w:t>
      </w:r>
      <w:r w:rsidR="005656C5" w:rsidRPr="00A86A7C">
        <w:t>med Consent</w:t>
      </w:r>
      <w:r w:rsidR="00A86A7C" w:rsidRPr="00A86A7C">
        <w:t>.</w:t>
      </w:r>
      <w:r w:rsidR="00A86A7C">
        <w:rPr>
          <w:rStyle w:val="FootnoteReference"/>
          <w:rFonts w:cs="Arial"/>
        </w:rPr>
        <w:footnoteReference w:id="219"/>
      </w:r>
    </w:p>
    <w:p w14:paraId="44316175" w14:textId="7469D278" w:rsidR="00CD5D27" w:rsidRPr="003C00D4" w:rsidRDefault="001903C4" w:rsidP="001903C4">
      <w:pPr>
        <w:pStyle w:val="Heading2"/>
        <w:rPr>
          <w:i/>
          <w:lang w:val="en-AU"/>
        </w:rPr>
      </w:pPr>
      <w:bookmarkStart w:id="174" w:name="_Toc118824391"/>
      <w:r w:rsidRPr="008E5C92">
        <w:rPr>
          <w:i/>
          <w:lang w:val="en-AU"/>
        </w:rPr>
        <w:t xml:space="preserve">Strengths and Limitations of </w:t>
      </w:r>
      <w:r w:rsidR="00FD576C">
        <w:rPr>
          <w:i/>
          <w:lang w:val="en-AU"/>
        </w:rPr>
        <w:t xml:space="preserve">a </w:t>
      </w:r>
      <w:r w:rsidRPr="008E5C92">
        <w:rPr>
          <w:i/>
          <w:lang w:val="en-AU"/>
        </w:rPr>
        <w:t>Guidelines</w:t>
      </w:r>
      <w:r w:rsidR="00703979">
        <w:rPr>
          <w:i/>
          <w:lang w:val="en-AU"/>
        </w:rPr>
        <w:t xml:space="preserve"> Approach</w:t>
      </w:r>
      <w:bookmarkEnd w:id="174"/>
    </w:p>
    <w:p w14:paraId="641076BB" w14:textId="700A59E3" w:rsidR="001903C4" w:rsidRPr="00FF0989" w:rsidRDefault="008D562F" w:rsidP="00FF0989">
      <w:pPr>
        <w:pStyle w:val="Heading3"/>
      </w:pPr>
      <w:bookmarkStart w:id="175" w:name="_Toc118824392"/>
      <w:r w:rsidRPr="00FF0989">
        <w:t>National Statement</w:t>
      </w:r>
      <w:bookmarkEnd w:id="175"/>
    </w:p>
    <w:p w14:paraId="508E926A" w14:textId="028107D6" w:rsidR="00AA16A2" w:rsidRPr="00AA16A2" w:rsidRDefault="008D562F" w:rsidP="00AA16A2">
      <w:r>
        <w:t xml:space="preserve">A shortfall of these Guidelines </w:t>
      </w:r>
      <w:r w:rsidR="00312EF3">
        <w:t xml:space="preserve">is </w:t>
      </w:r>
      <w:r>
        <w:t xml:space="preserve">that not all HREC’s have </w:t>
      </w:r>
      <w:r w:rsidR="00071B19">
        <w:t xml:space="preserve">Aboriginal </w:t>
      </w:r>
      <w:r w:rsidR="005D256F">
        <w:t xml:space="preserve">or Torres Strait Islander </w:t>
      </w:r>
      <w:r>
        <w:t>reviewers or there are</w:t>
      </w:r>
      <w:r w:rsidR="00123187">
        <w:t xml:space="preserve"> too few </w:t>
      </w:r>
      <w:r w:rsidR="005D256F">
        <w:t xml:space="preserve">Aboriginal and Torres Strait Islander </w:t>
      </w:r>
      <w:r>
        <w:t xml:space="preserve">ethics committees or positions to ensure that people are doing the right thing culturally. </w:t>
      </w:r>
    </w:p>
    <w:p w14:paraId="1CBFB1DA" w14:textId="123E43F4" w:rsidR="00856CB3" w:rsidRPr="002B2A79" w:rsidRDefault="008B0353" w:rsidP="001903C4">
      <w:r>
        <w:t xml:space="preserve">Guidelines allow organisations to be flexible in their </w:t>
      </w:r>
      <w:r w:rsidR="00067A2D">
        <w:t xml:space="preserve">approach to Indigenous health related genomics. Different </w:t>
      </w:r>
      <w:r w:rsidR="006F0428">
        <w:t>projects will</w:t>
      </w:r>
      <w:r w:rsidR="00067A2D">
        <w:t xml:space="preserve"> have different interests</w:t>
      </w:r>
      <w:r>
        <w:t xml:space="preserve"> and </w:t>
      </w:r>
      <w:r w:rsidR="00067A2D">
        <w:t xml:space="preserve">priorities, guidelines can allow the flexibility to ensure that these interests can be expressed in </w:t>
      </w:r>
      <w:r w:rsidR="00344EF6">
        <w:t>unique research agreements or governance frameworks</w:t>
      </w:r>
      <w:r w:rsidR="00440049">
        <w:t xml:space="preserve"> within an organisation</w:t>
      </w:r>
      <w:r w:rsidR="00A116EF">
        <w:t>.</w:t>
      </w:r>
      <w:r w:rsidR="0006421D">
        <w:t xml:space="preserve"> Guidelines can assist in </w:t>
      </w:r>
      <w:r w:rsidR="0087125A">
        <w:t>culture</w:t>
      </w:r>
      <w:r w:rsidR="0006421D">
        <w:t xml:space="preserve"> of best practice</w:t>
      </w:r>
      <w:r w:rsidR="0087125A">
        <w:t xml:space="preserve">, </w:t>
      </w:r>
      <w:r w:rsidR="0006421D">
        <w:t>reflects a rapidly changing field</w:t>
      </w:r>
      <w:r w:rsidR="0087125A">
        <w:t>. In contrast, if legislation</w:t>
      </w:r>
      <w:r w:rsidR="0006421D">
        <w:t xml:space="preserve"> can be rigid and </w:t>
      </w:r>
      <w:r w:rsidR="003300CB">
        <w:t>slow</w:t>
      </w:r>
      <w:r w:rsidR="0006421D">
        <w:t xml:space="preserve"> to </w:t>
      </w:r>
      <w:r w:rsidR="003300CB">
        <w:t>adapt</w:t>
      </w:r>
      <w:r w:rsidR="00B040FD">
        <w:t xml:space="preserve">. </w:t>
      </w:r>
    </w:p>
    <w:p w14:paraId="16AEF541" w14:textId="51A3A3DA" w:rsidR="004653A8" w:rsidRPr="003C00D4" w:rsidRDefault="00363FB3" w:rsidP="001B3344">
      <w:pPr>
        <w:pStyle w:val="Heading1"/>
        <w:pageBreakBefore/>
        <w:rPr>
          <w:lang w:val="en-AU"/>
        </w:rPr>
      </w:pPr>
      <w:bookmarkStart w:id="176" w:name="_Toc118824393"/>
      <w:r w:rsidRPr="008E5C92">
        <w:rPr>
          <w:lang w:val="en-AU"/>
        </w:rPr>
        <w:lastRenderedPageBreak/>
        <w:t xml:space="preserve">Best practice </w:t>
      </w:r>
      <w:r w:rsidR="00D53DAB" w:rsidRPr="008E5C92">
        <w:rPr>
          <w:lang w:val="en-AU"/>
        </w:rPr>
        <w:t>m</w:t>
      </w:r>
      <w:r w:rsidRPr="008E5C92">
        <w:rPr>
          <w:lang w:val="en-AU"/>
        </w:rPr>
        <w:t>odels</w:t>
      </w:r>
      <w:r w:rsidR="0091615B" w:rsidRPr="008E5C92">
        <w:rPr>
          <w:lang w:val="en-AU"/>
        </w:rPr>
        <w:t xml:space="preserve">: </w:t>
      </w:r>
      <w:r w:rsidRPr="008E5C92">
        <w:rPr>
          <w:lang w:val="en-AU"/>
        </w:rPr>
        <w:t>leading practice</w:t>
      </w:r>
      <w:r w:rsidR="00A16A75" w:rsidRPr="008E5C92">
        <w:rPr>
          <w:lang w:val="en-AU"/>
        </w:rPr>
        <w:t xml:space="preserve">s </w:t>
      </w:r>
      <w:r w:rsidR="0055769A" w:rsidRPr="008E5C92">
        <w:rPr>
          <w:lang w:val="en-AU"/>
        </w:rPr>
        <w:t>in</w:t>
      </w:r>
      <w:r w:rsidRPr="008E5C92">
        <w:rPr>
          <w:lang w:val="en-AU"/>
        </w:rPr>
        <w:t xml:space="preserve"> Indigenous </w:t>
      </w:r>
      <w:r w:rsidR="0055769A" w:rsidRPr="008E5C92">
        <w:rPr>
          <w:lang w:val="en-AU"/>
        </w:rPr>
        <w:t>genomics</w:t>
      </w:r>
      <w:bookmarkEnd w:id="176"/>
    </w:p>
    <w:p w14:paraId="7D311CF4" w14:textId="680AC1F4" w:rsidR="00795743" w:rsidRPr="008E5C92" w:rsidRDefault="00795743" w:rsidP="004653A8">
      <w:r w:rsidRPr="008E5C92">
        <w:t xml:space="preserve">There </w:t>
      </w:r>
      <w:r w:rsidR="00750BB1">
        <w:t xml:space="preserve">are </w:t>
      </w:r>
      <w:r w:rsidR="00B1121D" w:rsidRPr="008E5C92">
        <w:t xml:space="preserve">several genomics projects that exemplify </w:t>
      </w:r>
      <w:r w:rsidR="00A37422" w:rsidRPr="008E5C92">
        <w:t xml:space="preserve">culturally appropriate and respectful approaches to </w:t>
      </w:r>
      <w:r w:rsidR="00EA6AF2" w:rsidRPr="008E5C92">
        <w:t>working with Aboriginal and Torres Strait Islander peoples and their data. Th</w:t>
      </w:r>
      <w:r w:rsidR="008C2999" w:rsidRPr="008E5C92">
        <w:t>is</w:t>
      </w:r>
      <w:r w:rsidR="00EA6AF2" w:rsidRPr="008E5C92">
        <w:t xml:space="preserve"> section looks at several of these examples. It is followed by a</w:t>
      </w:r>
      <w:r w:rsidR="004B79FD" w:rsidRPr="008E5C92">
        <w:t xml:space="preserve">n overview of several </w:t>
      </w:r>
      <w:r w:rsidR="00C644AE" w:rsidRPr="008E5C92">
        <w:t xml:space="preserve">key </w:t>
      </w:r>
      <w:r w:rsidR="005B25FA" w:rsidRPr="008E5C92">
        <w:t xml:space="preserve">areas for consideration </w:t>
      </w:r>
      <w:r w:rsidR="002D6686" w:rsidRPr="008E5C92">
        <w:t xml:space="preserve">when project planning, </w:t>
      </w:r>
      <w:r w:rsidR="00F06C26" w:rsidRPr="008E5C92">
        <w:t xml:space="preserve">engaging with </w:t>
      </w:r>
      <w:r w:rsidR="00156BFA" w:rsidRPr="008E5C92">
        <w:t>some of the most important ethical and cultural</w:t>
      </w:r>
      <w:r w:rsidR="00D55413" w:rsidRPr="008E5C92">
        <w:t xml:space="preserve"> issues that should be </w:t>
      </w:r>
      <w:r w:rsidR="00A67152" w:rsidRPr="008E5C92">
        <w:t xml:space="preserve">incorporated into any research project. </w:t>
      </w:r>
    </w:p>
    <w:p w14:paraId="64A79848" w14:textId="5BE7FF72" w:rsidR="0055769A" w:rsidRPr="008E5C92" w:rsidRDefault="0055769A" w:rsidP="0055769A">
      <w:pPr>
        <w:pStyle w:val="Heading2"/>
        <w:rPr>
          <w:lang w:val="en-AU"/>
        </w:rPr>
      </w:pPr>
      <w:bookmarkStart w:id="177" w:name="_Toc118824394"/>
      <w:r w:rsidRPr="008E5C92">
        <w:rPr>
          <w:lang w:val="en-AU"/>
        </w:rPr>
        <w:t>Case studies</w:t>
      </w:r>
      <w:bookmarkEnd w:id="177"/>
    </w:p>
    <w:p w14:paraId="5699A6A1" w14:textId="45ABED04" w:rsidR="00823581" w:rsidRPr="008E5C92" w:rsidRDefault="007511E5" w:rsidP="0055769A">
      <w:pPr>
        <w:pStyle w:val="Heading3"/>
        <w:rPr>
          <w:lang w:val="en-AU"/>
        </w:rPr>
      </w:pPr>
      <w:bookmarkStart w:id="178" w:name="_Toc118824395"/>
      <w:r w:rsidRPr="008E5C92">
        <w:rPr>
          <w:lang w:val="en-AU"/>
        </w:rPr>
        <w:t>The Ochre Plan</w:t>
      </w:r>
      <w:bookmarkEnd w:id="178"/>
      <w:r w:rsidRPr="008E5C92">
        <w:rPr>
          <w:lang w:val="en-AU"/>
        </w:rPr>
        <w:t xml:space="preserve"> </w:t>
      </w:r>
    </w:p>
    <w:p w14:paraId="4DF5F452" w14:textId="737A781B" w:rsidR="007511E5" w:rsidRPr="008E5C92" w:rsidRDefault="00BD0D31" w:rsidP="007511E5">
      <w:r w:rsidRPr="008E5C92">
        <w:t xml:space="preserve">The Ochre plan is an initiative of the </w:t>
      </w:r>
      <w:r w:rsidR="00FC5777" w:rsidRPr="008E5C92">
        <w:t xml:space="preserve">Aboriginal Affairs Department within the NSW Government. The name is an acronym for </w:t>
      </w:r>
      <w:r w:rsidR="0083229C" w:rsidRPr="008E5C92">
        <w:t xml:space="preserve">Opportunity, Choice, Healing, Responsibility and Empowerment. </w:t>
      </w:r>
      <w:r w:rsidR="00FE08AB" w:rsidRPr="008E5C92">
        <w:t xml:space="preserve">It sets the government’s </w:t>
      </w:r>
      <w:r w:rsidR="001F7636" w:rsidRPr="008E5C92">
        <w:t xml:space="preserve">approach to working with Aboriginal </w:t>
      </w:r>
      <w:r w:rsidR="000E7516" w:rsidRPr="008E5C92">
        <w:t>communities</w:t>
      </w:r>
      <w:r w:rsidR="00553AED" w:rsidRPr="008E5C92">
        <w:t xml:space="preserve">. </w:t>
      </w:r>
      <w:r w:rsidR="00E473FB" w:rsidRPr="008E5C92">
        <w:t xml:space="preserve">It sets the government’s intention to support Aboriginal communities to actively influence and </w:t>
      </w:r>
      <w:r w:rsidR="0061454D" w:rsidRPr="008E5C92">
        <w:t>fully participate in</w:t>
      </w:r>
      <w:r w:rsidR="00F00C38" w:rsidRPr="008E5C92">
        <w:t xml:space="preserve"> all aspects of the </w:t>
      </w:r>
      <w:r w:rsidR="002E774B" w:rsidRPr="008E5C92">
        <w:t xml:space="preserve">social, economic and </w:t>
      </w:r>
      <w:r w:rsidR="00CF13E8" w:rsidRPr="008E5C92">
        <w:t>cultural life.</w:t>
      </w:r>
      <w:r w:rsidR="009B2B8A" w:rsidRPr="008E5C92">
        <w:rPr>
          <w:rStyle w:val="FootnoteReference"/>
        </w:rPr>
        <w:footnoteReference w:id="220"/>
      </w:r>
      <w:r w:rsidR="00CF13E8" w:rsidRPr="008E5C92">
        <w:t xml:space="preserve"> </w:t>
      </w:r>
      <w:r w:rsidR="00CA11A1" w:rsidRPr="008E5C92">
        <w:t>It foregrounds genuinely shared decision making</w:t>
      </w:r>
      <w:r w:rsidR="00102D89" w:rsidRPr="008E5C92">
        <w:t xml:space="preserve"> through partnerships</w:t>
      </w:r>
      <w:r w:rsidR="00CA11A1" w:rsidRPr="008E5C92">
        <w:t>.</w:t>
      </w:r>
      <w:r w:rsidR="00CA11A1" w:rsidRPr="008E5C92">
        <w:rPr>
          <w:rStyle w:val="FootnoteReference"/>
        </w:rPr>
        <w:footnoteReference w:id="221"/>
      </w:r>
      <w:r w:rsidR="00CA11A1" w:rsidRPr="008E5C92">
        <w:t xml:space="preserve"> </w:t>
      </w:r>
    </w:p>
    <w:p w14:paraId="02450D90" w14:textId="5764555B" w:rsidR="004770CC" w:rsidRDefault="005D6C72" w:rsidP="007511E5">
      <w:r w:rsidRPr="008E5C92">
        <w:t xml:space="preserve">Particularly </w:t>
      </w:r>
      <w:r w:rsidR="00353FBD" w:rsidRPr="008E5C92">
        <w:t>relevant</w:t>
      </w:r>
      <w:r w:rsidRPr="008E5C92">
        <w:t xml:space="preserve"> in this context </w:t>
      </w:r>
      <w:r w:rsidR="00353FBD" w:rsidRPr="008E5C92">
        <w:t xml:space="preserve">are the Plan’s intentions in relation to local decision making. </w:t>
      </w:r>
      <w:r w:rsidR="00F67610" w:rsidRPr="008E5C92">
        <w:t xml:space="preserve">The NSW government </w:t>
      </w:r>
      <w:r w:rsidR="00892526" w:rsidRPr="008E5C92">
        <w:t>recognises</w:t>
      </w:r>
      <w:r w:rsidR="00F67610" w:rsidRPr="008E5C92">
        <w:t xml:space="preserve"> that Aboriginal communities are best placed to understand local needs </w:t>
      </w:r>
      <w:r w:rsidR="00972426" w:rsidRPr="008E5C92">
        <w:t xml:space="preserve">and that inflexible ‘one-size- fits-all’ </w:t>
      </w:r>
      <w:r w:rsidR="00972426" w:rsidRPr="00F67476">
        <w:t>approaches</w:t>
      </w:r>
      <w:r w:rsidR="00972426" w:rsidRPr="008E5C92">
        <w:t xml:space="preserve"> are a roadblock to service de</w:t>
      </w:r>
      <w:r w:rsidR="00892526" w:rsidRPr="008E5C92">
        <w:t>livery both for government and the private sector.</w:t>
      </w:r>
      <w:r w:rsidR="00892526" w:rsidRPr="008E5C92">
        <w:rPr>
          <w:rStyle w:val="FootnoteReference"/>
        </w:rPr>
        <w:footnoteReference w:id="222"/>
      </w:r>
      <w:r w:rsidR="00892526" w:rsidRPr="008E5C92">
        <w:t xml:space="preserve"> </w:t>
      </w:r>
    </w:p>
    <w:p w14:paraId="0D258CB1" w14:textId="113390C2" w:rsidR="00D06148" w:rsidRPr="008E5C92" w:rsidRDefault="00016A1E" w:rsidP="007511E5">
      <w:r w:rsidRPr="008E5C92">
        <w:t>The local decision making model is currently being rolled out</w:t>
      </w:r>
      <w:r w:rsidR="000763A6" w:rsidRPr="008E5C92">
        <w:t xml:space="preserve">. It starts with a staged process of power-sharing. </w:t>
      </w:r>
      <w:r w:rsidR="00357C88" w:rsidRPr="008E5C92">
        <w:t xml:space="preserve">Local management committees will </w:t>
      </w:r>
      <w:r w:rsidR="003C2F45" w:rsidRPr="008E5C92">
        <w:t xml:space="preserve">progressively be </w:t>
      </w:r>
      <w:r w:rsidR="00720ADC" w:rsidRPr="008E5C92">
        <w:t>delegated greater powers and budgetary control</w:t>
      </w:r>
      <w:r w:rsidR="0049197B" w:rsidRPr="008E5C92">
        <w:t>.</w:t>
      </w:r>
      <w:r w:rsidR="0049197B" w:rsidRPr="008E5C92">
        <w:rPr>
          <w:rStyle w:val="FootnoteReference"/>
        </w:rPr>
        <w:footnoteReference w:id="223"/>
      </w:r>
      <w:r w:rsidR="0046301F" w:rsidRPr="008E5C92">
        <w:t xml:space="preserve"> This process will be augmented by capacity building for community leadership and skills</w:t>
      </w:r>
      <w:r w:rsidR="00186751" w:rsidRPr="008E5C92">
        <w:t xml:space="preserve"> and building capacity for existing </w:t>
      </w:r>
      <w:r w:rsidR="00761901" w:rsidRPr="008E5C92">
        <w:t>Aboriginal peak bodies</w:t>
      </w:r>
      <w:r w:rsidR="0046301F" w:rsidRPr="008E5C92">
        <w:t>.</w:t>
      </w:r>
      <w:r w:rsidR="00D06148" w:rsidRPr="008E5C92">
        <w:rPr>
          <w:rStyle w:val="FootnoteReference"/>
        </w:rPr>
        <w:footnoteReference w:id="224"/>
      </w:r>
    </w:p>
    <w:p w14:paraId="607CFC23" w14:textId="6479DF4C" w:rsidR="006518EB" w:rsidRPr="008E5C92" w:rsidRDefault="00D06148" w:rsidP="006518EB">
      <w:r w:rsidRPr="008E5C92">
        <w:t>Ultimately, this decision</w:t>
      </w:r>
      <w:r w:rsidR="00A7791E">
        <w:t>-</w:t>
      </w:r>
      <w:r w:rsidRPr="008E5C92">
        <w:t>making model</w:t>
      </w:r>
      <w:r w:rsidR="006518EB" w:rsidRPr="008E5C92">
        <w:t>, building capacity for</w:t>
      </w:r>
      <w:r w:rsidR="005038E4" w:rsidRPr="008E5C92">
        <w:t xml:space="preserve"> locali</w:t>
      </w:r>
      <w:r w:rsidR="003B758D" w:rsidRPr="008E5C92">
        <w:t>s</w:t>
      </w:r>
      <w:r w:rsidR="005038E4" w:rsidRPr="008E5C92">
        <w:t xml:space="preserve">ed decision making </w:t>
      </w:r>
      <w:r w:rsidR="003B758D" w:rsidRPr="008E5C92">
        <w:t xml:space="preserve">about service delivery, following a partnership </w:t>
      </w:r>
      <w:r w:rsidR="00747BB5" w:rsidRPr="008E5C92">
        <w:t>model</w:t>
      </w:r>
      <w:r w:rsidR="00034AC5" w:rsidRPr="008E5C92">
        <w:t xml:space="preserve"> has the potential </w:t>
      </w:r>
      <w:r w:rsidR="00596FB7">
        <w:t xml:space="preserve">to </w:t>
      </w:r>
      <w:r w:rsidR="00034AC5" w:rsidRPr="008E5C92">
        <w:t>shape the way genomics involving local Aboriginal people are planned and managed</w:t>
      </w:r>
      <w:r w:rsidR="00E72CDD" w:rsidRPr="008E5C92">
        <w:t xml:space="preserve">. </w:t>
      </w:r>
      <w:r w:rsidR="00B262CB" w:rsidRPr="008E5C92">
        <w:t xml:space="preserve">It could further the </w:t>
      </w:r>
      <w:r w:rsidR="001A4A69" w:rsidRPr="008E5C92">
        <w:t xml:space="preserve">goal of </w:t>
      </w:r>
      <w:r w:rsidR="002632D7" w:rsidRPr="008E5C92">
        <w:t>self-determination</w:t>
      </w:r>
      <w:r w:rsidR="001A4A69" w:rsidRPr="008E5C92">
        <w:t xml:space="preserve"> and co-design in research projects, </w:t>
      </w:r>
      <w:r w:rsidR="006C3E77" w:rsidRPr="008E5C92">
        <w:t>and it could provide a framework for on-going management of samples and data</w:t>
      </w:r>
      <w:r w:rsidR="00326DAD" w:rsidRPr="008E5C92">
        <w:t xml:space="preserve">. </w:t>
      </w:r>
    </w:p>
    <w:p w14:paraId="2D6FA1E1" w14:textId="4801DEA8" w:rsidR="006518EB" w:rsidRPr="008E5C92" w:rsidRDefault="002632D7" w:rsidP="0055769A">
      <w:pPr>
        <w:pStyle w:val="Heading3"/>
        <w:rPr>
          <w:lang w:val="en-AU"/>
        </w:rPr>
      </w:pPr>
      <w:bookmarkStart w:id="179" w:name="_Toc118824396"/>
      <w:r w:rsidRPr="008E5C92">
        <w:rPr>
          <w:lang w:val="en-AU"/>
        </w:rPr>
        <w:t xml:space="preserve">Footprints in Time – The </w:t>
      </w:r>
      <w:r w:rsidR="007B2F00" w:rsidRPr="008E5C92">
        <w:rPr>
          <w:lang w:val="en-AU"/>
        </w:rPr>
        <w:t>Longitudinal Study of Indigenous Children</w:t>
      </w:r>
      <w:bookmarkEnd w:id="179"/>
      <w:r w:rsidR="007B2F00" w:rsidRPr="008E5C92">
        <w:rPr>
          <w:lang w:val="en-AU"/>
        </w:rPr>
        <w:t xml:space="preserve"> </w:t>
      </w:r>
    </w:p>
    <w:p w14:paraId="2D581666" w14:textId="2E3950D5" w:rsidR="00936DC9" w:rsidRDefault="00391617" w:rsidP="00391617">
      <w:r>
        <w:rPr>
          <w:i/>
          <w:iCs/>
        </w:rPr>
        <w:t>Footprints in Time</w:t>
      </w:r>
      <w:r>
        <w:t xml:space="preserve"> is a </w:t>
      </w:r>
      <w:r w:rsidR="00ED4331">
        <w:t xml:space="preserve">longitudinal study of </w:t>
      </w:r>
      <w:r w:rsidR="00F37580">
        <w:t xml:space="preserve">Aboriginal and Torres Strait Islander </w:t>
      </w:r>
      <w:r w:rsidR="00E534A1">
        <w:t>children conducted by the</w:t>
      </w:r>
      <w:r w:rsidR="007365F6">
        <w:t xml:space="preserve"> Department of Social Services</w:t>
      </w:r>
      <w:r w:rsidR="00CC53E9">
        <w:t xml:space="preserve"> with the aim of gathering qualitative and </w:t>
      </w:r>
      <w:r w:rsidR="001260A7">
        <w:lastRenderedPageBreak/>
        <w:t>quantitative</w:t>
      </w:r>
      <w:r w:rsidR="00CC53E9">
        <w:t xml:space="preserve"> dat</w:t>
      </w:r>
      <w:r w:rsidR="001260A7">
        <w:t>a</w:t>
      </w:r>
      <w:r w:rsidR="00CC53E9">
        <w:t xml:space="preserve"> about how a child’s early years affect their development</w:t>
      </w:r>
      <w:r w:rsidR="007365F6">
        <w:t>.</w:t>
      </w:r>
      <w:r w:rsidR="0050028D">
        <w:rPr>
          <w:rStyle w:val="FootnoteReference"/>
        </w:rPr>
        <w:footnoteReference w:id="225"/>
      </w:r>
      <w:r w:rsidR="007365F6">
        <w:t xml:space="preserve"> </w:t>
      </w:r>
      <w:r w:rsidR="00B96E5F">
        <w:t>The study is guided by</w:t>
      </w:r>
      <w:r w:rsidR="00066685">
        <w:t xml:space="preserve"> a stee</w:t>
      </w:r>
      <w:r w:rsidR="00C2078A">
        <w:t>r</w:t>
      </w:r>
      <w:r w:rsidR="00066685">
        <w:t>ing co</w:t>
      </w:r>
      <w:r w:rsidR="00C2078A">
        <w:t xml:space="preserve">mmittee </w:t>
      </w:r>
      <w:r w:rsidR="00B75438">
        <w:t xml:space="preserve">chaired by Professor Mick Dodson AM. </w:t>
      </w:r>
      <w:r w:rsidR="00CC2EAB">
        <w:t>The study began in 2008 wit</w:t>
      </w:r>
      <w:r w:rsidR="009646CA">
        <w:t>h over 1,</w:t>
      </w:r>
      <w:r w:rsidR="00E9749B">
        <w:t>945</w:t>
      </w:r>
      <w:r w:rsidR="009646CA">
        <w:t xml:space="preserve"> </w:t>
      </w:r>
      <w:r w:rsidR="00B165B1">
        <w:t>interviews</w:t>
      </w:r>
      <w:r w:rsidR="00F73829">
        <w:t xml:space="preserve"> with parents and carers</w:t>
      </w:r>
      <w:r w:rsidR="00B13F00">
        <w:t xml:space="preserve">. </w:t>
      </w:r>
      <w:r w:rsidR="006B5046">
        <w:t xml:space="preserve">The second round of interviews the following year (wave 2) interviewed over 1,200 of the </w:t>
      </w:r>
      <w:r w:rsidR="00BE3C23">
        <w:t>original families, a</w:t>
      </w:r>
      <w:r w:rsidR="00CB5722">
        <w:t xml:space="preserve">s well as further interviews with other families. 2020 marks the thirteenth wave of interviews. </w:t>
      </w:r>
    </w:p>
    <w:p w14:paraId="3FB7872C" w14:textId="068B696C" w:rsidR="00E97F30" w:rsidRDefault="008B4FD6" w:rsidP="00391617">
      <w:r>
        <w:t xml:space="preserve">For the most part the interviews are conducted by Department of Social Services Aboriginal and Torres Strait Islander Research Administration Officers, although </w:t>
      </w:r>
      <w:r w:rsidR="00A17989">
        <w:t xml:space="preserve">some interviews are </w:t>
      </w:r>
      <w:r w:rsidR="003A6A25">
        <w:t xml:space="preserve">conducted by other National Office Indigenous and non-Indigenous staff from time to time. </w:t>
      </w:r>
    </w:p>
    <w:p w14:paraId="3A859363" w14:textId="77777777" w:rsidR="00380ECE" w:rsidRDefault="00E97F30" w:rsidP="00391617">
      <w:r>
        <w:t>The study has a broad scope</w:t>
      </w:r>
      <w:r w:rsidR="00380ECE">
        <w:t xml:space="preserve"> and covers topic areas including: </w:t>
      </w:r>
    </w:p>
    <w:p w14:paraId="71610A4A" w14:textId="6B09A68C" w:rsidR="004832CC" w:rsidRPr="00A83B92" w:rsidRDefault="00B66474" w:rsidP="001B3344">
      <w:pPr>
        <w:pStyle w:val="ListBullet"/>
      </w:pPr>
      <w:r w:rsidRPr="00A83B92">
        <w:t>c</w:t>
      </w:r>
      <w:r w:rsidR="004832CC" w:rsidRPr="00A83B92">
        <w:t>hildren’s physical and mental health and social and cognitive development</w:t>
      </w:r>
      <w:r w:rsidRPr="00A83B92">
        <w:t>;</w:t>
      </w:r>
      <w:r w:rsidR="004832CC" w:rsidRPr="00A83B92">
        <w:t xml:space="preserve"> </w:t>
      </w:r>
    </w:p>
    <w:p w14:paraId="4BC3ED3E" w14:textId="62B1311F" w:rsidR="00F865C4" w:rsidRPr="00A83B92" w:rsidRDefault="00B66474" w:rsidP="001B3344">
      <w:pPr>
        <w:pStyle w:val="ListBullet"/>
      </w:pPr>
      <w:r w:rsidRPr="00A83B92">
        <w:t>p</w:t>
      </w:r>
      <w:r w:rsidR="00F865C4" w:rsidRPr="00A83B92">
        <w:t>arent’s health, social and emotional wellbeing</w:t>
      </w:r>
      <w:r w:rsidR="008A1111" w:rsidRPr="00A83B92">
        <w:t>;</w:t>
      </w:r>
      <w:r w:rsidR="00F865C4" w:rsidRPr="00A83B92">
        <w:t xml:space="preserve"> </w:t>
      </w:r>
    </w:p>
    <w:p w14:paraId="73A74E35" w14:textId="6E46D7DC" w:rsidR="00931B45" w:rsidRPr="00A83B92" w:rsidRDefault="00B66474" w:rsidP="001B3344">
      <w:pPr>
        <w:pStyle w:val="ListBullet"/>
      </w:pPr>
      <w:r w:rsidRPr="00A83B92">
        <w:t>f</w:t>
      </w:r>
      <w:r w:rsidR="00931B45" w:rsidRPr="00A83B92">
        <w:t>amily history and connection to country and culture</w:t>
      </w:r>
      <w:r w:rsidR="008A1111" w:rsidRPr="00A83B92">
        <w:t>; and</w:t>
      </w:r>
      <w:r w:rsidR="00931B45" w:rsidRPr="00A83B92">
        <w:t xml:space="preserve"> </w:t>
      </w:r>
    </w:p>
    <w:p w14:paraId="20AF122F" w14:textId="7445ED7F" w:rsidR="00391617" w:rsidRPr="00A83B92" w:rsidRDefault="00B66474" w:rsidP="001B3344">
      <w:pPr>
        <w:pStyle w:val="ListBullet"/>
      </w:pPr>
      <w:r w:rsidRPr="00A83B92">
        <w:t xml:space="preserve">community resources and community safety. </w:t>
      </w:r>
    </w:p>
    <w:p w14:paraId="0481BCDA" w14:textId="77777777" w:rsidR="00687A97" w:rsidRDefault="000654D1" w:rsidP="000654D1">
      <w:r>
        <w:t xml:space="preserve">Importantly, the </w:t>
      </w:r>
      <w:r w:rsidR="00861CDF">
        <w:t>content for each wave of data each year is approved by</w:t>
      </w:r>
      <w:r w:rsidR="006C4815">
        <w:t xml:space="preserve"> the</w:t>
      </w:r>
      <w:r w:rsidR="00861CDF">
        <w:t xml:space="preserve"> </w:t>
      </w:r>
      <w:r w:rsidR="00311CD5">
        <w:t xml:space="preserve">steering committee and ethics clearance for the content and methodology goes through </w:t>
      </w:r>
      <w:r w:rsidR="00AE79D3">
        <w:t>the Human Research Ethics Committee of AIATSIS.</w:t>
      </w:r>
      <w:r w:rsidR="00656468">
        <w:t xml:space="preserve"> </w:t>
      </w:r>
    </w:p>
    <w:p w14:paraId="443B3525" w14:textId="73098CBB" w:rsidR="000654D1" w:rsidRPr="00D61BC5" w:rsidRDefault="00656468" w:rsidP="002B5F46">
      <w:r>
        <w:t>Only approved data users have access to the data which is on a secure netw</w:t>
      </w:r>
      <w:r w:rsidR="005E320E">
        <w:t xml:space="preserve">ork, the Australian Data Archive Dataverse. </w:t>
      </w:r>
      <w:r w:rsidR="00787D72">
        <w:t xml:space="preserve">Access to the Dataverse requires the user to sign a Confidentiality Deed Poll </w:t>
      </w:r>
      <w:r w:rsidR="00386779">
        <w:t xml:space="preserve">and follow the </w:t>
      </w:r>
      <w:r w:rsidR="00386779" w:rsidRPr="002B5F46">
        <w:rPr>
          <w:i/>
          <w:iCs/>
        </w:rPr>
        <w:t>National Centre for Longitudinal Data Access and Use Guidelines</w:t>
      </w:r>
      <w:r w:rsidR="00F52118">
        <w:t xml:space="preserve"> </w:t>
      </w:r>
      <w:r w:rsidR="00CC34ED">
        <w:t>about using, storing and publishing the data.</w:t>
      </w:r>
      <w:r w:rsidR="0077398E">
        <w:rPr>
          <w:rStyle w:val="FootnoteReference"/>
        </w:rPr>
        <w:footnoteReference w:id="226"/>
      </w:r>
      <w:r w:rsidR="00CC34ED">
        <w:t xml:space="preserve"> </w:t>
      </w:r>
    </w:p>
    <w:p w14:paraId="5760CCF1" w14:textId="248DCEC5" w:rsidR="00085B20" w:rsidRDefault="00D53DAB" w:rsidP="003E1282">
      <w:pPr>
        <w:pStyle w:val="Heading2"/>
        <w:rPr>
          <w:lang w:val="en-AU"/>
        </w:rPr>
      </w:pPr>
      <w:bookmarkStart w:id="180" w:name="_Toc118824397"/>
      <w:r w:rsidRPr="008E5C92">
        <w:rPr>
          <w:lang w:val="en-AU"/>
        </w:rPr>
        <w:t>Best practice and project planning</w:t>
      </w:r>
      <w:bookmarkEnd w:id="180"/>
      <w:r w:rsidRPr="008E5C92">
        <w:rPr>
          <w:lang w:val="en-AU"/>
        </w:rPr>
        <w:t xml:space="preserve"> </w:t>
      </w:r>
    </w:p>
    <w:p w14:paraId="6C2DB7FD" w14:textId="44575FA3" w:rsidR="00E93BC3" w:rsidRDefault="002F5888" w:rsidP="0032654A">
      <w:r w:rsidRPr="002B5F46">
        <w:rPr>
          <w:b/>
          <w:bCs/>
        </w:rPr>
        <w:fldChar w:fldCharType="begin"/>
      </w:r>
      <w:r w:rsidRPr="002B5F46">
        <w:rPr>
          <w:b/>
          <w:bCs/>
        </w:rPr>
        <w:instrText xml:space="preserve"> REF _Ref45103447 \h </w:instrText>
      </w:r>
      <w:r w:rsidRPr="002B5F46">
        <w:rPr>
          <w:b/>
        </w:rPr>
        <w:instrText xml:space="preserve"> </w:instrText>
      </w:r>
      <w:r>
        <w:rPr>
          <w:b/>
          <w:bCs/>
        </w:rPr>
        <w:instrText xml:space="preserve">\* MERGEFORMAT </w:instrText>
      </w:r>
      <w:r w:rsidRPr="002B5F46">
        <w:rPr>
          <w:b/>
          <w:bCs/>
        </w:rPr>
      </w:r>
      <w:r w:rsidRPr="002B5F46">
        <w:rPr>
          <w:b/>
          <w:bCs/>
        </w:rPr>
        <w:fldChar w:fldCharType="separate"/>
      </w:r>
      <w:r w:rsidR="000B4085" w:rsidRPr="000B4085">
        <w:rPr>
          <w:b/>
          <w:bCs/>
        </w:rPr>
        <w:t xml:space="preserve">Table </w:t>
      </w:r>
      <w:r w:rsidR="000B4085" w:rsidRPr="000B4085">
        <w:rPr>
          <w:b/>
          <w:bCs/>
          <w:noProof/>
        </w:rPr>
        <w:t>10</w:t>
      </w:r>
      <w:r w:rsidRPr="002B5F46">
        <w:rPr>
          <w:b/>
          <w:bCs/>
        </w:rPr>
        <w:fldChar w:fldCharType="end"/>
      </w:r>
      <w:r w:rsidR="000A2B6C">
        <w:t xml:space="preserve"> summarises some key </w:t>
      </w:r>
      <w:r>
        <w:t xml:space="preserve">questions that project </w:t>
      </w:r>
      <w:r w:rsidR="00E93BC3">
        <w:t>proponents</w:t>
      </w:r>
      <w:r>
        <w:t xml:space="preserve"> need to consider when planning a research project that incorporates genomic information or samples belonging to Aboriginal and Torres Strait Islander peoples. </w:t>
      </w:r>
    </w:p>
    <w:p w14:paraId="4D2FF9E2" w14:textId="232B2AAA" w:rsidR="002F5888" w:rsidRDefault="002F5888" w:rsidP="001B3344">
      <w:pPr>
        <w:pStyle w:val="Caption"/>
      </w:pPr>
      <w:bookmarkStart w:id="181" w:name="_Ref45103447"/>
      <w:bookmarkStart w:id="182" w:name="_Ref45103441"/>
      <w:r w:rsidRPr="001B3344">
        <w:t>Table</w:t>
      </w:r>
      <w:r>
        <w:t xml:space="preserve"> </w:t>
      </w:r>
      <w:r w:rsidR="003C7152">
        <w:fldChar w:fldCharType="begin"/>
      </w:r>
      <w:r w:rsidR="003C7152">
        <w:instrText xml:space="preserve"> SEQ Table \* ARABIC </w:instrText>
      </w:r>
      <w:r w:rsidR="003C7152">
        <w:fldChar w:fldCharType="separate"/>
      </w:r>
      <w:r w:rsidR="000B4085">
        <w:rPr>
          <w:noProof/>
        </w:rPr>
        <w:t>10</w:t>
      </w:r>
      <w:r w:rsidR="003C7152">
        <w:rPr>
          <w:noProof/>
        </w:rPr>
        <w:fldChar w:fldCharType="end"/>
      </w:r>
      <w:bookmarkEnd w:id="181"/>
      <w:r>
        <w:t>: Key questions when project planning</w:t>
      </w:r>
      <w:bookmarkEnd w:id="182"/>
    </w:p>
    <w:tbl>
      <w:tblPr>
        <w:tblStyle w:val="GridTable1Light"/>
        <w:tblW w:w="0" w:type="auto"/>
        <w:tblLook w:val="04A0" w:firstRow="1" w:lastRow="0" w:firstColumn="1" w:lastColumn="0" w:noHBand="0" w:noVBand="1"/>
        <w:tblCaption w:val="Key questions when project planning"/>
        <w:tblDescription w:val="Tbale 10:Key questions when project planning"/>
      </w:tblPr>
      <w:tblGrid>
        <w:gridCol w:w="2122"/>
        <w:gridCol w:w="6894"/>
      </w:tblGrid>
      <w:tr w:rsidR="009049E0" w:rsidRPr="008E5C92" w14:paraId="7F253536" w14:textId="77777777" w:rsidTr="001B33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73C29CFD" w14:textId="0801C2D5" w:rsidR="009049E0" w:rsidRPr="008E5C92" w:rsidRDefault="00D9653B" w:rsidP="003E1282">
            <w:pPr>
              <w:rPr>
                <w:b w:val="0"/>
              </w:rPr>
            </w:pPr>
            <w:r>
              <w:t>Issue</w:t>
            </w:r>
          </w:p>
        </w:tc>
        <w:tc>
          <w:tcPr>
            <w:tcW w:w="6894" w:type="dxa"/>
          </w:tcPr>
          <w:p w14:paraId="0C0D8EA0" w14:textId="3F2DE230" w:rsidR="009049E0" w:rsidRPr="0032654A" w:rsidRDefault="00D9653B" w:rsidP="003E1282">
            <w:pPr>
              <w:cnfStyle w:val="100000000000" w:firstRow="1" w:lastRow="0" w:firstColumn="0" w:lastColumn="0" w:oddVBand="0" w:evenVBand="0" w:oddHBand="0" w:evenHBand="0" w:firstRowFirstColumn="0" w:firstRowLastColumn="0" w:lastRowFirstColumn="0" w:lastRowLastColumn="0"/>
              <w:rPr>
                <w:b w:val="0"/>
                <w:bCs w:val="0"/>
              </w:rPr>
            </w:pPr>
            <w:r>
              <w:t>Key Questions</w:t>
            </w:r>
          </w:p>
        </w:tc>
      </w:tr>
      <w:tr w:rsidR="00842FDE" w:rsidRPr="008E5C92" w14:paraId="204E8D21" w14:textId="77777777" w:rsidTr="001B3344">
        <w:tc>
          <w:tcPr>
            <w:cnfStyle w:val="001000000000" w:firstRow="0" w:lastRow="0" w:firstColumn="1" w:lastColumn="0" w:oddVBand="0" w:evenVBand="0" w:oddHBand="0" w:evenHBand="0" w:firstRowFirstColumn="0" w:firstRowLastColumn="0" w:lastRowFirstColumn="0" w:lastRowLastColumn="0"/>
            <w:tcW w:w="2122" w:type="dxa"/>
          </w:tcPr>
          <w:p w14:paraId="648E1E5A" w14:textId="5854C7C5" w:rsidR="00842FDE" w:rsidRPr="008E5C92" w:rsidRDefault="00E87857" w:rsidP="003E1282">
            <w:pPr>
              <w:rPr>
                <w:b w:val="0"/>
              </w:rPr>
            </w:pPr>
            <w:r w:rsidRPr="008E5C92">
              <w:t xml:space="preserve">Issue identification </w:t>
            </w:r>
          </w:p>
        </w:tc>
        <w:tc>
          <w:tcPr>
            <w:tcW w:w="6894" w:type="dxa"/>
          </w:tcPr>
          <w:p w14:paraId="460282AC" w14:textId="203417D9" w:rsidR="00842FDE" w:rsidRPr="008E5C92" w:rsidRDefault="00E87857" w:rsidP="003E1282">
            <w:pPr>
              <w:cnfStyle w:val="000000000000" w:firstRow="0" w:lastRow="0" w:firstColumn="0" w:lastColumn="0" w:oddVBand="0" w:evenVBand="0" w:oddHBand="0" w:evenHBand="0" w:firstRowFirstColumn="0" w:firstRowLastColumn="0" w:lastRowFirstColumn="0" w:lastRowLastColumn="0"/>
            </w:pPr>
            <w:r w:rsidRPr="008E5C92">
              <w:t xml:space="preserve">How do </w:t>
            </w:r>
            <w:r w:rsidR="0016295D">
              <w:t xml:space="preserve">Aboriginal and Torres Strait Islander </w:t>
            </w:r>
            <w:r w:rsidRPr="008E5C92">
              <w:t>genomics issues vary from non-Indigenous genomics research? Are there any special issues?</w:t>
            </w:r>
          </w:p>
          <w:p w14:paraId="6F4086DF" w14:textId="77777777" w:rsidR="00E87857" w:rsidRPr="008E5C92" w:rsidRDefault="00E87857" w:rsidP="003E1282">
            <w:pPr>
              <w:cnfStyle w:val="000000000000" w:firstRow="0" w:lastRow="0" w:firstColumn="0" w:lastColumn="0" w:oddVBand="0" w:evenVBand="0" w:oddHBand="0" w:evenHBand="0" w:firstRowFirstColumn="0" w:firstRowLastColumn="0" w:lastRowFirstColumn="0" w:lastRowLastColumn="0"/>
            </w:pPr>
            <w:r w:rsidRPr="008E5C92">
              <w:t xml:space="preserve">What does the community need/want? </w:t>
            </w:r>
          </w:p>
          <w:p w14:paraId="3B2F4A9F" w14:textId="147D5972" w:rsidR="00E87857" w:rsidRPr="008E5C92" w:rsidRDefault="00A32A2A" w:rsidP="003E1282">
            <w:pPr>
              <w:cnfStyle w:val="000000000000" w:firstRow="0" w:lastRow="0" w:firstColumn="0" w:lastColumn="0" w:oddVBand="0" w:evenVBand="0" w:oddHBand="0" w:evenHBand="0" w:firstRowFirstColumn="0" w:firstRowLastColumn="0" w:lastRowFirstColumn="0" w:lastRowLastColumn="0"/>
            </w:pPr>
            <w:r w:rsidRPr="008E5C92">
              <w:t xml:space="preserve">What work has already taken place? </w:t>
            </w:r>
          </w:p>
        </w:tc>
      </w:tr>
      <w:tr w:rsidR="00842FDE" w:rsidRPr="008E5C92" w14:paraId="7EFE02EA" w14:textId="77777777" w:rsidTr="001B3344">
        <w:tc>
          <w:tcPr>
            <w:cnfStyle w:val="001000000000" w:firstRow="0" w:lastRow="0" w:firstColumn="1" w:lastColumn="0" w:oddVBand="0" w:evenVBand="0" w:oddHBand="0" w:evenHBand="0" w:firstRowFirstColumn="0" w:firstRowLastColumn="0" w:lastRowFirstColumn="0" w:lastRowLastColumn="0"/>
            <w:tcW w:w="2122" w:type="dxa"/>
          </w:tcPr>
          <w:p w14:paraId="0088FCE4" w14:textId="3763E7D5" w:rsidR="00842FDE" w:rsidRPr="008E5C92" w:rsidRDefault="00706DAD" w:rsidP="003E1282">
            <w:pPr>
              <w:rPr>
                <w:b w:val="0"/>
              </w:rPr>
            </w:pPr>
            <w:r w:rsidRPr="008E5C92">
              <w:t xml:space="preserve">Project planning </w:t>
            </w:r>
          </w:p>
        </w:tc>
        <w:tc>
          <w:tcPr>
            <w:tcW w:w="6894" w:type="dxa"/>
          </w:tcPr>
          <w:p w14:paraId="12B4460B" w14:textId="77777777" w:rsidR="00842FDE" w:rsidRPr="008E5C92" w:rsidRDefault="003D3CD6" w:rsidP="003E1282">
            <w:pPr>
              <w:cnfStyle w:val="000000000000" w:firstRow="0" w:lastRow="0" w:firstColumn="0" w:lastColumn="0" w:oddVBand="0" w:evenVBand="0" w:oddHBand="0" w:evenHBand="0" w:firstRowFirstColumn="0" w:firstRowLastColumn="0" w:lastRowFirstColumn="0" w:lastRowLastColumn="0"/>
            </w:pPr>
            <w:r w:rsidRPr="008E5C92">
              <w:t xml:space="preserve">What </w:t>
            </w:r>
            <w:r w:rsidR="00A8712A" w:rsidRPr="008E5C92">
              <w:t xml:space="preserve">are the relevant </w:t>
            </w:r>
            <w:r w:rsidR="00DF259A" w:rsidRPr="008E5C92">
              <w:t xml:space="preserve">ethical and legal frameworks? </w:t>
            </w:r>
          </w:p>
          <w:p w14:paraId="4C7DBB63" w14:textId="77777777" w:rsidR="00A75B17" w:rsidRPr="008E5C92" w:rsidRDefault="00FF1CC0" w:rsidP="003E1282">
            <w:pPr>
              <w:cnfStyle w:val="000000000000" w:firstRow="0" w:lastRow="0" w:firstColumn="0" w:lastColumn="0" w:oddVBand="0" w:evenVBand="0" w:oddHBand="0" w:evenHBand="0" w:firstRowFirstColumn="0" w:firstRowLastColumn="0" w:lastRowFirstColumn="0" w:lastRowLastColumn="0"/>
            </w:pPr>
            <w:r w:rsidRPr="008E5C92">
              <w:lastRenderedPageBreak/>
              <w:t>Are there any gaps</w:t>
            </w:r>
            <w:r w:rsidR="005A2114" w:rsidRPr="008E5C92">
              <w:t xml:space="preserve"> in the ethical or legal guidance? </w:t>
            </w:r>
            <w:r w:rsidR="0090735F" w:rsidRPr="008E5C92">
              <w:t>How will you</w:t>
            </w:r>
            <w:r w:rsidR="0095659F" w:rsidRPr="008E5C92">
              <w:t xml:space="preserve"> consult with community </w:t>
            </w:r>
            <w:r w:rsidR="000B6803" w:rsidRPr="008E5C92">
              <w:t xml:space="preserve">to plan best practice to fill those gaps? </w:t>
            </w:r>
          </w:p>
          <w:p w14:paraId="225A5866" w14:textId="6978757A" w:rsidR="000416C1" w:rsidRPr="008E5C92" w:rsidRDefault="00F949B1" w:rsidP="003E1282">
            <w:pPr>
              <w:cnfStyle w:val="000000000000" w:firstRow="0" w:lastRow="0" w:firstColumn="0" w:lastColumn="0" w:oddVBand="0" w:evenVBand="0" w:oddHBand="0" w:evenHBand="0" w:firstRowFirstColumn="0" w:firstRowLastColumn="0" w:lastRowFirstColumn="0" w:lastRowLastColumn="0"/>
            </w:pPr>
            <w:r w:rsidRPr="008E5C92">
              <w:t xml:space="preserve">What policies and procedures does the community already have in place? </w:t>
            </w:r>
          </w:p>
        </w:tc>
      </w:tr>
      <w:tr w:rsidR="00842FDE" w:rsidRPr="008E5C92" w14:paraId="3CBB576A" w14:textId="77777777" w:rsidTr="001B3344">
        <w:tc>
          <w:tcPr>
            <w:cnfStyle w:val="001000000000" w:firstRow="0" w:lastRow="0" w:firstColumn="1" w:lastColumn="0" w:oddVBand="0" w:evenVBand="0" w:oddHBand="0" w:evenHBand="0" w:firstRowFirstColumn="0" w:firstRowLastColumn="0" w:lastRowFirstColumn="0" w:lastRowLastColumn="0"/>
            <w:tcW w:w="2122" w:type="dxa"/>
          </w:tcPr>
          <w:p w14:paraId="71C2C9BF" w14:textId="79425B58" w:rsidR="00842FDE" w:rsidRPr="008E5C92" w:rsidRDefault="00C72F59" w:rsidP="003E1282">
            <w:pPr>
              <w:rPr>
                <w:b w:val="0"/>
              </w:rPr>
            </w:pPr>
            <w:r w:rsidRPr="008E5C92">
              <w:lastRenderedPageBreak/>
              <w:t xml:space="preserve">Consultation and consent </w:t>
            </w:r>
          </w:p>
        </w:tc>
        <w:tc>
          <w:tcPr>
            <w:tcW w:w="6894" w:type="dxa"/>
          </w:tcPr>
          <w:p w14:paraId="02132E68" w14:textId="77777777" w:rsidR="00842FDE" w:rsidRPr="008E5C92" w:rsidRDefault="00C72F59" w:rsidP="003E1282">
            <w:pPr>
              <w:cnfStyle w:val="000000000000" w:firstRow="0" w:lastRow="0" w:firstColumn="0" w:lastColumn="0" w:oddVBand="0" w:evenVBand="0" w:oddHBand="0" w:evenHBand="0" w:firstRowFirstColumn="0" w:firstRowLastColumn="0" w:lastRowFirstColumn="0" w:lastRowLastColumn="0"/>
            </w:pPr>
            <w:r w:rsidRPr="008E5C92">
              <w:t>How will you consult with community?</w:t>
            </w:r>
          </w:p>
          <w:p w14:paraId="043A798D" w14:textId="550A953B" w:rsidR="00A41746" w:rsidRPr="008E5C92" w:rsidRDefault="00A41746" w:rsidP="003E1282">
            <w:pPr>
              <w:cnfStyle w:val="000000000000" w:firstRow="0" w:lastRow="0" w:firstColumn="0" w:lastColumn="0" w:oddVBand="0" w:evenVBand="0" w:oddHBand="0" w:evenHBand="0" w:firstRowFirstColumn="0" w:firstRowLastColumn="0" w:lastRowFirstColumn="0" w:lastRowLastColumn="0"/>
            </w:pPr>
            <w:r w:rsidRPr="008E5C92">
              <w:t>What will be your approach to consulting with individuals and community?</w:t>
            </w:r>
          </w:p>
          <w:p w14:paraId="34F2C08A" w14:textId="1198C96A" w:rsidR="006B2638" w:rsidRPr="008E5C92" w:rsidRDefault="006B2638" w:rsidP="003E1282">
            <w:pPr>
              <w:cnfStyle w:val="000000000000" w:firstRow="0" w:lastRow="0" w:firstColumn="0" w:lastColumn="0" w:oddVBand="0" w:evenVBand="0" w:oddHBand="0" w:evenHBand="0" w:firstRowFirstColumn="0" w:firstRowLastColumn="0" w:lastRowFirstColumn="0" w:lastRowLastColumn="0"/>
            </w:pPr>
            <w:r w:rsidRPr="008E5C92">
              <w:t xml:space="preserve">What information will you give to people about the research? How will you give it? </w:t>
            </w:r>
          </w:p>
          <w:p w14:paraId="6C3D7E42" w14:textId="7148743A" w:rsidR="00D62C2E" w:rsidRPr="008E5C92" w:rsidRDefault="00D62C2E" w:rsidP="003E1282">
            <w:pPr>
              <w:cnfStyle w:val="000000000000" w:firstRow="0" w:lastRow="0" w:firstColumn="0" w:lastColumn="0" w:oddVBand="0" w:evenVBand="0" w:oddHBand="0" w:evenHBand="0" w:firstRowFirstColumn="0" w:firstRowLastColumn="0" w:lastRowFirstColumn="0" w:lastRowLastColumn="0"/>
            </w:pPr>
            <w:r w:rsidRPr="008E5C92">
              <w:t xml:space="preserve">Do you plan to commercialise the research, or any research outcomes? What if that changes? </w:t>
            </w:r>
          </w:p>
          <w:p w14:paraId="11A45792" w14:textId="3751AB33" w:rsidR="007F7E52" w:rsidRPr="008E5C92" w:rsidRDefault="007F7E52" w:rsidP="003E1282">
            <w:pPr>
              <w:cnfStyle w:val="000000000000" w:firstRow="0" w:lastRow="0" w:firstColumn="0" w:lastColumn="0" w:oddVBand="0" w:evenVBand="0" w:oddHBand="0" w:evenHBand="0" w:firstRowFirstColumn="0" w:firstRowLastColumn="0" w:lastRowFirstColumn="0" w:lastRowLastColumn="0"/>
            </w:pPr>
            <w:r w:rsidRPr="008E5C92">
              <w:t xml:space="preserve">Will you hold community information sessions? </w:t>
            </w:r>
          </w:p>
          <w:p w14:paraId="08A440B0" w14:textId="5BBEC829" w:rsidR="009A3964" w:rsidRPr="008E5C92" w:rsidRDefault="009A3964" w:rsidP="003E1282">
            <w:pPr>
              <w:cnfStyle w:val="000000000000" w:firstRow="0" w:lastRow="0" w:firstColumn="0" w:lastColumn="0" w:oddVBand="0" w:evenVBand="0" w:oddHBand="0" w:evenHBand="0" w:firstRowFirstColumn="0" w:firstRowLastColumn="0" w:lastRowFirstColumn="0" w:lastRowLastColumn="0"/>
            </w:pPr>
            <w:r w:rsidRPr="008E5C92">
              <w:t xml:space="preserve">Have you contacted any relevant Prescribe Bodies Corporate or Traditional Owner Corporations? </w:t>
            </w:r>
          </w:p>
          <w:p w14:paraId="49735776" w14:textId="08FFCE74" w:rsidR="002964B6" w:rsidRPr="008E5C92" w:rsidRDefault="002964B6" w:rsidP="003E1282">
            <w:pPr>
              <w:cnfStyle w:val="000000000000" w:firstRow="0" w:lastRow="0" w:firstColumn="0" w:lastColumn="0" w:oddVBand="0" w:evenVBand="0" w:oddHBand="0" w:evenHBand="0" w:firstRowFirstColumn="0" w:firstRowLastColumn="0" w:lastRowFirstColumn="0" w:lastRowLastColumn="0"/>
            </w:pPr>
            <w:r w:rsidRPr="008E5C92">
              <w:t xml:space="preserve">Have you discussed the risks of research? </w:t>
            </w:r>
          </w:p>
          <w:p w14:paraId="476C9BFF" w14:textId="06CA77F0" w:rsidR="00F50D3C" w:rsidRPr="008E5C92" w:rsidRDefault="00F50D3C" w:rsidP="003E1282">
            <w:pPr>
              <w:cnfStyle w:val="000000000000" w:firstRow="0" w:lastRow="0" w:firstColumn="0" w:lastColumn="0" w:oddVBand="0" w:evenVBand="0" w:oddHBand="0" w:evenHBand="0" w:firstRowFirstColumn="0" w:firstRowLastColumn="0" w:lastRowFirstColumn="0" w:lastRowLastColumn="0"/>
            </w:pPr>
            <w:r w:rsidRPr="008E5C92">
              <w:t xml:space="preserve">How will you keep records of who you have spoken to and the concerns they have raised? </w:t>
            </w:r>
          </w:p>
          <w:p w14:paraId="18F48B07" w14:textId="3BE0A843" w:rsidR="00D71F67" w:rsidRPr="008E5C92" w:rsidRDefault="00D71F67" w:rsidP="003E1282">
            <w:pPr>
              <w:cnfStyle w:val="000000000000" w:firstRow="0" w:lastRow="0" w:firstColumn="0" w:lastColumn="0" w:oddVBand="0" w:evenVBand="0" w:oddHBand="0" w:evenHBand="0" w:firstRowFirstColumn="0" w:firstRowLastColumn="0" w:lastRowFirstColumn="0" w:lastRowLastColumn="0"/>
            </w:pPr>
            <w:r w:rsidRPr="008E5C92">
              <w:t xml:space="preserve">What is your system for responding to concerns and adapting accordingly? </w:t>
            </w:r>
          </w:p>
          <w:p w14:paraId="0575D7B0" w14:textId="77777777" w:rsidR="00A41746" w:rsidRPr="008E5C92" w:rsidRDefault="00A41746" w:rsidP="003E1282">
            <w:pPr>
              <w:cnfStyle w:val="000000000000" w:firstRow="0" w:lastRow="0" w:firstColumn="0" w:lastColumn="0" w:oddVBand="0" w:evenVBand="0" w:oddHBand="0" w:evenHBand="0" w:firstRowFirstColumn="0" w:firstRowLastColumn="0" w:lastRowFirstColumn="0" w:lastRowLastColumn="0"/>
            </w:pPr>
            <w:r w:rsidRPr="008E5C92">
              <w:t xml:space="preserve">How will you record consents? </w:t>
            </w:r>
          </w:p>
          <w:p w14:paraId="0B0DD000" w14:textId="77777777" w:rsidR="00B87AD5" w:rsidRPr="008E5C92" w:rsidRDefault="002964B6" w:rsidP="003E1282">
            <w:pPr>
              <w:cnfStyle w:val="000000000000" w:firstRow="0" w:lastRow="0" w:firstColumn="0" w:lastColumn="0" w:oddVBand="0" w:evenVBand="0" w:oddHBand="0" w:evenHBand="0" w:firstRowFirstColumn="0" w:firstRowLastColumn="0" w:lastRowFirstColumn="0" w:lastRowLastColumn="0"/>
            </w:pPr>
            <w:r w:rsidRPr="008E5C92">
              <w:t xml:space="preserve">How will you keep in touch with research participants into the future? </w:t>
            </w:r>
          </w:p>
          <w:p w14:paraId="58C29AD9" w14:textId="29C4F4D2" w:rsidR="002964B6" w:rsidRPr="008E5C92" w:rsidRDefault="002964B6" w:rsidP="003E1282">
            <w:pPr>
              <w:cnfStyle w:val="000000000000" w:firstRow="0" w:lastRow="0" w:firstColumn="0" w:lastColumn="0" w:oddVBand="0" w:evenVBand="0" w:oddHBand="0" w:evenHBand="0" w:firstRowFirstColumn="0" w:firstRowLastColumn="0" w:lastRowFirstColumn="0" w:lastRowLastColumn="0"/>
            </w:pPr>
            <w:r w:rsidRPr="008E5C92">
              <w:t xml:space="preserve">Will participants have access to their data? How? </w:t>
            </w:r>
          </w:p>
        </w:tc>
      </w:tr>
      <w:tr w:rsidR="00842FDE" w:rsidRPr="008E5C92" w14:paraId="13746149" w14:textId="77777777" w:rsidTr="001B3344">
        <w:tc>
          <w:tcPr>
            <w:cnfStyle w:val="001000000000" w:firstRow="0" w:lastRow="0" w:firstColumn="1" w:lastColumn="0" w:oddVBand="0" w:evenVBand="0" w:oddHBand="0" w:evenHBand="0" w:firstRowFirstColumn="0" w:firstRowLastColumn="0" w:lastRowFirstColumn="0" w:lastRowLastColumn="0"/>
            <w:tcW w:w="2122" w:type="dxa"/>
          </w:tcPr>
          <w:p w14:paraId="7A155C83" w14:textId="3ABF87EB" w:rsidR="00842FDE" w:rsidRPr="008E5C92" w:rsidRDefault="0082415F" w:rsidP="003E1282">
            <w:pPr>
              <w:rPr>
                <w:b w:val="0"/>
              </w:rPr>
            </w:pPr>
            <w:r w:rsidRPr="008E5C92">
              <w:t>Managing</w:t>
            </w:r>
            <w:r w:rsidR="006D3B8D" w:rsidRPr="008E5C92">
              <w:t xml:space="preserve"> risks and concerns </w:t>
            </w:r>
          </w:p>
        </w:tc>
        <w:tc>
          <w:tcPr>
            <w:tcW w:w="6894" w:type="dxa"/>
          </w:tcPr>
          <w:p w14:paraId="208B1A15" w14:textId="2B34D5DE" w:rsidR="00842FDE" w:rsidRPr="008E5C92" w:rsidRDefault="00B32863" w:rsidP="003E1282">
            <w:pPr>
              <w:cnfStyle w:val="000000000000" w:firstRow="0" w:lastRow="0" w:firstColumn="0" w:lastColumn="0" w:oddVBand="0" w:evenVBand="0" w:oddHBand="0" w:evenHBand="0" w:firstRowFirstColumn="0" w:firstRowLastColumn="0" w:lastRowFirstColumn="0" w:lastRowLastColumn="0"/>
            </w:pPr>
            <w:r w:rsidRPr="008E5C92">
              <w:t xml:space="preserve">If you, or a </w:t>
            </w:r>
            <w:r w:rsidR="00687913" w:rsidRPr="008E5C92">
              <w:t xml:space="preserve">project participant has concerns about how a project is being run, are there easily accessible procedures for raising these concerns? </w:t>
            </w:r>
          </w:p>
        </w:tc>
      </w:tr>
    </w:tbl>
    <w:p w14:paraId="5882614E" w14:textId="5C094399" w:rsidR="00717A7F" w:rsidRPr="008E5C92" w:rsidRDefault="006C7583" w:rsidP="001B3344">
      <w:pPr>
        <w:pStyle w:val="Heading1"/>
        <w:pageBreakBefore/>
        <w:rPr>
          <w:lang w:val="en-AU"/>
        </w:rPr>
      </w:pPr>
      <w:bookmarkStart w:id="183" w:name="_Ref45039473"/>
      <w:bookmarkStart w:id="184" w:name="_Toc118824398"/>
      <w:r w:rsidRPr="008E5C92">
        <w:rPr>
          <w:lang w:val="en-AU"/>
        </w:rPr>
        <w:lastRenderedPageBreak/>
        <w:t>International Indigenous Health Genomics</w:t>
      </w:r>
      <w:bookmarkEnd w:id="183"/>
      <w:bookmarkEnd w:id="184"/>
      <w:r w:rsidRPr="008E5C92">
        <w:rPr>
          <w:lang w:val="en-AU"/>
        </w:rPr>
        <w:t xml:space="preserve"> </w:t>
      </w:r>
    </w:p>
    <w:p w14:paraId="65428438" w14:textId="712173F0" w:rsidR="006C7583" w:rsidRPr="008E5C92" w:rsidRDefault="001977CB" w:rsidP="00AC73DF">
      <w:pPr>
        <w:pStyle w:val="Heading2"/>
        <w:rPr>
          <w:lang w:val="en-AU"/>
        </w:rPr>
      </w:pPr>
      <w:bookmarkStart w:id="185" w:name="_Toc118824399"/>
      <w:r w:rsidRPr="008E5C92">
        <w:rPr>
          <w:lang w:val="en-AU"/>
        </w:rPr>
        <w:t>What are the international law instruments that</w:t>
      </w:r>
      <w:r w:rsidR="00C8720B" w:rsidRPr="008E5C92">
        <w:rPr>
          <w:lang w:val="en-AU"/>
        </w:rPr>
        <w:t xml:space="preserve"> give guidance for Australian law and policy on Indigenous genomics?</w:t>
      </w:r>
      <w:bookmarkEnd w:id="185"/>
      <w:r w:rsidR="00C8720B" w:rsidRPr="008E5C92">
        <w:rPr>
          <w:lang w:val="en-AU"/>
        </w:rPr>
        <w:t xml:space="preserve"> </w:t>
      </w:r>
    </w:p>
    <w:p w14:paraId="7A283467" w14:textId="5BA460BC" w:rsidR="004B7487" w:rsidRDefault="004A3C10" w:rsidP="00AC73DF">
      <w:r>
        <w:t xml:space="preserve">This section focuses specifically on Aboriginal and Torres Strait Islander human rights in the context of their own genomic material and kinship ties. </w:t>
      </w:r>
      <w:r w:rsidR="005B6A89">
        <w:t xml:space="preserve">There are additional </w:t>
      </w:r>
      <w:r w:rsidR="00307465">
        <w:t xml:space="preserve">international law instruments </w:t>
      </w:r>
      <w:r w:rsidR="006F0134">
        <w:t xml:space="preserve">relating to </w:t>
      </w:r>
      <w:r w:rsidR="00E1718C">
        <w:t>Indigenous peoples genetic and biological knowledge more broadly</w:t>
      </w:r>
      <w:r w:rsidR="00AA2646">
        <w:t xml:space="preserve">, which include </w:t>
      </w:r>
      <w:r w:rsidR="00E1718C">
        <w:t>consideration of Indigenous plant and ecological knowledge. These areas of</w:t>
      </w:r>
      <w:r w:rsidR="0091456E">
        <w:t xml:space="preserve"> </w:t>
      </w:r>
      <w:r w:rsidR="001138A9">
        <w:t>international</w:t>
      </w:r>
      <w:r w:rsidR="0091456E">
        <w:t xml:space="preserve"> law could </w:t>
      </w:r>
      <w:r w:rsidR="00685205">
        <w:t xml:space="preserve">also </w:t>
      </w:r>
      <w:r w:rsidR="00440F69">
        <w:t>be relevant</w:t>
      </w:r>
      <w:r w:rsidR="0091456E">
        <w:t xml:space="preserve">, as they </w:t>
      </w:r>
      <w:r w:rsidR="001138A9">
        <w:t>provide guidance on equitable access and benefit sharing</w:t>
      </w:r>
      <w:r w:rsidR="00F330D1">
        <w:t xml:space="preserve"> particularly in the context of </w:t>
      </w:r>
      <w:r w:rsidR="00D60C9E">
        <w:t>commercialisation</w:t>
      </w:r>
      <w:r w:rsidR="00F330D1">
        <w:t xml:space="preserve"> of </w:t>
      </w:r>
      <w:r w:rsidR="00D60C9E">
        <w:t>knowledge</w:t>
      </w:r>
      <w:r w:rsidR="001138A9">
        <w:t xml:space="preserve">. </w:t>
      </w:r>
      <w:r w:rsidR="00E32F58">
        <w:t>However,</w:t>
      </w:r>
      <w:r w:rsidR="007F367B">
        <w:t xml:space="preserve"> ecological knowledge and plant genetics really falls beyond the</w:t>
      </w:r>
      <w:r w:rsidR="00E32F58">
        <w:t xml:space="preserve"> scope of this paper </w:t>
      </w:r>
      <w:r w:rsidR="007F367B">
        <w:t>and so, at present, the focus remains on</w:t>
      </w:r>
      <w:r w:rsidR="003D38C3">
        <w:t xml:space="preserve"> Aboriginal and Torres Strait Islander </w:t>
      </w:r>
      <w:r w:rsidR="000C51B5">
        <w:t>peoples</w:t>
      </w:r>
      <w:r w:rsidR="00E209A9">
        <w:t>’</w:t>
      </w:r>
      <w:r w:rsidR="000C51B5">
        <w:t xml:space="preserve"> human genomics.</w:t>
      </w:r>
    </w:p>
    <w:p w14:paraId="3CDD33BD" w14:textId="34975DED" w:rsidR="00C13666" w:rsidRDefault="0092160B" w:rsidP="00AC73DF">
      <w:r>
        <w:t>These international instruments are standard setting documents</w:t>
      </w:r>
      <w:r w:rsidR="00571F38">
        <w:t>. Wh</w:t>
      </w:r>
      <w:r w:rsidR="00164FF9">
        <w:t>ile</w:t>
      </w:r>
      <w:r w:rsidR="00571F38">
        <w:t xml:space="preserve"> they </w:t>
      </w:r>
      <w:r w:rsidR="009A604F">
        <w:t xml:space="preserve">are not </w:t>
      </w:r>
      <w:r w:rsidR="00EE47DA">
        <w:t>directly legally binding on Australia until they are ratified into Australian</w:t>
      </w:r>
      <w:r w:rsidR="00B031F7">
        <w:t xml:space="preserve"> law</w:t>
      </w:r>
      <w:r w:rsidR="00EE47DA">
        <w:t xml:space="preserve">, </w:t>
      </w:r>
      <w:r w:rsidR="005C5023">
        <w:t>they nevertheless provide</w:t>
      </w:r>
      <w:r w:rsidR="00F56850">
        <w:t xml:space="preserve"> an important </w:t>
      </w:r>
      <w:r w:rsidR="004E25F1">
        <w:t>reflection of</w:t>
      </w:r>
      <w:r w:rsidR="00C71F2B">
        <w:t xml:space="preserve"> international expectations</w:t>
      </w:r>
      <w:r w:rsidR="00D30443">
        <w:t xml:space="preserve">. </w:t>
      </w:r>
      <w:r w:rsidR="00B63F42">
        <w:t>On the world stage, the terms of the United Nations Declaration on the Rights of Indigenous Peoples, for example, are well understood</w:t>
      </w:r>
      <w:r w:rsidR="00CD3CB6">
        <w:t xml:space="preserve"> and there is the expectation that Australia should </w:t>
      </w:r>
      <w:r w:rsidR="009C1EBD">
        <w:t>uphold these rights</w:t>
      </w:r>
      <w:r w:rsidR="00D004A1">
        <w:t xml:space="preserve">. These international laws also often provide important guidance for policy </w:t>
      </w:r>
      <w:r w:rsidR="00CA44BA">
        <w:t xml:space="preserve">documents </w:t>
      </w:r>
      <w:r w:rsidR="00D004A1">
        <w:t xml:space="preserve">and </w:t>
      </w:r>
      <w:r w:rsidR="00CA44BA">
        <w:t>best practice models</w:t>
      </w:r>
      <w:r w:rsidR="002F0BF8">
        <w:t xml:space="preserve"> that are implemented within Australia</w:t>
      </w:r>
      <w:r w:rsidR="00CA44BA">
        <w:t xml:space="preserve">. </w:t>
      </w:r>
    </w:p>
    <w:p w14:paraId="738DA69E" w14:textId="1BB4A0F5" w:rsidR="00B42A01" w:rsidRPr="008E5C92" w:rsidRDefault="00C13666" w:rsidP="009F0630">
      <w:pPr>
        <w:pStyle w:val="Heading3"/>
        <w:rPr>
          <w:lang w:val="en-AU"/>
        </w:rPr>
      </w:pPr>
      <w:bookmarkStart w:id="186" w:name="_Toc118824400"/>
      <w:r w:rsidRPr="008E5C92">
        <w:rPr>
          <w:lang w:val="en-AU"/>
        </w:rPr>
        <w:t>United Nation</w:t>
      </w:r>
      <w:r w:rsidR="00A11CC9" w:rsidRPr="008E5C92">
        <w:rPr>
          <w:lang w:val="en-AU"/>
        </w:rPr>
        <w:t xml:space="preserve">s Declaration on the Rights of Indigenous Peoples </w:t>
      </w:r>
      <w:r w:rsidR="009F4F58" w:rsidRPr="008E5C92">
        <w:rPr>
          <w:lang w:val="en-AU"/>
        </w:rPr>
        <w:t>(UNDRIP)</w:t>
      </w:r>
      <w:bookmarkEnd w:id="186"/>
      <w:r w:rsidR="009F4F58" w:rsidRPr="008E5C92">
        <w:rPr>
          <w:lang w:val="en-AU"/>
        </w:rPr>
        <w:t xml:space="preserve"> </w:t>
      </w:r>
    </w:p>
    <w:p w14:paraId="4F6C8393" w14:textId="41668EBE" w:rsidR="009F4F58" w:rsidRDefault="00591208" w:rsidP="00AC73DF">
      <w:r>
        <w:t xml:space="preserve">This </w:t>
      </w:r>
      <w:r w:rsidR="00726847">
        <w:t xml:space="preserve">resolution was adopted by the UN Assembly in 2007 and Australia became a party to it </w:t>
      </w:r>
      <w:r w:rsidR="00717F49">
        <w:t xml:space="preserve">in 2009. </w:t>
      </w:r>
    </w:p>
    <w:p w14:paraId="49CAFC06" w14:textId="65A3305A" w:rsidR="009F0630" w:rsidRDefault="004B7487" w:rsidP="00AC73DF">
      <w:r>
        <w:t xml:space="preserve">Article 31 of UNDRIP states that </w:t>
      </w:r>
    </w:p>
    <w:p w14:paraId="7457C3D1" w14:textId="7337509D" w:rsidR="004B7487" w:rsidRPr="00C82107" w:rsidRDefault="004B7487" w:rsidP="00FF0989">
      <w:pPr>
        <w:pStyle w:val="Quote"/>
      </w:pPr>
      <w:r w:rsidRPr="00C82107">
        <w:t xml:space="preserve">Indigenous peoples have the right to maintain, control, protect and develop </w:t>
      </w:r>
      <w:r w:rsidR="00067737" w:rsidRPr="00C82107">
        <w:t>their cultural heritage traditional knowledge…</w:t>
      </w:r>
      <w:r w:rsidR="00D323D1" w:rsidRPr="00C82107">
        <w:t>as well as the manifestations of their sciences, technologies and cultures, including human and genetic resource</w:t>
      </w:r>
      <w:r w:rsidR="00DE3A9B" w:rsidRPr="00C82107">
        <w:t xml:space="preserve">…They also have the right to maintain, control, protect and develop their intellectual property </w:t>
      </w:r>
      <w:r w:rsidR="00D04310" w:rsidRPr="00C82107">
        <w:t>over such cultural heritage</w:t>
      </w:r>
      <w:r w:rsidR="001644EA" w:rsidRPr="00C82107">
        <w:t>, traditional knowledge and traditional cultural heritage</w:t>
      </w:r>
      <w:r w:rsidR="000A28AF" w:rsidRPr="00C82107">
        <w:rPr>
          <w:rStyle w:val="FootnoteReference"/>
          <w:szCs w:val="20"/>
        </w:rPr>
        <w:footnoteReference w:id="227"/>
      </w:r>
    </w:p>
    <w:p w14:paraId="122DBC48" w14:textId="00A148D9" w:rsidR="001644EA" w:rsidRDefault="000A28AF" w:rsidP="00AC73DF">
      <w:r>
        <w:t xml:space="preserve">This is an important statement recognising Aboriginal and Torres Islander peoples </w:t>
      </w:r>
      <w:r w:rsidR="00364FA4">
        <w:t xml:space="preserve">genetic material and knowledge as part of their cultural heritage. </w:t>
      </w:r>
      <w:r w:rsidR="0022702F">
        <w:t xml:space="preserve">As such Aboriginal and Torres Strait Islander people have a right to </w:t>
      </w:r>
      <w:r w:rsidR="00675E53">
        <w:t>maintain on-going ownership and control of their genetic material</w:t>
      </w:r>
      <w:r w:rsidR="008751A6">
        <w:t xml:space="preserve"> and knowledge</w:t>
      </w:r>
      <w:r w:rsidR="00A67879">
        <w:t xml:space="preserve">, to protect it, and to develop it. The inclusion of reference to intellectual property </w:t>
      </w:r>
      <w:r w:rsidR="00AF29B9">
        <w:t xml:space="preserve">underlines that these rights include rights </w:t>
      </w:r>
      <w:r w:rsidR="00766094">
        <w:t xml:space="preserve">over the data derived from </w:t>
      </w:r>
      <w:r w:rsidR="00B54EA0">
        <w:t xml:space="preserve">this genetic material and knowledge. </w:t>
      </w:r>
    </w:p>
    <w:p w14:paraId="2517A1AA" w14:textId="79177C8E" w:rsidR="00FA68FF" w:rsidRDefault="00FA68FF" w:rsidP="00AC73DF">
      <w:r>
        <w:t xml:space="preserve">As was mentioned previously, </w:t>
      </w:r>
      <w:r w:rsidR="0028511B">
        <w:t xml:space="preserve">this article has been somewhat incorporated into state legislation in </w:t>
      </w:r>
      <w:r w:rsidR="00C62C9E">
        <w:t xml:space="preserve">the human rights acts introduced in the ACT, Queensland and Victoria. In fact both </w:t>
      </w:r>
      <w:r w:rsidR="0020631F">
        <w:t xml:space="preserve">Queensland and the ACT adopt the language of UNDRIP when they refer to Aboriginal </w:t>
      </w:r>
      <w:r w:rsidR="0020631F">
        <w:lastRenderedPageBreak/>
        <w:t>and Torres Strait Islanders rights to “</w:t>
      </w:r>
      <w:r w:rsidR="0020631F" w:rsidRPr="00507BBE">
        <w:rPr>
          <w:i/>
          <w:iCs/>
        </w:rPr>
        <w:t>maintain, control protect and develop</w:t>
      </w:r>
      <w:r w:rsidR="0020631F">
        <w:t xml:space="preserve">” kinship ties, and </w:t>
      </w:r>
      <w:r w:rsidR="00D60E0F">
        <w:t>the ACT specifically reference</w:t>
      </w:r>
      <w:r w:rsidR="00790784">
        <w:t>s</w:t>
      </w:r>
      <w:r w:rsidR="00D60E0F">
        <w:t xml:space="preserve"> UNDRIP in a note on the relevant provision. </w:t>
      </w:r>
    </w:p>
    <w:p w14:paraId="7AFA2C4B" w14:textId="13848F7B" w:rsidR="00191C57" w:rsidRPr="008E5C92" w:rsidRDefault="00872FAA" w:rsidP="00A207E1">
      <w:pPr>
        <w:pStyle w:val="Heading3"/>
        <w:rPr>
          <w:lang w:val="en-AU"/>
        </w:rPr>
      </w:pPr>
      <w:bookmarkStart w:id="187" w:name="_Toc118824401"/>
      <w:r w:rsidRPr="008E5C92">
        <w:rPr>
          <w:lang w:val="en-AU"/>
        </w:rPr>
        <w:t xml:space="preserve">Universal Declaration on the Human </w:t>
      </w:r>
      <w:r w:rsidR="007E45CD" w:rsidRPr="008E5C92">
        <w:rPr>
          <w:lang w:val="en-AU"/>
        </w:rPr>
        <w:t>Genome</w:t>
      </w:r>
      <w:r w:rsidR="007311E9" w:rsidRPr="008E5C92">
        <w:rPr>
          <w:lang w:val="en-AU"/>
        </w:rPr>
        <w:t xml:space="preserve"> and Human Rights</w:t>
      </w:r>
      <w:bookmarkEnd w:id="187"/>
      <w:r w:rsidR="007311E9" w:rsidRPr="008E5C92">
        <w:rPr>
          <w:lang w:val="en-AU"/>
        </w:rPr>
        <w:t xml:space="preserve"> </w:t>
      </w:r>
    </w:p>
    <w:p w14:paraId="06903978" w14:textId="5E377E65" w:rsidR="00973832" w:rsidRDefault="004D6EAA" w:rsidP="00AC73DF">
      <w:r>
        <w:t>This declaration was adopted by the United Nation</w:t>
      </w:r>
      <w:r w:rsidR="00405FA8">
        <w:t xml:space="preserve">s Educational, Scientific and Cultural Organisation </w:t>
      </w:r>
      <w:r w:rsidR="00FA482A">
        <w:t>(UNESCO) in 1997</w:t>
      </w:r>
      <w:r w:rsidR="0066469B">
        <w:t xml:space="preserve"> and the UN General Assembly </w:t>
      </w:r>
      <w:r w:rsidR="008E1F31">
        <w:t xml:space="preserve">in 1998. </w:t>
      </w:r>
      <w:r w:rsidR="00155403">
        <w:t xml:space="preserve">This declaration makes specific </w:t>
      </w:r>
      <w:r w:rsidR="00B43880">
        <w:t xml:space="preserve">prohibition </w:t>
      </w:r>
      <w:r w:rsidR="00155403">
        <w:t>against any form of genetic discrimination.</w:t>
      </w:r>
      <w:r w:rsidR="00B43880">
        <w:rPr>
          <w:rStyle w:val="FootnoteReference"/>
        </w:rPr>
        <w:footnoteReference w:id="228"/>
      </w:r>
      <w:r w:rsidR="00155403">
        <w:t xml:space="preserve"> Article 2 states that</w:t>
      </w:r>
    </w:p>
    <w:p w14:paraId="4F0B50C5" w14:textId="2AA0B605" w:rsidR="00973832" w:rsidRPr="001B3344" w:rsidRDefault="00155403" w:rsidP="001B3344">
      <w:pPr>
        <w:pStyle w:val="ListNumber2"/>
      </w:pPr>
      <w:r w:rsidRPr="001B10B0">
        <w:t xml:space="preserve">Everyone has </w:t>
      </w:r>
      <w:r w:rsidRPr="001B3344">
        <w:t>the right to respect for their dignity and for their rights regardless of their genetic characteristics</w:t>
      </w:r>
    </w:p>
    <w:p w14:paraId="42151415" w14:textId="1340B7AC" w:rsidR="00482DA4" w:rsidRPr="001B10B0" w:rsidRDefault="00482DA4" w:rsidP="001B3344">
      <w:pPr>
        <w:pStyle w:val="ListNumber2"/>
      </w:pPr>
      <w:r w:rsidRPr="001B3344">
        <w:t>That dignity make</w:t>
      </w:r>
      <w:r w:rsidR="008F15A5" w:rsidRPr="001B3344">
        <w:t>s</w:t>
      </w:r>
      <w:r w:rsidRPr="001B3344">
        <w:t xml:space="preserve"> it imperative not to reduce individuals to their genetic characteristics and to respect their uniqueness and</w:t>
      </w:r>
      <w:r w:rsidRPr="001B10B0">
        <w:t xml:space="preserve"> diversity</w:t>
      </w:r>
      <w:r w:rsidR="00470855" w:rsidRPr="001B10B0">
        <w:rPr>
          <w:rStyle w:val="FootnoteReference"/>
          <w:sz w:val="20"/>
          <w:szCs w:val="20"/>
        </w:rPr>
        <w:footnoteReference w:id="229"/>
      </w:r>
    </w:p>
    <w:p w14:paraId="628D491D" w14:textId="25CA2B2C" w:rsidR="00F744FB" w:rsidRDefault="00F744FB" w:rsidP="00AC73DF">
      <w:r>
        <w:t>Article 6</w:t>
      </w:r>
      <w:r w:rsidR="001118CE">
        <w:t xml:space="preserve"> then goes on to read: </w:t>
      </w:r>
      <w:r>
        <w:t xml:space="preserve"> </w:t>
      </w:r>
    </w:p>
    <w:p w14:paraId="70C25BC5" w14:textId="2BCFF94F" w:rsidR="00E95B36" w:rsidRPr="001B10B0" w:rsidRDefault="00E95B36" w:rsidP="00FF0989">
      <w:pPr>
        <w:pStyle w:val="Quote"/>
      </w:pPr>
      <w:r w:rsidRPr="001B10B0">
        <w:t>No one shall be subje</w:t>
      </w:r>
      <w:r w:rsidR="00051C1A" w:rsidRPr="001B10B0">
        <w:t>cted to discrimination based on genetic characteristics that is in</w:t>
      </w:r>
      <w:r w:rsidR="002E6012" w:rsidRPr="001B10B0">
        <w:t>tended to infringe or has the effect of infringing human rights, fundamental freedoms human dignity.</w:t>
      </w:r>
      <w:r w:rsidR="002E6012" w:rsidRPr="001B10B0">
        <w:rPr>
          <w:rStyle w:val="FootnoteReference"/>
          <w:szCs w:val="20"/>
        </w:rPr>
        <w:footnoteReference w:id="230"/>
      </w:r>
    </w:p>
    <w:p w14:paraId="4B1B2AE9" w14:textId="17F51962" w:rsidR="000C2F5D" w:rsidRDefault="001118CE" w:rsidP="001118CE">
      <w:r>
        <w:t xml:space="preserve">In our discussions with the Advisory Group, a concern was raised several times that historically, scientific research generally, and genetic study in particular has been used as a tool for racism. Genetic difference was viewed through the lens of racism and used as justification for racist policy, law and behaviour. This Article makes clear that this must not happen again. Genetic difference and diversity must be respected without use of racist stereotypes. </w:t>
      </w:r>
    </w:p>
    <w:p w14:paraId="53B02942" w14:textId="2EA4C6E5" w:rsidR="000C2F5D" w:rsidRPr="008E5C92" w:rsidRDefault="000C2F5D" w:rsidP="003B37A6">
      <w:pPr>
        <w:pStyle w:val="Heading3"/>
        <w:rPr>
          <w:lang w:val="en-AU"/>
        </w:rPr>
      </w:pPr>
      <w:bookmarkStart w:id="188" w:name="_Toc118824402"/>
      <w:r w:rsidRPr="008E5C92">
        <w:rPr>
          <w:lang w:val="en-AU"/>
        </w:rPr>
        <w:t>International Declaration on Human Genetic Data</w:t>
      </w:r>
      <w:bookmarkEnd w:id="188"/>
    </w:p>
    <w:p w14:paraId="7B4B37A3" w14:textId="5914AB97" w:rsidR="000C2F5D" w:rsidRDefault="006B2EA8" w:rsidP="001118CE">
      <w:r>
        <w:t xml:space="preserve">The International Declaration on Human Genetic Data was adopted by UNESCO in 2003 and </w:t>
      </w:r>
      <w:r w:rsidR="00352EFE">
        <w:t>written</w:t>
      </w:r>
      <w:r>
        <w:t xml:space="preserve"> in response to the increasing number of genetic databanks. </w:t>
      </w:r>
      <w:r w:rsidR="00C526D7">
        <w:t xml:space="preserve">It does not make specific </w:t>
      </w:r>
      <w:r w:rsidR="00654B2B">
        <w:t>reference to Indigenous peoples but</w:t>
      </w:r>
      <w:r w:rsidR="001A0EEF">
        <w:t xml:space="preserve"> there are some key provisions </w:t>
      </w:r>
      <w:r w:rsidR="008B31F7">
        <w:t xml:space="preserve">that </w:t>
      </w:r>
      <w:r w:rsidR="00790297">
        <w:t xml:space="preserve">certainly apply to </w:t>
      </w:r>
      <w:r w:rsidR="00DD5697">
        <w:t xml:space="preserve">respectful, culturally </w:t>
      </w:r>
      <w:r w:rsidR="00BE2D74">
        <w:t>appropriate</w:t>
      </w:r>
      <w:r w:rsidR="00DD5697">
        <w:t xml:space="preserve"> collection of Aboriginal and Torres Strait Islander </w:t>
      </w:r>
      <w:r w:rsidR="00BE2D74">
        <w:t xml:space="preserve">genomic data. </w:t>
      </w:r>
    </w:p>
    <w:p w14:paraId="052FA15D" w14:textId="384AA00A" w:rsidR="00BE2D74" w:rsidRDefault="004604DF" w:rsidP="001118CE">
      <w:r>
        <w:t xml:space="preserve">Key provisions include: </w:t>
      </w:r>
    </w:p>
    <w:p w14:paraId="70D85A02" w14:textId="00B54868" w:rsidR="001C3CA0" w:rsidRDefault="00D25464" w:rsidP="001B3344">
      <w:pPr>
        <w:pStyle w:val="ListBullet"/>
      </w:pPr>
      <w:r>
        <w:t>g</w:t>
      </w:r>
      <w:r w:rsidR="0000398B">
        <w:t xml:space="preserve">enetic data should only be collected for purposes consistent with the </w:t>
      </w:r>
      <w:r w:rsidR="002F3A73">
        <w:t>Universal</w:t>
      </w:r>
      <w:r w:rsidR="0000398B">
        <w:t xml:space="preserve"> Declaration on the Human Genome and Human R</w:t>
      </w:r>
      <w:r w:rsidR="002F3A73">
        <w:t>i</w:t>
      </w:r>
      <w:r w:rsidR="0000398B">
        <w:t>ghts</w:t>
      </w:r>
      <w:r w:rsidR="002F3A73">
        <w:t>, and the international law of human rights, including UNDRIP</w:t>
      </w:r>
      <w:r>
        <w:t>;</w:t>
      </w:r>
      <w:r w:rsidR="001C3CA0">
        <w:rPr>
          <w:rStyle w:val="FootnoteReference"/>
        </w:rPr>
        <w:footnoteReference w:id="231"/>
      </w:r>
    </w:p>
    <w:p w14:paraId="0B302E5A" w14:textId="421E54C1" w:rsidR="00C01DD6" w:rsidRDefault="00D25464" w:rsidP="001B3344">
      <w:pPr>
        <w:pStyle w:val="ListBullet"/>
      </w:pPr>
      <w:r>
        <w:t>g</w:t>
      </w:r>
      <w:r w:rsidR="00C01DD6">
        <w:t xml:space="preserve">enetic data should be collected, processed, used and stored </w:t>
      </w:r>
      <w:r w:rsidR="00583C66">
        <w:t>i</w:t>
      </w:r>
      <w:r w:rsidR="008C1635">
        <w:t>n a transparent and ethically appropriate manner</w:t>
      </w:r>
      <w:r>
        <w:t>;</w:t>
      </w:r>
      <w:r w:rsidR="008C1635">
        <w:rPr>
          <w:rStyle w:val="FootnoteReference"/>
        </w:rPr>
        <w:footnoteReference w:id="232"/>
      </w:r>
    </w:p>
    <w:p w14:paraId="161B27C6" w14:textId="284FF1B8" w:rsidR="00C73ECE" w:rsidRDefault="00D25464" w:rsidP="001B3344">
      <w:pPr>
        <w:pStyle w:val="ListBullet"/>
      </w:pPr>
      <w:r>
        <w:lastRenderedPageBreak/>
        <w:t>i</w:t>
      </w:r>
      <w:r w:rsidR="008C702E">
        <w:t xml:space="preserve">nformed disclosure includes </w:t>
      </w:r>
      <w:r w:rsidR="00F30427">
        <w:t>disclosure of any potential risks and consequences</w:t>
      </w:r>
      <w:r w:rsidR="00D6139B">
        <w:t xml:space="preserve">, and the </w:t>
      </w:r>
      <w:r w:rsidR="00B91A9E">
        <w:t>participant</w:t>
      </w:r>
      <w:r w:rsidR="00D6139B">
        <w:t xml:space="preserve"> should be informed that they are free to withdraw consent without disadvantage</w:t>
      </w:r>
      <w:r>
        <w:t>;</w:t>
      </w:r>
      <w:r w:rsidR="00D6139B">
        <w:rPr>
          <w:rStyle w:val="FootnoteReference"/>
        </w:rPr>
        <w:footnoteReference w:id="233"/>
      </w:r>
    </w:p>
    <w:p w14:paraId="5300E717" w14:textId="1DF8D532" w:rsidR="00960044" w:rsidRDefault="00D25464" w:rsidP="001B3344">
      <w:pPr>
        <w:pStyle w:val="ListBullet"/>
      </w:pPr>
      <w:r>
        <w:t>h</w:t>
      </w:r>
      <w:r w:rsidR="00960044">
        <w:t xml:space="preserve">uman genetic data should not be used </w:t>
      </w:r>
      <w:r w:rsidR="00354BF3">
        <w:t xml:space="preserve">to discriminate or infringe human rights </w:t>
      </w:r>
      <w:r w:rsidR="00575AB1">
        <w:t>or human dignity</w:t>
      </w:r>
      <w:r>
        <w:t>;</w:t>
      </w:r>
      <w:r w:rsidR="00575AB1">
        <w:rPr>
          <w:rStyle w:val="FootnoteReference"/>
        </w:rPr>
        <w:footnoteReference w:id="234"/>
      </w:r>
    </w:p>
    <w:p w14:paraId="28FF2C98" w14:textId="1B445987" w:rsidR="00C84FCB" w:rsidRDefault="00D25464" w:rsidP="001B3344">
      <w:pPr>
        <w:pStyle w:val="ListBullet"/>
      </w:pPr>
      <w:r>
        <w:t>p</w:t>
      </w:r>
      <w:r w:rsidR="00C84FCB">
        <w:t xml:space="preserve">rior, free, informed consent should not be obtained through financial </w:t>
      </w:r>
      <w:r w:rsidR="001B605D">
        <w:t>inducement</w:t>
      </w:r>
      <w:r w:rsidR="00C84FCB">
        <w:t xml:space="preserve"> or personal </w:t>
      </w:r>
      <w:r w:rsidR="007F4C8A">
        <w:t>gain</w:t>
      </w:r>
      <w:r w:rsidR="008B603E">
        <w:t>,</w:t>
      </w:r>
      <w:r w:rsidR="007F4C8A">
        <w:t xml:space="preserve"> </w:t>
      </w:r>
      <w:r w:rsidR="00C84FCB">
        <w:t xml:space="preserve">except as strictly allowed for through domestic legislation. In other words, </w:t>
      </w:r>
      <w:r w:rsidR="00E37EF3">
        <w:t xml:space="preserve">financial pressure or exploitation </w:t>
      </w:r>
      <w:r w:rsidR="001B605D">
        <w:t>negates free, prior, informed consent</w:t>
      </w:r>
      <w:r>
        <w:t>;</w:t>
      </w:r>
      <w:r w:rsidR="001B605D">
        <w:rPr>
          <w:rStyle w:val="FootnoteReference"/>
        </w:rPr>
        <w:footnoteReference w:id="235"/>
      </w:r>
    </w:p>
    <w:p w14:paraId="4527A878" w14:textId="1E799A9D" w:rsidR="00266398" w:rsidRDefault="00D25464" w:rsidP="001B3344">
      <w:pPr>
        <w:pStyle w:val="ListBullet"/>
      </w:pPr>
      <w:r>
        <w:t>g</w:t>
      </w:r>
      <w:r w:rsidR="00460D7F">
        <w:t>enetic counselling should be available when appropriate, and should be culturally adapted and consistent with the best interests of the person</w:t>
      </w:r>
      <w:r>
        <w:t>;</w:t>
      </w:r>
      <w:r w:rsidR="00460D7F">
        <w:rPr>
          <w:rStyle w:val="FootnoteReference"/>
        </w:rPr>
        <w:footnoteReference w:id="236"/>
      </w:r>
    </w:p>
    <w:p w14:paraId="442D54EB" w14:textId="3A2D2C5D" w:rsidR="00460D7F" w:rsidRDefault="00D25464" w:rsidP="001B3344">
      <w:pPr>
        <w:pStyle w:val="ListBullet"/>
      </w:pPr>
      <w:r>
        <w:t>n</w:t>
      </w:r>
      <w:r w:rsidR="00502204">
        <w:t>o on</w:t>
      </w:r>
      <w:r w:rsidR="00DB4B3E">
        <w:t>e</w:t>
      </w:r>
      <w:r w:rsidR="00502204">
        <w:t xml:space="preserve"> should be denied access to their own genetic </w:t>
      </w:r>
      <w:r w:rsidR="00D86793">
        <w:t>d</w:t>
      </w:r>
      <w:r w:rsidR="00502204">
        <w:t>ata</w:t>
      </w:r>
      <w:r>
        <w:t>;</w:t>
      </w:r>
      <w:r w:rsidR="00D86793">
        <w:rPr>
          <w:rStyle w:val="FootnoteReference"/>
        </w:rPr>
        <w:footnoteReference w:id="237"/>
      </w:r>
    </w:p>
    <w:p w14:paraId="6DB28105" w14:textId="455962F3" w:rsidR="00D86793" w:rsidRDefault="00D25464" w:rsidP="001B3344">
      <w:pPr>
        <w:pStyle w:val="ListBullet"/>
      </w:pPr>
      <w:r>
        <w:t>e</w:t>
      </w:r>
      <w:r w:rsidR="00D91687">
        <w:t xml:space="preserve">xcept in </w:t>
      </w:r>
      <w:r w:rsidR="00F83DE9">
        <w:t>limited circumstances,</w:t>
      </w:r>
      <w:r w:rsidR="00431FAB">
        <w:t xml:space="preserve"> </w:t>
      </w:r>
      <w:r w:rsidR="003F428F">
        <w:t xml:space="preserve">data should not be used for a purpose outside the </w:t>
      </w:r>
      <w:r w:rsidR="00E045BA">
        <w:t xml:space="preserve">original consent, without further </w:t>
      </w:r>
      <w:r w:rsidR="004510EB">
        <w:t>consent</w:t>
      </w:r>
      <w:r>
        <w:t>;</w:t>
      </w:r>
      <w:r w:rsidR="00F83DE9">
        <w:rPr>
          <w:rStyle w:val="FootnoteReference"/>
        </w:rPr>
        <w:footnoteReference w:id="238"/>
      </w:r>
      <w:r w:rsidR="00E045BA">
        <w:t xml:space="preserve"> </w:t>
      </w:r>
      <w:r>
        <w:t>and</w:t>
      </w:r>
    </w:p>
    <w:p w14:paraId="179FAF8C" w14:textId="1135D1D5" w:rsidR="00CC46E1" w:rsidRDefault="00D25464" w:rsidP="001B3344">
      <w:pPr>
        <w:pStyle w:val="ListBullet"/>
      </w:pPr>
      <w:r>
        <w:t>b</w:t>
      </w:r>
      <w:r w:rsidR="00F631DD">
        <w:t>enefit sharing should include special assistance to the persons or groups that have taken part in the research</w:t>
      </w:r>
      <w:r>
        <w:t>.</w:t>
      </w:r>
      <w:r w:rsidR="00F631DD">
        <w:rPr>
          <w:rStyle w:val="FootnoteReference"/>
        </w:rPr>
        <w:footnoteReference w:id="239"/>
      </w:r>
    </w:p>
    <w:p w14:paraId="751E89D4" w14:textId="6153F83C" w:rsidR="001B605D" w:rsidRPr="008E5C92" w:rsidRDefault="001855AB" w:rsidP="00682F1C">
      <w:pPr>
        <w:pStyle w:val="Heading3"/>
        <w:rPr>
          <w:lang w:val="en-AU"/>
        </w:rPr>
      </w:pPr>
      <w:bookmarkStart w:id="189" w:name="_Toc118824403"/>
      <w:r w:rsidRPr="008E5C92">
        <w:rPr>
          <w:lang w:val="en-AU"/>
        </w:rPr>
        <w:t>Universal Declaration on Bioethics and Human Rights</w:t>
      </w:r>
      <w:bookmarkEnd w:id="189"/>
      <w:r w:rsidRPr="008E5C92">
        <w:rPr>
          <w:lang w:val="en-AU"/>
        </w:rPr>
        <w:t xml:space="preserve"> </w:t>
      </w:r>
    </w:p>
    <w:p w14:paraId="65563848" w14:textId="01C88772" w:rsidR="00C7104D" w:rsidRPr="009548C2" w:rsidRDefault="00682F1C" w:rsidP="00AC73DF">
      <w:pPr>
        <w:rPr>
          <w:rStyle w:val="Hyperlink"/>
          <w:color w:val="auto"/>
          <w:szCs w:val="24"/>
          <w:u w:val="none"/>
        </w:rPr>
      </w:pPr>
      <w:r w:rsidRPr="009548C2">
        <w:rPr>
          <w:rStyle w:val="Hyperlink"/>
          <w:color w:val="auto"/>
          <w:szCs w:val="24"/>
          <w:u w:val="none"/>
        </w:rPr>
        <w:t xml:space="preserve">The Universal Declaration on Bioethics and Human Rights </w:t>
      </w:r>
      <w:r w:rsidR="00EF08C5" w:rsidRPr="009548C2">
        <w:rPr>
          <w:rStyle w:val="Hyperlink"/>
          <w:color w:val="auto"/>
          <w:szCs w:val="24"/>
          <w:u w:val="none"/>
        </w:rPr>
        <w:t xml:space="preserve">was adopted by UNESCO in 2005. </w:t>
      </w:r>
      <w:r w:rsidR="00B3459E" w:rsidRPr="009548C2">
        <w:rPr>
          <w:rStyle w:val="Hyperlink"/>
          <w:color w:val="auto"/>
          <w:szCs w:val="24"/>
          <w:u w:val="none"/>
        </w:rPr>
        <w:t>It includes specific reference to the uni</w:t>
      </w:r>
      <w:r w:rsidR="00FD34B4" w:rsidRPr="009548C2">
        <w:rPr>
          <w:rStyle w:val="Hyperlink"/>
          <w:color w:val="auto"/>
          <w:szCs w:val="24"/>
          <w:u w:val="none"/>
        </w:rPr>
        <w:t xml:space="preserve">que position of the world’s Indigenous peoples. </w:t>
      </w:r>
      <w:r w:rsidR="00422B3B" w:rsidRPr="009548C2">
        <w:rPr>
          <w:rStyle w:val="Hyperlink"/>
          <w:color w:val="auto"/>
          <w:szCs w:val="24"/>
          <w:u w:val="none"/>
        </w:rPr>
        <w:t xml:space="preserve">Specially, it recognises that </w:t>
      </w:r>
      <w:r w:rsidR="00297C5E" w:rsidRPr="009548C2">
        <w:rPr>
          <w:rStyle w:val="Hyperlink"/>
          <w:color w:val="auto"/>
          <w:szCs w:val="24"/>
          <w:u w:val="none"/>
        </w:rPr>
        <w:t>“</w:t>
      </w:r>
      <w:r w:rsidR="00422B3B" w:rsidRPr="009548C2">
        <w:rPr>
          <w:rStyle w:val="Hyperlink"/>
          <w:color w:val="auto"/>
          <w:szCs w:val="24"/>
          <w:u w:val="none"/>
        </w:rPr>
        <w:t xml:space="preserve">unethical scientific </w:t>
      </w:r>
      <w:r w:rsidR="0054462E" w:rsidRPr="009548C2">
        <w:rPr>
          <w:rStyle w:val="Hyperlink"/>
          <w:color w:val="auto"/>
          <w:szCs w:val="24"/>
          <w:u w:val="none"/>
        </w:rPr>
        <w:t>and technological conduct has had a particular impact on indigenous and local communities</w:t>
      </w:r>
      <w:r w:rsidR="00297C5E" w:rsidRPr="009548C2">
        <w:rPr>
          <w:rStyle w:val="Hyperlink"/>
          <w:color w:val="auto"/>
          <w:szCs w:val="24"/>
          <w:u w:val="none"/>
        </w:rPr>
        <w:t>.</w:t>
      </w:r>
      <w:r w:rsidR="0054462E" w:rsidRPr="009548C2">
        <w:rPr>
          <w:rStyle w:val="Hyperlink"/>
          <w:color w:val="auto"/>
          <w:szCs w:val="24"/>
          <w:u w:val="none"/>
        </w:rPr>
        <w:t>”</w:t>
      </w:r>
      <w:r w:rsidR="00297C5E" w:rsidRPr="009548C2">
        <w:rPr>
          <w:rStyle w:val="FootnoteReference"/>
          <w:szCs w:val="24"/>
        </w:rPr>
        <w:footnoteReference w:id="240"/>
      </w:r>
      <w:r w:rsidR="00297C5E" w:rsidRPr="009548C2">
        <w:rPr>
          <w:rStyle w:val="Hyperlink"/>
          <w:color w:val="auto"/>
          <w:szCs w:val="24"/>
          <w:u w:val="none"/>
        </w:rPr>
        <w:t xml:space="preserve"> </w:t>
      </w:r>
    </w:p>
    <w:p w14:paraId="7B448A66" w14:textId="5E7096AB" w:rsidR="00201886" w:rsidRPr="00DA4D57" w:rsidRDefault="004C64F4" w:rsidP="00AC73DF">
      <w:pPr>
        <w:rPr>
          <w:szCs w:val="24"/>
        </w:rPr>
      </w:pPr>
      <w:r w:rsidRPr="009548C2">
        <w:rPr>
          <w:rStyle w:val="Hyperlink"/>
          <w:color w:val="auto"/>
          <w:szCs w:val="24"/>
          <w:u w:val="none"/>
        </w:rPr>
        <w:t xml:space="preserve">Interestingly, it also stresses the need to reinforce international cooperation, </w:t>
      </w:r>
      <w:r w:rsidR="00CF01EF" w:rsidRPr="009548C2">
        <w:rPr>
          <w:rStyle w:val="Hyperlink"/>
          <w:color w:val="auto"/>
          <w:szCs w:val="24"/>
          <w:u w:val="none"/>
        </w:rPr>
        <w:t>while also taking into account the special needs of Indigenous communities.</w:t>
      </w:r>
      <w:r w:rsidR="00CF01EF" w:rsidRPr="009548C2">
        <w:rPr>
          <w:rStyle w:val="FootnoteReference"/>
          <w:szCs w:val="24"/>
        </w:rPr>
        <w:footnoteReference w:id="241"/>
      </w:r>
      <w:r w:rsidR="00CF01EF" w:rsidRPr="009548C2">
        <w:rPr>
          <w:rStyle w:val="Hyperlink"/>
          <w:color w:val="auto"/>
          <w:szCs w:val="24"/>
          <w:u w:val="none"/>
        </w:rPr>
        <w:t xml:space="preserve"> This </w:t>
      </w:r>
      <w:r w:rsidR="00B1588E" w:rsidRPr="009548C2">
        <w:rPr>
          <w:rStyle w:val="Hyperlink"/>
          <w:color w:val="auto"/>
          <w:szCs w:val="24"/>
          <w:u w:val="none"/>
        </w:rPr>
        <w:t xml:space="preserve">could be referring to the </w:t>
      </w:r>
      <w:r w:rsidR="00D06818" w:rsidRPr="009548C2">
        <w:rPr>
          <w:rStyle w:val="Hyperlink"/>
          <w:color w:val="auto"/>
          <w:szCs w:val="24"/>
          <w:u w:val="none"/>
        </w:rPr>
        <w:t xml:space="preserve">dual goals of </w:t>
      </w:r>
      <w:r w:rsidR="00744B56" w:rsidRPr="009548C2">
        <w:rPr>
          <w:rStyle w:val="Hyperlink"/>
          <w:color w:val="auto"/>
          <w:szCs w:val="24"/>
          <w:u w:val="none"/>
        </w:rPr>
        <w:t xml:space="preserve">free, and </w:t>
      </w:r>
      <w:r w:rsidR="00DC3C8C" w:rsidRPr="009548C2">
        <w:rPr>
          <w:rStyle w:val="Hyperlink"/>
          <w:color w:val="auto"/>
          <w:szCs w:val="24"/>
          <w:u w:val="none"/>
        </w:rPr>
        <w:t xml:space="preserve">easily </w:t>
      </w:r>
      <w:r w:rsidR="00744B56" w:rsidRPr="009548C2">
        <w:rPr>
          <w:rStyle w:val="Hyperlink"/>
          <w:color w:val="auto"/>
          <w:szCs w:val="24"/>
          <w:u w:val="none"/>
        </w:rPr>
        <w:t xml:space="preserve">accessible data, while also maintaining </w:t>
      </w:r>
      <w:r w:rsidR="00216A29" w:rsidRPr="009548C2">
        <w:rPr>
          <w:rStyle w:val="Hyperlink"/>
          <w:color w:val="auto"/>
          <w:szCs w:val="24"/>
          <w:u w:val="none"/>
        </w:rPr>
        <w:t xml:space="preserve">Indigenous data sovereignty frameworks that </w:t>
      </w:r>
      <w:r w:rsidR="008521EA" w:rsidRPr="009548C2">
        <w:rPr>
          <w:rStyle w:val="Hyperlink"/>
          <w:color w:val="auto"/>
          <w:szCs w:val="24"/>
          <w:u w:val="none"/>
        </w:rPr>
        <w:t>empower</w:t>
      </w:r>
      <w:r w:rsidR="001345D8" w:rsidRPr="009548C2">
        <w:rPr>
          <w:rStyle w:val="Hyperlink"/>
          <w:color w:val="auto"/>
          <w:szCs w:val="24"/>
          <w:u w:val="none"/>
        </w:rPr>
        <w:t xml:space="preserve"> Indigenous communities in the management of their data. </w:t>
      </w:r>
    </w:p>
    <w:p w14:paraId="772BCBA7" w14:textId="45569BC3" w:rsidR="00557C42" w:rsidRPr="008E5C92" w:rsidRDefault="00123195" w:rsidP="00AC73DF">
      <w:pPr>
        <w:pStyle w:val="Heading2"/>
        <w:rPr>
          <w:lang w:val="en-AU"/>
        </w:rPr>
      </w:pPr>
      <w:bookmarkStart w:id="190" w:name="_Toc118824404"/>
      <w:r w:rsidRPr="008E5C92">
        <w:rPr>
          <w:lang w:val="en-AU"/>
        </w:rPr>
        <w:t xml:space="preserve">What </w:t>
      </w:r>
      <w:r w:rsidR="003F39EB" w:rsidRPr="008E5C92">
        <w:rPr>
          <w:lang w:val="en-AU"/>
        </w:rPr>
        <w:t>case law in other jurisdictions?</w:t>
      </w:r>
      <w:bookmarkEnd w:id="190"/>
      <w:r w:rsidR="003F39EB" w:rsidRPr="008E5C92">
        <w:rPr>
          <w:lang w:val="en-AU"/>
        </w:rPr>
        <w:t xml:space="preserve"> </w:t>
      </w:r>
    </w:p>
    <w:p w14:paraId="01385509" w14:textId="6D754C3C" w:rsidR="00557C42" w:rsidRPr="009548C2" w:rsidRDefault="00373C78" w:rsidP="0064324E">
      <w:pPr>
        <w:rPr>
          <w:szCs w:val="24"/>
        </w:rPr>
      </w:pPr>
      <w:bookmarkStart w:id="191" w:name="_Toc36194526"/>
      <w:r w:rsidRPr="009548C2">
        <w:rPr>
          <w:szCs w:val="24"/>
        </w:rPr>
        <w:t xml:space="preserve">The case law of other jurisdictions outside Australia </w:t>
      </w:r>
      <w:r w:rsidR="0018517B" w:rsidRPr="009548C2">
        <w:rPr>
          <w:szCs w:val="24"/>
        </w:rPr>
        <w:t>provide</w:t>
      </w:r>
      <w:r w:rsidR="002861A9">
        <w:rPr>
          <w:szCs w:val="24"/>
        </w:rPr>
        <w:t>s</w:t>
      </w:r>
      <w:r w:rsidR="0018517B" w:rsidRPr="009548C2">
        <w:rPr>
          <w:szCs w:val="24"/>
        </w:rPr>
        <w:t xml:space="preserve"> further context</w:t>
      </w:r>
      <w:r w:rsidR="00253D11" w:rsidRPr="009548C2">
        <w:rPr>
          <w:szCs w:val="24"/>
        </w:rPr>
        <w:t xml:space="preserve"> for </w:t>
      </w:r>
      <w:r w:rsidR="005D03AD" w:rsidRPr="009548C2">
        <w:rPr>
          <w:szCs w:val="24"/>
        </w:rPr>
        <w:t xml:space="preserve">the </w:t>
      </w:r>
      <w:r w:rsidR="00253D11" w:rsidRPr="009548C2">
        <w:rPr>
          <w:szCs w:val="24"/>
        </w:rPr>
        <w:t xml:space="preserve">ethical </w:t>
      </w:r>
      <w:r w:rsidR="00317604" w:rsidRPr="009548C2">
        <w:rPr>
          <w:szCs w:val="24"/>
        </w:rPr>
        <w:t xml:space="preserve">and cultural </w:t>
      </w:r>
      <w:r w:rsidR="00253D11" w:rsidRPr="009548C2">
        <w:rPr>
          <w:szCs w:val="24"/>
        </w:rPr>
        <w:t xml:space="preserve">issues </w:t>
      </w:r>
      <w:r w:rsidR="005D03AD" w:rsidRPr="009548C2">
        <w:rPr>
          <w:szCs w:val="24"/>
        </w:rPr>
        <w:t>of the world’s Indigenous people</w:t>
      </w:r>
      <w:r w:rsidR="00253D11" w:rsidRPr="009548C2">
        <w:rPr>
          <w:szCs w:val="24"/>
        </w:rPr>
        <w:t xml:space="preserve"> </w:t>
      </w:r>
      <w:r w:rsidR="005D03AD" w:rsidRPr="009548C2">
        <w:rPr>
          <w:szCs w:val="24"/>
        </w:rPr>
        <w:t xml:space="preserve">that have been impacted by the operation of law. </w:t>
      </w:r>
      <w:bookmarkEnd w:id="191"/>
    </w:p>
    <w:p w14:paraId="6922D817" w14:textId="77777777" w:rsidR="00557C42" w:rsidRPr="009548C2" w:rsidRDefault="00557C42" w:rsidP="00AC73DF">
      <w:pPr>
        <w:rPr>
          <w:szCs w:val="24"/>
        </w:rPr>
      </w:pPr>
      <w:r w:rsidRPr="009548C2">
        <w:rPr>
          <w:szCs w:val="24"/>
        </w:rPr>
        <w:lastRenderedPageBreak/>
        <w:t>There are a number of international cases that have canvassed general issues relating to gene research and there are also cases which deal with Indigenous gene research that has gone wrong.</w:t>
      </w:r>
    </w:p>
    <w:p w14:paraId="5E975A05" w14:textId="64E22426" w:rsidR="00557C42" w:rsidRPr="009548C2" w:rsidRDefault="00557C42" w:rsidP="00AC73DF">
      <w:pPr>
        <w:rPr>
          <w:szCs w:val="24"/>
        </w:rPr>
      </w:pPr>
      <w:r w:rsidRPr="009548C2">
        <w:rPr>
          <w:szCs w:val="24"/>
        </w:rPr>
        <w:t>There are a number of cases that involved human genes. The cases deal with the key issues of whether human genes should be the subject of patents. The discussion focusses on what is a product of nature (that is</w:t>
      </w:r>
      <w:r w:rsidR="00A005FB">
        <w:rPr>
          <w:szCs w:val="24"/>
        </w:rPr>
        <w:t>,</w:t>
      </w:r>
      <w:r w:rsidRPr="009548C2">
        <w:rPr>
          <w:szCs w:val="24"/>
        </w:rPr>
        <w:t xml:space="preserve"> what is occurring naturally) and what is inventive. There is also some discussion of how public policy should be considered </w:t>
      </w:r>
      <w:r w:rsidR="00F95232">
        <w:rPr>
          <w:szCs w:val="24"/>
        </w:rPr>
        <w:t>(</w:t>
      </w:r>
      <w:r w:rsidRPr="009548C2">
        <w:rPr>
          <w:szCs w:val="24"/>
        </w:rPr>
        <w:t>if at all</w:t>
      </w:r>
      <w:r w:rsidR="00E73B72">
        <w:rPr>
          <w:szCs w:val="24"/>
        </w:rPr>
        <w:t>)</w:t>
      </w:r>
      <w:r w:rsidRPr="009548C2">
        <w:rPr>
          <w:szCs w:val="24"/>
        </w:rPr>
        <w:t xml:space="preserve"> in patent applications.</w:t>
      </w:r>
    </w:p>
    <w:p w14:paraId="6F654822" w14:textId="77777777" w:rsidR="00557C42" w:rsidRPr="008E5C92" w:rsidRDefault="00557C42" w:rsidP="00463834">
      <w:pPr>
        <w:pStyle w:val="Heading3"/>
        <w:rPr>
          <w:lang w:val="en-AU"/>
        </w:rPr>
      </w:pPr>
      <w:bookmarkStart w:id="192" w:name="_Toc36194527"/>
      <w:bookmarkStart w:id="193" w:name="_Ref44617433"/>
      <w:bookmarkStart w:id="194" w:name="_Ref44617436"/>
      <w:bookmarkStart w:id="195" w:name="_Ref44617448"/>
      <w:bookmarkStart w:id="196" w:name="_Toc118824405"/>
      <w:r w:rsidRPr="008E5C92">
        <w:rPr>
          <w:lang w:val="en-AU"/>
        </w:rPr>
        <w:t>Moore v Regents of the University of California (1990)</w:t>
      </w:r>
      <w:bookmarkEnd w:id="192"/>
      <w:bookmarkEnd w:id="193"/>
      <w:bookmarkEnd w:id="194"/>
      <w:bookmarkEnd w:id="195"/>
      <w:bookmarkEnd w:id="196"/>
    </w:p>
    <w:p w14:paraId="5DD8754E" w14:textId="08456BB5" w:rsidR="003428CC" w:rsidRDefault="00557C42" w:rsidP="00AC73DF">
      <w:pPr>
        <w:rPr>
          <w:szCs w:val="24"/>
        </w:rPr>
      </w:pPr>
      <w:r w:rsidRPr="009548C2">
        <w:rPr>
          <w:szCs w:val="24"/>
        </w:rPr>
        <w:t>This case discussed ownership over human tissue. John Moore took action against his doctor and other</w:t>
      </w:r>
      <w:r w:rsidR="00E0290E" w:rsidRPr="009548C2">
        <w:rPr>
          <w:szCs w:val="24"/>
        </w:rPr>
        <w:t>s</w:t>
      </w:r>
      <w:r w:rsidRPr="009548C2">
        <w:rPr>
          <w:szCs w:val="24"/>
        </w:rPr>
        <w:t xml:space="preserve"> for using his cells </w:t>
      </w:r>
      <w:r w:rsidR="00FF0C80">
        <w:rPr>
          <w:szCs w:val="24"/>
        </w:rPr>
        <w:t>from a spleen operation</w:t>
      </w:r>
      <w:r w:rsidRPr="009548C2">
        <w:rPr>
          <w:szCs w:val="24"/>
        </w:rPr>
        <w:t xml:space="preserve"> in potentially commercially valuable research without his permission. Moore alleged that he was not given information about the economic interests before he gave consent for the cells being extracted</w:t>
      </w:r>
      <w:r w:rsidR="00A26053">
        <w:rPr>
          <w:szCs w:val="24"/>
        </w:rPr>
        <w:t>.</w:t>
      </w:r>
      <w:r w:rsidR="001044BE">
        <w:rPr>
          <w:szCs w:val="24"/>
        </w:rPr>
        <w:t xml:space="preserve"> </w:t>
      </w:r>
      <w:r w:rsidR="005C72F9">
        <w:rPr>
          <w:szCs w:val="24"/>
        </w:rPr>
        <w:t>T</w:t>
      </w:r>
      <w:r w:rsidR="00B54055">
        <w:rPr>
          <w:szCs w:val="24"/>
        </w:rPr>
        <w:t>his resulted in unauthorised use constituting conversion.</w:t>
      </w:r>
      <w:r w:rsidR="00B54055">
        <w:rPr>
          <w:rStyle w:val="FootnoteReference"/>
          <w:szCs w:val="24"/>
        </w:rPr>
        <w:footnoteReference w:id="242"/>
      </w:r>
    </w:p>
    <w:p w14:paraId="3B3A0497" w14:textId="0B9C40FD" w:rsidR="009C351E" w:rsidRDefault="003428CC" w:rsidP="00AC73DF">
      <w:pPr>
        <w:rPr>
          <w:szCs w:val="24"/>
        </w:rPr>
      </w:pPr>
      <w:r>
        <w:rPr>
          <w:szCs w:val="24"/>
        </w:rPr>
        <w:t>The result in this case</w:t>
      </w:r>
      <w:r w:rsidR="00771E4F">
        <w:rPr>
          <w:szCs w:val="24"/>
        </w:rPr>
        <w:t xml:space="preserve">, as </w:t>
      </w:r>
      <w:r w:rsidR="00380F0C">
        <w:rPr>
          <w:szCs w:val="24"/>
        </w:rPr>
        <w:t>described</w:t>
      </w:r>
      <w:r w:rsidR="00771E4F">
        <w:rPr>
          <w:szCs w:val="24"/>
        </w:rPr>
        <w:t xml:space="preserve"> by </w:t>
      </w:r>
      <w:r w:rsidR="00694B2F">
        <w:rPr>
          <w:szCs w:val="24"/>
        </w:rPr>
        <w:t>Mortimer</w:t>
      </w:r>
      <w:r w:rsidR="00771E4F">
        <w:rPr>
          <w:szCs w:val="24"/>
        </w:rPr>
        <w:t>,</w:t>
      </w:r>
      <w:r>
        <w:rPr>
          <w:szCs w:val="24"/>
        </w:rPr>
        <w:t xml:space="preserve"> was </w:t>
      </w:r>
      <w:r w:rsidR="00771E4F">
        <w:rPr>
          <w:szCs w:val="24"/>
        </w:rPr>
        <w:t xml:space="preserve">based on a narrow reading of precedent, in that </w:t>
      </w:r>
      <w:r w:rsidR="00A24EB5">
        <w:rPr>
          <w:szCs w:val="24"/>
        </w:rPr>
        <w:t>there</w:t>
      </w:r>
      <w:r w:rsidR="00771E4F">
        <w:rPr>
          <w:szCs w:val="24"/>
        </w:rPr>
        <w:t xml:space="preserve"> was</w:t>
      </w:r>
      <w:r w:rsidR="00F80C01">
        <w:rPr>
          <w:szCs w:val="24"/>
        </w:rPr>
        <w:t xml:space="preserve"> no precedent</w:t>
      </w:r>
      <w:r>
        <w:rPr>
          <w:szCs w:val="24"/>
        </w:rPr>
        <w:t xml:space="preserve"> </w:t>
      </w:r>
      <w:r w:rsidR="00B1605B">
        <w:rPr>
          <w:szCs w:val="24"/>
        </w:rPr>
        <w:t xml:space="preserve">for </w:t>
      </w:r>
      <w:r w:rsidR="00A24EB5">
        <w:rPr>
          <w:szCs w:val="24"/>
        </w:rPr>
        <w:t>liability for</w:t>
      </w:r>
      <w:r w:rsidR="00544A3F">
        <w:rPr>
          <w:szCs w:val="24"/>
        </w:rPr>
        <w:t xml:space="preserve"> conversion </w:t>
      </w:r>
      <w:r w:rsidR="00A24EB5">
        <w:rPr>
          <w:szCs w:val="24"/>
        </w:rPr>
        <w:t>of</w:t>
      </w:r>
      <w:r w:rsidR="00544A3F">
        <w:rPr>
          <w:szCs w:val="24"/>
        </w:rPr>
        <w:t xml:space="preserve"> human tissue</w:t>
      </w:r>
      <w:r w:rsidR="00A26EBA">
        <w:rPr>
          <w:szCs w:val="24"/>
        </w:rPr>
        <w:t>.</w:t>
      </w:r>
      <w:r w:rsidR="00771E4F">
        <w:rPr>
          <w:szCs w:val="24"/>
        </w:rPr>
        <w:t xml:space="preserve"> </w:t>
      </w:r>
      <w:r w:rsidR="00A26EBA">
        <w:rPr>
          <w:szCs w:val="24"/>
        </w:rPr>
        <w:t>A</w:t>
      </w:r>
      <w:r w:rsidR="00771E4F">
        <w:rPr>
          <w:szCs w:val="24"/>
        </w:rPr>
        <w:t>s such the applicant could not establish any rights</w:t>
      </w:r>
      <w:r w:rsidR="00544A3F">
        <w:rPr>
          <w:szCs w:val="24"/>
        </w:rPr>
        <w:t>.</w:t>
      </w:r>
      <w:r w:rsidR="00544A3F">
        <w:rPr>
          <w:rStyle w:val="FootnoteReference"/>
          <w:szCs w:val="24"/>
        </w:rPr>
        <w:footnoteReference w:id="243"/>
      </w:r>
      <w:r w:rsidR="00B4185B">
        <w:rPr>
          <w:szCs w:val="24"/>
        </w:rPr>
        <w:t xml:space="preserve"> As </w:t>
      </w:r>
      <w:r w:rsidR="00380F0C">
        <w:rPr>
          <w:szCs w:val="24"/>
        </w:rPr>
        <w:t xml:space="preserve">Moore did not intend to keep </w:t>
      </w:r>
      <w:r w:rsidR="00DB4B3E">
        <w:rPr>
          <w:szCs w:val="24"/>
        </w:rPr>
        <w:t>h</w:t>
      </w:r>
      <w:r w:rsidR="00380F0C">
        <w:rPr>
          <w:szCs w:val="24"/>
        </w:rPr>
        <w:t>is s</w:t>
      </w:r>
      <w:r w:rsidR="00FF0C80">
        <w:rPr>
          <w:szCs w:val="24"/>
        </w:rPr>
        <w:t>pleen post</w:t>
      </w:r>
      <w:r w:rsidR="00106710">
        <w:rPr>
          <w:szCs w:val="24"/>
        </w:rPr>
        <w:t>-</w:t>
      </w:r>
      <w:r w:rsidR="00FF0C80">
        <w:rPr>
          <w:szCs w:val="24"/>
        </w:rPr>
        <w:t xml:space="preserve">surgery, he </w:t>
      </w:r>
      <w:r w:rsidR="00106710">
        <w:rPr>
          <w:szCs w:val="24"/>
        </w:rPr>
        <w:t>could</w:t>
      </w:r>
      <w:r w:rsidR="00FF0C80">
        <w:rPr>
          <w:szCs w:val="24"/>
        </w:rPr>
        <w:t xml:space="preserve"> not claim </w:t>
      </w:r>
      <w:r w:rsidR="00106710">
        <w:rPr>
          <w:szCs w:val="24"/>
        </w:rPr>
        <w:t>a proprietary interest.</w:t>
      </w:r>
      <w:r w:rsidR="00106710">
        <w:rPr>
          <w:rStyle w:val="FootnoteReference"/>
          <w:szCs w:val="24"/>
        </w:rPr>
        <w:footnoteReference w:id="244"/>
      </w:r>
      <w:r w:rsidR="000F4DCB">
        <w:rPr>
          <w:szCs w:val="24"/>
        </w:rPr>
        <w:t xml:space="preserve"> </w:t>
      </w:r>
    </w:p>
    <w:p w14:paraId="4EFD04C4" w14:textId="3F22F5BC" w:rsidR="003428CC" w:rsidRPr="009548C2" w:rsidRDefault="000F4DCB" w:rsidP="00AC73DF">
      <w:pPr>
        <w:rPr>
          <w:szCs w:val="24"/>
        </w:rPr>
      </w:pPr>
      <w:r>
        <w:rPr>
          <w:szCs w:val="24"/>
        </w:rPr>
        <w:t xml:space="preserve">This case resulted in the </w:t>
      </w:r>
      <w:r w:rsidR="00C876FB">
        <w:rPr>
          <w:szCs w:val="24"/>
        </w:rPr>
        <w:t xml:space="preserve">concept of property entering debates around the human body and body parts, </w:t>
      </w:r>
      <w:r w:rsidR="005126ED">
        <w:rPr>
          <w:szCs w:val="24"/>
        </w:rPr>
        <w:t xml:space="preserve">and allowing scientists in the United States to patent and claim </w:t>
      </w:r>
      <w:r w:rsidR="003B02C2">
        <w:rPr>
          <w:szCs w:val="24"/>
        </w:rPr>
        <w:t xml:space="preserve">genetic information </w:t>
      </w:r>
      <w:r w:rsidR="00635C34">
        <w:rPr>
          <w:szCs w:val="24"/>
        </w:rPr>
        <w:t xml:space="preserve">without the requirement of benefit sharing back with donors. Whilst this can be beneficial as </w:t>
      </w:r>
      <w:r w:rsidR="00751DDE">
        <w:rPr>
          <w:szCs w:val="24"/>
        </w:rPr>
        <w:t xml:space="preserve">some </w:t>
      </w:r>
      <w:r w:rsidR="00694B2F">
        <w:rPr>
          <w:szCs w:val="24"/>
        </w:rPr>
        <w:t>organisations may</w:t>
      </w:r>
      <w:r w:rsidR="00751DDE">
        <w:rPr>
          <w:szCs w:val="24"/>
        </w:rPr>
        <w:t xml:space="preserve"> receive large volumes of body parts and </w:t>
      </w:r>
      <w:r w:rsidR="00B62993">
        <w:rPr>
          <w:szCs w:val="24"/>
        </w:rPr>
        <w:t>it</w:t>
      </w:r>
      <w:r w:rsidR="00751DDE">
        <w:rPr>
          <w:szCs w:val="24"/>
        </w:rPr>
        <w:t xml:space="preserve"> is not always </w:t>
      </w:r>
      <w:r w:rsidR="00694B2F">
        <w:rPr>
          <w:szCs w:val="24"/>
        </w:rPr>
        <w:t>guaranteed</w:t>
      </w:r>
      <w:r w:rsidR="00751DDE">
        <w:rPr>
          <w:szCs w:val="24"/>
        </w:rPr>
        <w:t xml:space="preserve"> </w:t>
      </w:r>
      <w:r w:rsidR="00B62993">
        <w:rPr>
          <w:szCs w:val="24"/>
        </w:rPr>
        <w:t xml:space="preserve">that there will be anything of value found, and </w:t>
      </w:r>
      <w:r w:rsidR="009C351E">
        <w:rPr>
          <w:szCs w:val="24"/>
        </w:rPr>
        <w:t>organisations</w:t>
      </w:r>
      <w:r w:rsidR="00B62993">
        <w:rPr>
          <w:szCs w:val="24"/>
        </w:rPr>
        <w:t xml:space="preserve"> should claim intellectual property rights</w:t>
      </w:r>
      <w:r w:rsidR="00751DDE">
        <w:rPr>
          <w:szCs w:val="24"/>
        </w:rPr>
        <w:t xml:space="preserve"> over </w:t>
      </w:r>
      <w:r w:rsidR="00B62993">
        <w:rPr>
          <w:szCs w:val="24"/>
        </w:rPr>
        <w:t xml:space="preserve">the data as they have taken </w:t>
      </w:r>
      <w:r w:rsidR="00751DDE">
        <w:rPr>
          <w:szCs w:val="24"/>
        </w:rPr>
        <w:t xml:space="preserve">the </w:t>
      </w:r>
      <w:r w:rsidR="00B62993">
        <w:rPr>
          <w:szCs w:val="24"/>
        </w:rPr>
        <w:t>effort to find it. On</w:t>
      </w:r>
      <w:r w:rsidR="00751DDE">
        <w:rPr>
          <w:szCs w:val="24"/>
        </w:rPr>
        <w:t xml:space="preserve"> the </w:t>
      </w:r>
      <w:r w:rsidR="00B62993">
        <w:rPr>
          <w:szCs w:val="24"/>
        </w:rPr>
        <w:t xml:space="preserve">other hand, individuals ought to </w:t>
      </w:r>
      <w:r w:rsidR="005C0D1F">
        <w:rPr>
          <w:szCs w:val="24"/>
        </w:rPr>
        <w:t>retain an</w:t>
      </w:r>
      <w:r w:rsidR="00B62993">
        <w:rPr>
          <w:szCs w:val="24"/>
        </w:rPr>
        <w:t xml:space="preserve"> interest in</w:t>
      </w:r>
      <w:r w:rsidR="005126ED">
        <w:rPr>
          <w:szCs w:val="24"/>
        </w:rPr>
        <w:t xml:space="preserve"> </w:t>
      </w:r>
      <w:r w:rsidR="0010554F">
        <w:rPr>
          <w:szCs w:val="24"/>
        </w:rPr>
        <w:t xml:space="preserve">their </w:t>
      </w:r>
      <w:r w:rsidR="005C0D1F">
        <w:rPr>
          <w:szCs w:val="24"/>
        </w:rPr>
        <w:t>human tissue</w:t>
      </w:r>
      <w:r w:rsidR="0010554F">
        <w:rPr>
          <w:szCs w:val="24"/>
        </w:rPr>
        <w:t xml:space="preserve"> and the </w:t>
      </w:r>
      <w:r w:rsidR="005C0D1F">
        <w:rPr>
          <w:szCs w:val="24"/>
        </w:rPr>
        <w:t>information encoded as it inherently is their DNA.</w:t>
      </w:r>
    </w:p>
    <w:p w14:paraId="10A28AFF" w14:textId="77777777" w:rsidR="00557C42" w:rsidRPr="008E5C92" w:rsidRDefault="00557C42" w:rsidP="005B5C54">
      <w:pPr>
        <w:pStyle w:val="Heading3"/>
        <w:rPr>
          <w:lang w:val="en-AU"/>
        </w:rPr>
      </w:pPr>
      <w:bookmarkStart w:id="197" w:name="_Toc36194528"/>
      <w:bookmarkStart w:id="198" w:name="_Toc118824406"/>
      <w:r w:rsidRPr="008E5C92">
        <w:rPr>
          <w:lang w:val="en-AU"/>
        </w:rPr>
        <w:t>The OncoMouse case</w:t>
      </w:r>
      <w:bookmarkEnd w:id="197"/>
      <w:bookmarkEnd w:id="198"/>
    </w:p>
    <w:p w14:paraId="796167F1" w14:textId="7C1F20F4" w:rsidR="009D5DCD" w:rsidRDefault="00557C42" w:rsidP="00AC73DF">
      <w:pPr>
        <w:rPr>
          <w:szCs w:val="24"/>
        </w:rPr>
      </w:pPr>
      <w:r w:rsidRPr="009548C2">
        <w:rPr>
          <w:szCs w:val="24"/>
        </w:rPr>
        <w:t>The patentability of the Harvard </w:t>
      </w:r>
      <w:r w:rsidR="009C18B5">
        <w:rPr>
          <w:szCs w:val="24"/>
        </w:rPr>
        <w:t>O</w:t>
      </w:r>
      <w:r w:rsidRPr="009548C2">
        <w:rPr>
          <w:szCs w:val="24"/>
        </w:rPr>
        <w:t xml:space="preserve">ncomouse, a mouse that had its genome genetically altered by a cancer-promoting gene (oncogene) was also the subject of </w:t>
      </w:r>
      <w:r w:rsidR="006A64E7">
        <w:rPr>
          <w:szCs w:val="24"/>
        </w:rPr>
        <w:t>dispute and ethical questions around patentability.</w:t>
      </w:r>
      <w:r w:rsidRPr="009548C2">
        <w:rPr>
          <w:szCs w:val="24"/>
        </w:rPr>
        <w:t xml:space="preserve"> </w:t>
      </w:r>
      <w:r w:rsidR="00DD23A8">
        <w:rPr>
          <w:szCs w:val="24"/>
        </w:rPr>
        <w:t>This</w:t>
      </w:r>
      <w:r w:rsidRPr="009548C2">
        <w:rPr>
          <w:szCs w:val="24"/>
        </w:rPr>
        <w:t xml:space="preserve"> case</w:t>
      </w:r>
      <w:r w:rsidR="00DD23A8">
        <w:rPr>
          <w:szCs w:val="24"/>
        </w:rPr>
        <w:t xml:space="preserve"> was very complex, </w:t>
      </w:r>
      <w:r w:rsidR="009D5DCD">
        <w:rPr>
          <w:szCs w:val="24"/>
        </w:rPr>
        <w:t xml:space="preserve">both legally and ethically and raised two key issues for the patent system. Firstly, </w:t>
      </w:r>
      <w:r w:rsidR="005B1BDE">
        <w:rPr>
          <w:szCs w:val="24"/>
        </w:rPr>
        <w:t>whether</w:t>
      </w:r>
      <w:r w:rsidR="009D5DCD">
        <w:rPr>
          <w:szCs w:val="24"/>
        </w:rPr>
        <w:t xml:space="preserve"> </w:t>
      </w:r>
      <w:r w:rsidR="005B1BDE">
        <w:rPr>
          <w:szCs w:val="24"/>
        </w:rPr>
        <w:t>patents</w:t>
      </w:r>
      <w:r w:rsidR="009D5DCD">
        <w:rPr>
          <w:szCs w:val="24"/>
        </w:rPr>
        <w:t xml:space="preserve"> should be granted for animals or plant varieties, and secondly, how should moral implications be addressed</w:t>
      </w:r>
      <w:r w:rsidR="006A64E7">
        <w:rPr>
          <w:szCs w:val="24"/>
        </w:rPr>
        <w:t xml:space="preserve"> e.g. suffering caused </w:t>
      </w:r>
      <w:r w:rsidR="00531114">
        <w:rPr>
          <w:szCs w:val="24"/>
        </w:rPr>
        <w:t xml:space="preserve">to </w:t>
      </w:r>
      <w:r w:rsidR="006A64E7">
        <w:rPr>
          <w:szCs w:val="24"/>
        </w:rPr>
        <w:t>animals.</w:t>
      </w:r>
    </w:p>
    <w:p w14:paraId="67AF399F" w14:textId="0475CEEE" w:rsidR="0044413F" w:rsidRDefault="007877DE" w:rsidP="00AC73DF">
      <w:pPr>
        <w:rPr>
          <w:szCs w:val="24"/>
        </w:rPr>
      </w:pPr>
      <w:r>
        <w:rPr>
          <w:szCs w:val="24"/>
        </w:rPr>
        <w:lastRenderedPageBreak/>
        <w:t>W</w:t>
      </w:r>
      <w:r w:rsidR="00DD23A8">
        <w:rPr>
          <w:szCs w:val="24"/>
        </w:rPr>
        <w:t xml:space="preserve">hilst a patent was granted in the United States, the European Patent Office </w:t>
      </w:r>
      <w:r w:rsidR="00374AD9">
        <w:rPr>
          <w:szCs w:val="24"/>
        </w:rPr>
        <w:t>(EPO)</w:t>
      </w:r>
      <w:r w:rsidR="00DD23A8">
        <w:rPr>
          <w:szCs w:val="24"/>
        </w:rPr>
        <w:t xml:space="preserve"> </w:t>
      </w:r>
      <w:r w:rsidR="0044413F">
        <w:rPr>
          <w:szCs w:val="24"/>
        </w:rPr>
        <w:t xml:space="preserve">and Canada </w:t>
      </w:r>
      <w:r w:rsidR="00DD23A8">
        <w:rPr>
          <w:szCs w:val="24"/>
        </w:rPr>
        <w:t>considered the case significantly</w:t>
      </w:r>
      <w:r>
        <w:rPr>
          <w:szCs w:val="24"/>
        </w:rPr>
        <w:t xml:space="preserve"> (see below)</w:t>
      </w:r>
      <w:r w:rsidR="00DD23A8">
        <w:rPr>
          <w:szCs w:val="24"/>
        </w:rPr>
        <w:t>.</w:t>
      </w:r>
      <w:r w:rsidR="004751A1">
        <w:rPr>
          <w:rStyle w:val="FootnoteReference"/>
          <w:szCs w:val="24"/>
        </w:rPr>
        <w:footnoteReference w:id="245"/>
      </w:r>
    </w:p>
    <w:p w14:paraId="1F93080C" w14:textId="041F5B71" w:rsidR="0044413F" w:rsidRPr="0044413F" w:rsidRDefault="0044413F" w:rsidP="003173E3">
      <w:pPr>
        <w:pStyle w:val="Heading4"/>
      </w:pPr>
      <w:r>
        <w:t>European Patent Office</w:t>
      </w:r>
      <w:r w:rsidR="00977196">
        <w:t xml:space="preserve"> (EPO)</w:t>
      </w:r>
    </w:p>
    <w:p w14:paraId="2F8BA784" w14:textId="492EB826" w:rsidR="00DD23A8" w:rsidRDefault="00374AD9" w:rsidP="00AC73DF">
      <w:pPr>
        <w:rPr>
          <w:szCs w:val="24"/>
        </w:rPr>
      </w:pPr>
      <w:r>
        <w:rPr>
          <w:szCs w:val="24"/>
        </w:rPr>
        <w:t xml:space="preserve">The EPO applies the European Patent Convention which has exceptions for patents that </w:t>
      </w:r>
      <w:r w:rsidR="00A2610E">
        <w:rPr>
          <w:szCs w:val="24"/>
        </w:rPr>
        <w:t>‘</w:t>
      </w:r>
      <w:r w:rsidR="00152F97" w:rsidRPr="00050E47">
        <w:rPr>
          <w:szCs w:val="24"/>
        </w:rPr>
        <w:t>would be contrary to </w:t>
      </w:r>
      <w:r w:rsidR="00A2610E">
        <w:rPr>
          <w:szCs w:val="24"/>
        </w:rPr>
        <w:t>“</w:t>
      </w:r>
      <w:r w:rsidR="00152F97" w:rsidRPr="00050E47">
        <w:rPr>
          <w:i/>
          <w:szCs w:val="24"/>
        </w:rPr>
        <w:t>ordre public</w:t>
      </w:r>
      <w:r w:rsidR="00E8150B">
        <w:rPr>
          <w:i/>
          <w:szCs w:val="24"/>
        </w:rPr>
        <w:t>”</w:t>
      </w:r>
      <w:r w:rsidR="00152F97" w:rsidRPr="00050E47">
        <w:rPr>
          <w:szCs w:val="24"/>
        </w:rPr>
        <w:t> or morality</w:t>
      </w:r>
      <w:r w:rsidR="00A2610E">
        <w:rPr>
          <w:szCs w:val="24"/>
        </w:rPr>
        <w:t>’</w:t>
      </w:r>
      <w:r w:rsidR="00152F97" w:rsidRPr="00050E47">
        <w:rPr>
          <w:szCs w:val="24"/>
        </w:rPr>
        <w:t xml:space="preserve"> and can exclude patents on "animal varieties or essentially biological processes for the production of…animals"</w:t>
      </w:r>
      <w:r w:rsidR="005B1BDE">
        <w:rPr>
          <w:szCs w:val="24"/>
        </w:rPr>
        <w:t>.</w:t>
      </w:r>
      <w:r w:rsidR="00152F97" w:rsidRPr="00050E47">
        <w:rPr>
          <w:szCs w:val="24"/>
          <w:vertAlign w:val="superscript"/>
        </w:rPr>
        <w:footnoteReference w:id="246"/>
      </w:r>
      <w:r w:rsidR="00E51546">
        <w:rPr>
          <w:szCs w:val="24"/>
        </w:rPr>
        <w:t xml:space="preserve"> The EPO found that the Oncomouse was not an animal </w:t>
      </w:r>
      <w:r w:rsidR="005B1BDE">
        <w:rPr>
          <w:szCs w:val="24"/>
        </w:rPr>
        <w:t>variety</w:t>
      </w:r>
      <w:r w:rsidR="00E51546">
        <w:rPr>
          <w:szCs w:val="24"/>
        </w:rPr>
        <w:t xml:space="preserve"> and as such was not excluded. For the public morality exception, it </w:t>
      </w:r>
      <w:r w:rsidR="00531114">
        <w:rPr>
          <w:szCs w:val="24"/>
        </w:rPr>
        <w:t xml:space="preserve">developed </w:t>
      </w:r>
      <w:r w:rsidR="00E51546">
        <w:rPr>
          <w:szCs w:val="24"/>
        </w:rPr>
        <w:t xml:space="preserve">a utilitarian approach that sought to assess the benefits </w:t>
      </w:r>
      <w:r w:rsidR="005721A2">
        <w:rPr>
          <w:szCs w:val="24"/>
        </w:rPr>
        <w:t xml:space="preserve">in the </w:t>
      </w:r>
      <w:r w:rsidR="00F23AB6">
        <w:rPr>
          <w:szCs w:val="24"/>
        </w:rPr>
        <w:t>use of mice for medical research</w:t>
      </w:r>
      <w:r w:rsidR="00C717EF">
        <w:rPr>
          <w:szCs w:val="24"/>
        </w:rPr>
        <w:t xml:space="preserve"> and</w:t>
      </w:r>
      <w:r w:rsidR="00E51546">
        <w:rPr>
          <w:szCs w:val="24"/>
        </w:rPr>
        <w:t xml:space="preserve"> the negatives</w:t>
      </w:r>
      <w:r w:rsidR="005721A2">
        <w:rPr>
          <w:szCs w:val="24"/>
        </w:rPr>
        <w:t xml:space="preserve"> being the pain suffered by the mice</w:t>
      </w:r>
      <w:r w:rsidR="00F23AB6">
        <w:rPr>
          <w:szCs w:val="24"/>
        </w:rPr>
        <w:t>. It found that as mice were often used in cancer research, then</w:t>
      </w:r>
      <w:r w:rsidR="00E51546">
        <w:rPr>
          <w:szCs w:val="24"/>
        </w:rPr>
        <w:t xml:space="preserve"> </w:t>
      </w:r>
      <w:r w:rsidR="0093455B">
        <w:rPr>
          <w:szCs w:val="24"/>
        </w:rPr>
        <w:t xml:space="preserve">there was no moral disapproval. </w:t>
      </w:r>
    </w:p>
    <w:p w14:paraId="094EA903" w14:textId="065A5B8B" w:rsidR="00DD23A8" w:rsidRPr="0044413F" w:rsidRDefault="0044413F" w:rsidP="003173E3">
      <w:pPr>
        <w:pStyle w:val="Heading4"/>
      </w:pPr>
      <w:r>
        <w:t>Canada</w:t>
      </w:r>
    </w:p>
    <w:p w14:paraId="58FB8388" w14:textId="283EE009" w:rsidR="00DD23A8" w:rsidRDefault="005B1BDE" w:rsidP="00AC73DF">
      <w:r>
        <w:rPr>
          <w:szCs w:val="24"/>
        </w:rPr>
        <w:t>Canada initially</w:t>
      </w:r>
      <w:r w:rsidR="005F50F6">
        <w:rPr>
          <w:szCs w:val="24"/>
        </w:rPr>
        <w:t xml:space="preserve"> rejected </w:t>
      </w:r>
      <w:r w:rsidR="005F50F6" w:rsidRPr="00DE2966">
        <w:t xml:space="preserve">the claims to the animals as they were not </w:t>
      </w:r>
      <w:r w:rsidRPr="00DE2966">
        <w:t>considered</w:t>
      </w:r>
      <w:r w:rsidR="005F50F6" w:rsidRPr="00DE2966">
        <w:t xml:space="preserve"> an invention. </w:t>
      </w:r>
      <w:r w:rsidR="006429B0" w:rsidRPr="00DE2966">
        <w:t xml:space="preserve">The rejection </w:t>
      </w:r>
      <w:r w:rsidR="001B5B56" w:rsidRPr="00DE2966">
        <w:t>was because “microorganisms, or an oncogene-injected egg capable of maturing into an </w:t>
      </w:r>
      <w:r w:rsidR="001B5B56">
        <w:t>o</w:t>
      </w:r>
      <w:r w:rsidR="001B5B56" w:rsidRPr="00DE2966">
        <w:t>ncomouse, may be a mixture of ingredients and thus patentable under Canadian Law, the body of a mouse was not”.</w:t>
      </w:r>
      <w:r w:rsidR="001B5B56" w:rsidRPr="00DE2966">
        <w:rPr>
          <w:rStyle w:val="FootnoteReference"/>
          <w:szCs w:val="24"/>
        </w:rPr>
        <w:footnoteReference w:id="247"/>
      </w:r>
      <w:r w:rsidR="008D072E">
        <w:t xml:space="preserve"> I</w:t>
      </w:r>
      <w:r w:rsidR="003920F1">
        <w:t>t</w:t>
      </w:r>
      <w:r w:rsidR="008D072E">
        <w:t xml:space="preserve"> left </w:t>
      </w:r>
      <w:r w:rsidR="003920F1">
        <w:t xml:space="preserve">the complex ethical and legal </w:t>
      </w:r>
      <w:r w:rsidR="008D072E">
        <w:t>discussion</w:t>
      </w:r>
      <w:r w:rsidR="003920F1">
        <w:t>s</w:t>
      </w:r>
      <w:r w:rsidR="008D072E">
        <w:t xml:space="preserve"> around patentability of higher life forms to Parliament</w:t>
      </w:r>
      <w:r w:rsidR="003920F1">
        <w:t>.</w:t>
      </w:r>
    </w:p>
    <w:p w14:paraId="2AA7031A" w14:textId="10504D85" w:rsidR="003920F1" w:rsidRPr="003920F1" w:rsidRDefault="003920F1" w:rsidP="003173E3">
      <w:pPr>
        <w:pStyle w:val="Heading4"/>
      </w:pPr>
      <w:r>
        <w:t>Conclusion</w:t>
      </w:r>
    </w:p>
    <w:p w14:paraId="46BB1C39" w14:textId="21806F67" w:rsidR="00557C42" w:rsidRPr="009548C2" w:rsidRDefault="004E3635" w:rsidP="00AC73DF">
      <w:pPr>
        <w:rPr>
          <w:szCs w:val="24"/>
        </w:rPr>
      </w:pPr>
      <w:r>
        <w:rPr>
          <w:szCs w:val="24"/>
        </w:rPr>
        <w:t xml:space="preserve">These cases show how morality and ethical </w:t>
      </w:r>
      <w:r w:rsidR="005B1BDE">
        <w:rPr>
          <w:szCs w:val="24"/>
        </w:rPr>
        <w:t>questions</w:t>
      </w:r>
      <w:r>
        <w:rPr>
          <w:szCs w:val="24"/>
        </w:rPr>
        <w:t xml:space="preserve"> are answered in the patent system by different </w:t>
      </w:r>
      <w:r w:rsidR="005B1BDE">
        <w:rPr>
          <w:szCs w:val="24"/>
        </w:rPr>
        <w:t>jurisdictions</w:t>
      </w:r>
      <w:r>
        <w:rPr>
          <w:szCs w:val="24"/>
        </w:rPr>
        <w:t xml:space="preserve">. </w:t>
      </w:r>
      <w:r w:rsidR="008919F3">
        <w:rPr>
          <w:szCs w:val="24"/>
        </w:rPr>
        <w:t>Whilst it only applies to animals</w:t>
      </w:r>
      <w:r w:rsidR="000B5A0D">
        <w:rPr>
          <w:szCs w:val="24"/>
        </w:rPr>
        <w:t xml:space="preserve">, the Canadian reasoning is interesting because it allows the </w:t>
      </w:r>
      <w:r w:rsidR="00DE2966">
        <w:rPr>
          <w:szCs w:val="24"/>
        </w:rPr>
        <w:t>patenting</w:t>
      </w:r>
      <w:r w:rsidR="000B5A0D">
        <w:rPr>
          <w:szCs w:val="24"/>
        </w:rPr>
        <w:t xml:space="preserve"> of a process but not the end result. </w:t>
      </w:r>
    </w:p>
    <w:p w14:paraId="13368A68" w14:textId="77777777" w:rsidR="00557C42" w:rsidRPr="00ED05AB" w:rsidRDefault="00557C42" w:rsidP="002631FE">
      <w:pPr>
        <w:pStyle w:val="Heading3"/>
        <w:rPr>
          <w:lang w:val="en-AU"/>
        </w:rPr>
      </w:pPr>
      <w:bookmarkStart w:id="199" w:name="_Toc36194529"/>
      <w:bookmarkStart w:id="200" w:name="_Toc118824407"/>
      <w:r w:rsidRPr="00ED05AB">
        <w:rPr>
          <w:lang w:val="en-AU"/>
        </w:rPr>
        <w:t>Henrietta Lacks Immortal Cells</w:t>
      </w:r>
      <w:bookmarkEnd w:id="199"/>
      <w:bookmarkEnd w:id="200"/>
    </w:p>
    <w:p w14:paraId="6545AECC" w14:textId="455848C8" w:rsidR="00ED05AB" w:rsidRPr="009548C2" w:rsidRDefault="00ED05AB" w:rsidP="002B5F46">
      <w:pPr>
        <w:shd w:val="clear" w:color="auto" w:fill="FFFFFF" w:themeFill="background1"/>
      </w:pPr>
      <w:bookmarkStart w:id="201" w:name="_Toc36194530"/>
      <w:r w:rsidRPr="009548C2">
        <w:t>Whilst not a patent, commercial exploitation of genomic information has been occurring for many decades with the use of Henrietta Lacks</w:t>
      </w:r>
      <w:r w:rsidR="00702882">
        <w:t>’</w:t>
      </w:r>
      <w:r w:rsidRPr="009548C2">
        <w:t xml:space="preserve"> cells. A black American women, Ms Lacks had her cells collected when she went into John Hopkins Hospital during treatment on her cervix in the 1950s. It turned out that she had a tumour which the doctors took cells from without her knowledge and consent. The scientists called the cells ‘HeLa’ and used the cells to develop cancer treatments and vaccines.  The grandchildren of Ms Lacks are calling for guardianship of the cells, but the legal issues are not clear. Whilst there is no patent, this case raises important issues around the benefit that the HeLa cells have had for medicinal research</w:t>
      </w:r>
      <w:r w:rsidR="00497A8A">
        <w:t xml:space="preserve"> and</w:t>
      </w:r>
      <w:r w:rsidRPr="009548C2">
        <w:t xml:space="preserve"> </w:t>
      </w:r>
      <w:r w:rsidR="00497A8A">
        <w:t xml:space="preserve">the </w:t>
      </w:r>
      <w:r w:rsidRPr="009548C2">
        <w:t>right</w:t>
      </w:r>
      <w:r w:rsidR="004D2F92">
        <w:t>s</w:t>
      </w:r>
      <w:r w:rsidRPr="009548C2">
        <w:t xml:space="preserve"> </w:t>
      </w:r>
      <w:r w:rsidR="004D2F92">
        <w:t xml:space="preserve">of </w:t>
      </w:r>
      <w:r w:rsidRPr="009548C2">
        <w:t>individual</w:t>
      </w:r>
      <w:r w:rsidR="004D2F92">
        <w:t>s</w:t>
      </w:r>
      <w:r w:rsidRPr="009548C2">
        <w:t xml:space="preserve"> and </w:t>
      </w:r>
      <w:r w:rsidR="004D2F92">
        <w:t xml:space="preserve">families </w:t>
      </w:r>
      <w:r w:rsidRPr="009548C2">
        <w:t>to be compensated for commercial exploitation of their genomic information.</w:t>
      </w:r>
    </w:p>
    <w:p w14:paraId="76497BC2" w14:textId="77777777" w:rsidR="00557C42" w:rsidRPr="008E5C92" w:rsidRDefault="00557C42" w:rsidP="00F555D6">
      <w:pPr>
        <w:pStyle w:val="Heading3"/>
        <w:rPr>
          <w:lang w:val="en-AU"/>
        </w:rPr>
      </w:pPr>
      <w:bookmarkStart w:id="202" w:name="_Toc118824408"/>
      <w:r w:rsidRPr="008E5C92">
        <w:rPr>
          <w:lang w:val="en-AU"/>
        </w:rPr>
        <w:lastRenderedPageBreak/>
        <w:t>Myriad Genetics US</w:t>
      </w:r>
      <w:bookmarkEnd w:id="201"/>
      <w:bookmarkEnd w:id="202"/>
    </w:p>
    <w:p w14:paraId="7C1DBDB4" w14:textId="0983B15C" w:rsidR="00557C42" w:rsidRPr="00557C42" w:rsidRDefault="0044413F" w:rsidP="00AC73DF">
      <w:r>
        <w:rPr>
          <w:szCs w:val="24"/>
        </w:rPr>
        <w:t>Analogous</w:t>
      </w:r>
      <w:r w:rsidR="00557C42" w:rsidRPr="009548C2">
        <w:rPr>
          <w:szCs w:val="24"/>
        </w:rPr>
        <w:t xml:space="preserve"> to the </w:t>
      </w:r>
      <w:r w:rsidR="00E140F9">
        <w:rPr>
          <w:szCs w:val="24"/>
        </w:rPr>
        <w:t xml:space="preserve">Australian case, </w:t>
      </w:r>
      <w:r w:rsidR="00257FE3">
        <w:rPr>
          <w:szCs w:val="24"/>
        </w:rPr>
        <w:t>i</w:t>
      </w:r>
      <w:r w:rsidR="00557C42" w:rsidRPr="009548C2">
        <w:rPr>
          <w:szCs w:val="24"/>
        </w:rPr>
        <w:t>t relates to an isolated gene BRCA1 that is linked to breast and ovarian cancer.</w:t>
      </w:r>
      <w:r w:rsidR="001B56C1">
        <w:rPr>
          <w:rStyle w:val="FootnoteReference"/>
          <w:szCs w:val="24"/>
        </w:rPr>
        <w:footnoteReference w:id="248"/>
      </w:r>
      <w:r w:rsidR="00557C42" w:rsidRPr="009548C2">
        <w:rPr>
          <w:szCs w:val="24"/>
        </w:rPr>
        <w:t xml:space="preserve"> The decision held, "A naturally occurring DNA </w:t>
      </w:r>
      <w:r w:rsidR="00557C42" w:rsidRPr="0044413F">
        <w:t>segment is a product of nature and not patent eligible merely because it has been isolated, but cDNA is</w:t>
      </w:r>
      <w:r w:rsidR="00557C42" w:rsidRPr="009548C2">
        <w:rPr>
          <w:szCs w:val="24"/>
        </w:rPr>
        <w:t xml:space="preserve"> patent eligible because it is not naturally occurring</w:t>
      </w:r>
      <w:r>
        <w:rPr>
          <w:szCs w:val="24"/>
        </w:rPr>
        <w:t>”</w:t>
      </w:r>
      <w:r w:rsidR="00557C42" w:rsidRPr="009548C2">
        <w:rPr>
          <w:szCs w:val="24"/>
        </w:rPr>
        <w:t xml:space="preserve">.  </w:t>
      </w:r>
      <w:r w:rsidR="00257FE3">
        <w:rPr>
          <w:szCs w:val="24"/>
        </w:rPr>
        <w:t>The</w:t>
      </w:r>
      <w:r w:rsidR="00E05F6A">
        <w:rPr>
          <w:szCs w:val="24"/>
        </w:rPr>
        <w:t xml:space="preserve">refore, the </w:t>
      </w:r>
      <w:r w:rsidR="00257FE3">
        <w:rPr>
          <w:szCs w:val="24"/>
        </w:rPr>
        <w:t xml:space="preserve">difference </w:t>
      </w:r>
      <w:r w:rsidR="00E05F6A">
        <w:rPr>
          <w:szCs w:val="24"/>
        </w:rPr>
        <w:t xml:space="preserve">here is that in the United States, you can replicate </w:t>
      </w:r>
      <w:r w:rsidR="006F04AF">
        <w:rPr>
          <w:szCs w:val="24"/>
        </w:rPr>
        <w:t>genetic</w:t>
      </w:r>
      <w:r w:rsidR="00E05F6A">
        <w:rPr>
          <w:szCs w:val="24"/>
        </w:rPr>
        <w:t xml:space="preserve"> information in cDNA and it will be patent eligible, whereas in Australia, </w:t>
      </w:r>
      <w:r w:rsidR="006F04AF">
        <w:rPr>
          <w:szCs w:val="24"/>
        </w:rPr>
        <w:t>it will not be. This creates concerns if</w:t>
      </w:r>
      <w:r w:rsidR="00257FE3">
        <w:rPr>
          <w:szCs w:val="24"/>
        </w:rPr>
        <w:t xml:space="preserve"> United States</w:t>
      </w:r>
      <w:r w:rsidR="006F04AF">
        <w:rPr>
          <w:szCs w:val="24"/>
        </w:rPr>
        <w:t xml:space="preserve"> based companies seek to conduct research on</w:t>
      </w:r>
      <w:r w:rsidR="00012B4D">
        <w:rPr>
          <w:szCs w:val="24"/>
        </w:rPr>
        <w:t xml:space="preserve"> Aboriginal and Torres Strait Islander peoples </w:t>
      </w:r>
      <w:r w:rsidR="006F04AF">
        <w:rPr>
          <w:szCs w:val="24"/>
        </w:rPr>
        <w:t>outside of Australian borders,</w:t>
      </w:r>
      <w:r w:rsidR="0036458D">
        <w:rPr>
          <w:szCs w:val="24"/>
        </w:rPr>
        <w:t xml:space="preserve"> as it is possible they will be able to </w:t>
      </w:r>
      <w:r w:rsidR="00101A5D">
        <w:rPr>
          <w:szCs w:val="24"/>
        </w:rPr>
        <w:t xml:space="preserve">patent </w:t>
      </w:r>
      <w:r w:rsidR="006F04AF">
        <w:rPr>
          <w:szCs w:val="24"/>
        </w:rPr>
        <w:t>their DNA</w:t>
      </w:r>
      <w:r w:rsidR="00A12537">
        <w:rPr>
          <w:szCs w:val="24"/>
        </w:rPr>
        <w:t>.</w:t>
      </w:r>
      <w:r w:rsidR="00557C42" w:rsidRPr="008E5C92">
        <w:t xml:space="preserve"> </w:t>
      </w:r>
    </w:p>
    <w:p w14:paraId="76AA3B31" w14:textId="618886F0" w:rsidR="007D2B95" w:rsidRPr="00A12537" w:rsidRDefault="0080205E" w:rsidP="00AC73DF">
      <w:pPr>
        <w:pStyle w:val="Heading3"/>
        <w:rPr>
          <w:lang w:val="en-AU"/>
        </w:rPr>
      </w:pPr>
      <w:bookmarkStart w:id="203" w:name="_Toc36194536"/>
      <w:bookmarkStart w:id="204" w:name="_Ref39137579"/>
      <w:bookmarkStart w:id="205" w:name="_Ref39137582"/>
      <w:bookmarkStart w:id="206" w:name="_Ref39152846"/>
      <w:bookmarkStart w:id="207" w:name="_Ref39152849"/>
      <w:bookmarkStart w:id="208" w:name="_Ref39153302"/>
      <w:bookmarkStart w:id="209" w:name="_Ref39153305"/>
      <w:bookmarkStart w:id="210" w:name="_Toc118824409"/>
      <w:r w:rsidRPr="005338AB">
        <w:rPr>
          <w:lang w:val="en-AU"/>
        </w:rPr>
        <w:t>Havasupai</w:t>
      </w:r>
      <w:bookmarkEnd w:id="203"/>
      <w:bookmarkEnd w:id="204"/>
      <w:bookmarkEnd w:id="205"/>
      <w:bookmarkEnd w:id="206"/>
      <w:bookmarkEnd w:id="207"/>
      <w:bookmarkEnd w:id="208"/>
      <w:bookmarkEnd w:id="209"/>
      <w:r w:rsidR="005338AB" w:rsidRPr="005338AB">
        <w:rPr>
          <w:lang w:val="en-AU"/>
        </w:rPr>
        <w:t xml:space="preserve"> Tribe v Arizona Board of</w:t>
      </w:r>
      <w:r w:rsidR="005338AB">
        <w:rPr>
          <w:lang w:val="en-AU"/>
        </w:rPr>
        <w:t xml:space="preserve"> Regents</w:t>
      </w:r>
      <w:bookmarkEnd w:id="210"/>
    </w:p>
    <w:p w14:paraId="6619367D" w14:textId="7591902E" w:rsidR="0080205E" w:rsidRPr="0080205E" w:rsidRDefault="007D2B95" w:rsidP="00AC73DF">
      <w:r>
        <w:t xml:space="preserve">The Havasupai People from the Grand Canyon region of Arizona </w:t>
      </w:r>
      <w:r w:rsidR="00786E4D">
        <w:t>bought claims against the Arizona Board of Regents out of the misu</w:t>
      </w:r>
      <w:r w:rsidR="00E503C7">
        <w:t>s</w:t>
      </w:r>
      <w:r w:rsidR="00786E4D">
        <w:t xml:space="preserve">e of their blood samples taken from members of the Havasupai Tribe in the early 1990’s. </w:t>
      </w:r>
      <w:r w:rsidR="00624E58">
        <w:t xml:space="preserve">Samples were taken with </w:t>
      </w:r>
      <w:r w:rsidR="003E0FB8">
        <w:t xml:space="preserve">consent </w:t>
      </w:r>
      <w:r w:rsidR="00624E58">
        <w:t xml:space="preserve">for </w:t>
      </w:r>
      <w:r w:rsidR="003E0FB8">
        <w:t>use in</w:t>
      </w:r>
      <w:r w:rsidR="00624E58">
        <w:t xml:space="preserve"> diabetes research, however </w:t>
      </w:r>
      <w:r w:rsidR="003E0FB8">
        <w:t xml:space="preserve">were </w:t>
      </w:r>
      <w:r w:rsidR="00062098">
        <w:t xml:space="preserve">used </w:t>
      </w:r>
      <w:r w:rsidR="009904AF">
        <w:t>in</w:t>
      </w:r>
      <w:r w:rsidR="009904AF" w:rsidRPr="00F67476">
        <w:t xml:space="preserve"> </w:t>
      </w:r>
      <w:r w:rsidR="00062098">
        <w:t xml:space="preserve">studies </w:t>
      </w:r>
      <w:r w:rsidR="009904AF">
        <w:t>for schizophrenia,</w:t>
      </w:r>
      <w:r w:rsidR="009904AF" w:rsidRPr="00F67476">
        <w:t xml:space="preserve"> </w:t>
      </w:r>
      <w:r w:rsidR="00062098">
        <w:t xml:space="preserve">population migration </w:t>
      </w:r>
      <w:r w:rsidR="009904AF">
        <w:t>and</w:t>
      </w:r>
      <w:r w:rsidR="009904AF" w:rsidRPr="00F67476">
        <w:t xml:space="preserve"> </w:t>
      </w:r>
      <w:r w:rsidR="00062098">
        <w:t>inbreeding</w:t>
      </w:r>
      <w:r w:rsidR="009904AF">
        <w:t>, all taboo in Havasupai society</w:t>
      </w:r>
      <w:r w:rsidR="00062098" w:rsidRPr="00F67476">
        <w:t>.</w:t>
      </w:r>
      <w:r w:rsidR="0080205E" w:rsidRPr="0080205E">
        <w:t xml:space="preserve"> Whilst the case settled out of court, the </w:t>
      </w:r>
      <w:r w:rsidR="0062019B">
        <w:t xml:space="preserve">breach of trust </w:t>
      </w:r>
      <w:r w:rsidR="0080205E" w:rsidRPr="0080205E">
        <w:t>led to a moratorium on genetic research within the Navajo Nation</w:t>
      </w:r>
      <w:r w:rsidR="0062019B">
        <w:t>.</w:t>
      </w:r>
    </w:p>
    <w:p w14:paraId="704C4C46" w14:textId="77777777" w:rsidR="0080205E" w:rsidRPr="0080205E" w:rsidRDefault="0080205E" w:rsidP="003173E3">
      <w:pPr>
        <w:pStyle w:val="Heading4"/>
      </w:pPr>
      <w:r w:rsidRPr="0080205E">
        <w:t>Background</w:t>
      </w:r>
    </w:p>
    <w:p w14:paraId="3A1704BA" w14:textId="5F188796" w:rsidR="0080205E" w:rsidRPr="009548C2" w:rsidRDefault="0080205E" w:rsidP="00AC73DF">
      <w:pPr>
        <w:rPr>
          <w:szCs w:val="24"/>
        </w:rPr>
      </w:pPr>
      <w:r w:rsidRPr="009548C2">
        <w:rPr>
          <w:szCs w:val="24"/>
        </w:rPr>
        <w:t xml:space="preserve">The Havasupai people are a Federally recognise Native American Tribe living on their ancestral lands in a reservation at the </w:t>
      </w:r>
      <w:r w:rsidR="00042B76">
        <w:rPr>
          <w:szCs w:val="24"/>
        </w:rPr>
        <w:t>base</w:t>
      </w:r>
      <w:r w:rsidRPr="009548C2">
        <w:rPr>
          <w:szCs w:val="24"/>
        </w:rPr>
        <w:t xml:space="preserve"> of the Grand Canyon, Arizona. Since the 1960’s, the rates for type 2 diabetes have rapidly increased, forcing many Havasupai to have their lower limbs amputated or to leave the canyon for treatment. As it is a remote village, access to and from is incredibly difficult.</w:t>
      </w:r>
    </w:p>
    <w:p w14:paraId="201D319C" w14:textId="45337676" w:rsidR="0080205E" w:rsidRPr="009548C2" w:rsidRDefault="0080205E" w:rsidP="00AC73DF">
      <w:pPr>
        <w:rPr>
          <w:szCs w:val="24"/>
        </w:rPr>
      </w:pPr>
      <w:r w:rsidRPr="009548C2">
        <w:rPr>
          <w:szCs w:val="24"/>
        </w:rPr>
        <w:t>In 1989, tribal leaders approached John Martin, an anthropology professor from Arizona State University (ASU</w:t>
      </w:r>
      <w:r w:rsidRPr="00F67476">
        <w:rPr>
          <w:szCs w:val="24"/>
        </w:rPr>
        <w:t>)</w:t>
      </w:r>
      <w:r w:rsidR="00A225DF">
        <w:rPr>
          <w:szCs w:val="24"/>
        </w:rPr>
        <w:t xml:space="preserve"> </w:t>
      </w:r>
      <w:r w:rsidR="000B31B0">
        <w:rPr>
          <w:szCs w:val="24"/>
        </w:rPr>
        <w:t>with</w:t>
      </w:r>
      <w:r w:rsidR="0013514C">
        <w:rPr>
          <w:szCs w:val="24"/>
        </w:rPr>
        <w:t xml:space="preserve"> </w:t>
      </w:r>
      <w:r w:rsidR="00A225DF">
        <w:rPr>
          <w:szCs w:val="24"/>
        </w:rPr>
        <w:t>whom they had a long-standing relationship</w:t>
      </w:r>
      <w:r w:rsidRPr="00F67476">
        <w:rPr>
          <w:szCs w:val="24"/>
        </w:rPr>
        <w:t>,</w:t>
      </w:r>
      <w:r w:rsidRPr="009548C2">
        <w:rPr>
          <w:szCs w:val="24"/>
        </w:rPr>
        <w:t xml:space="preserve"> to assist them in finding the cause. </w:t>
      </w:r>
    </w:p>
    <w:p w14:paraId="1B04DF94" w14:textId="535596E7" w:rsidR="0080205E" w:rsidRPr="009548C2" w:rsidRDefault="0080205E" w:rsidP="00AC73DF">
      <w:pPr>
        <w:rPr>
          <w:szCs w:val="24"/>
        </w:rPr>
      </w:pPr>
      <w:r w:rsidRPr="009548C2">
        <w:rPr>
          <w:szCs w:val="24"/>
        </w:rPr>
        <w:t>Martin enlisted the help of genetics professor Therese Ann Markow from ASU, whilst not an expert on diabetes, she was the only human geneticist at ASU.</w:t>
      </w:r>
      <w:r w:rsidRPr="009548C2">
        <w:rPr>
          <w:szCs w:val="24"/>
          <w:vertAlign w:val="superscript"/>
        </w:rPr>
        <w:footnoteReference w:id="249"/>
      </w:r>
      <w:r w:rsidRPr="009548C2">
        <w:rPr>
          <w:szCs w:val="24"/>
        </w:rPr>
        <w:t xml:space="preserve"> Following a successful pilot program</w:t>
      </w:r>
      <w:r w:rsidR="00896C97">
        <w:rPr>
          <w:szCs w:val="24"/>
        </w:rPr>
        <w:t xml:space="preserve"> of the study</w:t>
      </w:r>
      <w:r w:rsidRPr="009548C2">
        <w:rPr>
          <w:szCs w:val="24"/>
        </w:rPr>
        <w:t>, the Havasupai had written to Martin to confirm that the study on diabetes will go ahead</w:t>
      </w:r>
      <w:r w:rsidR="00896C97">
        <w:rPr>
          <w:szCs w:val="24"/>
        </w:rPr>
        <w:t xml:space="preserve">. Unbeknownst to the Havasupai, </w:t>
      </w:r>
      <w:r w:rsidRPr="009548C2">
        <w:rPr>
          <w:szCs w:val="24"/>
        </w:rPr>
        <w:t xml:space="preserve"> Markow had obtained the funding for the schizophrenia research</w:t>
      </w:r>
      <w:r w:rsidR="00896C97">
        <w:rPr>
          <w:szCs w:val="24"/>
        </w:rPr>
        <w:t xml:space="preserve"> on the samples</w:t>
      </w:r>
      <w:r w:rsidRPr="009548C2">
        <w:rPr>
          <w:szCs w:val="24"/>
        </w:rPr>
        <w:t>, without notifying the Havasupai.</w:t>
      </w:r>
      <w:r w:rsidRPr="009548C2">
        <w:rPr>
          <w:szCs w:val="24"/>
          <w:vertAlign w:val="superscript"/>
        </w:rPr>
        <w:footnoteReference w:id="250"/>
      </w:r>
    </w:p>
    <w:p w14:paraId="5475B201" w14:textId="2FF66B0A" w:rsidR="0080205E" w:rsidRPr="009548C2" w:rsidRDefault="0080205E" w:rsidP="00AC73DF">
      <w:pPr>
        <w:rPr>
          <w:szCs w:val="24"/>
        </w:rPr>
      </w:pPr>
      <w:r w:rsidRPr="009548C2">
        <w:rPr>
          <w:szCs w:val="24"/>
        </w:rPr>
        <w:t>The initial blood sampling was undertaken in June 1990 using the funds from the schizophrenia research despite all donors believing it was for diabetes research. The consent forms used were general in nature and deliberately vague stating the project was to ‘study causes of behavioural/medial disorders’.</w:t>
      </w:r>
      <w:r w:rsidRPr="009548C2">
        <w:rPr>
          <w:szCs w:val="24"/>
          <w:vertAlign w:val="superscript"/>
        </w:rPr>
        <w:footnoteReference w:id="251"/>
      </w:r>
      <w:r w:rsidRPr="009548C2">
        <w:rPr>
          <w:szCs w:val="24"/>
          <w:vertAlign w:val="superscript"/>
        </w:rPr>
        <w:t xml:space="preserve"> </w:t>
      </w:r>
      <w:r w:rsidRPr="009548C2">
        <w:rPr>
          <w:szCs w:val="24"/>
        </w:rPr>
        <w:t xml:space="preserve">Approval from ASU for the schizophrenia and </w:t>
      </w:r>
      <w:r w:rsidR="00617AA1">
        <w:rPr>
          <w:szCs w:val="24"/>
        </w:rPr>
        <w:t>d</w:t>
      </w:r>
      <w:r w:rsidRPr="009548C2">
        <w:rPr>
          <w:szCs w:val="24"/>
        </w:rPr>
        <w:t xml:space="preserve">iabetes research were given 6 and 9 months, respectively after the projects had </w:t>
      </w:r>
      <w:r w:rsidRPr="009548C2">
        <w:rPr>
          <w:szCs w:val="24"/>
        </w:rPr>
        <w:lastRenderedPageBreak/>
        <w:t xml:space="preserve">already began. The second round of blood sampling from July 1991- late 1994, </w:t>
      </w:r>
      <w:r w:rsidR="0062019B">
        <w:rPr>
          <w:szCs w:val="24"/>
        </w:rPr>
        <w:t xml:space="preserve">was consented </w:t>
      </w:r>
      <w:r w:rsidR="00A225DF">
        <w:rPr>
          <w:szCs w:val="24"/>
        </w:rPr>
        <w:t xml:space="preserve">to </w:t>
      </w:r>
      <w:r w:rsidR="0062019B">
        <w:rPr>
          <w:szCs w:val="24"/>
        </w:rPr>
        <w:t>orally</w:t>
      </w:r>
      <w:r w:rsidRPr="009548C2">
        <w:rPr>
          <w:szCs w:val="24"/>
        </w:rPr>
        <w:t xml:space="preserve">, as it was advised by a Havasupai nurse </w:t>
      </w:r>
      <w:r w:rsidR="00A225DF">
        <w:rPr>
          <w:szCs w:val="24"/>
        </w:rPr>
        <w:t>as</w:t>
      </w:r>
      <w:r w:rsidRPr="00F67476">
        <w:rPr>
          <w:szCs w:val="24"/>
        </w:rPr>
        <w:t xml:space="preserve"> less confusing. </w:t>
      </w:r>
    </w:p>
    <w:p w14:paraId="6274BDF8" w14:textId="7E816001" w:rsidR="0080205E" w:rsidRPr="009548C2" w:rsidRDefault="0080205E" w:rsidP="00AC73DF">
      <w:pPr>
        <w:rPr>
          <w:szCs w:val="24"/>
        </w:rPr>
      </w:pPr>
      <w:r w:rsidRPr="009548C2">
        <w:rPr>
          <w:szCs w:val="24"/>
        </w:rPr>
        <w:t>Following the conclusion of the diabetes study, Markow and her collaborators continued studying the samples for schizophrenia</w:t>
      </w:r>
      <w:r w:rsidRPr="00F67476">
        <w:rPr>
          <w:szCs w:val="24"/>
        </w:rPr>
        <w:t>.</w:t>
      </w:r>
      <w:r w:rsidRPr="009548C2">
        <w:rPr>
          <w:szCs w:val="24"/>
        </w:rPr>
        <w:t xml:space="preserve">  Markow moved to the University of Arizona (UA) and took the samples with he</w:t>
      </w:r>
      <w:r w:rsidR="00E82D19" w:rsidRPr="009548C2">
        <w:rPr>
          <w:szCs w:val="24"/>
        </w:rPr>
        <w:t>r</w:t>
      </w:r>
      <w:r w:rsidRPr="009548C2">
        <w:rPr>
          <w:szCs w:val="24"/>
        </w:rPr>
        <w:t xml:space="preserve"> despite the consent forms </w:t>
      </w:r>
      <w:r w:rsidR="00A225DF">
        <w:rPr>
          <w:szCs w:val="24"/>
        </w:rPr>
        <w:t>requesting</w:t>
      </w:r>
      <w:r w:rsidR="00A225DF" w:rsidRPr="00F67476">
        <w:rPr>
          <w:szCs w:val="24"/>
        </w:rPr>
        <w:t xml:space="preserve"> </w:t>
      </w:r>
      <w:r w:rsidRPr="009548C2">
        <w:rPr>
          <w:szCs w:val="24"/>
        </w:rPr>
        <w:t>that  no information on the Havasupai would leave ASU.</w:t>
      </w:r>
      <w:r w:rsidRPr="009548C2">
        <w:rPr>
          <w:szCs w:val="24"/>
          <w:vertAlign w:val="superscript"/>
        </w:rPr>
        <w:footnoteReference w:id="252"/>
      </w:r>
      <w:r w:rsidRPr="009548C2">
        <w:rPr>
          <w:szCs w:val="24"/>
        </w:rPr>
        <w:t xml:space="preserve">  In 1993, a paper </w:t>
      </w:r>
      <w:r w:rsidR="00A70E62">
        <w:rPr>
          <w:szCs w:val="24"/>
        </w:rPr>
        <w:t>was</w:t>
      </w:r>
      <w:r w:rsidRPr="009548C2">
        <w:rPr>
          <w:szCs w:val="24"/>
        </w:rPr>
        <w:t xml:space="preserve"> published by Markow and Martin that argued that the Havasupai had high levels of inbreeding.</w:t>
      </w:r>
      <w:r w:rsidRPr="00905A1F">
        <w:rPr>
          <w:szCs w:val="24"/>
          <w:vertAlign w:val="superscript"/>
        </w:rPr>
        <w:footnoteReference w:id="253"/>
      </w:r>
      <w:r w:rsidRPr="00905A1F">
        <w:rPr>
          <w:szCs w:val="24"/>
          <w:vertAlign w:val="superscript"/>
        </w:rPr>
        <w:t xml:space="preserve"> </w:t>
      </w:r>
      <w:r w:rsidRPr="009548C2">
        <w:rPr>
          <w:szCs w:val="24"/>
        </w:rPr>
        <w:t xml:space="preserve">The samples were </w:t>
      </w:r>
      <w:r w:rsidR="0012227A">
        <w:rPr>
          <w:szCs w:val="24"/>
        </w:rPr>
        <w:t xml:space="preserve">also </w:t>
      </w:r>
      <w:r w:rsidRPr="009548C2">
        <w:rPr>
          <w:szCs w:val="24"/>
        </w:rPr>
        <w:t xml:space="preserve">used for research </w:t>
      </w:r>
      <w:r w:rsidR="0012227A">
        <w:rPr>
          <w:szCs w:val="24"/>
        </w:rPr>
        <w:t>in</w:t>
      </w:r>
      <w:r w:rsidRPr="00F67476">
        <w:rPr>
          <w:szCs w:val="24"/>
        </w:rPr>
        <w:t xml:space="preserve"> </w:t>
      </w:r>
      <w:r w:rsidRPr="009548C2">
        <w:rPr>
          <w:szCs w:val="24"/>
        </w:rPr>
        <w:t xml:space="preserve">population migration </w:t>
      </w:r>
      <w:r w:rsidR="0012227A">
        <w:rPr>
          <w:szCs w:val="24"/>
        </w:rPr>
        <w:t>studies attempting</w:t>
      </w:r>
      <w:r w:rsidRPr="009548C2">
        <w:rPr>
          <w:szCs w:val="24"/>
        </w:rPr>
        <w:t xml:space="preserve"> to trace the origin of the </w:t>
      </w:r>
      <w:r w:rsidR="0012227A">
        <w:rPr>
          <w:szCs w:val="24"/>
        </w:rPr>
        <w:t>Havasupai</w:t>
      </w:r>
      <w:r w:rsidR="0012227A" w:rsidRPr="00F67476">
        <w:rPr>
          <w:szCs w:val="24"/>
        </w:rPr>
        <w:t xml:space="preserve"> </w:t>
      </w:r>
      <w:r w:rsidRPr="009548C2">
        <w:rPr>
          <w:szCs w:val="24"/>
        </w:rPr>
        <w:t>through DNA comparison.</w:t>
      </w:r>
      <w:r w:rsidRPr="009548C2">
        <w:rPr>
          <w:szCs w:val="24"/>
          <w:vertAlign w:val="superscript"/>
        </w:rPr>
        <w:footnoteReference w:id="254"/>
      </w:r>
      <w:r w:rsidRPr="009548C2">
        <w:rPr>
          <w:szCs w:val="24"/>
        </w:rPr>
        <w:t xml:space="preserve"> Both of these studies</w:t>
      </w:r>
      <w:r w:rsidR="009A5533">
        <w:rPr>
          <w:szCs w:val="24"/>
        </w:rPr>
        <w:t xml:space="preserve"> were outside the scope of consent and </w:t>
      </w:r>
      <w:r w:rsidR="0025441E">
        <w:rPr>
          <w:szCs w:val="24"/>
        </w:rPr>
        <w:t>in conflict</w:t>
      </w:r>
      <w:r w:rsidR="0025441E" w:rsidRPr="00F67476">
        <w:rPr>
          <w:szCs w:val="24"/>
        </w:rPr>
        <w:t xml:space="preserve"> </w:t>
      </w:r>
      <w:r w:rsidRPr="009548C2">
        <w:rPr>
          <w:szCs w:val="24"/>
        </w:rPr>
        <w:t xml:space="preserve">with the lore and beliefs of Havasupai tribal members that they originated in the Grand Canyon. The Havasupai found out about the misuse of their genes in 2003 when tribal member, Carletta Tilousi, was invited by Martin to attend a PhD defence </w:t>
      </w:r>
      <w:r w:rsidR="00620857">
        <w:rPr>
          <w:szCs w:val="24"/>
        </w:rPr>
        <w:t xml:space="preserve">which involved use of the samples. </w:t>
      </w:r>
      <w:r w:rsidRPr="009548C2">
        <w:rPr>
          <w:szCs w:val="24"/>
        </w:rPr>
        <w:t xml:space="preserve"> </w:t>
      </w:r>
      <w:r w:rsidR="00620857">
        <w:rPr>
          <w:szCs w:val="24"/>
        </w:rPr>
        <w:t>It was</w:t>
      </w:r>
      <w:r w:rsidRPr="009548C2">
        <w:rPr>
          <w:szCs w:val="24"/>
        </w:rPr>
        <w:t xml:space="preserve"> during this defence </w:t>
      </w:r>
      <w:r w:rsidR="00620857">
        <w:rPr>
          <w:szCs w:val="24"/>
        </w:rPr>
        <w:t>that T</w:t>
      </w:r>
      <w:r w:rsidR="00D97A5C">
        <w:rPr>
          <w:szCs w:val="24"/>
        </w:rPr>
        <w:t>ilousi</w:t>
      </w:r>
      <w:r w:rsidRPr="009548C2">
        <w:rPr>
          <w:szCs w:val="24"/>
        </w:rPr>
        <w:t xml:space="preserve"> raised questions about the procedures used to obtain the blood donors permission for the studies.</w:t>
      </w:r>
      <w:r w:rsidRPr="009548C2">
        <w:rPr>
          <w:szCs w:val="24"/>
          <w:vertAlign w:val="superscript"/>
        </w:rPr>
        <w:footnoteReference w:id="255"/>
      </w:r>
    </w:p>
    <w:p w14:paraId="1183C403" w14:textId="55E58294" w:rsidR="009B71B4" w:rsidRDefault="00D20819" w:rsidP="00AC73DF">
      <w:pPr>
        <w:rPr>
          <w:szCs w:val="24"/>
        </w:rPr>
      </w:pPr>
      <w:r>
        <w:rPr>
          <w:szCs w:val="24"/>
        </w:rPr>
        <w:t>Once the</w:t>
      </w:r>
      <w:r w:rsidR="0080205E" w:rsidRPr="009548C2">
        <w:rPr>
          <w:szCs w:val="24"/>
        </w:rPr>
        <w:t xml:space="preserve"> Havasupai </w:t>
      </w:r>
      <w:r>
        <w:rPr>
          <w:szCs w:val="24"/>
        </w:rPr>
        <w:t xml:space="preserve">found out about the misuse, they </w:t>
      </w:r>
      <w:r w:rsidR="0080205E" w:rsidRPr="00F67476">
        <w:rPr>
          <w:szCs w:val="24"/>
        </w:rPr>
        <w:t xml:space="preserve"> </w:t>
      </w:r>
      <w:r w:rsidR="0080205E" w:rsidRPr="009548C2">
        <w:rPr>
          <w:szCs w:val="24"/>
        </w:rPr>
        <w:t xml:space="preserve">gave a “banishment order” to the ASU, its Professors and employees. </w:t>
      </w:r>
      <w:r>
        <w:rPr>
          <w:szCs w:val="24"/>
        </w:rPr>
        <w:t>The</w:t>
      </w:r>
      <w:r w:rsidR="0080205E" w:rsidRPr="009548C2">
        <w:rPr>
          <w:szCs w:val="24"/>
        </w:rPr>
        <w:t xml:space="preserve"> Havasupai intended to hold a press conference, however the ASU requested it to not go ahead pending an external investigation </w:t>
      </w:r>
      <w:r w:rsidR="009B71B4">
        <w:rPr>
          <w:szCs w:val="24"/>
        </w:rPr>
        <w:t xml:space="preserve">into </w:t>
      </w:r>
      <w:r w:rsidR="009B71B4" w:rsidRPr="00F67476">
        <w:rPr>
          <w:szCs w:val="24"/>
        </w:rPr>
        <w:t>the circumstances surrounding the collection of blood samples and other research data from members of the Havasupai Tribe and any and all subsequent uses of the samples or their derivatives and other data for research or other purposes”.</w:t>
      </w:r>
      <w:r w:rsidR="009B71B4" w:rsidRPr="00F67476">
        <w:rPr>
          <w:rStyle w:val="FootnoteReference"/>
          <w:szCs w:val="24"/>
        </w:rPr>
        <w:footnoteReference w:id="256"/>
      </w:r>
      <w:r w:rsidR="009B71B4" w:rsidRPr="00F67476">
        <w:rPr>
          <w:szCs w:val="24"/>
        </w:rPr>
        <w:t xml:space="preserve"> </w:t>
      </w:r>
      <w:r w:rsidR="0080205E" w:rsidRPr="00F67476">
        <w:rPr>
          <w:szCs w:val="24"/>
        </w:rPr>
        <w:t xml:space="preserve">This report is known as the Hart Report. </w:t>
      </w:r>
      <w:r w:rsidR="0080205E" w:rsidRPr="009548C2">
        <w:rPr>
          <w:szCs w:val="24"/>
        </w:rPr>
        <w:t xml:space="preserve">Following this report, there were unsuccessful settlement negotiations leading to the Havasupai initiating proceedings against Markow, ASU and the Arizona Board of Regents (ABOR), the governing body for Arizona’s public university system. </w:t>
      </w:r>
    </w:p>
    <w:p w14:paraId="2657629E" w14:textId="54CF5256" w:rsidR="009B71B4" w:rsidRPr="00B429E8" w:rsidRDefault="009B71B4" w:rsidP="00553282">
      <w:pPr>
        <w:pStyle w:val="Heading4"/>
      </w:pPr>
      <w:r w:rsidRPr="00553282">
        <w:t>Havasupa</w:t>
      </w:r>
      <w:r>
        <w:t>i Legal Claims</w:t>
      </w:r>
    </w:p>
    <w:p w14:paraId="33A8D026" w14:textId="460DB0F4" w:rsidR="0080205E" w:rsidRPr="009548C2" w:rsidRDefault="0080205E" w:rsidP="00FF0989">
      <w:pPr/>
      <w:r w:rsidRPr="009548C2">
        <w:t xml:space="preserve">The claims were filed by the Tribe on its own behalf and under the doctrine of </w:t>
      </w:r>
      <w:r w:rsidRPr="009548C2">
        <w:rPr>
          <w:i/>
        </w:rPr>
        <w:t>parens patriae</w:t>
      </w:r>
      <w:r w:rsidRPr="009548C2">
        <w:t xml:space="preserve"> for the members of the Tribe involved in the diabetes project</w:t>
      </w:r>
      <w:r w:rsidR="003D4C6D">
        <w:t>,</w:t>
      </w:r>
      <w:r w:rsidRPr="009548C2">
        <w:t xml:space="preserve"> and by one of the 52 participants who was involved in the blood draws.</w:t>
      </w:r>
      <w:r w:rsidRPr="009548C2">
        <w:rPr>
          <w:rStyle w:val="FootnoteReference"/>
          <w:szCs w:val="24"/>
        </w:rPr>
        <w:footnoteReference w:id="257"/>
      </w:r>
      <w:r w:rsidRPr="009548C2">
        <w:t xml:space="preserve"> The Tribe claimed the following causes of action:</w:t>
      </w:r>
      <w:r w:rsidR="0099608C">
        <w:rPr>
          <w:rStyle w:val="FootnoteReference"/>
          <w:szCs w:val="24"/>
        </w:rPr>
        <w:footnoteReference w:id="258"/>
      </w:r>
    </w:p>
    <w:p w14:paraId="6E4621B6" w14:textId="0C1451F7" w:rsidR="0080205E" w:rsidRPr="009548C2" w:rsidRDefault="001E4D05" w:rsidP="001B3344">
      <w:pPr>
        <w:pStyle w:val="ListBullet"/>
      </w:pPr>
      <w:r>
        <w:t>b</w:t>
      </w:r>
      <w:r w:rsidR="0080205E" w:rsidRPr="009548C2">
        <w:t>reach of fiduciary duty. In particular the tribe observed that there was a lack of informed consent, and there were inadequate procedures for vulnerable subject</w:t>
      </w:r>
      <w:r w:rsidR="00B66869">
        <w:t>s</w:t>
      </w:r>
      <w:r w:rsidR="0080205E" w:rsidRPr="009548C2">
        <w:t xml:space="preserve"> such as children, people with mental illness, and people whose main language was the tribal language</w:t>
      </w:r>
      <w:r>
        <w:t xml:space="preserve">; </w:t>
      </w:r>
    </w:p>
    <w:p w14:paraId="13883024" w14:textId="02991F1D" w:rsidR="0080205E" w:rsidRPr="009548C2" w:rsidRDefault="001E4D05" w:rsidP="001B3344">
      <w:pPr>
        <w:pStyle w:val="ListBullet"/>
      </w:pPr>
      <w:r>
        <w:lastRenderedPageBreak/>
        <w:t>f</w:t>
      </w:r>
      <w:r w:rsidR="0080205E" w:rsidRPr="009548C2">
        <w:t>raud, misrepresentation and fraudulent concealments</w:t>
      </w:r>
      <w:r>
        <w:t>;</w:t>
      </w:r>
      <w:r w:rsidR="0080205E" w:rsidRPr="009548C2">
        <w:t xml:space="preserve"> </w:t>
      </w:r>
    </w:p>
    <w:p w14:paraId="6AAB93A4" w14:textId="474B5FB8" w:rsidR="0080205E" w:rsidRPr="009548C2" w:rsidRDefault="001E4D05" w:rsidP="001B3344">
      <w:pPr>
        <w:pStyle w:val="ListBullet"/>
      </w:pPr>
      <w:r>
        <w:t>i</w:t>
      </w:r>
      <w:r w:rsidR="0080205E" w:rsidRPr="009548C2">
        <w:t>ntentional or negligent infliction of emotional distress</w:t>
      </w:r>
      <w:r>
        <w:t>;</w:t>
      </w:r>
      <w:r w:rsidR="0080205E" w:rsidRPr="009548C2">
        <w:t xml:space="preserve"> </w:t>
      </w:r>
    </w:p>
    <w:p w14:paraId="534BEE1E" w14:textId="31A3FAED" w:rsidR="0080205E" w:rsidRPr="009548C2" w:rsidRDefault="001E4D05" w:rsidP="001B3344">
      <w:pPr>
        <w:pStyle w:val="ListBullet"/>
      </w:pPr>
      <w:r>
        <w:t>c</w:t>
      </w:r>
      <w:r w:rsidR="0080205E" w:rsidRPr="009548C2">
        <w:t>onversion (tort law – person exercises dominion over goods which is in violation of the legal rights of the party who has a right to immediate possession of those goods)</w:t>
      </w:r>
      <w:r>
        <w:t>;</w:t>
      </w:r>
      <w:r w:rsidR="0080205E" w:rsidRPr="009548C2">
        <w:t xml:space="preserve"> </w:t>
      </w:r>
    </w:p>
    <w:p w14:paraId="22FAD230" w14:textId="7ADE21D9" w:rsidR="0080205E" w:rsidRPr="009548C2" w:rsidRDefault="001E4D05" w:rsidP="001B3344">
      <w:pPr>
        <w:pStyle w:val="ListBullet"/>
      </w:pPr>
      <w:r>
        <w:t>v</w:t>
      </w:r>
      <w:r w:rsidR="0080205E" w:rsidRPr="009548C2">
        <w:t>iolation of civil rights</w:t>
      </w:r>
      <w:r>
        <w:t>; and</w:t>
      </w:r>
      <w:r w:rsidR="0080205E" w:rsidRPr="009548C2">
        <w:t xml:space="preserve"> </w:t>
      </w:r>
    </w:p>
    <w:p w14:paraId="0B5E3463" w14:textId="5181646C" w:rsidR="0080205E" w:rsidRPr="009548C2" w:rsidRDefault="001E4D05" w:rsidP="001B3344">
      <w:pPr>
        <w:pStyle w:val="ListBullet"/>
      </w:pPr>
      <w:r>
        <w:t>n</w:t>
      </w:r>
      <w:r w:rsidR="0080205E" w:rsidRPr="009548C2">
        <w:t>egligence</w:t>
      </w:r>
      <w:r w:rsidR="00A12537">
        <w:t xml:space="preserve"> </w:t>
      </w:r>
      <w:r w:rsidR="001B3344">
        <w:t xml:space="preserve">and </w:t>
      </w:r>
      <w:r w:rsidR="001B3344" w:rsidRPr="009548C2">
        <w:t>gross</w:t>
      </w:r>
      <w:r w:rsidR="0080205E" w:rsidRPr="009548C2">
        <w:t xml:space="preserve"> negligence</w:t>
      </w:r>
      <w:r>
        <w:t>.</w:t>
      </w:r>
    </w:p>
    <w:p w14:paraId="5014569E" w14:textId="43ADBB03" w:rsidR="0080205E" w:rsidRPr="009548C2" w:rsidRDefault="0080205E" w:rsidP="00AC73DF">
      <w:pPr>
        <w:rPr>
          <w:szCs w:val="24"/>
        </w:rPr>
      </w:pPr>
      <w:r w:rsidRPr="009548C2">
        <w:rPr>
          <w:szCs w:val="24"/>
        </w:rPr>
        <w:t>The Tribe</w:t>
      </w:r>
      <w:r w:rsidR="00AE336E" w:rsidRPr="009548C2">
        <w:rPr>
          <w:szCs w:val="24"/>
        </w:rPr>
        <w:t>’</w:t>
      </w:r>
      <w:r w:rsidRPr="009548C2">
        <w:rPr>
          <w:szCs w:val="24"/>
        </w:rPr>
        <w:t>s claims centred around the breach of “dignitary torts” that do not require proof of manifestation of injury.</w:t>
      </w:r>
      <w:r w:rsidR="00BE3082">
        <w:rPr>
          <w:rStyle w:val="FootnoteReference"/>
          <w:szCs w:val="24"/>
        </w:rPr>
        <w:footnoteReference w:id="259"/>
      </w:r>
      <w:r w:rsidRPr="009548C2">
        <w:rPr>
          <w:szCs w:val="24"/>
        </w:rPr>
        <w:t xml:space="preserve"> Rather the invasions of privacy that result from the misuse of health information can give rise to “deeply personal and subjective injury of the sort on which the Tribe based its settlement demand”</w:t>
      </w:r>
      <w:r w:rsidR="005E52BD">
        <w:rPr>
          <w:szCs w:val="24"/>
        </w:rPr>
        <w:t>.</w:t>
      </w:r>
      <w:r w:rsidR="005E52BD">
        <w:rPr>
          <w:rStyle w:val="FootnoteReference"/>
          <w:szCs w:val="24"/>
        </w:rPr>
        <w:footnoteReference w:id="260"/>
      </w:r>
      <w:r w:rsidRPr="009548C2">
        <w:rPr>
          <w:szCs w:val="24"/>
        </w:rPr>
        <w:t xml:space="preserve"> </w:t>
      </w:r>
    </w:p>
    <w:p w14:paraId="374BD4F9" w14:textId="4971AC0C" w:rsidR="0080205E" w:rsidRPr="009548C2" w:rsidRDefault="0080205E" w:rsidP="00AC73DF">
      <w:pPr>
        <w:rPr>
          <w:szCs w:val="24"/>
        </w:rPr>
      </w:pPr>
      <w:r w:rsidRPr="009548C2">
        <w:rPr>
          <w:szCs w:val="24"/>
        </w:rPr>
        <w:t xml:space="preserve">Following a long procedural battle in the Court, the Court found that the substantive case would be heard unless the matter settled. The </w:t>
      </w:r>
      <w:r w:rsidR="00BE3082">
        <w:rPr>
          <w:szCs w:val="24"/>
        </w:rPr>
        <w:t>parties</w:t>
      </w:r>
      <w:r w:rsidRPr="009548C2">
        <w:rPr>
          <w:szCs w:val="24"/>
        </w:rPr>
        <w:t xml:space="preserve"> settled</w:t>
      </w:r>
      <w:r w:rsidR="00BE3082">
        <w:rPr>
          <w:szCs w:val="24"/>
        </w:rPr>
        <w:t xml:space="preserve"> </w:t>
      </w:r>
      <w:r w:rsidRPr="009548C2">
        <w:rPr>
          <w:szCs w:val="24"/>
        </w:rPr>
        <w:t>in 2010 with ABOR paying the plaintiffs $</w:t>
      </w:r>
      <w:r w:rsidR="00D94D5E">
        <w:rPr>
          <w:szCs w:val="24"/>
        </w:rPr>
        <w:t>USD</w:t>
      </w:r>
      <w:r w:rsidRPr="009548C2">
        <w:rPr>
          <w:szCs w:val="24"/>
        </w:rPr>
        <w:t>700,000, returning all blood samples and research deriving from it. Secondly, the ABOR also initiated a five-year collaborative project with the Havasupai in  the areas of education, clinical care and tourism.</w:t>
      </w:r>
    </w:p>
    <w:p w14:paraId="2F9F6BDC" w14:textId="480A8837" w:rsidR="0080205E" w:rsidRPr="009548C2" w:rsidRDefault="0080205E" w:rsidP="00AC73DF">
      <w:pPr>
        <w:rPr>
          <w:szCs w:val="24"/>
        </w:rPr>
      </w:pPr>
      <w:r w:rsidRPr="009548C2">
        <w:rPr>
          <w:szCs w:val="24"/>
        </w:rPr>
        <w:t>What was also significant was that in 2002, the Navajo Nation passed a moratorium on genetic research within their borders. This moratorium</w:t>
      </w:r>
      <w:r w:rsidR="004E3834">
        <w:rPr>
          <w:szCs w:val="24"/>
        </w:rPr>
        <w:t xml:space="preserve"> </w:t>
      </w:r>
      <w:r w:rsidRPr="009548C2">
        <w:rPr>
          <w:szCs w:val="24"/>
        </w:rPr>
        <w:t xml:space="preserve">raised </w:t>
      </w:r>
      <w:r w:rsidR="00242570" w:rsidRPr="009548C2">
        <w:rPr>
          <w:szCs w:val="24"/>
        </w:rPr>
        <w:t>several</w:t>
      </w:r>
      <w:r w:rsidRPr="009548C2">
        <w:rPr>
          <w:szCs w:val="24"/>
        </w:rPr>
        <w:t xml:space="preserve"> important issues around appropriate consent procedures, mistrust of medical researchers, unequal benefit sharing, community exploitation by researchers and adherence to cultural protocols</w:t>
      </w:r>
      <w:r w:rsidR="00594A48">
        <w:rPr>
          <w:szCs w:val="24"/>
        </w:rPr>
        <w:t xml:space="preserve">. </w:t>
      </w:r>
    </w:p>
    <w:p w14:paraId="11F9B51C" w14:textId="571881EB" w:rsidR="0080205E" w:rsidRPr="009548C2" w:rsidRDefault="0080205E" w:rsidP="00AC73DF">
      <w:pPr>
        <w:rPr>
          <w:szCs w:val="24"/>
        </w:rPr>
      </w:pPr>
      <w:r w:rsidRPr="009548C2">
        <w:rPr>
          <w:szCs w:val="24"/>
        </w:rPr>
        <w:t xml:space="preserve">Key </w:t>
      </w:r>
      <w:r w:rsidR="00AC77BC">
        <w:rPr>
          <w:szCs w:val="24"/>
        </w:rPr>
        <w:t>t</w:t>
      </w:r>
      <w:r w:rsidRPr="009548C2">
        <w:rPr>
          <w:szCs w:val="24"/>
        </w:rPr>
        <w:t>ake away</w:t>
      </w:r>
      <w:r w:rsidR="00AC77BC">
        <w:rPr>
          <w:szCs w:val="24"/>
        </w:rPr>
        <w:t xml:space="preserve"> points</w:t>
      </w:r>
      <w:r w:rsidRPr="009548C2">
        <w:rPr>
          <w:szCs w:val="24"/>
        </w:rPr>
        <w:t xml:space="preserve"> from the Havasupai</w:t>
      </w:r>
      <w:r w:rsidR="00D34CEC" w:rsidRPr="009548C2">
        <w:rPr>
          <w:szCs w:val="24"/>
        </w:rPr>
        <w:t xml:space="preserve"> </w:t>
      </w:r>
      <w:r w:rsidR="00AC77BC">
        <w:rPr>
          <w:szCs w:val="24"/>
        </w:rPr>
        <w:t xml:space="preserve">case </w:t>
      </w:r>
      <w:r w:rsidR="00D34CEC" w:rsidRPr="009548C2">
        <w:rPr>
          <w:szCs w:val="24"/>
        </w:rPr>
        <w:t>are:</w:t>
      </w:r>
    </w:p>
    <w:p w14:paraId="33A5B303" w14:textId="623CE957" w:rsidR="0080205E" w:rsidRPr="009548C2" w:rsidRDefault="0057197E" w:rsidP="001B3344">
      <w:pPr>
        <w:pStyle w:val="ListBullet"/>
      </w:pPr>
      <w:r>
        <w:t>c</w:t>
      </w:r>
      <w:r w:rsidR="0080205E" w:rsidRPr="009548C2">
        <w:t>onsent forms and clear understanding</w:t>
      </w:r>
      <w:r>
        <w:t>;</w:t>
      </w:r>
    </w:p>
    <w:p w14:paraId="76D14AA2" w14:textId="3BF29061" w:rsidR="0080205E" w:rsidRPr="009548C2" w:rsidRDefault="0057197E" w:rsidP="001B3344">
      <w:pPr>
        <w:pStyle w:val="ListBullet"/>
      </w:pPr>
      <w:r>
        <w:t>n</w:t>
      </w:r>
      <w:r w:rsidR="0080205E" w:rsidRPr="009548C2">
        <w:t>eed to implement cultural protocols as misuse of samples from an Indigenous perspective could not breach any university ethics guidelines</w:t>
      </w:r>
      <w:r>
        <w:t>;</w:t>
      </w:r>
    </w:p>
    <w:p w14:paraId="5629332B" w14:textId="6399B579" w:rsidR="0080205E" w:rsidRPr="009548C2" w:rsidRDefault="0057197E" w:rsidP="001B3344">
      <w:pPr>
        <w:pStyle w:val="ListBullet"/>
      </w:pPr>
      <w:r>
        <w:t>n</w:t>
      </w:r>
      <w:r w:rsidR="0080205E" w:rsidRPr="009548C2">
        <w:t>eed to report back on all findings to donors</w:t>
      </w:r>
      <w:r>
        <w:t>;</w:t>
      </w:r>
    </w:p>
    <w:p w14:paraId="059CDE74" w14:textId="1AD3D3CD" w:rsidR="0080205E" w:rsidRPr="009548C2" w:rsidRDefault="0057197E" w:rsidP="001B3344">
      <w:pPr>
        <w:pStyle w:val="ListBullet"/>
      </w:pPr>
      <w:r>
        <w:t>b</w:t>
      </w:r>
      <w:r w:rsidR="0080205E" w:rsidRPr="009548C2">
        <w:t>enefit sharing with the donor community</w:t>
      </w:r>
      <w:r>
        <w:t>; and</w:t>
      </w:r>
    </w:p>
    <w:p w14:paraId="72B5DEAF" w14:textId="4F1B617B" w:rsidR="0080205E" w:rsidRPr="009548C2" w:rsidRDefault="0057197E" w:rsidP="001B3344">
      <w:pPr>
        <w:pStyle w:val="ListBullet"/>
      </w:pPr>
      <w:r>
        <w:t>t</w:t>
      </w:r>
      <w:r w:rsidR="0080205E" w:rsidRPr="009548C2">
        <w:t xml:space="preserve">he Tribe seeking a claim under </w:t>
      </w:r>
      <w:r w:rsidR="00E140F9">
        <w:rPr>
          <w:i/>
          <w:iCs/>
        </w:rPr>
        <w:t>p</w:t>
      </w:r>
      <w:r w:rsidR="0080205E" w:rsidRPr="00E140F9">
        <w:rPr>
          <w:i/>
          <w:iCs/>
        </w:rPr>
        <w:t xml:space="preserve">arens </w:t>
      </w:r>
      <w:r w:rsidR="00E140F9">
        <w:rPr>
          <w:i/>
          <w:iCs/>
        </w:rPr>
        <w:t>p</w:t>
      </w:r>
      <w:r w:rsidR="0080205E" w:rsidRPr="00E140F9">
        <w:rPr>
          <w:i/>
          <w:iCs/>
        </w:rPr>
        <w:t>atriae</w:t>
      </w:r>
      <w:r w:rsidR="0080205E" w:rsidRPr="009548C2">
        <w:t xml:space="preserve"> demonstrates the need for Community consent</w:t>
      </w:r>
      <w:r w:rsidR="002E0122">
        <w:t xml:space="preserve"> (see below)</w:t>
      </w:r>
      <w:r w:rsidR="0080205E" w:rsidRPr="009548C2">
        <w:t>.</w:t>
      </w:r>
    </w:p>
    <w:p w14:paraId="118B9950" w14:textId="316EBE93" w:rsidR="00915269" w:rsidRDefault="00915269" w:rsidP="003173E3">
      <w:pPr>
        <w:pStyle w:val="Heading4"/>
      </w:pPr>
      <w:r>
        <w:t>Parens Patriae</w:t>
      </w:r>
    </w:p>
    <w:p w14:paraId="26A26F05" w14:textId="1C37BB84" w:rsidR="00557C42" w:rsidRPr="008E5C92" w:rsidRDefault="00915269" w:rsidP="00AC73DF">
      <w:r>
        <w:t xml:space="preserve">In this case, the claim of </w:t>
      </w:r>
      <w:r w:rsidRPr="00242570">
        <w:rPr>
          <w:i/>
        </w:rPr>
        <w:t>parens patriae</w:t>
      </w:r>
      <w:r>
        <w:rPr>
          <w:i/>
          <w:iCs/>
        </w:rPr>
        <w:t xml:space="preserve"> </w:t>
      </w:r>
      <w:r>
        <w:t xml:space="preserve">was bought by the Tribe on behalf of its citizens. This raises questions of </w:t>
      </w:r>
      <w:r w:rsidR="00C179C6">
        <w:t xml:space="preserve">law </w:t>
      </w:r>
      <w:r>
        <w:t xml:space="preserve">whether this could be implied in Australia for </w:t>
      </w:r>
      <w:r w:rsidR="00363DA4">
        <w:t xml:space="preserve">Prescribed Body Corporates, </w:t>
      </w:r>
      <w:r>
        <w:t xml:space="preserve">Land Councils or </w:t>
      </w:r>
      <w:r w:rsidR="00363DA4">
        <w:t>Regional Authorities</w:t>
      </w:r>
      <w:r>
        <w:t xml:space="preserve"> in </w:t>
      </w:r>
      <w:r w:rsidR="00363DA4">
        <w:t>Australia.</w:t>
      </w:r>
      <w:r w:rsidR="0080205E" w:rsidRPr="008E5C92">
        <w:rPr>
          <w:vertAlign w:val="superscript"/>
        </w:rPr>
        <w:footnoteReference w:id="261"/>
      </w:r>
      <w:r w:rsidR="00C179C6">
        <w:t xml:space="preserve"> Historically</w:t>
      </w:r>
      <w:r w:rsidR="00994F93">
        <w:t xml:space="preserve">, the doctrine of </w:t>
      </w:r>
      <w:r w:rsidR="00C179C6">
        <w:t xml:space="preserve"> </w:t>
      </w:r>
      <w:r w:rsidR="00C179C6" w:rsidRPr="00731515">
        <w:rPr>
          <w:i/>
        </w:rPr>
        <w:t>parens patriae</w:t>
      </w:r>
      <w:r w:rsidR="00735B8C">
        <w:t xml:space="preserve"> has been used to order the protection and education of children, </w:t>
      </w:r>
      <w:r w:rsidR="00F77E4D">
        <w:t>‘wards’ or those incapable of exercising it themselves.</w:t>
      </w:r>
      <w:r w:rsidR="00F77E4D">
        <w:rPr>
          <w:rStyle w:val="FootnoteReference"/>
        </w:rPr>
        <w:footnoteReference w:id="262"/>
      </w:r>
      <w:r w:rsidR="00735B8C">
        <w:t xml:space="preserve"> </w:t>
      </w:r>
      <w:r w:rsidR="00994F93">
        <w:t>Its application in present day is “wide-ranging and far-reaching</w:t>
      </w:r>
      <w:r w:rsidR="00232DD4">
        <w:t>…as far as necessary for the protection and education of the child”.</w:t>
      </w:r>
      <w:r w:rsidR="00232DD4">
        <w:rPr>
          <w:rStyle w:val="FootnoteReference"/>
        </w:rPr>
        <w:footnoteReference w:id="263"/>
      </w:r>
      <w:r w:rsidR="0018035E">
        <w:t xml:space="preserve"> </w:t>
      </w:r>
      <w:r w:rsidR="00AB7779">
        <w:t xml:space="preserve">As </w:t>
      </w:r>
      <w:r w:rsidR="00AB7779">
        <w:lastRenderedPageBreak/>
        <w:t xml:space="preserve">such, it is a welfare and equitable based law, that could see expansion for claims by </w:t>
      </w:r>
      <w:r w:rsidR="00EF51B5">
        <w:t xml:space="preserve">a State on behalf of citizens for misuse of DNA, or damages caused by overseas based </w:t>
      </w:r>
      <w:r w:rsidR="005202C7">
        <w:t>entities</w:t>
      </w:r>
      <w:r w:rsidR="00EF51B5">
        <w:t xml:space="preserve"> operating in Australia or potentially by </w:t>
      </w:r>
      <w:r w:rsidR="005202C7">
        <w:t xml:space="preserve">representative bodies of </w:t>
      </w:r>
      <w:r w:rsidR="00222170">
        <w:t xml:space="preserve">Aboriginal or Torres Strait Islander </w:t>
      </w:r>
      <w:r w:rsidR="005202C7">
        <w:t>patients.</w:t>
      </w:r>
    </w:p>
    <w:p w14:paraId="7DBD20F0" w14:textId="11D2844E" w:rsidR="00036AEE" w:rsidRPr="008E5C92" w:rsidRDefault="003F6A6B" w:rsidP="00AC73DF">
      <w:pPr>
        <w:pStyle w:val="Heading2"/>
        <w:rPr>
          <w:lang w:val="en-AU"/>
        </w:rPr>
      </w:pPr>
      <w:bookmarkStart w:id="211" w:name="_Toc118824410"/>
      <w:r w:rsidRPr="008E5C92">
        <w:rPr>
          <w:lang w:val="en-AU"/>
        </w:rPr>
        <w:t>What International examples are there of best practice research methodologies?</w:t>
      </w:r>
      <w:bookmarkStart w:id="212" w:name="_Toc36215542"/>
      <w:bookmarkEnd w:id="211"/>
    </w:p>
    <w:p w14:paraId="4BA8A5A6" w14:textId="77777777" w:rsidR="00842C49" w:rsidRDefault="00DD558E" w:rsidP="00C57291">
      <w:pPr>
        <w:pStyle w:val="Heading3"/>
      </w:pPr>
      <w:bookmarkStart w:id="213" w:name="_Toc118824411"/>
      <w:bookmarkEnd w:id="212"/>
      <w:r>
        <w:t xml:space="preserve">The Slim </w:t>
      </w:r>
      <w:r w:rsidR="00D34CEC" w:rsidRPr="008E5C92">
        <w:t>Initiative</w:t>
      </w:r>
      <w:r>
        <w:t xml:space="preserve"> for Genomic Medicine in the Americas (</w:t>
      </w:r>
      <w:r w:rsidR="00843998">
        <w:t>SIGM</w:t>
      </w:r>
      <w:r w:rsidR="00842C49">
        <w:t>A)</w:t>
      </w:r>
      <w:bookmarkEnd w:id="213"/>
    </w:p>
    <w:p w14:paraId="0246B61C" w14:textId="447C9CCD" w:rsidR="003E40AE" w:rsidRDefault="00842C49" w:rsidP="00F571B0">
      <w:pPr>
        <w:rPr>
          <w:b/>
          <w:i/>
        </w:rPr>
      </w:pPr>
      <w:r>
        <w:t xml:space="preserve">The Slim Initiative for Genomic Medicine in the Americas is </w:t>
      </w:r>
      <w:r w:rsidR="00DD558E" w:rsidRPr="00842C49">
        <w:t xml:space="preserve">a </w:t>
      </w:r>
      <w:r w:rsidR="00D34CEC" w:rsidRPr="00842C49">
        <w:t>collaboration</w:t>
      </w:r>
      <w:r w:rsidR="00DD558E" w:rsidRPr="00842C49">
        <w:t xml:space="preserve"> </w:t>
      </w:r>
      <w:r w:rsidR="00845996">
        <w:t>project con</w:t>
      </w:r>
      <w:r w:rsidR="005A2176">
        <w:t>vened by</w:t>
      </w:r>
      <w:r w:rsidR="00DD558E" w:rsidRPr="00842C49">
        <w:t xml:space="preserve"> the </w:t>
      </w:r>
      <w:r w:rsidR="007B2BC6">
        <w:t>Carlos Slim Centre for Health Research</w:t>
      </w:r>
      <w:r w:rsidR="005266DF">
        <w:t xml:space="preserve"> </w:t>
      </w:r>
      <w:r w:rsidR="005A2176">
        <w:t>established</w:t>
      </w:r>
      <w:r w:rsidR="005266DF">
        <w:t xml:space="preserve"> in </w:t>
      </w:r>
      <w:r w:rsidR="005A2176">
        <w:t xml:space="preserve">2010 </w:t>
      </w:r>
      <w:r w:rsidR="00314C6B">
        <w:t xml:space="preserve">from </w:t>
      </w:r>
      <w:r w:rsidR="000B795F">
        <w:t xml:space="preserve">$65m </w:t>
      </w:r>
      <w:r w:rsidR="00314C6B">
        <w:t>funding from the Carlo</w:t>
      </w:r>
      <w:r w:rsidR="000B795F">
        <w:t>s</w:t>
      </w:r>
      <w:r w:rsidR="00314C6B">
        <w:t xml:space="preserve"> Jim Foundation. The </w:t>
      </w:r>
      <w:r w:rsidR="00415014">
        <w:t>Centre</w:t>
      </w:r>
      <w:r w:rsidR="00314C6B">
        <w:t xml:space="preserve"> aims to ensure that Latin Americans benefit from genomics</w:t>
      </w:r>
      <w:r w:rsidR="00415014">
        <w:t xml:space="preserve"> and promotes access to genomic medicine in Mexico and Latin America by support research programs that focus of local and regional health needs.</w:t>
      </w:r>
      <w:r w:rsidR="00677344">
        <w:t xml:space="preserve"> T</w:t>
      </w:r>
      <w:r w:rsidR="00415014">
        <w:t>h</w:t>
      </w:r>
      <w:r w:rsidR="001A192F">
        <w:t xml:space="preserve">e </w:t>
      </w:r>
      <w:r w:rsidR="00943E70">
        <w:t>Ce</w:t>
      </w:r>
      <w:r w:rsidR="001A192F">
        <w:t>n</w:t>
      </w:r>
      <w:r w:rsidR="00943E70">
        <w:t>t</w:t>
      </w:r>
      <w:r w:rsidR="009B1EA8">
        <w:t>r</w:t>
      </w:r>
      <w:r w:rsidR="001A192F">
        <w:t xml:space="preserve">e launched SIGMA </w:t>
      </w:r>
      <w:r w:rsidR="00C96223">
        <w:t>beginning the initial research by working closing with Mexican coll</w:t>
      </w:r>
      <w:r w:rsidR="00943E70">
        <w:t>e</w:t>
      </w:r>
      <w:r w:rsidR="00C96223">
        <w:t>agues from  range of research institutes led by the Mexican National Institute of Genomic Medicine</w:t>
      </w:r>
      <w:r w:rsidR="00943E70">
        <w:t>.</w:t>
      </w:r>
      <w:r w:rsidR="00E44807">
        <w:rPr>
          <w:rStyle w:val="FootnoteReference"/>
        </w:rPr>
        <w:footnoteReference w:id="264"/>
      </w:r>
      <w:r w:rsidR="00943E70">
        <w:t xml:space="preserve"> </w:t>
      </w:r>
      <w:r w:rsidR="00A3701B">
        <w:t>Scientists found a common genetic variant predisposing Latin American populations to the type 2 diabetes</w:t>
      </w:r>
      <w:r w:rsidR="00537837">
        <w:t xml:space="preserve">, including </w:t>
      </w:r>
      <w:r w:rsidR="00BD336C">
        <w:t>research that indicated that indigenous Mexicans</w:t>
      </w:r>
      <w:r w:rsidR="00E44807">
        <w:t xml:space="preserve">, </w:t>
      </w:r>
      <w:r w:rsidR="00BD336C">
        <w:t>10% of the population</w:t>
      </w:r>
      <w:r w:rsidR="009700C4">
        <w:t xml:space="preserve">, have genetic risk </w:t>
      </w:r>
      <w:r w:rsidR="00E44807">
        <w:t>factors.</w:t>
      </w:r>
      <w:r w:rsidR="003150CE">
        <w:rPr>
          <w:rStyle w:val="FootnoteReference"/>
        </w:rPr>
        <w:footnoteReference w:id="265"/>
      </w:r>
      <w:r w:rsidR="00537837">
        <w:t xml:space="preserve"> </w:t>
      </w:r>
      <w:r w:rsidR="00C648B4">
        <w:t xml:space="preserve">The project identified </w:t>
      </w:r>
      <w:r w:rsidR="00A82B25">
        <w:t xml:space="preserve">other </w:t>
      </w:r>
      <w:r w:rsidR="00C648B4">
        <w:t>genetic links to cancer and kidney disease</w:t>
      </w:r>
      <w:r w:rsidR="007D2C94">
        <w:t>.</w:t>
      </w:r>
    </w:p>
    <w:p w14:paraId="559DDE3C" w14:textId="07788E26" w:rsidR="001703BD" w:rsidRPr="005A2FCB" w:rsidRDefault="003E40AE" w:rsidP="00F571B0">
      <w:r>
        <w:t>In 2015, with a further contribution of $74.1m for the Carlos Slim Foundation the Broad Instit</w:t>
      </w:r>
      <w:r w:rsidR="00A36623">
        <w:t>u</w:t>
      </w:r>
      <w:r>
        <w:t xml:space="preserve">te </w:t>
      </w:r>
      <w:r w:rsidR="004316E2">
        <w:t>developed the Type 2 Diabetes Genetic Knowledge Portal. The Po</w:t>
      </w:r>
      <w:r w:rsidR="007D2C94">
        <w:t>rtal is designed to assist more researchers to study type 2 diabetes.</w:t>
      </w:r>
      <w:r w:rsidR="00535375">
        <w:rPr>
          <w:rStyle w:val="FootnoteReference"/>
        </w:rPr>
        <w:footnoteReference w:id="266"/>
      </w:r>
    </w:p>
    <w:p w14:paraId="6714EF42" w14:textId="59003C24" w:rsidR="00E55687" w:rsidRPr="005A2FCB" w:rsidRDefault="00535B42" w:rsidP="00E55687">
      <w:pPr>
        <w:pStyle w:val="Heading3"/>
      </w:pPr>
      <w:bookmarkStart w:id="214" w:name="_Toc118824412"/>
      <w:r w:rsidRPr="008E5C92">
        <w:t>Welcome</w:t>
      </w:r>
      <w:r w:rsidR="00DD558E">
        <w:t xml:space="preserve"> Trust/NIH Human Heredity &amp; Health in Africa (</w:t>
      </w:r>
      <w:r w:rsidR="00D53356">
        <w:t>H</w:t>
      </w:r>
      <w:r w:rsidR="00DD558E">
        <w:t xml:space="preserve">3Africa) </w:t>
      </w:r>
      <w:r w:rsidR="00D53356">
        <w:t>project (&gt;$50M)</w:t>
      </w:r>
      <w:bookmarkEnd w:id="214"/>
    </w:p>
    <w:p w14:paraId="6C485B56" w14:textId="1C8759FE" w:rsidR="00625689" w:rsidRPr="00FF0989" w:rsidRDefault="00CD0826" w:rsidP="00FF0989">
      <w:r w:rsidRPr="00CD0826">
        <w:t>T</w:t>
      </w:r>
      <w:r w:rsidR="00B217E9" w:rsidRPr="00CD0826">
        <w:t xml:space="preserve">he Human Heredity and Health in Africa (H3Africa) consortium facilitates fundamental </w:t>
      </w:r>
      <w:r w:rsidR="00B217E9" w:rsidRPr="006C76E2">
        <w:t>research into diseases on the African continent while also developing infrastructure, resources, training, and ethical guidelines to support a sustainable African research enterprise – led by African scientists, for the African people</w:t>
      </w:r>
      <w:r w:rsidRPr="006C76E2">
        <w:t>.</w:t>
      </w:r>
      <w:r w:rsidRPr="006C76E2">
        <w:rPr>
          <w:rStyle w:val="FootnoteReference"/>
        </w:rPr>
        <w:footnoteReference w:id="267"/>
      </w:r>
      <w:r w:rsidR="00040B30" w:rsidRPr="006C76E2">
        <w:t xml:space="preserve"> The project empower African scientists to take the lead on proje</w:t>
      </w:r>
      <w:r w:rsidR="006C76E2" w:rsidRPr="006C76E2">
        <w:t>c</w:t>
      </w:r>
      <w:r w:rsidR="00040B30" w:rsidRPr="006C76E2">
        <w:t xml:space="preserve">ts </w:t>
      </w:r>
      <w:r w:rsidR="006C76E2">
        <w:t>t</w:t>
      </w:r>
      <w:r w:rsidR="006C76E2" w:rsidRPr="006C76E2">
        <w:rPr>
          <w:rFonts w:cs="Arial"/>
          <w:shd w:val="clear" w:color="auto" w:fill="FFFFFF"/>
        </w:rPr>
        <w:t>hat include population-based genomic studies of common, non-communicable disorders such as heart and renal disease, as well as communicable diseases such as tuberculosis.</w:t>
      </w:r>
      <w:r w:rsidR="00625689">
        <w:rPr>
          <w:rFonts w:cs="Arial"/>
          <w:shd w:val="clear" w:color="auto" w:fill="FFFFFF"/>
        </w:rPr>
        <w:t xml:space="preserve"> To safeguard for the future, a database has been</w:t>
      </w:r>
      <w:r w:rsidR="00C8548D">
        <w:rPr>
          <w:rFonts w:cs="Arial"/>
          <w:shd w:val="clear" w:color="auto" w:fill="FFFFFF"/>
        </w:rPr>
        <w:t xml:space="preserve"> </w:t>
      </w:r>
      <w:r w:rsidR="00625689">
        <w:rPr>
          <w:rFonts w:cs="Arial"/>
          <w:shd w:val="clear" w:color="auto" w:fill="FFFFFF"/>
        </w:rPr>
        <w:t xml:space="preserve">established to </w:t>
      </w:r>
      <w:r w:rsidR="00C8548D">
        <w:rPr>
          <w:rFonts w:cs="Arial"/>
          <w:shd w:val="clear" w:color="auto" w:fill="FFFFFF"/>
        </w:rPr>
        <w:t>s</w:t>
      </w:r>
      <w:r w:rsidR="00625689" w:rsidRPr="00C8548D">
        <w:rPr>
          <w:rFonts w:cs="Arial"/>
          <w:shd w:val="clear" w:color="auto" w:fill="FFFFFF"/>
        </w:rPr>
        <w:t>ecurely archiving the genomic and phenotypic research data generated by the H3Africa projects</w:t>
      </w:r>
      <w:r w:rsidR="00C8548D" w:rsidRPr="00C8548D">
        <w:rPr>
          <w:rFonts w:cs="Arial"/>
          <w:shd w:val="clear" w:color="auto" w:fill="FFFFFF"/>
        </w:rPr>
        <w:t>.</w:t>
      </w:r>
      <w:r w:rsidR="00E66C0C">
        <w:rPr>
          <w:rFonts w:cs="Arial"/>
          <w:shd w:val="clear" w:color="auto" w:fill="FFFFFF"/>
        </w:rPr>
        <w:t xml:space="preserve"> The H3 Arc</w:t>
      </w:r>
      <w:r w:rsidR="00C8467C">
        <w:rPr>
          <w:rFonts w:cs="Arial"/>
          <w:shd w:val="clear" w:color="auto" w:fill="FFFFFF"/>
        </w:rPr>
        <w:t xml:space="preserve">hive collects data that meets its </w:t>
      </w:r>
      <w:r w:rsidR="00A814AE">
        <w:rPr>
          <w:rFonts w:cs="Arial"/>
          <w:shd w:val="clear" w:color="auto" w:fill="FFFFFF"/>
        </w:rPr>
        <w:t xml:space="preserve">data submission </w:t>
      </w:r>
      <w:r w:rsidR="00C8467C" w:rsidRPr="00A0044A">
        <w:rPr>
          <w:rFonts w:cs="Arial"/>
          <w:shd w:val="clear" w:color="auto" w:fill="FFFFFF"/>
        </w:rPr>
        <w:t>criteria, and manages access to</w:t>
      </w:r>
      <w:r w:rsidR="00A0044A" w:rsidRPr="00A0044A">
        <w:rPr>
          <w:rFonts w:cs="Arial"/>
          <w:shd w:val="clear" w:color="auto" w:fill="FFFFFF"/>
        </w:rPr>
        <w:t>, and transfer of</w:t>
      </w:r>
      <w:r w:rsidR="00C8467C" w:rsidRPr="00A0044A">
        <w:rPr>
          <w:rFonts w:cs="Arial"/>
          <w:shd w:val="clear" w:color="auto" w:fill="FFFFFF"/>
        </w:rPr>
        <w:t xml:space="preserve"> </w:t>
      </w:r>
      <w:r w:rsidR="00A0044A" w:rsidRPr="00A0044A">
        <w:rPr>
          <w:rFonts w:cs="Arial"/>
          <w:shd w:val="clear" w:color="auto" w:fill="FFFFFF"/>
        </w:rPr>
        <w:t>biospecimens,</w:t>
      </w:r>
      <w:r w:rsidR="00C8467C" w:rsidRPr="00A0044A">
        <w:rPr>
          <w:rFonts w:cs="Arial"/>
          <w:shd w:val="clear" w:color="auto" w:fill="FFFFFF"/>
        </w:rPr>
        <w:t xml:space="preserve"> by having controlled </w:t>
      </w:r>
      <w:r w:rsidR="00A0044A" w:rsidRPr="00A0044A">
        <w:rPr>
          <w:rFonts w:cs="Arial"/>
          <w:shd w:val="clear" w:color="auto" w:fill="FFFFFF"/>
        </w:rPr>
        <w:t xml:space="preserve">access </w:t>
      </w:r>
      <w:r w:rsidR="00C8467C" w:rsidRPr="00A0044A">
        <w:rPr>
          <w:rFonts w:cs="Arial"/>
          <w:shd w:val="clear" w:color="auto" w:fill="FFFFFF"/>
        </w:rPr>
        <w:t>policies.</w:t>
      </w:r>
      <w:r w:rsidR="00C8467C" w:rsidRPr="00A0044A">
        <w:rPr>
          <w:rStyle w:val="FootnoteReference"/>
          <w:rFonts w:cs="Arial"/>
          <w:shd w:val="clear" w:color="auto" w:fill="FFFFFF"/>
        </w:rPr>
        <w:footnoteReference w:id="268"/>
      </w:r>
    </w:p>
    <w:p w14:paraId="7B9C153F" w14:textId="633A269F" w:rsidR="00D76F6D" w:rsidRDefault="00D53356" w:rsidP="00D76F6D">
      <w:pPr>
        <w:rPr>
          <w:lang w:val="en-US"/>
        </w:rPr>
      </w:pPr>
      <w:r>
        <w:lastRenderedPageBreak/>
        <w:t>Simons</w:t>
      </w:r>
      <w:r w:rsidR="00475863">
        <w:t xml:space="preserve"> </w:t>
      </w:r>
      <w:r>
        <w:t>Foundation’s Genome Diversity Project</w:t>
      </w:r>
      <w:r w:rsidR="006E731B">
        <w:rPr>
          <w:lang w:val="en-US"/>
        </w:rPr>
        <w:t>The Simons Foundation has</w:t>
      </w:r>
      <w:r w:rsidR="00413A0C">
        <w:rPr>
          <w:lang w:val="en-US"/>
        </w:rPr>
        <w:t xml:space="preserve"> developed</w:t>
      </w:r>
      <w:r w:rsidR="00413A0C" w:rsidDel="004F132A">
        <w:rPr>
          <w:lang w:val="en-US"/>
        </w:rPr>
        <w:t xml:space="preserve"> </w:t>
      </w:r>
      <w:r w:rsidR="004F132A">
        <w:rPr>
          <w:lang w:val="en-US"/>
        </w:rPr>
        <w:t>the</w:t>
      </w:r>
      <w:r w:rsidR="00413A0C">
        <w:rPr>
          <w:lang w:val="en-US"/>
        </w:rPr>
        <w:t xml:space="preserve"> Simons Genome Diversity Project which </w:t>
      </w:r>
      <w:r w:rsidR="00DA300B">
        <w:rPr>
          <w:lang w:val="en-US"/>
        </w:rPr>
        <w:t>holds complete genome sequence from more than one hundred diverse human populations.</w:t>
      </w:r>
      <w:r w:rsidR="00485B65">
        <w:rPr>
          <w:rStyle w:val="FootnoteReference"/>
          <w:lang w:val="en-US"/>
        </w:rPr>
        <w:footnoteReference w:id="269"/>
      </w:r>
      <w:r w:rsidR="0056704A">
        <w:rPr>
          <w:lang w:val="en-US"/>
        </w:rPr>
        <w:t xml:space="preserve"> </w:t>
      </w:r>
      <w:r w:rsidR="00B45268">
        <w:rPr>
          <w:lang w:val="en-US"/>
        </w:rPr>
        <w:t xml:space="preserve">The </w:t>
      </w:r>
      <w:r w:rsidR="00E134E3">
        <w:rPr>
          <w:lang w:val="en-US"/>
        </w:rPr>
        <w:t xml:space="preserve">SGDP </w:t>
      </w:r>
      <w:r w:rsidR="00791A81">
        <w:rPr>
          <w:lang w:val="en-US"/>
        </w:rPr>
        <w:t xml:space="preserve">is a public project </w:t>
      </w:r>
      <w:r w:rsidR="000167BE">
        <w:rPr>
          <w:lang w:val="en-US"/>
        </w:rPr>
        <w:t xml:space="preserve">containing open access files. </w:t>
      </w:r>
      <w:r w:rsidR="007B5526">
        <w:rPr>
          <w:lang w:val="en-US"/>
        </w:rPr>
        <w:t>The collection is more cultura</w:t>
      </w:r>
      <w:r w:rsidR="00B97C8D">
        <w:rPr>
          <w:lang w:val="en-US"/>
        </w:rPr>
        <w:t>l</w:t>
      </w:r>
      <w:r w:rsidR="007B5526">
        <w:rPr>
          <w:lang w:val="en-US"/>
        </w:rPr>
        <w:t>l</w:t>
      </w:r>
      <w:r w:rsidR="00B97C8D">
        <w:rPr>
          <w:lang w:val="en-US"/>
        </w:rPr>
        <w:t>y</w:t>
      </w:r>
      <w:r w:rsidR="007B5526">
        <w:rPr>
          <w:lang w:val="en-US"/>
        </w:rPr>
        <w:t xml:space="preserve"> diverse than other collections.  </w:t>
      </w:r>
      <w:r w:rsidR="0056704A">
        <w:rPr>
          <w:lang w:val="en-US"/>
        </w:rPr>
        <w:t xml:space="preserve">The primary dataset contains data from </w:t>
      </w:r>
      <w:r w:rsidR="00477ADF">
        <w:rPr>
          <w:lang w:val="en-US"/>
        </w:rPr>
        <w:t xml:space="preserve">over </w:t>
      </w:r>
      <w:r w:rsidR="0056704A">
        <w:rPr>
          <w:lang w:val="en-US"/>
        </w:rPr>
        <w:t xml:space="preserve">260 genomes from </w:t>
      </w:r>
      <w:r w:rsidR="00477ADF">
        <w:rPr>
          <w:lang w:val="en-US"/>
        </w:rPr>
        <w:t xml:space="preserve">more than </w:t>
      </w:r>
      <w:r w:rsidR="0056704A">
        <w:rPr>
          <w:lang w:val="en-US"/>
        </w:rPr>
        <w:t>127 populations includ</w:t>
      </w:r>
      <w:r w:rsidR="00FC4377">
        <w:rPr>
          <w:lang w:val="en-US"/>
        </w:rPr>
        <w:t xml:space="preserve">ing 22 African </w:t>
      </w:r>
      <w:r w:rsidR="00B76AF8">
        <w:rPr>
          <w:lang w:val="en-US"/>
        </w:rPr>
        <w:t>I</w:t>
      </w:r>
      <w:r w:rsidR="00FC4377">
        <w:rPr>
          <w:lang w:val="en-US"/>
        </w:rPr>
        <w:t>ndigenous populations,</w:t>
      </w:r>
      <w:r w:rsidR="0056704A">
        <w:rPr>
          <w:lang w:val="en-US"/>
        </w:rPr>
        <w:t xml:space="preserve"> 23 Native Americans</w:t>
      </w:r>
      <w:r w:rsidR="009F0629">
        <w:rPr>
          <w:lang w:val="en-US"/>
        </w:rPr>
        <w:t xml:space="preserve"> and 27 Oceanians which includes </w:t>
      </w:r>
      <w:r w:rsidR="00B76AF8">
        <w:rPr>
          <w:lang w:val="en-US"/>
        </w:rPr>
        <w:t>Aboriginal and Torres Strait Islander peoples</w:t>
      </w:r>
      <w:r w:rsidR="009F0629">
        <w:rPr>
          <w:lang w:val="en-US"/>
        </w:rPr>
        <w:t>.</w:t>
      </w:r>
      <w:r w:rsidR="001E6DC4">
        <w:rPr>
          <w:lang w:val="en-US"/>
        </w:rPr>
        <w:t xml:space="preserve"> </w:t>
      </w:r>
    </w:p>
    <w:p w14:paraId="785E8A02" w14:textId="708F21BB" w:rsidR="00B35F72" w:rsidRDefault="00E4342B" w:rsidP="00637A31">
      <w:pPr>
        <w:rPr>
          <w:lang w:val="en-US"/>
        </w:rPr>
      </w:pPr>
      <w:r>
        <w:rPr>
          <w:lang w:val="en-US"/>
        </w:rPr>
        <w:t xml:space="preserve">All </w:t>
      </w:r>
      <w:r w:rsidR="00CF5CBE">
        <w:rPr>
          <w:lang w:val="en-US"/>
        </w:rPr>
        <w:t xml:space="preserve">genome sequence </w:t>
      </w:r>
      <w:r>
        <w:rPr>
          <w:lang w:val="en-US"/>
        </w:rPr>
        <w:t>data are made freely available</w:t>
      </w:r>
      <w:r w:rsidR="00CF5CBE">
        <w:rPr>
          <w:lang w:val="en-US"/>
        </w:rPr>
        <w:t xml:space="preserve"> however accessors are asked to observe the Fort Lauderdale principles</w:t>
      </w:r>
      <w:r w:rsidR="009D3AC1">
        <w:rPr>
          <w:lang w:val="en-US"/>
        </w:rPr>
        <w:t xml:space="preserve"> which entitle the data producers to make the first representation and publish the first genome-wide analysis of the data.</w:t>
      </w:r>
    </w:p>
    <w:p w14:paraId="37314EC7" w14:textId="5F100609" w:rsidR="00662B52" w:rsidRDefault="00662B52" w:rsidP="00637A31">
      <w:r>
        <w:rPr>
          <w:lang w:val="en-US"/>
        </w:rPr>
        <w:t xml:space="preserve">The data has been used to demonstrate that </w:t>
      </w:r>
      <w:r w:rsidR="002A3E34">
        <w:rPr>
          <w:lang w:val="en-US"/>
        </w:rPr>
        <w:t xml:space="preserve">Aboriginal and Torres Strait Islander peoples </w:t>
      </w:r>
      <w:r w:rsidR="000C3DA8">
        <w:rPr>
          <w:lang w:val="en-US"/>
        </w:rPr>
        <w:t xml:space="preserve">do not derive substantial ancestry from an early dispersal of modern humans but instead </w:t>
      </w:r>
      <w:r w:rsidR="003E0B84">
        <w:rPr>
          <w:lang w:val="en-US"/>
        </w:rPr>
        <w:t xml:space="preserve">have modern human ancestry </w:t>
      </w:r>
      <w:r w:rsidR="00AF2A5E">
        <w:rPr>
          <w:lang w:val="en-US"/>
        </w:rPr>
        <w:t>from the same source as that in other non-Africans.</w:t>
      </w:r>
      <w:r w:rsidR="00FC356F">
        <w:rPr>
          <w:rStyle w:val="FootnoteReference"/>
          <w:lang w:val="en-US"/>
        </w:rPr>
        <w:footnoteReference w:id="270"/>
      </w:r>
    </w:p>
    <w:p w14:paraId="0A4549DA" w14:textId="512B215C" w:rsidR="00637A31" w:rsidRPr="00B85692" w:rsidRDefault="004D6A72" w:rsidP="00B85692">
      <w:pPr>
        <w:pStyle w:val="Heading3"/>
      </w:pPr>
      <w:bookmarkStart w:id="215" w:name="_Toc118824413"/>
      <w:r w:rsidRPr="00B85692">
        <w:t>Te Mata Ira: Guidelines for Genomic Research with Māori</w:t>
      </w:r>
      <w:bookmarkEnd w:id="215"/>
    </w:p>
    <w:p w14:paraId="0B08D9FE" w14:textId="77777777" w:rsidR="001A0BF9" w:rsidRDefault="00FA125B">
      <w:pPr>
        <w:spacing w:after="160" w:line="259" w:lineRule="auto"/>
      </w:pPr>
      <w:r>
        <w:t xml:space="preserve">In 2016, the </w:t>
      </w:r>
      <w:r w:rsidRPr="003D3BE7">
        <w:rPr>
          <w:i/>
        </w:rPr>
        <w:t>Te Mata Ira: Guidelines for Genomic Research with M</w:t>
      </w:r>
      <w:r w:rsidR="004D6A72" w:rsidRPr="003D3BE7">
        <w:rPr>
          <w:i/>
        </w:rPr>
        <w:t>ā</w:t>
      </w:r>
      <w:r w:rsidRPr="003D3BE7">
        <w:rPr>
          <w:i/>
        </w:rPr>
        <w:t>ori</w:t>
      </w:r>
      <w:r>
        <w:t xml:space="preserve"> </w:t>
      </w:r>
      <w:r w:rsidR="001C21E4">
        <w:t>were established to provide a</w:t>
      </w:r>
      <w:r w:rsidR="007A77C8">
        <w:t xml:space="preserve"> </w:t>
      </w:r>
      <w:r w:rsidR="004765B9">
        <w:t>‘</w:t>
      </w:r>
      <w:r w:rsidR="001C21E4">
        <w:t>framework t</w:t>
      </w:r>
      <w:r w:rsidR="005A7E78">
        <w:t>o address Māori ethical issues within the context of genetic or genomic research</w:t>
      </w:r>
      <w:r w:rsidR="004765B9">
        <w:t>’</w:t>
      </w:r>
      <w:r w:rsidR="005A7E78">
        <w:t>.</w:t>
      </w:r>
      <w:r w:rsidR="005A7E78">
        <w:rPr>
          <w:rStyle w:val="FootnoteReference"/>
        </w:rPr>
        <w:footnoteReference w:id="271"/>
      </w:r>
      <w:r w:rsidR="00CC14FF">
        <w:t xml:space="preserve"> The </w:t>
      </w:r>
      <w:r w:rsidR="00576E12">
        <w:t xml:space="preserve">Guidelines </w:t>
      </w:r>
      <w:r w:rsidR="008A57F7">
        <w:t>are founded upon mātauranga (Māori knowledge) and tikanga Māori (Māori protocols and practices).</w:t>
      </w:r>
      <w:r w:rsidR="007E6876">
        <w:rPr>
          <w:rStyle w:val="FootnoteReference"/>
        </w:rPr>
        <w:footnoteReference w:id="272"/>
      </w:r>
      <w:r w:rsidR="008A57F7">
        <w:t xml:space="preserve"> </w:t>
      </w:r>
      <w:r w:rsidR="00581728">
        <w:t>Building upon the  Te Ara Tika guidelines that identify Māori ethical issues relevant to all research, the Te Mata Ira provide specific guidance for the context of genomic research.</w:t>
      </w:r>
      <w:r w:rsidR="00581728" w:rsidRPr="00581728">
        <w:rPr>
          <w:rStyle w:val="FootnoteReference"/>
        </w:rPr>
        <w:t xml:space="preserve"> </w:t>
      </w:r>
      <w:r w:rsidR="00581728">
        <w:rPr>
          <w:rStyle w:val="FootnoteReference"/>
        </w:rPr>
        <w:footnoteReference w:id="273"/>
      </w:r>
      <w:r w:rsidR="007A77C8">
        <w:rPr>
          <w:rStyle w:val="FootnoteReference"/>
        </w:rPr>
        <w:t xml:space="preserve"> </w:t>
      </w:r>
      <w:r w:rsidR="007A77C8">
        <w:t xml:space="preserve">Te </w:t>
      </w:r>
      <w:r w:rsidR="00581728">
        <w:t>Mata Ira</w:t>
      </w:r>
      <w:r w:rsidR="007A77C8">
        <w:t xml:space="preserve"> describe</w:t>
      </w:r>
      <w:r w:rsidR="00581728">
        <w:t>s</w:t>
      </w:r>
      <w:r w:rsidR="007A77C8">
        <w:t xml:space="preserve"> </w:t>
      </w:r>
    </w:p>
    <w:p w14:paraId="1CF083BA" w14:textId="3B29061A" w:rsidR="001A0BF9" w:rsidRPr="003D3BE7" w:rsidRDefault="007A77C8" w:rsidP="00FF0989">
      <w:pPr>
        <w:pStyle w:val="Quote"/>
      </w:pPr>
      <w:r w:rsidRPr="003D3BE7">
        <w:t>the cultural foundation informing ethical approaches to genomics; to inform decision-making around ethical issues when conducting genomic research with Māori; and outline best practice approaches for addressing Māori ethical concerns.</w:t>
      </w:r>
      <w:r w:rsidRPr="003D3BE7">
        <w:rPr>
          <w:rStyle w:val="FootnoteReference"/>
          <w:szCs w:val="20"/>
        </w:rPr>
        <w:footnoteReference w:id="274"/>
      </w:r>
    </w:p>
    <w:p w14:paraId="65DDA59B" w14:textId="2FDBD8AE" w:rsidR="00B35F72" w:rsidRDefault="009904AF">
      <w:pPr>
        <w:spacing w:after="160" w:line="259" w:lineRule="auto"/>
      </w:pPr>
      <w:r>
        <w:t>T</w:t>
      </w:r>
      <w:r w:rsidR="008501A0">
        <w:t xml:space="preserve">he Guidelines are useful for </w:t>
      </w:r>
      <w:r w:rsidR="008A57F7">
        <w:t>researchers, ethics committee members and those who engage in consultation or advice about genomic research with Māori in local, regional, national or international settings.</w:t>
      </w:r>
      <w:r w:rsidR="008A57F7">
        <w:rPr>
          <w:rStyle w:val="FootnoteReference"/>
        </w:rPr>
        <w:footnoteReference w:id="275"/>
      </w:r>
    </w:p>
    <w:p w14:paraId="49A4D3BC" w14:textId="0E76F903" w:rsidR="00987A71" w:rsidRDefault="00DE28BC" w:rsidP="001C150F">
      <w:pPr>
        <w:spacing w:after="160" w:line="259" w:lineRule="auto"/>
      </w:pPr>
      <w:r>
        <w:t>The Guidelines</w:t>
      </w:r>
      <w:r w:rsidR="00810F87">
        <w:t xml:space="preserve"> identify the ways to protect the interests of Māori</w:t>
      </w:r>
      <w:r w:rsidR="00810F87" w:rsidDel="007A77C8">
        <w:t xml:space="preserve"> </w:t>
      </w:r>
      <w:r w:rsidR="00810F87">
        <w:t>participants</w:t>
      </w:r>
      <w:r w:rsidR="00E44542">
        <w:t xml:space="preserve"> and groups that chose to participate in genetic or genomic research.</w:t>
      </w:r>
      <w:r w:rsidR="00E44542">
        <w:rPr>
          <w:rStyle w:val="FootnoteReference"/>
        </w:rPr>
        <w:footnoteReference w:id="276"/>
      </w:r>
      <w:r w:rsidR="008C059A">
        <w:t xml:space="preserve"> </w:t>
      </w:r>
      <w:r w:rsidR="000E2F77">
        <w:t>The</w:t>
      </w:r>
      <w:r w:rsidR="005C6270">
        <w:t>y</w:t>
      </w:r>
      <w:r w:rsidR="00371C33">
        <w:t xml:space="preserve"> </w:t>
      </w:r>
      <w:r w:rsidR="006E3B86">
        <w:t xml:space="preserve">provide distinct opportunities to engage Māori communities in all stages of the research project and </w:t>
      </w:r>
      <w:r w:rsidR="006E3B86">
        <w:lastRenderedPageBreak/>
        <w:t>results.</w:t>
      </w:r>
      <w:r w:rsidR="006E3B86">
        <w:rPr>
          <w:rStyle w:val="FootnoteReference"/>
        </w:rPr>
        <w:footnoteReference w:id="277"/>
      </w:r>
      <w:r w:rsidR="00F07830">
        <w:t xml:space="preserve"> The Guidelines </w:t>
      </w:r>
      <w:r w:rsidR="00A11FE1">
        <w:t>are broken into four sections</w:t>
      </w:r>
      <w:r w:rsidR="00EE6689">
        <w:t xml:space="preserve">. </w:t>
      </w:r>
      <w:r w:rsidR="00C54DAC">
        <w:t xml:space="preserve">Section </w:t>
      </w:r>
      <w:r w:rsidR="003D3BE7">
        <w:t>one</w:t>
      </w:r>
      <w:r w:rsidR="00EE6689">
        <w:t xml:space="preserve"> is the cultural foundation</w:t>
      </w:r>
      <w:r w:rsidR="00520BB0">
        <w:t xml:space="preserve"> that informs Māori understandings of genetics.</w:t>
      </w:r>
      <w:r w:rsidR="00520BB0">
        <w:rPr>
          <w:rStyle w:val="FootnoteReference"/>
        </w:rPr>
        <w:footnoteReference w:id="278"/>
      </w:r>
      <w:r w:rsidR="00987A71">
        <w:t xml:space="preserve"> </w:t>
      </w:r>
      <w:r w:rsidR="009A6727">
        <w:t xml:space="preserve">Section </w:t>
      </w:r>
      <w:r w:rsidR="003D3BE7">
        <w:t>wo</w:t>
      </w:r>
      <w:r w:rsidR="009A6727">
        <w:t xml:space="preserve"> is</w:t>
      </w:r>
      <w:r w:rsidR="00EE6689">
        <w:t xml:space="preserve"> the Te Mata Ira Framework for Genomic Research</w:t>
      </w:r>
      <w:r w:rsidR="00BB58AA">
        <w:t xml:space="preserve"> which covers the </w:t>
      </w:r>
      <w:r w:rsidR="00356691">
        <w:t>‘</w:t>
      </w:r>
      <w:r w:rsidR="00BB58AA">
        <w:t>context and key issues that Māori have interests in discussing in relation to genomic research’ including consultation, governance, research and consent</w:t>
      </w:r>
      <w:r w:rsidR="00EE6689">
        <w:t>.</w:t>
      </w:r>
      <w:r w:rsidR="00BB58AA">
        <w:rPr>
          <w:rStyle w:val="FootnoteReference"/>
        </w:rPr>
        <w:footnoteReference w:id="279"/>
      </w:r>
      <w:r w:rsidR="00EE6689">
        <w:t xml:space="preserve"> </w:t>
      </w:r>
      <w:r w:rsidR="00CA2D09">
        <w:t xml:space="preserve">Section </w:t>
      </w:r>
      <w:r w:rsidR="003D3BE7">
        <w:t>three</w:t>
      </w:r>
      <w:r w:rsidR="00CA2D09">
        <w:t xml:space="preserve"> </w:t>
      </w:r>
      <w:r w:rsidR="009A6727">
        <w:t>includes</w:t>
      </w:r>
      <w:r w:rsidR="00EE6689" w:rsidDel="009A6727">
        <w:t xml:space="preserve"> </w:t>
      </w:r>
      <w:r w:rsidR="00987A71">
        <w:t xml:space="preserve">guidance tables to provide specific advice on determining appropriate </w:t>
      </w:r>
      <w:r w:rsidR="00FB121A">
        <w:t>engagement</w:t>
      </w:r>
      <w:r w:rsidR="00544BAE">
        <w:t>,</w:t>
      </w:r>
      <w:r w:rsidR="00987A71">
        <w:t xml:space="preserve"> methodologies and identifying pathways for benefit sharing.</w:t>
      </w:r>
      <w:r w:rsidR="00987A71">
        <w:rPr>
          <w:rStyle w:val="FootnoteReference"/>
        </w:rPr>
        <w:footnoteReference w:id="280"/>
      </w:r>
      <w:r w:rsidR="00544BAE">
        <w:t xml:space="preserve"> </w:t>
      </w:r>
      <w:r w:rsidR="00C54DAC">
        <w:t xml:space="preserve">Section </w:t>
      </w:r>
      <w:r w:rsidR="003D3BE7">
        <w:t>four</w:t>
      </w:r>
      <w:r w:rsidR="00C54DAC">
        <w:t xml:space="preserve"> </w:t>
      </w:r>
      <w:r w:rsidR="008E7091">
        <w:t>involved</w:t>
      </w:r>
      <w:r w:rsidR="00C54DAC">
        <w:t xml:space="preserve"> special ethical considerations such as incidental findings, data rights and interests (data sovereignty)</w:t>
      </w:r>
      <w:r w:rsidR="0071387D">
        <w:t xml:space="preserve"> and data linkage (</w:t>
      </w:r>
      <w:r w:rsidR="00F74730">
        <w:t>governance and control over collation of data).</w:t>
      </w:r>
      <w:r w:rsidR="00F74730">
        <w:rPr>
          <w:rStyle w:val="FootnoteReference"/>
        </w:rPr>
        <w:footnoteReference w:id="281"/>
      </w:r>
    </w:p>
    <w:p w14:paraId="67313ADA" w14:textId="44204928" w:rsidR="00B35F72" w:rsidRDefault="00556E2C">
      <w:pPr>
        <w:spacing w:after="160" w:line="259" w:lineRule="auto"/>
      </w:pPr>
      <w:r>
        <w:t xml:space="preserve">The guidelines have a significant scope that not only informs researchers </w:t>
      </w:r>
      <w:r w:rsidR="00671162">
        <w:t>looking to work with Māori peopl</w:t>
      </w:r>
      <w:r w:rsidR="00C60A4A">
        <w:t>es</w:t>
      </w:r>
      <w:r w:rsidR="000B2BFE">
        <w:t xml:space="preserve"> of key </w:t>
      </w:r>
      <w:r w:rsidR="00E74E85">
        <w:t xml:space="preserve">Māori  </w:t>
      </w:r>
      <w:r w:rsidR="000B2BFE">
        <w:t>ethical concepts</w:t>
      </w:r>
      <w:r w:rsidR="00E74E85">
        <w:t xml:space="preserve">, but </w:t>
      </w:r>
      <w:r w:rsidR="007C08D6">
        <w:t xml:space="preserve">identifies the opportunities </w:t>
      </w:r>
      <w:r w:rsidR="002E00D9">
        <w:t>to</w:t>
      </w:r>
      <w:r w:rsidR="007C08D6">
        <w:t xml:space="preserve"> </w:t>
      </w:r>
      <w:r w:rsidR="002E00D9">
        <w:t>engaging</w:t>
      </w:r>
      <w:r w:rsidR="007C08D6">
        <w:t xml:space="preserve"> Māori communities. </w:t>
      </w:r>
      <w:r w:rsidR="005A7841">
        <w:t xml:space="preserve">This empowers Māori communities with the knowledge of </w:t>
      </w:r>
      <w:r w:rsidR="00203C0E">
        <w:t>how they can assert their interests in project stages</w:t>
      </w:r>
      <w:r w:rsidR="00FA54A6">
        <w:t>, a</w:t>
      </w:r>
      <w:r w:rsidR="005A7841">
        <w:t xml:space="preserve">nd sets </w:t>
      </w:r>
      <w:r w:rsidR="00234EAF">
        <w:t>standards for</w:t>
      </w:r>
      <w:r w:rsidR="00203C0E">
        <w:t xml:space="preserve"> researchers and </w:t>
      </w:r>
      <w:r w:rsidR="00743D13">
        <w:t>organisations</w:t>
      </w:r>
      <w:r w:rsidR="00203C0E">
        <w:t xml:space="preserve"> </w:t>
      </w:r>
      <w:r w:rsidR="00881608">
        <w:t>wishing to work in this area</w:t>
      </w:r>
      <w:r w:rsidR="001E66C0">
        <w:t>.</w:t>
      </w:r>
    </w:p>
    <w:p w14:paraId="2EB25E90" w14:textId="0327163C" w:rsidR="00A3298C" w:rsidRDefault="00A3298C">
      <w:pPr>
        <w:spacing w:after="160" w:line="259" w:lineRule="auto"/>
      </w:pPr>
      <w:r>
        <w:br w:type="page"/>
      </w:r>
    </w:p>
    <w:p w14:paraId="274E016D" w14:textId="0E69B2E8" w:rsidR="00D0533E" w:rsidRPr="008E5C92" w:rsidRDefault="00A3298C" w:rsidP="00AC73DF">
      <w:pPr>
        <w:pStyle w:val="Heading1"/>
        <w:rPr>
          <w:lang w:val="en-AU"/>
        </w:rPr>
      </w:pPr>
      <w:bookmarkStart w:id="216" w:name="_Toc118824414"/>
      <w:r>
        <w:rPr>
          <w:lang w:val="en-AU"/>
        </w:rPr>
        <w:lastRenderedPageBreak/>
        <w:t xml:space="preserve">Conclusion: </w:t>
      </w:r>
      <w:r w:rsidR="00D17509" w:rsidRPr="008E5C92">
        <w:rPr>
          <w:lang w:val="en-AU"/>
        </w:rPr>
        <w:t>Opportunities for improvement</w:t>
      </w:r>
      <w:bookmarkEnd w:id="216"/>
      <w:r w:rsidR="00D17509" w:rsidRPr="008E5C92">
        <w:rPr>
          <w:lang w:val="en-AU"/>
        </w:rPr>
        <w:t xml:space="preserve"> </w:t>
      </w:r>
    </w:p>
    <w:p w14:paraId="0FA5E54C" w14:textId="04C474E5" w:rsidR="00E2488E" w:rsidRDefault="005B158A" w:rsidP="00E40585">
      <w:pPr>
        <w:spacing w:before="240"/>
      </w:pPr>
      <w:r>
        <w:rPr>
          <w:szCs w:val="24"/>
        </w:rPr>
        <w:t>Genomics research is the future</w:t>
      </w:r>
      <w:r w:rsidR="00930A50">
        <w:rPr>
          <w:szCs w:val="24"/>
        </w:rPr>
        <w:t xml:space="preserve"> of</w:t>
      </w:r>
      <w:r>
        <w:rPr>
          <w:szCs w:val="24"/>
        </w:rPr>
        <w:t xml:space="preserve"> health </w:t>
      </w:r>
      <w:r w:rsidR="003E0575">
        <w:rPr>
          <w:szCs w:val="24"/>
        </w:rPr>
        <w:t xml:space="preserve">and medicine. </w:t>
      </w:r>
      <w:r w:rsidR="00937B3F">
        <w:rPr>
          <w:szCs w:val="24"/>
        </w:rPr>
        <w:t xml:space="preserve">Aboriginal and Torres Strait Islander </w:t>
      </w:r>
      <w:r w:rsidR="00525B1B">
        <w:rPr>
          <w:szCs w:val="24"/>
        </w:rPr>
        <w:t>people</w:t>
      </w:r>
      <w:r w:rsidR="00937B3F">
        <w:rPr>
          <w:szCs w:val="24"/>
        </w:rPr>
        <w:t>s</w:t>
      </w:r>
      <w:r w:rsidR="00525B1B">
        <w:rPr>
          <w:szCs w:val="24"/>
        </w:rPr>
        <w:t xml:space="preserve"> will need to be a part of it in order to have access to health solutions in the same way as other Australians.</w:t>
      </w:r>
      <w:r w:rsidR="006F0BAF">
        <w:rPr>
          <w:szCs w:val="24"/>
        </w:rPr>
        <w:t xml:space="preserve"> However, f</w:t>
      </w:r>
      <w:r w:rsidR="008C5A29" w:rsidRPr="00C50DB9">
        <w:rPr>
          <w:szCs w:val="24"/>
        </w:rPr>
        <w:t xml:space="preserve">or Aboriginal and Torres Strait Islander peoples, </w:t>
      </w:r>
      <w:r w:rsidR="00E2488E">
        <w:t xml:space="preserve">there are significant ethical, social and cultural concerns that arise in light of the collection and use of Aboriginal and Torres Strait Islander genomic material, knowledge and data. </w:t>
      </w:r>
    </w:p>
    <w:p w14:paraId="3F757387" w14:textId="7FC51EB3" w:rsidR="00917687" w:rsidRDefault="007A3B88" w:rsidP="00E40585">
      <w:r>
        <w:rPr>
          <w:szCs w:val="24"/>
        </w:rPr>
        <w:t xml:space="preserve">This paper </w:t>
      </w:r>
      <w:r w:rsidR="005411A8">
        <w:rPr>
          <w:szCs w:val="24"/>
        </w:rPr>
        <w:t>analyses</w:t>
      </w:r>
      <w:r w:rsidR="00706EBD">
        <w:rPr>
          <w:szCs w:val="24"/>
        </w:rPr>
        <w:t xml:space="preserve"> IP </w:t>
      </w:r>
      <w:r w:rsidR="00B203E8">
        <w:rPr>
          <w:szCs w:val="24"/>
        </w:rPr>
        <w:t xml:space="preserve">law </w:t>
      </w:r>
      <w:r w:rsidR="00706EBD">
        <w:rPr>
          <w:szCs w:val="24"/>
        </w:rPr>
        <w:t xml:space="preserve">and related </w:t>
      </w:r>
      <w:r w:rsidR="00B35D6C">
        <w:rPr>
          <w:szCs w:val="24"/>
        </w:rPr>
        <w:t xml:space="preserve">laws </w:t>
      </w:r>
      <w:r w:rsidR="00706EBD">
        <w:rPr>
          <w:szCs w:val="24"/>
        </w:rPr>
        <w:t xml:space="preserve">to consider how they enable </w:t>
      </w:r>
      <w:r w:rsidR="002269F5">
        <w:rPr>
          <w:szCs w:val="24"/>
        </w:rPr>
        <w:t xml:space="preserve">Aboriginal and Torres Strait Islander peoples </w:t>
      </w:r>
      <w:r w:rsidR="00133E5D">
        <w:rPr>
          <w:szCs w:val="24"/>
        </w:rPr>
        <w:t>to have control over their genes.</w:t>
      </w:r>
      <w:r w:rsidR="00917687">
        <w:rPr>
          <w:szCs w:val="24"/>
        </w:rPr>
        <w:t xml:space="preserve"> </w:t>
      </w:r>
      <w:r w:rsidR="007D49A1">
        <w:rPr>
          <w:szCs w:val="24"/>
        </w:rPr>
        <w:t xml:space="preserve">We have been informed </w:t>
      </w:r>
      <w:r w:rsidR="009F2995">
        <w:rPr>
          <w:szCs w:val="24"/>
        </w:rPr>
        <w:t xml:space="preserve">by the </w:t>
      </w:r>
      <w:r w:rsidR="002C0180">
        <w:rPr>
          <w:szCs w:val="24"/>
        </w:rPr>
        <w:t xml:space="preserve">Aboriginal and Torres Strait Islander </w:t>
      </w:r>
      <w:r w:rsidR="00553F00">
        <w:t xml:space="preserve">Advisory Group </w:t>
      </w:r>
      <w:r w:rsidR="007D49A1">
        <w:t xml:space="preserve">to provide </w:t>
      </w:r>
      <w:r w:rsidR="007575CB">
        <w:t xml:space="preserve">insights </w:t>
      </w:r>
      <w:r w:rsidR="00917687">
        <w:t>on the emerging issues.</w:t>
      </w:r>
    </w:p>
    <w:p w14:paraId="4185CC4A" w14:textId="4837AAFE" w:rsidR="00C237AA" w:rsidRDefault="00E22A21" w:rsidP="00E40585">
      <w:r>
        <w:t>The</w:t>
      </w:r>
      <w:r w:rsidR="00FE66A6">
        <w:t>re is a large framework of laws, including</w:t>
      </w:r>
      <w:r>
        <w:t xml:space="preserve"> IP laws</w:t>
      </w:r>
      <w:r w:rsidR="00FE66A6">
        <w:t xml:space="preserve">, that govern </w:t>
      </w:r>
      <w:r>
        <w:t xml:space="preserve">the collection and use of </w:t>
      </w:r>
      <w:r w:rsidR="002269F5">
        <w:t xml:space="preserve">Aboriginal and Torres Strait Islander </w:t>
      </w:r>
      <w:r>
        <w:t>health-related genomics information in the clinical and research setting</w:t>
      </w:r>
      <w:r w:rsidR="00CE373A">
        <w:t>. They focus on commercialisation and do not adequately address cultural issues.</w:t>
      </w:r>
      <w:r w:rsidR="003F57F6">
        <w:t xml:space="preserve"> </w:t>
      </w:r>
    </w:p>
    <w:p w14:paraId="707EB0E6" w14:textId="1AA7B6C1" w:rsidR="00E22A21" w:rsidRDefault="003F57F6" w:rsidP="00E40585">
      <w:r>
        <w:t xml:space="preserve">Health access laws </w:t>
      </w:r>
      <w:r w:rsidR="003B3053">
        <w:t xml:space="preserve">govern </w:t>
      </w:r>
      <w:r w:rsidR="00E2488E">
        <w:t xml:space="preserve">the equitable delivery of health services but </w:t>
      </w:r>
      <w:r w:rsidR="005E5C84">
        <w:t xml:space="preserve">there </w:t>
      </w:r>
      <w:r w:rsidR="00B074C6">
        <w:t xml:space="preserve">are barriers for </w:t>
      </w:r>
      <w:r w:rsidR="00EE6A0D">
        <w:t xml:space="preserve">Aboriginal and Torres Strait Islander </w:t>
      </w:r>
      <w:r w:rsidR="00B074C6">
        <w:t>people</w:t>
      </w:r>
      <w:r w:rsidR="00EE6A0D">
        <w:t>s</w:t>
      </w:r>
      <w:r w:rsidR="00B074C6">
        <w:t xml:space="preserve"> to </w:t>
      </w:r>
      <w:r w:rsidR="00020A15">
        <w:t>participate in a genomic study in a culturally safe way</w:t>
      </w:r>
      <w:r w:rsidR="0039177B">
        <w:t xml:space="preserve">. This compromises the integrity of the data </w:t>
      </w:r>
      <w:r w:rsidR="00CA4133">
        <w:t xml:space="preserve">by having it biased toward </w:t>
      </w:r>
      <w:r w:rsidR="0043623C">
        <w:t xml:space="preserve">European of Asian genomic </w:t>
      </w:r>
      <w:r w:rsidR="000514B2">
        <w:t>reference data</w:t>
      </w:r>
      <w:r w:rsidR="0043623C">
        <w:t xml:space="preserve">. Then </w:t>
      </w:r>
      <w:r w:rsidR="00985BAF">
        <w:t>negatively impact the delivery of health services to Aboriginal and Torres Strait Islander peoples</w:t>
      </w:r>
      <w:r w:rsidR="005202C2">
        <w:t xml:space="preserve"> – e</w:t>
      </w:r>
      <w:r w:rsidR="000514B2">
        <w:t xml:space="preserve">.g. </w:t>
      </w:r>
      <w:r w:rsidR="005202C2">
        <w:t xml:space="preserve">you </w:t>
      </w:r>
      <w:r w:rsidR="00C237AA">
        <w:t>get false positive and false negatives</w:t>
      </w:r>
      <w:r w:rsidR="002909D4">
        <w:t>.</w:t>
      </w:r>
    </w:p>
    <w:p w14:paraId="7066C11E" w14:textId="0C5B0B9A" w:rsidR="004417F1" w:rsidRDefault="00F221A1" w:rsidP="00E40585">
      <w:r>
        <w:t>Through discussions with the Advisory Group and a</w:t>
      </w:r>
      <w:r w:rsidR="00754A70">
        <w:t xml:space="preserve"> gap analysis examining the shortfalls of legal protection in safeguarding </w:t>
      </w:r>
      <w:r w:rsidR="00335C73">
        <w:t xml:space="preserve">the Aboriginal and Torres Strait Islander knowledge and heritage embodied by </w:t>
      </w:r>
      <w:r w:rsidR="00DF0BC2">
        <w:t xml:space="preserve">their </w:t>
      </w:r>
      <w:r w:rsidR="00335C73">
        <w:t xml:space="preserve">genes, </w:t>
      </w:r>
      <w:r w:rsidR="00DF0BC2">
        <w:t xml:space="preserve">this paper has identified a number of key issues. </w:t>
      </w:r>
    </w:p>
    <w:p w14:paraId="723C3F81" w14:textId="171E99A9" w:rsidR="00E96EEA" w:rsidRDefault="000F346C" w:rsidP="00E40585">
      <w:r>
        <w:t xml:space="preserve">The </w:t>
      </w:r>
      <w:r w:rsidR="00E2591E">
        <w:t xml:space="preserve">first key issue is that of </w:t>
      </w:r>
      <w:r w:rsidR="00E2591E" w:rsidRPr="00532DC2">
        <w:rPr>
          <w:b/>
          <w:bCs/>
        </w:rPr>
        <w:t>ownership</w:t>
      </w:r>
      <w:r w:rsidR="00E2591E">
        <w:t xml:space="preserve">. </w:t>
      </w:r>
      <w:r w:rsidR="00EF10FD">
        <w:t xml:space="preserve">The legal view of gene ownership is grounded in western views of the </w:t>
      </w:r>
      <w:r w:rsidR="00D362C8">
        <w:t xml:space="preserve">body: </w:t>
      </w:r>
      <w:r w:rsidR="00C725F7">
        <w:t xml:space="preserve">once the patient consents to the removal of a sample, the sample </w:t>
      </w:r>
      <w:r w:rsidR="00D34EA7">
        <w:t xml:space="preserve">ceases to be the property of the individual. </w:t>
      </w:r>
      <w:r w:rsidR="00880BE6">
        <w:t xml:space="preserve">The data then, for the most part, belongs to the organisation that </w:t>
      </w:r>
      <w:r w:rsidR="00E92F5A">
        <w:t xml:space="preserve">has invested time and money in deriving a commercial use </w:t>
      </w:r>
      <w:r w:rsidR="00481BF9">
        <w:t>for the information.</w:t>
      </w:r>
      <w:r w:rsidR="00931238">
        <w:t xml:space="preserve"> </w:t>
      </w:r>
      <w:r w:rsidR="00176051">
        <w:t xml:space="preserve">However, </w:t>
      </w:r>
      <w:r w:rsidR="001D0C0F">
        <w:t xml:space="preserve">for many Aboriginal and Torres Strait Islander peoples, their samples are data for part of their </w:t>
      </w:r>
      <w:r w:rsidR="006D517D">
        <w:t xml:space="preserve">cultural knowledge and heritage. </w:t>
      </w:r>
      <w:r w:rsidR="00A22AAA">
        <w:t xml:space="preserve">It connects them to their </w:t>
      </w:r>
      <w:r w:rsidR="003F081D">
        <w:t xml:space="preserve">culture and their land. </w:t>
      </w:r>
      <w:r w:rsidR="00974D0F">
        <w:t xml:space="preserve">Their genes are not just potential IP, but </w:t>
      </w:r>
      <w:r w:rsidR="00DF60D8">
        <w:t xml:space="preserve">form part of their collectively owned ICIP. </w:t>
      </w:r>
      <w:r w:rsidR="00F33AE8">
        <w:t xml:space="preserve">A much broader legal survey was necessary to </w:t>
      </w:r>
      <w:r w:rsidR="0027522B">
        <w:t xml:space="preserve">analyse </w:t>
      </w:r>
      <w:r w:rsidR="00F51253">
        <w:t>Australian law’s protection (</w:t>
      </w:r>
      <w:r w:rsidR="00E11AD7">
        <w:t xml:space="preserve">or lack thereof) </w:t>
      </w:r>
      <w:r w:rsidR="00D01541">
        <w:t xml:space="preserve">of this ICIP. </w:t>
      </w:r>
      <w:r w:rsidR="00481BF9">
        <w:t xml:space="preserve"> </w:t>
      </w:r>
    </w:p>
    <w:p w14:paraId="6CAFE225" w14:textId="77777777" w:rsidR="001F70E3" w:rsidRDefault="003B59AC" w:rsidP="00E40585">
      <w:r>
        <w:t xml:space="preserve">In the absence of </w:t>
      </w:r>
      <w:r w:rsidR="001F4438">
        <w:t xml:space="preserve">legal ownership over genes, </w:t>
      </w:r>
      <w:r w:rsidR="001F4438" w:rsidRPr="001F4438">
        <w:rPr>
          <w:b/>
          <w:bCs/>
        </w:rPr>
        <w:t>consent provisions</w:t>
      </w:r>
      <w:r w:rsidR="001F4438">
        <w:t xml:space="preserve"> become </w:t>
      </w:r>
      <w:r w:rsidR="0084586C">
        <w:t xml:space="preserve">the vanguard </w:t>
      </w:r>
      <w:r w:rsidR="00B50D87">
        <w:t xml:space="preserve">for control over the use of </w:t>
      </w:r>
      <w:r w:rsidR="00141C2D">
        <w:t xml:space="preserve">Aboriginal and Torres Strait Islander genes. </w:t>
      </w:r>
      <w:r w:rsidR="007978B8">
        <w:t xml:space="preserve">Current legal standards of consent over </w:t>
      </w:r>
      <w:r w:rsidR="00FF1D1A">
        <w:t>the removal of samples and the use of data</w:t>
      </w:r>
      <w:r w:rsidR="00EC57FA">
        <w:t xml:space="preserve"> have gaps. </w:t>
      </w:r>
      <w:r w:rsidR="00064214">
        <w:t xml:space="preserve">For example, as precision medicine develops and blurs the lines between </w:t>
      </w:r>
      <w:r w:rsidR="00D04C36">
        <w:t xml:space="preserve">clinical and research uses, the scope of consent </w:t>
      </w:r>
      <w:r w:rsidR="00D11CBD">
        <w:t xml:space="preserve">gets broader. This increased breadth will not always be apparent to patients when they consent to their diagnostic test. For example, </w:t>
      </w:r>
      <w:r w:rsidR="00EE5467">
        <w:t xml:space="preserve">will a patient be aware that when they give a blood sample </w:t>
      </w:r>
      <w:r w:rsidR="005B5A34">
        <w:t xml:space="preserve">to see if they have diabetes, that their de-identified results </w:t>
      </w:r>
      <w:r w:rsidR="00FD6D50">
        <w:t xml:space="preserve">could eventually be used in </w:t>
      </w:r>
      <w:r w:rsidR="00E1093F">
        <w:t xml:space="preserve">medical research </w:t>
      </w:r>
      <w:r w:rsidR="005040AD">
        <w:t xml:space="preserve">when researchers access My Health Records data? </w:t>
      </w:r>
      <w:r w:rsidR="008E7AAA">
        <w:t>And does the ‘opt-out’ structure</w:t>
      </w:r>
      <w:r w:rsidR="00216419">
        <w:t xml:space="preserve"> of the My Health Records meet the internationally recognised principle of free, prior, informed consent? Probably not. </w:t>
      </w:r>
    </w:p>
    <w:p w14:paraId="22CFC175" w14:textId="1DA0B592" w:rsidR="004417F1" w:rsidRDefault="001F70E3" w:rsidP="00E40585">
      <w:r>
        <w:lastRenderedPageBreak/>
        <w:t>For these reasons the clinical setting is probably the location of the greatest difficulty when it comes to consent</w:t>
      </w:r>
      <w:r w:rsidR="001749D2">
        <w:t xml:space="preserve">; </w:t>
      </w:r>
      <w:r w:rsidR="00745202">
        <w:t xml:space="preserve">settings in which samples are now been taken, and will eventually </w:t>
      </w:r>
      <w:r w:rsidR="000D2A5A">
        <w:t xml:space="preserve">go into research databases and biobanks. While there is potential for researchers to access historical collections of Aboriginal and Torres Strait Islander genomic information (e.g. in museums or historical university collections) these spaces seem to be much more </w:t>
      </w:r>
      <w:r w:rsidR="00297C5A">
        <w:t>familiar with cultural protocols</w:t>
      </w:r>
      <w:r w:rsidR="003F5BD0">
        <w:t xml:space="preserve">. </w:t>
      </w:r>
      <w:r w:rsidR="005F5E3A">
        <w:t xml:space="preserve">This means that even in the absence of legislative or general law requirements for free, prior, informed consent, these institutions are aware of the </w:t>
      </w:r>
      <w:r w:rsidR="00435776">
        <w:t>standard and able to give them legal effect through contract law (e.g. through research agreements</w:t>
      </w:r>
      <w:r w:rsidR="004D3F5F">
        <w:t xml:space="preserve"> and </w:t>
      </w:r>
      <w:r w:rsidR="001B5B4D">
        <w:t xml:space="preserve">consultation and </w:t>
      </w:r>
      <w:r w:rsidR="004D3F5F">
        <w:t>consent documentation).</w:t>
      </w:r>
      <w:r w:rsidR="00452F28">
        <w:t xml:space="preserve"> In fact, it is circumstances where consent is given ‘on the run’ that poses the greatest risk to cultural safety.</w:t>
      </w:r>
    </w:p>
    <w:p w14:paraId="3E5FD940" w14:textId="57237CDA" w:rsidR="001167A3" w:rsidRDefault="007D2D67" w:rsidP="00E40585">
      <w:r>
        <w:t xml:space="preserve">The </w:t>
      </w:r>
      <w:r w:rsidR="00272423">
        <w:t xml:space="preserve">quality of consent can also be influenced by the </w:t>
      </w:r>
      <w:r w:rsidR="001167A3" w:rsidRPr="001167A3">
        <w:rPr>
          <w:b/>
          <w:bCs/>
        </w:rPr>
        <w:t>return of benefit</w:t>
      </w:r>
      <w:r w:rsidR="001167A3">
        <w:t xml:space="preserve"> discussions and arrangements. </w:t>
      </w:r>
      <w:r w:rsidR="005A365B">
        <w:t>The consultation that precedes informed consent must include a discussion of the return of benefits. This includes discussion of the risk that</w:t>
      </w:r>
      <w:r w:rsidR="00C93D48">
        <w:t xml:space="preserve"> benefits may be a long time </w:t>
      </w:r>
      <w:r w:rsidR="008C086D">
        <w:t>coming or</w:t>
      </w:r>
      <w:r w:rsidR="00C93D48">
        <w:t xml:space="preserve"> may never accrue at all. </w:t>
      </w:r>
      <w:r w:rsidR="00EE68A6">
        <w:t>Potential benefits must not be oversold as an inducement to participation.</w:t>
      </w:r>
    </w:p>
    <w:p w14:paraId="67257884" w14:textId="11C130C2" w:rsidR="00416159" w:rsidRDefault="00113754" w:rsidP="00E40585">
      <w:r w:rsidRPr="00113754">
        <w:rPr>
          <w:b/>
          <w:bCs/>
        </w:rPr>
        <w:t>Governance</w:t>
      </w:r>
      <w:r>
        <w:t xml:space="preserve"> structures play an important role in ensuring the representation of Aboriginal and Torres Strait Islander concerns</w:t>
      </w:r>
      <w:r w:rsidR="00C92CAD">
        <w:t xml:space="preserve"> </w:t>
      </w:r>
      <w:r w:rsidR="00313E37">
        <w:t xml:space="preserve">and </w:t>
      </w:r>
      <w:r w:rsidR="00C73EBD">
        <w:t xml:space="preserve">in taking decision-making roles in the use </w:t>
      </w:r>
      <w:r w:rsidR="00377520">
        <w:t xml:space="preserve">and management of data. </w:t>
      </w:r>
      <w:r w:rsidR="00DE244F">
        <w:t xml:space="preserve">However, there are many opportunities to strengthen </w:t>
      </w:r>
      <w:r w:rsidR="001D2953">
        <w:t>existing governance structures</w:t>
      </w:r>
      <w:r w:rsidR="00C25F5F">
        <w:t xml:space="preserve">. </w:t>
      </w:r>
      <w:r w:rsidR="00C54EB0">
        <w:t xml:space="preserve">Recurring concerns about lack of </w:t>
      </w:r>
      <w:r w:rsidR="00B730F4">
        <w:t xml:space="preserve">Aboriginal and Torres Strait Islander </w:t>
      </w:r>
      <w:r w:rsidR="00C54EB0">
        <w:t xml:space="preserve">representation of advisory and </w:t>
      </w:r>
      <w:r w:rsidR="00C5639A">
        <w:t>ethics</w:t>
      </w:r>
      <w:r w:rsidR="000660EA">
        <w:t xml:space="preserve"> were raised</w:t>
      </w:r>
      <w:r w:rsidR="00C416BC">
        <w:t xml:space="preserve">. </w:t>
      </w:r>
      <w:r w:rsidR="00107C97">
        <w:t xml:space="preserve">So too was over-reliance on just a few Aboriginal and Torres Strait Islander representatives, </w:t>
      </w:r>
      <w:r w:rsidR="001141F4">
        <w:t xml:space="preserve">leading to over-burdening and burn out. </w:t>
      </w:r>
      <w:r w:rsidR="00734440">
        <w:t xml:space="preserve">Beyond ethics </w:t>
      </w:r>
      <w:r w:rsidR="004F24F6">
        <w:t>committees</w:t>
      </w:r>
      <w:r w:rsidR="00734440">
        <w:t xml:space="preserve">, there is also greater need for Aboriginal and Torres Strait Islander representation on </w:t>
      </w:r>
      <w:r w:rsidR="004F24F6">
        <w:t xml:space="preserve">project </w:t>
      </w:r>
      <w:r w:rsidR="00734440">
        <w:t xml:space="preserve">steering committees responsible for </w:t>
      </w:r>
      <w:r w:rsidR="004F24F6">
        <w:t xml:space="preserve">research </w:t>
      </w:r>
      <w:r w:rsidR="00595BE5">
        <w:t xml:space="preserve">involving Aboriginal and Torres Strait Islander genomic information. </w:t>
      </w:r>
    </w:p>
    <w:p w14:paraId="2030D894" w14:textId="333DD51E" w:rsidR="009D71F0" w:rsidRDefault="00A07406" w:rsidP="00E40585">
      <w:r>
        <w:t xml:space="preserve">Australia lacks infrastructure to manage immense amounts of genomic data, </w:t>
      </w:r>
      <w:r w:rsidR="0080415E">
        <w:t xml:space="preserve">risking </w:t>
      </w:r>
      <w:r w:rsidR="0080415E" w:rsidRPr="004503CD">
        <w:rPr>
          <w:b/>
          <w:bCs/>
        </w:rPr>
        <w:t>data sovereignty</w:t>
      </w:r>
      <w:r w:rsidR="0080415E">
        <w:t xml:space="preserve"> and security for </w:t>
      </w:r>
      <w:r w:rsidR="00B730F4">
        <w:t xml:space="preserve">Aboriginal and Torres Strait Islander </w:t>
      </w:r>
      <w:r w:rsidR="0080415E">
        <w:t xml:space="preserve">genomic data. </w:t>
      </w:r>
      <w:r w:rsidR="00B0645D">
        <w:t xml:space="preserve">Storing data at great distances from its region of origin </w:t>
      </w:r>
      <w:r w:rsidR="00590CE5">
        <w:t>disconnects people from country</w:t>
      </w:r>
      <w:r w:rsidR="00464ECA">
        <w:t xml:space="preserve">, potentially causing cultural harm. In addition, </w:t>
      </w:r>
      <w:r w:rsidR="006E0589">
        <w:t xml:space="preserve">the practicality of this </w:t>
      </w:r>
      <w:r w:rsidR="004503CD">
        <w:t xml:space="preserve">remote storage means loss of control over the data (e.g. if data stored on overseas servers, that data is potentially subject to the laws of that jurisdiction). </w:t>
      </w:r>
      <w:r w:rsidR="00387A1D">
        <w:t xml:space="preserve">This lack of control will mean that cultural mourning protocols will not be followed, </w:t>
      </w:r>
      <w:r w:rsidR="00DA3B7B">
        <w:t xml:space="preserve">and there will be greater uncertainty about who controls that data after the donor dies. </w:t>
      </w:r>
    </w:p>
    <w:p w14:paraId="6BF839E0" w14:textId="5FB4A919" w:rsidR="00457E8C" w:rsidRDefault="00457E8C" w:rsidP="00E40585">
      <w:r>
        <w:t xml:space="preserve">There is also risk associated with third-party platforms and software. This risk is that the data may be re-used by the platform/software without </w:t>
      </w:r>
      <w:r w:rsidR="00A57D74">
        <w:t xml:space="preserve">donor consent. This re-use could either be legally permitted (e.g. by far reaching consent clauses in the </w:t>
      </w:r>
      <w:r w:rsidR="000942C4">
        <w:t xml:space="preserve">software licence </w:t>
      </w:r>
      <w:r w:rsidR="00A57D74">
        <w:t xml:space="preserve">terms and conditions) or </w:t>
      </w:r>
      <w:r w:rsidR="00E871F7">
        <w:t>in breach of the licence agreements. Either way, there is si</w:t>
      </w:r>
      <w:r w:rsidR="009D2610">
        <w:t xml:space="preserve">gnificant risk of cultural harm. </w:t>
      </w:r>
    </w:p>
    <w:p w14:paraId="56FFFBF5" w14:textId="3B7847B6" w:rsidR="008B733C" w:rsidRDefault="00DB432B" w:rsidP="00E40585">
      <w:r w:rsidRPr="00C63BAE">
        <w:rPr>
          <w:b/>
          <w:bCs/>
        </w:rPr>
        <w:t>Privacy</w:t>
      </w:r>
      <w:r w:rsidR="00EE68A6">
        <w:rPr>
          <w:b/>
          <w:bCs/>
        </w:rPr>
        <w:t xml:space="preserve"> and disclosure</w:t>
      </w:r>
      <w:r w:rsidRPr="00EE68A6">
        <w:rPr>
          <w:b/>
          <w:bCs/>
        </w:rPr>
        <w:t xml:space="preserve"> laws</w:t>
      </w:r>
      <w:r w:rsidR="00A732B9">
        <w:t xml:space="preserve">, although not proprietary laws, </w:t>
      </w:r>
      <w:r w:rsidR="00567D1B">
        <w:t xml:space="preserve">allow some measure of control over </w:t>
      </w:r>
      <w:r w:rsidR="00904187">
        <w:t xml:space="preserve">disclosure and use of </w:t>
      </w:r>
      <w:r w:rsidR="00987AB4">
        <w:t>health</w:t>
      </w:r>
      <w:r w:rsidR="001B0440">
        <w:t>-</w:t>
      </w:r>
      <w:r w:rsidR="00987AB4">
        <w:t xml:space="preserve">related information. There are, however, several </w:t>
      </w:r>
      <w:r w:rsidR="00260AB9">
        <w:t xml:space="preserve">exceptions to the general principle </w:t>
      </w:r>
      <w:r w:rsidR="00AA0A8B">
        <w:t>that any use must be consented to by th</w:t>
      </w:r>
      <w:r w:rsidR="00CF1704">
        <w:t xml:space="preserve">e individual. </w:t>
      </w:r>
      <w:r w:rsidR="00F00F8B">
        <w:t xml:space="preserve">Permitted non-consensual uses may include </w:t>
      </w:r>
      <w:r w:rsidR="00E951F8">
        <w:t>use of deidentified information (although, in genomics</w:t>
      </w:r>
      <w:r w:rsidR="00BB5BA3">
        <w:t xml:space="preserve"> is anything really thoroughly de-identified? Particularly in smaller communities)</w:t>
      </w:r>
      <w:r w:rsidR="00F00F8B">
        <w:t xml:space="preserve"> </w:t>
      </w:r>
      <w:r w:rsidR="001C04F8">
        <w:t>and court-ordered access</w:t>
      </w:r>
      <w:r w:rsidR="0056479E">
        <w:t xml:space="preserve"> to identified information.</w:t>
      </w:r>
      <w:r w:rsidR="00D46DB8">
        <w:t xml:space="preserve"> The potential for police to access genomic information with a court order was a source of significant concern</w:t>
      </w:r>
      <w:r w:rsidR="00412BB7">
        <w:t xml:space="preserve"> among the Advisory Group as this would be seen as a breach of the trust placed by </w:t>
      </w:r>
      <w:r w:rsidR="00962E8F">
        <w:t xml:space="preserve">donors in researchers by allowing them to access their genes. </w:t>
      </w:r>
    </w:p>
    <w:p w14:paraId="5488AD14" w14:textId="6625BCF5" w:rsidR="00391927" w:rsidRDefault="00504434" w:rsidP="00E40585">
      <w:r>
        <w:rPr>
          <w:b/>
          <w:bCs/>
        </w:rPr>
        <w:lastRenderedPageBreak/>
        <w:t>D</w:t>
      </w:r>
      <w:r w:rsidR="00E42094" w:rsidRPr="00504434">
        <w:rPr>
          <w:b/>
          <w:bCs/>
        </w:rPr>
        <w:t>iscrimination</w:t>
      </w:r>
      <w:r w:rsidR="00E42094">
        <w:t xml:space="preserve"> </w:t>
      </w:r>
      <w:r w:rsidR="002E695A">
        <w:t xml:space="preserve">was also identified </w:t>
      </w:r>
      <w:r>
        <w:t xml:space="preserve">as significant issue. This could occur in the context of genetic discrimination </w:t>
      </w:r>
      <w:r w:rsidR="002C73FE">
        <w:t>–</w:t>
      </w:r>
      <w:r>
        <w:t xml:space="preserve"> </w:t>
      </w:r>
      <w:r w:rsidR="002C73FE">
        <w:t>discrimination against Aboriginal and Torres Strait Islander peoples based on their genes</w:t>
      </w:r>
      <w:r w:rsidR="00537D7C">
        <w:t xml:space="preserve">. For example, </w:t>
      </w:r>
      <w:r w:rsidR="007C7BEB">
        <w:t xml:space="preserve">research </w:t>
      </w:r>
      <w:r w:rsidR="002C5B3E">
        <w:t>to detect a so-called “sports</w:t>
      </w:r>
      <w:r w:rsidR="00ED6DA0">
        <w:t>”</w:t>
      </w:r>
      <w:r w:rsidR="002C5B3E">
        <w:t xml:space="preserve"> or “alcoholic”</w:t>
      </w:r>
      <w:r w:rsidR="00ED6DA0">
        <w:t xml:space="preserve"> gene</w:t>
      </w:r>
      <w:r w:rsidR="006E09F4">
        <w:t xml:space="preserve">. Or research without consent into </w:t>
      </w:r>
      <w:r w:rsidR="00940FBE">
        <w:t xml:space="preserve">culturally sensitive topics (e.g. the Havasupai </w:t>
      </w:r>
      <w:r w:rsidR="007366C9">
        <w:t xml:space="preserve">case study). </w:t>
      </w:r>
      <w:r w:rsidR="00B857E9">
        <w:t xml:space="preserve">In addition, while recent legislative amendments </w:t>
      </w:r>
      <w:r w:rsidR="00FC05E1">
        <w:t xml:space="preserve">preventing life insurance companies from accessing My Health Records </w:t>
      </w:r>
      <w:r w:rsidR="00C10F26">
        <w:t xml:space="preserve">were put in place, </w:t>
      </w:r>
      <w:r w:rsidR="004862A5">
        <w:t xml:space="preserve">questions remain: </w:t>
      </w:r>
      <w:r w:rsidR="00512238">
        <w:t>what if a further</w:t>
      </w:r>
      <w:r w:rsidR="00235CF1">
        <w:t xml:space="preserve"> amendment</w:t>
      </w:r>
      <w:r w:rsidR="00512238">
        <w:t xml:space="preserve"> remove</w:t>
      </w:r>
      <w:r w:rsidR="004862A5">
        <w:t>s</w:t>
      </w:r>
      <w:r w:rsidR="00512238">
        <w:t xml:space="preserve"> that prohibition?</w:t>
      </w:r>
      <w:r w:rsidR="004862A5">
        <w:t xml:space="preserve"> Could testing into genetic pre-disposition </w:t>
      </w:r>
      <w:r w:rsidR="006B53EE">
        <w:t xml:space="preserve">be used in disability claim? </w:t>
      </w:r>
    </w:p>
    <w:p w14:paraId="0924D997" w14:textId="59C908B8" w:rsidR="00E42094" w:rsidRDefault="00391927" w:rsidP="00E40585">
      <w:r>
        <w:t xml:space="preserve">Another </w:t>
      </w:r>
      <w:r w:rsidR="000F2045">
        <w:t xml:space="preserve">risk of discrimination arises </w:t>
      </w:r>
      <w:r w:rsidR="00940C4A">
        <w:t xml:space="preserve">elsewhere: could a lack of opportunity for Aboriginal and Torres Strait Islander peoples to engage in genomic study in a culturally appropriate and safe way amount to discrimination by excluding them from positive health outcomes? </w:t>
      </w:r>
    </w:p>
    <w:p w14:paraId="777E81BC" w14:textId="2E415AD8" w:rsidR="00804152" w:rsidRDefault="00940C4A" w:rsidP="00E40585">
      <w:pPr>
        <w:spacing w:after="160"/>
      </w:pPr>
      <w:r>
        <w:t xml:space="preserve">There are opportunities for </w:t>
      </w:r>
      <w:r w:rsidR="00D6249E" w:rsidRPr="002B5F96">
        <w:rPr>
          <w:b/>
          <w:bCs/>
        </w:rPr>
        <w:t>capacity building in the workforce</w:t>
      </w:r>
      <w:r w:rsidR="00D6249E">
        <w:t xml:space="preserve"> </w:t>
      </w:r>
      <w:r w:rsidR="002B5F96">
        <w:t>by better equipping medical service personnel to meet their duty of care</w:t>
      </w:r>
      <w:r w:rsidR="00675E15">
        <w:t xml:space="preserve"> and for the management of incidental findings.</w:t>
      </w:r>
      <w:r w:rsidR="00DA6D70">
        <w:t xml:space="preserve"> There is also potential for capacity building among community by </w:t>
      </w:r>
      <w:r w:rsidR="009A0833">
        <w:t xml:space="preserve">providing </w:t>
      </w:r>
      <w:r w:rsidR="004D4735">
        <w:t xml:space="preserve">better knowledge </w:t>
      </w:r>
      <w:r w:rsidR="00F434A6">
        <w:t xml:space="preserve">of their rights, and </w:t>
      </w:r>
      <w:r w:rsidR="004D3F3C">
        <w:t>the responsibilities of the medical personnel</w:t>
      </w:r>
      <w:r w:rsidR="00634236">
        <w:t xml:space="preserve"> to whom</w:t>
      </w:r>
      <w:r w:rsidR="004D3F3C">
        <w:t xml:space="preserve"> </w:t>
      </w:r>
      <w:r w:rsidR="00634236">
        <w:t xml:space="preserve">they disclose their genomic information. </w:t>
      </w:r>
    </w:p>
    <w:p w14:paraId="253242D2" w14:textId="5EF5FD32" w:rsidR="00F21F0B" w:rsidRDefault="00F21F0B" w:rsidP="00E40585">
      <w:pPr>
        <w:spacing w:after="160"/>
      </w:pPr>
      <w:r>
        <w:t xml:space="preserve">The potential commercialisation of genes, particularly through </w:t>
      </w:r>
      <w:r w:rsidRPr="00F21F0B">
        <w:rPr>
          <w:b/>
          <w:bCs/>
        </w:rPr>
        <w:t>patents</w:t>
      </w:r>
      <w:r>
        <w:t xml:space="preserve"> is another significant concern. </w:t>
      </w:r>
      <w:r w:rsidR="00B6039E">
        <w:t>The proprietary ownership by non-Indigenous companies over Aboriginal and Torres Strait Islander genes and ICIP</w:t>
      </w:r>
      <w:r w:rsidR="00A73868">
        <w:t xml:space="preserve"> is completely at odds with all best practice models and standards of </w:t>
      </w:r>
      <w:r w:rsidR="008238B9">
        <w:t xml:space="preserve">international law. </w:t>
      </w:r>
      <w:r w:rsidR="00D67B62">
        <w:t xml:space="preserve">While human genes are not currently eligible for patent protection in Australia, they may be in other jurisdictions. This becomes relevant </w:t>
      </w:r>
      <w:r w:rsidR="00CA04AB">
        <w:t xml:space="preserve">were data may be stored (and therefore potentially accessible) in other jurisdictions. </w:t>
      </w:r>
      <w:r w:rsidR="0026728E">
        <w:t xml:space="preserve">It is also possible that </w:t>
      </w:r>
      <w:r w:rsidR="00B3704F">
        <w:t xml:space="preserve">innovations derived from human genes </w:t>
      </w:r>
      <w:r w:rsidR="00B3704F">
        <w:rPr>
          <w:i/>
          <w:iCs/>
        </w:rPr>
        <w:t xml:space="preserve">may </w:t>
      </w:r>
      <w:r w:rsidR="00B3704F">
        <w:t xml:space="preserve">be patentable in Australia. </w:t>
      </w:r>
    </w:p>
    <w:p w14:paraId="67748229" w14:textId="0ADB2970" w:rsidR="00A60A90" w:rsidRDefault="00BB10B0" w:rsidP="00E40585">
      <w:pPr>
        <w:spacing w:after="160"/>
      </w:pPr>
      <w:r>
        <w:t xml:space="preserve">Finally, </w:t>
      </w:r>
      <w:r w:rsidRPr="00CB1400">
        <w:rPr>
          <w:b/>
          <w:bCs/>
        </w:rPr>
        <w:t>secondary uses</w:t>
      </w:r>
      <w:r>
        <w:t xml:space="preserve"> of genetic materials, without consent </w:t>
      </w:r>
      <w:r w:rsidR="00E54E6E">
        <w:t xml:space="preserve">represents a loss of control and sovereignty over </w:t>
      </w:r>
      <w:r w:rsidR="00263013">
        <w:t xml:space="preserve">Aboriginal and Torres Strait Islander </w:t>
      </w:r>
      <w:r w:rsidR="00E54E6E">
        <w:t>genes</w:t>
      </w:r>
      <w:r w:rsidR="00034203">
        <w:t>.</w:t>
      </w:r>
      <w:r w:rsidR="001F546C">
        <w:t xml:space="preserve"> Unauthorised secondary uses may occur in a number of contexts including </w:t>
      </w:r>
      <w:r w:rsidR="00416E34">
        <w:t xml:space="preserve">use of data through permitted </w:t>
      </w:r>
      <w:r w:rsidR="00EF58F1">
        <w:t xml:space="preserve">uses under privacy </w:t>
      </w:r>
      <w:r w:rsidR="00966455">
        <w:t>law or</w:t>
      </w:r>
      <w:r w:rsidR="00EF58F1">
        <w:t xml:space="preserve"> </w:t>
      </w:r>
      <w:r w:rsidR="00A60A90">
        <w:t xml:space="preserve">use of </w:t>
      </w:r>
      <w:r w:rsidR="00EF58F1">
        <w:t>de-identified data</w:t>
      </w:r>
      <w:r w:rsidR="00A239E7">
        <w:t xml:space="preserve"> obtained through My Health Records </w:t>
      </w:r>
      <w:r w:rsidR="00EF58F1">
        <w:t>for medical research</w:t>
      </w:r>
      <w:r w:rsidR="00E40585">
        <w:t>.</w:t>
      </w:r>
      <w:r w:rsidR="00022D87">
        <w:t xml:space="preserve"> </w:t>
      </w:r>
    </w:p>
    <w:p w14:paraId="283E2F13" w14:textId="6E986556" w:rsidR="00E27825" w:rsidRDefault="00022D87" w:rsidP="00E40585">
      <w:pPr>
        <w:spacing w:after="160"/>
      </w:pPr>
      <w:r>
        <w:t xml:space="preserve">Unauthorised secondary uses </w:t>
      </w:r>
      <w:r w:rsidR="002C336F">
        <w:t xml:space="preserve">of data stored in existing biobanks or </w:t>
      </w:r>
      <w:r w:rsidR="00251C0E">
        <w:t xml:space="preserve">other collections are also a potential concern. In some areas, </w:t>
      </w:r>
      <w:r w:rsidR="00245B6A">
        <w:t xml:space="preserve">the importance of cultural protocols are well understood, and the absence of legal protections have been </w:t>
      </w:r>
      <w:r w:rsidR="009B5949">
        <w:t xml:space="preserve">remedied by the adoption of best practice models. The National Centre for Indigenous Genomics, for example, </w:t>
      </w:r>
      <w:r w:rsidR="0069348B">
        <w:t xml:space="preserve">prioritises consultation and consent to ensure that </w:t>
      </w:r>
      <w:r w:rsidR="000108CF">
        <w:t>there is no unauthorised use of any genomic sample in their collection</w:t>
      </w:r>
      <w:r w:rsidR="00FF7C9D">
        <w:t xml:space="preserve">. They </w:t>
      </w:r>
      <w:r w:rsidR="00E27825">
        <w:t xml:space="preserve">apply the standard of free, prior, informed consent, and a donor (or their family or community) is free to withdraw consent at any time. </w:t>
      </w:r>
    </w:p>
    <w:p w14:paraId="3192FDA6" w14:textId="07393793" w:rsidR="00902540" w:rsidRDefault="00E27825" w:rsidP="00E40585">
      <w:pPr>
        <w:spacing w:after="160"/>
      </w:pPr>
      <w:r>
        <w:t xml:space="preserve">In other sectors, however, </w:t>
      </w:r>
      <w:r w:rsidR="00415173">
        <w:t xml:space="preserve">cultural protocols and the standard of free, prior, informed consent is less well understood. In those sectors, the absence of legal protections is </w:t>
      </w:r>
      <w:r w:rsidR="00F03AC1">
        <w:t>far more apparent.</w:t>
      </w:r>
    </w:p>
    <w:p w14:paraId="10474525" w14:textId="77777777" w:rsidR="0003696A" w:rsidRDefault="00C23B71" w:rsidP="00E40585">
      <w:pPr>
        <w:spacing w:after="160"/>
      </w:pPr>
      <w:r>
        <w:t>Genomic research</w:t>
      </w:r>
      <w:r w:rsidR="0054778F">
        <w:t xml:space="preserve"> is a dynamic and rapidly developing area of medical research. It has the potential to deliver </w:t>
      </w:r>
      <w:r w:rsidR="005477D9">
        <w:t xml:space="preserve">significant positive medical outcomes. However, </w:t>
      </w:r>
      <w:r w:rsidR="000402B4">
        <w:t xml:space="preserve">it operates in the context of </w:t>
      </w:r>
      <w:r w:rsidR="001D5844">
        <w:t xml:space="preserve">scientific research that has historically been </w:t>
      </w:r>
      <w:r w:rsidR="008D79C8">
        <w:t xml:space="preserve">used to discriminate against Aboriginal and Torres Strait Islander peoples. </w:t>
      </w:r>
      <w:r w:rsidR="00443065">
        <w:t xml:space="preserve">In addition, </w:t>
      </w:r>
      <w:r w:rsidR="00C10B80">
        <w:t xml:space="preserve">common procedure, policy and law are all based on </w:t>
      </w:r>
      <w:r w:rsidR="00B90495">
        <w:t xml:space="preserve">European views of the body, culture and heritage. </w:t>
      </w:r>
      <w:r w:rsidR="00EC4656">
        <w:t xml:space="preserve">This issues paper has outlined the </w:t>
      </w:r>
      <w:r w:rsidR="00EC4656">
        <w:lastRenderedPageBreak/>
        <w:t xml:space="preserve">primary </w:t>
      </w:r>
      <w:r w:rsidR="003810A6">
        <w:t xml:space="preserve">ethical, social and cultural issues </w:t>
      </w:r>
      <w:r w:rsidR="002244C5">
        <w:t xml:space="preserve">of Indigenous genomic research </w:t>
      </w:r>
      <w:r w:rsidR="00BE32D4">
        <w:t>and analyse</w:t>
      </w:r>
      <w:r w:rsidR="00F64A88">
        <w:t>d the current legal landscape to see how the</w:t>
      </w:r>
      <w:r w:rsidR="0003696A">
        <w:t>se</w:t>
      </w:r>
      <w:r w:rsidR="00F64A88">
        <w:t xml:space="preserve"> concerns </w:t>
      </w:r>
      <w:r w:rsidR="005A53B6">
        <w:t xml:space="preserve">are addressed. </w:t>
      </w:r>
    </w:p>
    <w:p w14:paraId="6128B73D" w14:textId="1DFF50F7" w:rsidR="00E22E89" w:rsidRDefault="00551D47" w:rsidP="00E40585">
      <w:pPr>
        <w:spacing w:after="160"/>
      </w:pPr>
      <w:r>
        <w:t>To complete the analysis</w:t>
      </w:r>
      <w:r w:rsidR="0003696A">
        <w:t>,</w:t>
      </w:r>
      <w:r w:rsidR="0026454F">
        <w:t xml:space="preserve"> national and international case studie</w:t>
      </w:r>
      <w:r w:rsidR="00F20234">
        <w:t xml:space="preserve">s of best practice (and not best practice) </w:t>
      </w:r>
      <w:r w:rsidR="00465A62">
        <w:t xml:space="preserve">have been used to demonstrate the risks and opportunities available for law and policy in this area. International comparative legal analysis </w:t>
      </w:r>
      <w:r w:rsidR="00E22E89">
        <w:t>serves the same function. The outcome has been the key issues</w:t>
      </w:r>
      <w:r w:rsidR="00367ECF">
        <w:t xml:space="preserve"> outlined above. With a better understanding of these key issues </w:t>
      </w:r>
      <w:r w:rsidR="0056279D">
        <w:t xml:space="preserve">we have a </w:t>
      </w:r>
      <w:r w:rsidR="00E22E89">
        <w:t xml:space="preserve">starting place </w:t>
      </w:r>
      <w:r w:rsidR="001D0334">
        <w:t>for policy and law makers when working towards better health outcomes for Aboriginal and Torres Strait Islander peoples.</w:t>
      </w:r>
      <w:r w:rsidR="00E22E89">
        <w:t xml:space="preserve"> </w:t>
      </w:r>
    </w:p>
    <w:p w14:paraId="13D83AA1" w14:textId="77777777" w:rsidR="00CF61A9" w:rsidRPr="00CF61A9" w:rsidRDefault="00126968">
      <w:pPr>
        <w:spacing w:after="160" w:line="259" w:lineRule="auto"/>
      </w:pPr>
      <w:r>
        <w:br w:type="page"/>
      </w:r>
    </w:p>
    <w:p w14:paraId="3CFC4083" w14:textId="58ADB0D7" w:rsidR="00A30EC0" w:rsidRPr="008E5C92" w:rsidRDefault="00965677" w:rsidP="00A24315">
      <w:pPr>
        <w:pStyle w:val="Heading1"/>
        <w:rPr>
          <w:lang w:val="en-AU"/>
        </w:rPr>
      </w:pPr>
      <w:bookmarkStart w:id="217" w:name="_Toc36215551"/>
      <w:bookmarkStart w:id="218" w:name="_Toc118824415"/>
      <w:r w:rsidRPr="008E5C92">
        <w:rPr>
          <w:lang w:val="en-AU"/>
        </w:rPr>
        <w:lastRenderedPageBreak/>
        <w:t>References</w:t>
      </w:r>
      <w:bookmarkEnd w:id="217"/>
      <w:bookmarkEnd w:id="218"/>
    </w:p>
    <w:p w14:paraId="0E0B4C2E" w14:textId="2CE03563" w:rsidR="00EA6468" w:rsidRPr="00242755" w:rsidRDefault="00EA6468" w:rsidP="00C778CF">
      <w:pPr>
        <w:pStyle w:val="Heading2nonumbering"/>
      </w:pPr>
      <w:bookmarkStart w:id="219" w:name="_Toc118824416"/>
      <w:r w:rsidRPr="00242755">
        <w:t>A Articles/Books/Reports</w:t>
      </w:r>
      <w:bookmarkEnd w:id="219"/>
    </w:p>
    <w:p w14:paraId="6276342F" w14:textId="57F6A1A7" w:rsidR="00EA6468" w:rsidRPr="00242755" w:rsidRDefault="00EA6468" w:rsidP="00A24315">
      <w:pPr>
        <w:pStyle w:val="FootnoteText"/>
        <w:rPr>
          <w:rStyle w:val="Hyperlink"/>
          <w:rFonts w:cs="Arial"/>
          <w:szCs w:val="22"/>
        </w:rPr>
      </w:pPr>
      <w:r w:rsidRPr="00242755">
        <w:t xml:space="preserve">Australian Law Reform Commission, </w:t>
      </w:r>
      <w:r w:rsidRPr="00242755">
        <w:rPr>
          <w:i/>
        </w:rPr>
        <w:t>Essentially Yours</w:t>
      </w:r>
      <w:r w:rsidRPr="00242755">
        <w:rPr>
          <w:i/>
          <w:iCs/>
        </w:rPr>
        <w:t xml:space="preserve">: The Protection of Human Genetic Information in Australia </w:t>
      </w:r>
      <w:r w:rsidRPr="00242755">
        <w:t>ALRC Report 96 (2003)</w:t>
      </w:r>
      <w:r w:rsidRPr="00242755">
        <w:rPr>
          <w:i/>
          <w:iCs/>
        </w:rPr>
        <w:t xml:space="preserve"> </w:t>
      </w:r>
      <w:r w:rsidRPr="00242755">
        <w:t xml:space="preserve"> </w:t>
      </w:r>
      <w:r w:rsidRPr="00A24315">
        <w:rPr>
          <w:rStyle w:val="Hyperlink"/>
        </w:rPr>
        <w:t>&lt;</w:t>
      </w:r>
      <w:hyperlink r:id="rId43" w:history="1">
        <w:r w:rsidRPr="00A24315">
          <w:rPr>
            <w:rStyle w:val="Hyperlink"/>
          </w:rPr>
          <w:t>https://www.alrc.gov.au/publication/essentially-yours-the-protection-of-human-genetic-information-in-australia-alrc-report-96/07-information-and-health-privacy-law/applying-the-privacy-act-to-genetic-information/</w:t>
        </w:r>
      </w:hyperlink>
      <w:r w:rsidRPr="00A24315">
        <w:rPr>
          <w:rStyle w:val="Hyperlink"/>
        </w:rPr>
        <w:t>&gt;</w:t>
      </w:r>
      <w:r w:rsidRPr="00242755">
        <w:rPr>
          <w:rStyle w:val="Hyperlink"/>
          <w:rFonts w:cs="Arial"/>
          <w:color w:val="000000" w:themeColor="text1"/>
          <w:szCs w:val="22"/>
        </w:rPr>
        <w:t xml:space="preserve"> </w:t>
      </w:r>
    </w:p>
    <w:p w14:paraId="6BBCE71B" w14:textId="77777777" w:rsidR="00EA6468" w:rsidRPr="00A24315" w:rsidRDefault="00EA6468" w:rsidP="00A24315">
      <w:pPr>
        <w:pStyle w:val="FootnoteText"/>
      </w:pPr>
      <w:r w:rsidRPr="00242755">
        <w:t xml:space="preserve">Australian Law Reform Commission, </w:t>
      </w:r>
      <w:r w:rsidRPr="00242755">
        <w:rPr>
          <w:i/>
          <w:iCs/>
        </w:rPr>
        <w:t xml:space="preserve">Genes </w:t>
      </w:r>
      <w:r w:rsidRPr="00242755">
        <w:rPr>
          <w:i/>
        </w:rPr>
        <w:t xml:space="preserve">and </w:t>
      </w:r>
      <w:r w:rsidRPr="00242755">
        <w:rPr>
          <w:i/>
          <w:iCs/>
        </w:rPr>
        <w:t xml:space="preserve">Ingenuity: Gene patenting and human health, </w:t>
      </w:r>
      <w:r w:rsidRPr="00A24315">
        <w:t>ALRC Report 99 (2004)</w:t>
      </w:r>
    </w:p>
    <w:p w14:paraId="48FAF690" w14:textId="77777777" w:rsidR="00EA6468" w:rsidRPr="00A24315" w:rsidRDefault="00EA6468" w:rsidP="00A24315">
      <w:pPr>
        <w:pStyle w:val="FootnoteText"/>
      </w:pPr>
      <w:r w:rsidRPr="00A24315">
        <w:t>Bartlett, William, ‘D’Arcy v Myriad Genetics Inc [2015] HCA 35: The plurality’s new factorial approach to patentability rearticulates the question asked in NRDC’ (2015) 25(1) Journal of Law, Information and Science, 120</w:t>
      </w:r>
    </w:p>
    <w:p w14:paraId="5ED1C09C" w14:textId="60F3C8A6" w:rsidR="00EA6468" w:rsidRPr="00242755" w:rsidRDefault="00EA6468" w:rsidP="00A24315">
      <w:pPr>
        <w:pStyle w:val="FootnoteText"/>
      </w:pPr>
      <w:r w:rsidRPr="00242755">
        <w:t xml:space="preserve">Ekstein, Lisa, Donald Chalmers, Christine Critchley, Ruthie Jeanneret, Rebekah McWhirter, Jane Nielsen, Margaret Otlowski, Dianne Nicol, </w:t>
      </w:r>
      <w:r w:rsidR="001D2317" w:rsidRPr="00242755">
        <w:t>‘Australia: regulating genomic data sharing to promote public trust’, (2018) 137(</w:t>
      </w:r>
      <w:r w:rsidR="001C6019" w:rsidRPr="00242755">
        <w:t>8</w:t>
      </w:r>
      <w:r w:rsidR="001D2317" w:rsidRPr="00242755">
        <w:t>)</w:t>
      </w:r>
      <w:r w:rsidR="00AB6C11" w:rsidRPr="00242755">
        <w:t xml:space="preserve"> </w:t>
      </w:r>
      <w:r w:rsidRPr="00242755">
        <w:rPr>
          <w:i/>
        </w:rPr>
        <w:t xml:space="preserve">Human Genetics </w:t>
      </w:r>
      <w:r w:rsidR="001D2317" w:rsidRPr="00242755">
        <w:t>583-591</w:t>
      </w:r>
    </w:p>
    <w:p w14:paraId="2FD719C2" w14:textId="77777777" w:rsidR="00EA6468" w:rsidRPr="00242755" w:rsidRDefault="00EA6468" w:rsidP="00A24315">
      <w:pPr>
        <w:pStyle w:val="FootnoteText"/>
        <w:rPr>
          <w:rFonts w:eastAsia="Times New Roman"/>
          <w:lang w:eastAsia="en-AU"/>
        </w:rPr>
      </w:pPr>
      <w:r w:rsidRPr="00242755">
        <w:rPr>
          <w:rFonts w:eastAsia="Times New Roman"/>
          <w:lang w:eastAsia="en-AU"/>
        </w:rPr>
        <w:t>Elsum, Imogen, Callum McEwan, Emma E Kowal, Yvonne Cadet</w:t>
      </w:r>
      <w:r w:rsidRPr="00242755">
        <w:rPr>
          <w:rFonts w:ascii="Cambria Math" w:eastAsia="Times New Roman" w:hAnsi="Cambria Math" w:cs="Cambria Math"/>
          <w:lang w:eastAsia="en-AU"/>
        </w:rPr>
        <w:t>‐</w:t>
      </w:r>
      <w:r w:rsidRPr="00242755">
        <w:rPr>
          <w:rFonts w:eastAsia="Times New Roman"/>
          <w:lang w:eastAsia="en-AU"/>
        </w:rPr>
        <w:t xml:space="preserve">James, Margaret Kelaher and Lynn Woodward, ‘Inclusion of Indigenous Australians in biobanks: a step to reducing inequity in health care’ (2019) 11 </w:t>
      </w:r>
      <w:r w:rsidRPr="00242755">
        <w:rPr>
          <w:rFonts w:eastAsia="Times New Roman"/>
          <w:i/>
          <w:iCs/>
          <w:lang w:eastAsia="en-AU"/>
        </w:rPr>
        <w:t>Medical Journal of Australia</w:t>
      </w:r>
      <w:r w:rsidRPr="00242755">
        <w:rPr>
          <w:rFonts w:eastAsia="Times New Roman"/>
          <w:lang w:eastAsia="en-AU"/>
        </w:rPr>
        <w:t xml:space="preserve"> 7</w:t>
      </w:r>
    </w:p>
    <w:p w14:paraId="6A03EF55" w14:textId="77777777" w:rsidR="00EA6468" w:rsidRPr="00242755" w:rsidRDefault="00EA6468" w:rsidP="00A24315">
      <w:pPr>
        <w:pStyle w:val="FootnoteText"/>
        <w:rPr>
          <w:b/>
          <w:bCs/>
          <w:i/>
          <w:iCs/>
        </w:rPr>
      </w:pPr>
      <w:r w:rsidRPr="00242755">
        <w:t>Harry, Debra, ‘Bio colonialism and Indigenous knowledge in United nations Discourse’</w:t>
      </w:r>
      <w:r w:rsidRPr="00242755">
        <w:rPr>
          <w:i/>
        </w:rPr>
        <w:t xml:space="preserve"> </w:t>
      </w:r>
      <w:r w:rsidRPr="00242755">
        <w:t xml:space="preserve">(2011) 20(1) </w:t>
      </w:r>
      <w:r w:rsidRPr="00242755">
        <w:rPr>
          <w:i/>
        </w:rPr>
        <w:t>Griffith Law Review</w:t>
      </w:r>
      <w:r w:rsidRPr="00242755">
        <w:t>,  702</w:t>
      </w:r>
    </w:p>
    <w:p w14:paraId="34017123" w14:textId="2BA464B4" w:rsidR="00EA6468" w:rsidRPr="00242755" w:rsidRDefault="00EA6468" w:rsidP="00A24315">
      <w:pPr>
        <w:pStyle w:val="FootnoteText"/>
      </w:pPr>
      <w:r w:rsidRPr="00242755">
        <w:t xml:space="preserve">Janke, Dr Terri, </w:t>
      </w:r>
      <w:r w:rsidRPr="00242755">
        <w:rPr>
          <w:i/>
          <w:iCs/>
        </w:rPr>
        <w:t xml:space="preserve">True Tracks: Indigenous Cultural and Intellectual Property Principles for putting Self-Determination into practice </w:t>
      </w:r>
      <w:r w:rsidRPr="00242755">
        <w:t>(</w:t>
      </w:r>
      <w:r w:rsidR="00547018" w:rsidRPr="00242755">
        <w:t>PhD Thesis</w:t>
      </w:r>
      <w:r w:rsidR="00CA7B37" w:rsidRPr="00242755">
        <w:t>, Australian National University,</w:t>
      </w:r>
      <w:r w:rsidRPr="00242755">
        <w:t xml:space="preserve"> 2019)</w:t>
      </w:r>
      <w:r w:rsidRPr="00242755">
        <w:rPr>
          <w:i/>
          <w:iCs/>
        </w:rPr>
        <w:t xml:space="preserve"> </w:t>
      </w:r>
      <w:r w:rsidRPr="00A24315">
        <w:t>available</w:t>
      </w:r>
      <w:r w:rsidRPr="00242755">
        <w:t xml:space="preserve"> at </w:t>
      </w:r>
      <w:r w:rsidRPr="00A24315">
        <w:rPr>
          <w:rStyle w:val="Hyperlink"/>
        </w:rPr>
        <w:t>&lt;</w:t>
      </w:r>
      <w:hyperlink r:id="rId44" w:history="1">
        <w:r w:rsidRPr="00A24315">
          <w:rPr>
            <w:rStyle w:val="Hyperlink"/>
          </w:rPr>
          <w:t>http://www.terrijanke.com.au/terri-janke-phd-true-tracks</w:t>
        </w:r>
      </w:hyperlink>
      <w:r w:rsidRPr="00A24315">
        <w:rPr>
          <w:rStyle w:val="Hyperlink"/>
        </w:rPr>
        <w:t>&gt;</w:t>
      </w:r>
    </w:p>
    <w:p w14:paraId="365E1CB7" w14:textId="77777777" w:rsidR="00EA6468" w:rsidRPr="00242755" w:rsidRDefault="00EA6468" w:rsidP="00A24315">
      <w:pPr>
        <w:pStyle w:val="FootnoteText"/>
        <w:rPr>
          <w:rStyle w:val="Hyperlink"/>
          <w:rFonts w:cs="Arial"/>
          <w:szCs w:val="22"/>
        </w:rPr>
      </w:pPr>
      <w:r w:rsidRPr="00242755">
        <w:t xml:space="preserve">Kowal, Emma, ‘Genetic research in Indigenous health: significant progress, substantial </w:t>
      </w:r>
      <w:r w:rsidRPr="00A24315">
        <w:t>challenges’</w:t>
      </w:r>
      <w:r w:rsidRPr="00242755">
        <w:t xml:space="preserve"> (2012) 197(1) </w:t>
      </w:r>
      <w:r w:rsidRPr="00242755">
        <w:rPr>
          <w:i/>
        </w:rPr>
        <w:t>The Medical Journal of Australia,</w:t>
      </w:r>
      <w:r w:rsidRPr="00242755">
        <w:rPr>
          <w:iCs/>
        </w:rPr>
        <w:t xml:space="preserve"> 19</w:t>
      </w:r>
      <w:r w:rsidRPr="00242755">
        <w:rPr>
          <w:i/>
        </w:rPr>
        <w:t xml:space="preserve"> </w:t>
      </w:r>
    </w:p>
    <w:p w14:paraId="53805984" w14:textId="4B4091C9" w:rsidR="00EA6468" w:rsidRPr="00966455" w:rsidRDefault="00BC3C06" w:rsidP="00821DB2">
      <w:pPr>
        <w:pStyle w:val="FootnoteText"/>
        <w:spacing w:before="240" w:after="240"/>
      </w:pPr>
      <w:r w:rsidRPr="00A24315">
        <w:t xml:space="preserve">Van Assche, </w:t>
      </w:r>
      <w:r w:rsidR="00EA6468" w:rsidRPr="00A24315">
        <w:t>Kristof, Serge Gutwirth and Sigrid Sterckx, ‘Protecting Dignitary Interests of Biobank Research Participants: Lessons from Havasupai Tribe</w:t>
      </w:r>
      <w:r w:rsidR="00EA6468" w:rsidRPr="00966455">
        <w:t xml:space="preserve"> v Arizona Board of Regents’</w:t>
      </w:r>
      <w:r w:rsidR="00EA6468" w:rsidRPr="00242755">
        <w:rPr>
          <w:rFonts w:cs="Arial"/>
          <w:color w:val="000000" w:themeColor="text1"/>
          <w:szCs w:val="22"/>
          <w:shd w:val="clear" w:color="auto" w:fill="FFFFFF"/>
        </w:rPr>
        <w:t> </w:t>
      </w:r>
      <w:r w:rsidR="00EA6468" w:rsidRPr="00966455">
        <w:t>(2013) 5(1) Law, Innovation and Technology 5, 60</w:t>
      </w:r>
    </w:p>
    <w:p w14:paraId="7DF71044" w14:textId="77777777" w:rsidR="00EA6468" w:rsidRPr="00A24315" w:rsidRDefault="00EA6468" w:rsidP="00A24315">
      <w:pPr>
        <w:pStyle w:val="FootnoteText"/>
      </w:pPr>
      <w:r w:rsidRPr="00242755">
        <w:t xml:space="preserve">Markow </w:t>
      </w:r>
      <w:r w:rsidRPr="00A24315">
        <w:t>Therese, John Martin, ‘Inbreeding and developmental stability in a small human population”, (1993) 20(4)  Annals of Human Biology 389</w:t>
      </w:r>
    </w:p>
    <w:p w14:paraId="0A37EF73" w14:textId="77777777" w:rsidR="00EA6468" w:rsidRPr="00A24315" w:rsidRDefault="00EA6468" w:rsidP="00A24315">
      <w:pPr>
        <w:pStyle w:val="FootnoteText"/>
      </w:pPr>
      <w:r w:rsidRPr="00A24315">
        <w:t>Marshall, Virginia, Terri Janke and Anthony Watson, ‘Community Economic Development in Patenting Traditional Knowledge: A Case Study of the Mudjala TK Project in the Kimberley Region of Western Australia’ (2013) 8(6) Indigenous Law Bulletin 16</w:t>
      </w:r>
    </w:p>
    <w:p w14:paraId="1EE9D43D" w14:textId="1D5BBF1D" w:rsidR="00EA6468" w:rsidRPr="00242755" w:rsidRDefault="00EA6468" w:rsidP="00A24315">
      <w:pPr>
        <w:pStyle w:val="FootnoteText"/>
        <w:rPr>
          <w:shd w:val="clear" w:color="auto" w:fill="FFFFFF"/>
        </w:rPr>
      </w:pPr>
      <w:r w:rsidRPr="00A24315">
        <w:t xml:space="preserve">McWhirter, Rebekah, Carolyn Johnston, and Jo Burke, ‘Disclosure of Genetic Results to At-risk Relatives without Consent: Issues for Health Care Professionals in Australia’ (2019) 27(1) Journal of </w:t>
      </w:r>
      <w:r w:rsidR="0020513D" w:rsidRPr="00A24315">
        <w:t>L</w:t>
      </w:r>
      <w:r w:rsidRPr="00A24315">
        <w:t>aw and Medicine</w:t>
      </w:r>
      <w:r w:rsidRPr="00242755">
        <w:rPr>
          <w:shd w:val="clear" w:color="auto" w:fill="FFFFFF"/>
        </w:rPr>
        <w:t xml:space="preserve"> 108</w:t>
      </w:r>
    </w:p>
    <w:p w14:paraId="73729994" w14:textId="6CED2CCB" w:rsidR="00996A60" w:rsidRPr="00242755" w:rsidRDefault="00996A60" w:rsidP="00A24315">
      <w:pPr>
        <w:pStyle w:val="FootnoteText"/>
        <w:rPr>
          <w:color w:val="000000" w:themeColor="text1"/>
          <w:shd w:val="clear" w:color="auto" w:fill="FFFFFF"/>
        </w:rPr>
      </w:pPr>
      <w:r w:rsidRPr="00242755">
        <w:t xml:space="preserve">Mallick Swapman, Heng Li, Mark Lipson, Iain Mathieson, Melissa Gymrek, Fernando Racimo, Mengyao Zhao, Niru Chennagiri, Susanne Nordenfelt, Arti Tandon, Pontus Skoglund, Losif Lazaridis, Sriram Sankararaman, Qiaomei Fu, Nadin Rohland, Gabriel Renaud, Yaniv Erlich, Thomas Willems, Carla Gallo, Jeffrey P. Spence, Yun S. Song, Giovanni Poletti. Francois Balloux, George van Driem, Peter de Knijff, Irene Gallego Romero, Aashish R. Jha, Doron M. Behar, Claudio M. Bravi, Cristian Capelli, Tor Hervig, Andres Moreno-Estrada, Olga L. Posukh, Elena Balanovska, Oleg Balanovsky, Sena </w:t>
      </w:r>
      <w:r w:rsidRPr="00242755">
        <w:lastRenderedPageBreak/>
        <w:t xml:space="preserve">Karachanak Yankova, Hovhannes Sahakyan, Draga Toncheva, Levon Yepiskoposyan, Chris Tyler-Smith, Yali Xue, M. Syafiq Abdullah, Andres Ruiz-Linares, Cynthia M. Beall, Anna Di Rienzo, Choongwon Jeong, Elena B. Starikovskaya, Ene Metspalu, Jüri Parik, Richard Villems, Brenna M. Henn, Ugur Hodoglugil, Robert Mahley, Antti Sajantila, George Stamatoyannopoulos, Joseph T. S. Wee, Rita Khusainova, Elza Khusnutdinova, Sergey Litvinov, George Ayodo, David Comas, Michael Hammer, Toomas Kivisild, William Klitz, Cheryl Winkler, Damian Labuda, Michael Bamshad, Lynn B. Jorde, Sarah A. Tishkoff, W. Scott Watkins, Mait Metspalu, Stanislav Dryomov, Rem Sukernik, Lalji Singh, Kumarasamy Thangaraj, Svante Pääbo, Janet Kelso, Nick Patterson, and David Reich ‘The Simons genome diversity project: 300 genomes from 142 diverse populations’ (2016) 538(7624) </w:t>
      </w:r>
      <w:r w:rsidRPr="00242755">
        <w:rPr>
          <w:i/>
          <w:iCs/>
        </w:rPr>
        <w:t xml:space="preserve">Nature </w:t>
      </w:r>
      <w:r w:rsidRPr="00242755">
        <w:t>201</w:t>
      </w:r>
    </w:p>
    <w:p w14:paraId="0B7FEA40" w14:textId="1002D700" w:rsidR="00EA6468" w:rsidRPr="00242755" w:rsidRDefault="00EA6468" w:rsidP="00A24315">
      <w:pPr>
        <w:pStyle w:val="FootnoteText"/>
      </w:pPr>
      <w:r w:rsidRPr="00A21E08">
        <w:t>Mortimer, Debra, ‘Proprietary Rights in Body Parts: The Relevance of Moore's Case in Australi</w:t>
      </w:r>
      <w:r w:rsidR="003F26D6" w:rsidRPr="00A21E08">
        <w:t>a</w:t>
      </w:r>
      <w:r w:rsidRPr="00A21E08">
        <w:t>,</w:t>
      </w:r>
      <w:r w:rsidR="00883DAF" w:rsidRPr="00A21E08">
        <w:t xml:space="preserve"> </w:t>
      </w:r>
      <w:r w:rsidRPr="00A21E08">
        <w:t xml:space="preserve">(1993) 19(2) </w:t>
      </w:r>
      <w:r w:rsidRPr="00A21E08">
        <w:rPr>
          <w:i/>
        </w:rPr>
        <w:t>Monash University Law Review</w:t>
      </w:r>
      <w:r w:rsidRPr="00A21E08">
        <w:t xml:space="preserve"> 217</w:t>
      </w:r>
    </w:p>
    <w:p w14:paraId="454A54AB" w14:textId="5CB8097B" w:rsidR="00EA6468" w:rsidRPr="00242755" w:rsidRDefault="00EA6468" w:rsidP="00A24315">
      <w:pPr>
        <w:pStyle w:val="FootnoteText"/>
      </w:pPr>
      <w:r w:rsidRPr="00242755">
        <w:t xml:space="preserve">National Health and Medical Research Council, </w:t>
      </w:r>
      <w:r w:rsidRPr="00242755">
        <w:rPr>
          <w:i/>
          <w:iCs/>
          <w:lang w:val="en-US"/>
        </w:rPr>
        <w:t>Keeping Research on Track II</w:t>
      </w:r>
      <w:r w:rsidRPr="00242755">
        <w:rPr>
          <w:lang w:val="en-US"/>
        </w:rPr>
        <w:t xml:space="preserve"> (Australian Government, Canberra, August 2018) &lt;</w:t>
      </w:r>
      <w:hyperlink r:id="rId45" w:history="1">
        <w:r w:rsidRPr="00242755">
          <w:rPr>
            <w:rStyle w:val="Hyperlink"/>
            <w:rFonts w:cs="Arial"/>
            <w:szCs w:val="22"/>
          </w:rPr>
          <w:t>https://www.nhmrc.gov.au/about-us/resources/keeping-research-track-ii</w:t>
        </w:r>
      </w:hyperlink>
      <w:r w:rsidRPr="00242755">
        <w:t>&gt;</w:t>
      </w:r>
    </w:p>
    <w:p w14:paraId="4F9EFF88" w14:textId="77777777" w:rsidR="00EA6468" w:rsidRPr="00242755" w:rsidRDefault="00EA6468" w:rsidP="00A24315">
      <w:pPr>
        <w:pStyle w:val="FootnoteText"/>
      </w:pPr>
      <w:r w:rsidRPr="00242755">
        <w:t xml:space="preserve">Rimmer, Mathew, ‘The Genographic Project: Traditional Knowledge and Population Genetics’ (2007) 11(2) </w:t>
      </w:r>
      <w:r w:rsidRPr="00242755">
        <w:rPr>
          <w:i/>
        </w:rPr>
        <w:t xml:space="preserve">Australian Indigenous Law Reporter </w:t>
      </w:r>
      <w:r w:rsidRPr="00242755">
        <w:t>46</w:t>
      </w:r>
    </w:p>
    <w:p w14:paraId="0F7940BB" w14:textId="1D2E17D7" w:rsidR="00EA6468" w:rsidRPr="00242755" w:rsidRDefault="00EA6468" w:rsidP="00A24315">
      <w:pPr>
        <w:pStyle w:val="FootnoteText"/>
      </w:pPr>
      <w:r w:rsidRPr="00242755">
        <w:t xml:space="preserve">Rimmer, Matthew, ‘The Empire of Cancer: Gene Patents and Cancer Voices’ </w:t>
      </w:r>
      <w:r w:rsidR="0020513D">
        <w:t>(</w:t>
      </w:r>
      <w:r w:rsidRPr="00242755">
        <w:t>2013</w:t>
      </w:r>
      <w:r w:rsidR="0020513D">
        <w:t>)</w:t>
      </w:r>
      <w:r w:rsidRPr="00242755">
        <w:t xml:space="preserve"> 22(2) </w:t>
      </w:r>
      <w:r w:rsidRPr="00242755">
        <w:rPr>
          <w:i/>
        </w:rPr>
        <w:t xml:space="preserve">Journal of Law, Information and Science </w:t>
      </w:r>
      <w:r w:rsidRPr="00242755">
        <w:t>18</w:t>
      </w:r>
    </w:p>
    <w:p w14:paraId="09DF2692" w14:textId="0C556335" w:rsidR="0067099B" w:rsidRPr="00BC3C06" w:rsidRDefault="0067099B" w:rsidP="00A24315">
      <w:pPr>
        <w:pStyle w:val="FootnoteText"/>
        <w:rPr>
          <w:b/>
          <w:bCs/>
          <w:i/>
          <w:iCs/>
        </w:rPr>
      </w:pPr>
      <w:r w:rsidRPr="00BC3C06">
        <w:rPr>
          <w:shd w:val="clear" w:color="auto" w:fill="FFFFFF"/>
        </w:rPr>
        <w:t>Rimmer, Matthew, ‘</w:t>
      </w:r>
      <w:r w:rsidRPr="00BC3C06">
        <w:rPr>
          <w:iCs/>
          <w:shd w:val="clear" w:color="auto" w:fill="FFFFFF"/>
        </w:rPr>
        <w:t>Gene Genie: The Judicial Revolution in Biotech IP’</w:t>
      </w:r>
      <w:r w:rsidR="0020513D">
        <w:rPr>
          <w:iCs/>
          <w:shd w:val="clear" w:color="auto" w:fill="FFFFFF"/>
        </w:rPr>
        <w:t xml:space="preserve"> </w:t>
      </w:r>
      <w:r w:rsidRPr="00BC3C06">
        <w:rPr>
          <w:shd w:val="clear" w:color="auto" w:fill="FFFFFF"/>
        </w:rPr>
        <w:t xml:space="preserve">(2016) 26(2) </w:t>
      </w:r>
      <w:r w:rsidRPr="00BC3C06">
        <w:rPr>
          <w:i/>
          <w:shd w:val="clear" w:color="auto" w:fill="FFFFFF"/>
        </w:rPr>
        <w:t>Australasian Biotechnology</w:t>
      </w:r>
      <w:r w:rsidRPr="00BC3C06">
        <w:rPr>
          <w:shd w:val="clear" w:color="auto" w:fill="FFFFFF"/>
        </w:rPr>
        <w:t xml:space="preserve"> 60</w:t>
      </w:r>
    </w:p>
    <w:p w14:paraId="6E414948" w14:textId="257E2AF8" w:rsidR="00EA6468" w:rsidRPr="009531F1" w:rsidRDefault="00EA6468" w:rsidP="00A24315">
      <w:pPr>
        <w:pStyle w:val="FootnoteText"/>
      </w:pPr>
      <w:r w:rsidRPr="00242755">
        <w:t>Wade, Peter</w:t>
      </w:r>
      <w:r w:rsidRPr="00242755">
        <w:rPr>
          <w:i/>
          <w:iCs/>
        </w:rPr>
        <w:t>, Degrees of Mixture, Degrees of Freedom: Genomics, Multiculturalism, and Race in Latin Americ</w:t>
      </w:r>
      <w:r w:rsidRPr="00242755">
        <w:t>a (Duke University Press, 2017)</w:t>
      </w:r>
    </w:p>
    <w:p w14:paraId="29BB4FC8" w14:textId="161FB07D" w:rsidR="00EA6468" w:rsidRPr="00242755" w:rsidRDefault="00EA6468" w:rsidP="00C778CF">
      <w:pPr>
        <w:pStyle w:val="Heading2nonumbering"/>
      </w:pPr>
      <w:bookmarkStart w:id="220" w:name="_Toc118824417"/>
      <w:r w:rsidRPr="00242755">
        <w:t>B Cases</w:t>
      </w:r>
      <w:bookmarkEnd w:id="220"/>
    </w:p>
    <w:p w14:paraId="11F07C0F" w14:textId="77777777" w:rsidR="00EA6468" w:rsidRPr="00242755" w:rsidRDefault="00EA6468" w:rsidP="00A24315">
      <w:pPr>
        <w:pStyle w:val="FootnoteText"/>
        <w:rPr>
          <w:color w:val="000000"/>
          <w:spacing w:val="2"/>
        </w:rPr>
      </w:pPr>
      <w:r w:rsidRPr="00242755">
        <w:rPr>
          <w:rStyle w:val="EndnoteTextChar"/>
          <w:rFonts w:cs="Arial"/>
          <w:color w:val="000000"/>
          <w:spacing w:val="2"/>
          <w:szCs w:val="22"/>
        </w:rPr>
        <w:t>Anaesthetic Supplies Pty Ltd v Rescare Ltd</w:t>
      </w:r>
      <w:r w:rsidRPr="00242755">
        <w:rPr>
          <w:color w:val="000000"/>
          <w:spacing w:val="2"/>
        </w:rPr>
        <w:t> (1994) 50 FCR 1</w:t>
      </w:r>
    </w:p>
    <w:p w14:paraId="51D3FB1A" w14:textId="1B50A773" w:rsidR="00EA6468" w:rsidRPr="00242755" w:rsidRDefault="00EA6468" w:rsidP="00A24315">
      <w:pPr>
        <w:pStyle w:val="FootnoteText"/>
      </w:pPr>
      <w:r w:rsidRPr="00242755">
        <w:rPr>
          <w:i/>
        </w:rPr>
        <w:t>Association for Molecular Pathology, et al. v. Myriad Genetics</w:t>
      </w:r>
      <w:r w:rsidRPr="00242755">
        <w:t>, 569 </w:t>
      </w:r>
      <w:hyperlink r:id="rId46" w:tooltip="United States Reports" w:history="1">
        <w:r w:rsidRPr="00242755">
          <w:t>U.S.</w:t>
        </w:r>
      </w:hyperlink>
      <w:r w:rsidRPr="00242755">
        <w:t> 576 (2013)</w:t>
      </w:r>
    </w:p>
    <w:p w14:paraId="4C55025D" w14:textId="20B706EA" w:rsidR="00EA6468" w:rsidRPr="00242755" w:rsidRDefault="00EA6468" w:rsidP="00A24315">
      <w:pPr>
        <w:pStyle w:val="FootnoteText"/>
      </w:pPr>
      <w:r w:rsidRPr="00242755">
        <w:rPr>
          <w:i/>
        </w:rPr>
        <w:t xml:space="preserve">Bernhard Joos v Commissioner of Patents </w:t>
      </w:r>
      <w:r w:rsidR="00E81327">
        <w:rPr>
          <w:iCs/>
        </w:rPr>
        <w:t xml:space="preserve">(1972) </w:t>
      </w:r>
      <w:r w:rsidRPr="00242755">
        <w:t>126 CLR 611</w:t>
      </w:r>
    </w:p>
    <w:p w14:paraId="74489587" w14:textId="77777777" w:rsidR="00EA6468" w:rsidRPr="00242755" w:rsidRDefault="00EA6468" w:rsidP="00A24315">
      <w:pPr>
        <w:pStyle w:val="FootnoteText"/>
        <w:rPr>
          <w:lang w:val="en-US"/>
        </w:rPr>
      </w:pPr>
      <w:r w:rsidRPr="00242755">
        <w:rPr>
          <w:lang w:val="en-US"/>
        </w:rPr>
        <w:t xml:space="preserve">Black CJ </w:t>
      </w:r>
      <w:r w:rsidRPr="00242755">
        <w:rPr>
          <w:i/>
          <w:lang w:val="en-US"/>
        </w:rPr>
        <w:t xml:space="preserve">Demagogue Pty Ltd v Ramensky </w:t>
      </w:r>
      <w:r w:rsidRPr="00242755">
        <w:rPr>
          <w:lang w:val="en-US"/>
        </w:rPr>
        <w:t>(1992) 39 FCR 31</w:t>
      </w:r>
    </w:p>
    <w:p w14:paraId="1F9D63E4" w14:textId="77777777" w:rsidR="00EA6468" w:rsidRPr="00242755" w:rsidRDefault="00EA6468" w:rsidP="00A24315">
      <w:pPr>
        <w:pStyle w:val="FootnoteText"/>
        <w:rPr>
          <w:shd w:val="clear" w:color="auto" w:fill="FFFFFF"/>
        </w:rPr>
      </w:pPr>
      <w:r w:rsidRPr="00242755">
        <w:rPr>
          <w:i/>
        </w:rPr>
        <w:t>Breen v Williams</w:t>
      </w:r>
      <w:r w:rsidRPr="00242755">
        <w:t xml:space="preserve"> (1996) 186 CLR 71</w:t>
      </w:r>
    </w:p>
    <w:p w14:paraId="740DE170" w14:textId="77777777" w:rsidR="00EA6468" w:rsidRPr="00242755" w:rsidRDefault="00EA6468" w:rsidP="00A24315">
      <w:pPr>
        <w:pStyle w:val="FootnoteText"/>
      </w:pPr>
      <w:r w:rsidRPr="00242755">
        <w:rPr>
          <w:i/>
          <w:shd w:val="clear" w:color="auto" w:fill="FFFFFF"/>
        </w:rPr>
        <w:t>Commonwealth of Australia</w:t>
      </w:r>
      <w:r w:rsidRPr="00242755">
        <w:rPr>
          <w:shd w:val="clear" w:color="auto" w:fill="FFFFFF"/>
        </w:rPr>
        <w:t> &amp; </w:t>
      </w:r>
      <w:r w:rsidRPr="00242755">
        <w:rPr>
          <w:i/>
          <w:shd w:val="clear" w:color="auto" w:fill="FFFFFF"/>
        </w:rPr>
        <w:t>Anor</w:t>
      </w:r>
      <w:r w:rsidRPr="00242755">
        <w:rPr>
          <w:shd w:val="clear" w:color="auto" w:fill="FFFFFF"/>
        </w:rPr>
        <w:t> v </w:t>
      </w:r>
      <w:r w:rsidRPr="00242755">
        <w:rPr>
          <w:i/>
          <w:shd w:val="clear" w:color="auto" w:fill="FFFFFF"/>
        </w:rPr>
        <w:t xml:space="preserve">Human Rights and Equal Opportunity Commission </w:t>
      </w:r>
      <w:r w:rsidRPr="00242755">
        <w:rPr>
          <w:shd w:val="clear" w:color="auto" w:fill="FFFFFF"/>
        </w:rPr>
        <w:t>[1997] FCA 664</w:t>
      </w:r>
      <w:r w:rsidRPr="00242755">
        <w:rPr>
          <w:lang w:val="en-US"/>
        </w:rPr>
        <w:t xml:space="preserve"> (18 July 2007)</w:t>
      </w:r>
    </w:p>
    <w:p w14:paraId="538E8E0E" w14:textId="77777777" w:rsidR="00EA6468" w:rsidRPr="00A24315" w:rsidRDefault="00EA6468" w:rsidP="00A24315">
      <w:pPr>
        <w:pStyle w:val="FootnoteText"/>
      </w:pPr>
      <w:r w:rsidRPr="00A24315">
        <w:t>Commonwealth v Tasmania (1983) 158 CLR 1</w:t>
      </w:r>
    </w:p>
    <w:p w14:paraId="1EEC9F68" w14:textId="77777777" w:rsidR="00EA6468" w:rsidRPr="00A24315" w:rsidRDefault="00EA6468" w:rsidP="00A24315">
      <w:pPr>
        <w:pStyle w:val="FootnoteText"/>
      </w:pPr>
      <w:r w:rsidRPr="00A24315">
        <w:t>Coulls v Bagot’s Executor &amp; trustee Co Ltd (1967) 119 CLR 460</w:t>
      </w:r>
    </w:p>
    <w:p w14:paraId="76AC16F8" w14:textId="77777777" w:rsidR="00EA6468" w:rsidRPr="00A24315" w:rsidRDefault="00EA6468" w:rsidP="00A24315">
      <w:pPr>
        <w:pStyle w:val="FootnoteText"/>
      </w:pPr>
      <w:r w:rsidRPr="00A24315">
        <w:t xml:space="preserve">D'Arcy v Myriad Genetics Inc (2015) 258 CLR 334;  [2015] HCA 35 (7 October 2015) </w:t>
      </w:r>
    </w:p>
    <w:p w14:paraId="42FA1F28" w14:textId="77777777" w:rsidR="00EA6468" w:rsidRPr="00A24315" w:rsidRDefault="00EA6468" w:rsidP="00A24315">
      <w:pPr>
        <w:pStyle w:val="FootnoteText"/>
      </w:pPr>
      <w:r w:rsidRPr="00A24315">
        <w:t>Desktop Marketing Systems Pty Ltd v Telstra Corporation Ltd (2002) 192 ALR 433</w:t>
      </w:r>
    </w:p>
    <w:p w14:paraId="108A0D23" w14:textId="77777777" w:rsidR="00EA6468" w:rsidRPr="00A24315" w:rsidRDefault="00EA6468" w:rsidP="00A24315">
      <w:pPr>
        <w:pStyle w:val="FootnoteText"/>
      </w:pPr>
      <w:r w:rsidRPr="00A24315">
        <w:t>Diamond v. Chakrabarty, 447 U.S. 303 (1980)</w:t>
      </w:r>
    </w:p>
    <w:p w14:paraId="1B26B5C2" w14:textId="77777777" w:rsidR="00EA6468" w:rsidRPr="00A24315" w:rsidRDefault="00EA6468" w:rsidP="00A24315">
      <w:pPr>
        <w:pStyle w:val="FootnoteText"/>
      </w:pPr>
      <w:r w:rsidRPr="00A24315">
        <w:t>Grain Pool of Western Australia v Commonwealth of Australia (2000) 202 CLR 479</w:t>
      </w:r>
    </w:p>
    <w:p w14:paraId="3717963D" w14:textId="77777777" w:rsidR="00EA6468" w:rsidRPr="00A24315" w:rsidRDefault="00EA6468" w:rsidP="00A24315">
      <w:pPr>
        <w:pStyle w:val="FootnoteText"/>
      </w:pPr>
      <w:r w:rsidRPr="00A24315">
        <w:t>Havasupai Tribe v Arizona Board of Regents, 204 P.3d, 1063, 13 (Ariz, Ct App 2008)</w:t>
      </w:r>
    </w:p>
    <w:p w14:paraId="1EEB75EF" w14:textId="274A71BA" w:rsidR="00EA6468" w:rsidRPr="00A24315" w:rsidRDefault="00EA6468" w:rsidP="00A24315">
      <w:pPr>
        <w:pStyle w:val="FootnoteText"/>
      </w:pPr>
      <w:r w:rsidRPr="00A24315">
        <w:t>Hunter and New England Area Health Service v A [2009] NSWSC 761 (6 August 2009)</w:t>
      </w:r>
    </w:p>
    <w:p w14:paraId="4A180826" w14:textId="77777777" w:rsidR="00EA6468" w:rsidRPr="00A24315" w:rsidRDefault="00EA6468" w:rsidP="00A24315">
      <w:pPr>
        <w:pStyle w:val="FootnoteText"/>
      </w:pPr>
      <w:r w:rsidRPr="00A24315">
        <w:t>Meat &amp; Livestock Australia Limited v Cargill, Inc [2018] FCA 51 (9 February 2018)</w:t>
      </w:r>
    </w:p>
    <w:p w14:paraId="16FD67BC" w14:textId="77777777" w:rsidR="00EA6468" w:rsidRPr="00A24315" w:rsidRDefault="00EA6468" w:rsidP="00A24315">
      <w:pPr>
        <w:pStyle w:val="FootnoteText"/>
      </w:pPr>
      <w:r w:rsidRPr="00A24315">
        <w:lastRenderedPageBreak/>
        <w:t>Moore v. Regents of University of California, 793 P.2d 479, 63 (Cal. 1990)</w:t>
      </w:r>
    </w:p>
    <w:p w14:paraId="1281472E" w14:textId="77777777" w:rsidR="00EA6468" w:rsidRPr="00A24315" w:rsidRDefault="00EA6468" w:rsidP="00A24315">
      <w:pPr>
        <w:pStyle w:val="FootnoteText"/>
      </w:pPr>
      <w:r w:rsidRPr="00A24315">
        <w:t>National Research Development Corporation v Commissioner of Patents (1959) 102 CLR 252</w:t>
      </w:r>
    </w:p>
    <w:p w14:paraId="049465D0" w14:textId="77777777" w:rsidR="00EA6468" w:rsidRPr="00A24315" w:rsidRDefault="00EA6468" w:rsidP="00A24315">
      <w:pPr>
        <w:pStyle w:val="FootnoteText"/>
      </w:pPr>
      <w:r w:rsidRPr="00A24315">
        <w:t>Primary Health Care Ltd v Commissioner of Taxation</w:t>
      </w:r>
      <w:r w:rsidRPr="00A24315">
        <w:rPr>
          <w:rStyle w:val="EndnoteTextChar"/>
          <w:sz w:val="22"/>
        </w:rPr>
        <w:t> </w:t>
      </w:r>
      <w:r w:rsidRPr="00A24315">
        <w:t>[2010] FCA 419 (4 May 2010)</w:t>
      </w:r>
    </w:p>
    <w:p w14:paraId="4C129595" w14:textId="77777777" w:rsidR="00EA6468" w:rsidRPr="00A24315" w:rsidRDefault="00EA6468" w:rsidP="00A24315">
      <w:pPr>
        <w:pStyle w:val="FootnoteText"/>
      </w:pPr>
      <w:r w:rsidRPr="00A24315">
        <w:t>Privacy Commissioner v Telstra Corporation Limited [2017] FCAFC 4 (19 January 2017)</w:t>
      </w:r>
    </w:p>
    <w:p w14:paraId="000157BD" w14:textId="77777777" w:rsidR="00EA6468" w:rsidRPr="00A24315" w:rsidRDefault="00EA6468" w:rsidP="00A24315">
      <w:pPr>
        <w:pStyle w:val="FootnoteText"/>
      </w:pPr>
      <w:r w:rsidRPr="00A24315">
        <w:t>QFG &amp; Anor v JM [1998] QCA 228 (19 August 1998)</w:t>
      </w:r>
    </w:p>
    <w:p w14:paraId="4E8FA2A2" w14:textId="77777777" w:rsidR="00EA6468" w:rsidRPr="00A24315" w:rsidRDefault="00EA6468" w:rsidP="00A24315">
      <w:pPr>
        <w:pStyle w:val="FootnoteText"/>
      </w:pPr>
      <w:r w:rsidRPr="00A24315">
        <w:t>Re MB [1997] 2 FCR 514 </w:t>
      </w:r>
    </w:p>
    <w:p w14:paraId="775F0ACC" w14:textId="77777777" w:rsidR="00EA6468" w:rsidRPr="00A24315" w:rsidRDefault="00EA6468" w:rsidP="00A24315">
      <w:pPr>
        <w:pStyle w:val="FootnoteText"/>
      </w:pPr>
      <w:r w:rsidRPr="00A24315">
        <w:t>Rogers v Whitaker (1992) 175 CLR 479</w:t>
      </w:r>
    </w:p>
    <w:p w14:paraId="142E3C08" w14:textId="77777777" w:rsidR="00EA6468" w:rsidRPr="00A24315" w:rsidRDefault="00EA6468" w:rsidP="00A24315">
      <w:pPr>
        <w:pStyle w:val="FootnoteText"/>
      </w:pPr>
      <w:r w:rsidRPr="00A24315">
        <w:t>Rosenberg v Percival [2001] HCA 18 (5 April 2001)</w:t>
      </w:r>
    </w:p>
    <w:p w14:paraId="4CC1C590" w14:textId="77777777" w:rsidR="00EA6468" w:rsidRPr="00A24315" w:rsidRDefault="00EA6468" w:rsidP="00A24315">
      <w:pPr>
        <w:pStyle w:val="FootnoteText"/>
      </w:pPr>
      <w:r w:rsidRPr="00A24315">
        <w:t>Secretary of the Department of Health and Community Services v JWB (Marion’s Case) (1992) 175 CLR 218</w:t>
      </w:r>
    </w:p>
    <w:p w14:paraId="40C50A2B" w14:textId="77777777" w:rsidR="00EA6468" w:rsidRPr="00A24315" w:rsidRDefault="00EA6468" w:rsidP="00A24315">
      <w:pPr>
        <w:pStyle w:val="FootnoteText"/>
      </w:pPr>
      <w:r w:rsidRPr="00A24315">
        <w:rPr>
          <w:rStyle w:val="EndnoteTextChar"/>
          <w:sz w:val="22"/>
        </w:rPr>
        <w:t>Sequenom, Inc. v Ariosa Diagnostics, Inc.</w:t>
      </w:r>
      <w:r w:rsidRPr="00A24315">
        <w:t> [2019] FCA 1011 (27 June 2019)</w:t>
      </w:r>
    </w:p>
    <w:p w14:paraId="6223D9D4" w14:textId="77777777" w:rsidR="00EA6468" w:rsidRPr="00A24315" w:rsidRDefault="00EA6468" w:rsidP="00A24315">
      <w:pPr>
        <w:pStyle w:val="FootnoteText"/>
      </w:pPr>
      <w:r w:rsidRPr="00A24315">
        <w:t>Telstra Corporation Limited and Privacy Commissioner [2015] AATA 991 (18 December 2015)</w:t>
      </w:r>
    </w:p>
    <w:p w14:paraId="14687B6D" w14:textId="77777777" w:rsidR="00EA6468" w:rsidRPr="00A24315" w:rsidRDefault="00EA6468" w:rsidP="00A24315">
      <w:pPr>
        <w:pStyle w:val="FootnoteText"/>
      </w:pPr>
      <w:r w:rsidRPr="00A24315">
        <w:t>Trident General Insurance Co Limited v McNiece Bros Pty Ltd (1988) 165 CLR 107</w:t>
      </w:r>
    </w:p>
    <w:p w14:paraId="0753BD2C" w14:textId="77777777" w:rsidR="00EA6468" w:rsidRPr="00A24315" w:rsidRDefault="00EA6468" w:rsidP="00A24315">
      <w:pPr>
        <w:pStyle w:val="FootnoteText"/>
      </w:pPr>
      <w:r w:rsidRPr="00A24315">
        <w:t>Truth About Motorways Pty Ltd V Macquarie Infrastructure Investment Management Ltd (2000) 169 ALR 616</w:t>
      </w:r>
    </w:p>
    <w:p w14:paraId="328CF9C8" w14:textId="77777777" w:rsidR="00EA6468" w:rsidRPr="00A24315" w:rsidRDefault="00EA6468" w:rsidP="00A24315">
      <w:pPr>
        <w:pStyle w:val="FootnoteText"/>
      </w:pPr>
      <w:r w:rsidRPr="00A24315">
        <w:t>Wallace v Kam (2013) 250 CLR 375</w:t>
      </w:r>
    </w:p>
    <w:p w14:paraId="5E8CF9C2" w14:textId="70046A8A" w:rsidR="00EA6468" w:rsidRPr="00242755" w:rsidRDefault="00EA6468" w:rsidP="00A24315">
      <w:pPr>
        <w:pStyle w:val="FootnoteText"/>
      </w:pPr>
      <w:r w:rsidRPr="00A24315">
        <w:t>White v Johnston (2015)</w:t>
      </w:r>
      <w:r w:rsidRPr="00242755">
        <w:rPr>
          <w:bdr w:val="none" w:sz="0" w:space="0" w:color="auto" w:frame="1"/>
          <w:shd w:val="clear" w:color="auto" w:fill="FFFFFF"/>
        </w:rPr>
        <w:t xml:space="preserve"> 87 NSWLR 779</w:t>
      </w:r>
    </w:p>
    <w:p w14:paraId="6156704D" w14:textId="4AA9F344" w:rsidR="00EA6468" w:rsidRPr="00242755" w:rsidRDefault="0021453F">
      <w:pPr>
        <w:spacing w:after="160" w:line="259" w:lineRule="auto"/>
        <w:rPr>
          <w:rFonts w:cs="Arial"/>
          <w:b/>
          <w:bCs/>
          <w:i/>
          <w:iCs/>
        </w:rPr>
      </w:pPr>
      <w:r>
        <w:rPr>
          <w:rFonts w:cs="Arial"/>
          <w:b/>
          <w:i/>
        </w:rPr>
        <w:br w:type="page"/>
      </w:r>
    </w:p>
    <w:p w14:paraId="4C1F183B" w14:textId="77777777" w:rsidR="00EA6468" w:rsidRPr="00242755" w:rsidRDefault="00EA6468" w:rsidP="00C778CF">
      <w:pPr>
        <w:pStyle w:val="Heading2nonumbering"/>
      </w:pPr>
      <w:bookmarkStart w:id="221" w:name="_Toc118824418"/>
      <w:r w:rsidRPr="00242755">
        <w:lastRenderedPageBreak/>
        <w:t>C Legislation</w:t>
      </w:r>
      <w:bookmarkEnd w:id="221"/>
    </w:p>
    <w:p w14:paraId="5FF17C9A" w14:textId="77777777" w:rsidR="00EA6468" w:rsidRPr="00C778CF" w:rsidRDefault="00EA6468" w:rsidP="00C778CF">
      <w:pPr>
        <w:rPr>
          <w:rStyle w:val="Emphasis"/>
        </w:rPr>
      </w:pPr>
      <w:r w:rsidRPr="00C778CF">
        <w:rPr>
          <w:rStyle w:val="Emphasis"/>
        </w:rPr>
        <w:t>Anti-Discrimination Act 1977 (NSW)</w:t>
      </w:r>
    </w:p>
    <w:p w14:paraId="4E4612BC" w14:textId="77777777" w:rsidR="00EA6468" w:rsidRPr="00C778CF" w:rsidRDefault="00EA6468" w:rsidP="00C778CF">
      <w:pPr>
        <w:rPr>
          <w:rStyle w:val="Emphasis"/>
        </w:rPr>
      </w:pPr>
      <w:r w:rsidRPr="00C778CF">
        <w:rPr>
          <w:rStyle w:val="Emphasis"/>
        </w:rPr>
        <w:t>Anti-Discrimination Act 1991 (Qld)</w:t>
      </w:r>
    </w:p>
    <w:p w14:paraId="71499AA0" w14:textId="77777777" w:rsidR="00EA6468" w:rsidRPr="00C778CF" w:rsidRDefault="00EA6468" w:rsidP="00C778CF">
      <w:pPr>
        <w:rPr>
          <w:rStyle w:val="Emphasis"/>
        </w:rPr>
      </w:pPr>
      <w:r w:rsidRPr="00C778CF">
        <w:rPr>
          <w:rStyle w:val="Emphasis"/>
        </w:rPr>
        <w:t>Anti-Discrimination Act 1992 (NT)</w:t>
      </w:r>
    </w:p>
    <w:p w14:paraId="2FBDCE48" w14:textId="77777777" w:rsidR="00EA6468" w:rsidRPr="00C778CF" w:rsidRDefault="00EA6468" w:rsidP="00C778CF">
      <w:pPr>
        <w:rPr>
          <w:rStyle w:val="Emphasis"/>
        </w:rPr>
      </w:pPr>
      <w:r w:rsidRPr="00C778CF">
        <w:rPr>
          <w:rStyle w:val="Emphasis"/>
        </w:rPr>
        <w:t>Anti-Discrimination Act 1998 (Tas)</w:t>
      </w:r>
    </w:p>
    <w:p w14:paraId="43D3006A" w14:textId="77777777" w:rsidR="00EA6468" w:rsidRPr="00C778CF" w:rsidRDefault="00EA6468" w:rsidP="00C778CF">
      <w:pPr>
        <w:rPr>
          <w:rStyle w:val="Emphasis"/>
        </w:rPr>
      </w:pPr>
      <w:r w:rsidRPr="00C778CF">
        <w:rPr>
          <w:rStyle w:val="Emphasis"/>
        </w:rPr>
        <w:t>Charter of Human Rights and Responsibilities Act 2006 (Vic)</w:t>
      </w:r>
    </w:p>
    <w:p w14:paraId="10C3ABB7" w14:textId="77777777" w:rsidR="00EA6468" w:rsidRPr="00C778CF" w:rsidRDefault="00EA6468" w:rsidP="00C778CF">
      <w:pPr>
        <w:rPr>
          <w:rStyle w:val="Emphasis"/>
        </w:rPr>
      </w:pPr>
      <w:r w:rsidRPr="00C778CF">
        <w:rPr>
          <w:rStyle w:val="Emphasis"/>
        </w:rPr>
        <w:t>Competition and Consumer Act 2010 (Cth)</w:t>
      </w:r>
    </w:p>
    <w:p w14:paraId="3D9F50B7" w14:textId="77777777" w:rsidR="00EA6468" w:rsidRPr="00C778CF" w:rsidRDefault="00EA6468" w:rsidP="00C778CF">
      <w:pPr>
        <w:rPr>
          <w:rStyle w:val="Emphasis"/>
        </w:rPr>
      </w:pPr>
      <w:r w:rsidRPr="00C778CF">
        <w:rPr>
          <w:rStyle w:val="Emphasis"/>
        </w:rPr>
        <w:t>Copyright Act 1968 (Cth)</w:t>
      </w:r>
    </w:p>
    <w:p w14:paraId="23E85007" w14:textId="77777777" w:rsidR="00EA6468" w:rsidRPr="00C778CF" w:rsidRDefault="00EA6468" w:rsidP="00C778CF">
      <w:pPr>
        <w:rPr>
          <w:rStyle w:val="Emphasis"/>
        </w:rPr>
      </w:pPr>
      <w:r w:rsidRPr="00C778CF">
        <w:rPr>
          <w:rStyle w:val="Emphasis"/>
        </w:rPr>
        <w:t>Crimes Act 1914 (Cth)</w:t>
      </w:r>
    </w:p>
    <w:p w14:paraId="2252E454" w14:textId="77777777" w:rsidR="00EA6468" w:rsidRPr="00C778CF" w:rsidRDefault="00EA6468" w:rsidP="00C778CF">
      <w:pPr>
        <w:rPr>
          <w:rStyle w:val="Emphasis"/>
        </w:rPr>
      </w:pPr>
      <w:r w:rsidRPr="00C778CF">
        <w:rPr>
          <w:rStyle w:val="Emphasis"/>
        </w:rPr>
        <w:t xml:space="preserve">Discrimination Act 1991 (ACT) </w:t>
      </w:r>
    </w:p>
    <w:p w14:paraId="610E1E70" w14:textId="77777777" w:rsidR="00EA6468" w:rsidRPr="00C778CF" w:rsidRDefault="00EA6468" w:rsidP="00C778CF">
      <w:pPr>
        <w:rPr>
          <w:rStyle w:val="Emphasis"/>
        </w:rPr>
      </w:pPr>
      <w:r w:rsidRPr="00C778CF">
        <w:rPr>
          <w:rStyle w:val="Emphasis"/>
        </w:rPr>
        <w:t>Equal Opportunity Act 1984 (SA)</w:t>
      </w:r>
    </w:p>
    <w:p w14:paraId="75B2AA2B" w14:textId="77777777" w:rsidR="00EA6468" w:rsidRPr="00C778CF" w:rsidRDefault="00EA6468" w:rsidP="00C778CF">
      <w:pPr>
        <w:rPr>
          <w:rStyle w:val="Emphasis"/>
        </w:rPr>
      </w:pPr>
      <w:r w:rsidRPr="00C778CF">
        <w:rPr>
          <w:rStyle w:val="Emphasis"/>
        </w:rPr>
        <w:t>Equal opportunity Act 1984 (WA)</w:t>
      </w:r>
    </w:p>
    <w:p w14:paraId="62371AA5" w14:textId="77777777" w:rsidR="00EA6468" w:rsidRPr="00C778CF" w:rsidRDefault="00EA6468" w:rsidP="00C778CF">
      <w:pPr>
        <w:rPr>
          <w:rStyle w:val="Emphasis"/>
        </w:rPr>
      </w:pPr>
      <w:r w:rsidRPr="00C778CF">
        <w:rPr>
          <w:rStyle w:val="Emphasis"/>
        </w:rPr>
        <w:t>Equal Opportunity Act 2010 (Vic)</w:t>
      </w:r>
    </w:p>
    <w:p w14:paraId="770622D9" w14:textId="77777777" w:rsidR="00EA6468" w:rsidRPr="00C778CF" w:rsidRDefault="00EA6468" w:rsidP="00C778CF">
      <w:pPr>
        <w:rPr>
          <w:rStyle w:val="Emphasis"/>
        </w:rPr>
      </w:pPr>
      <w:r w:rsidRPr="00C778CF">
        <w:rPr>
          <w:rStyle w:val="Emphasis"/>
        </w:rPr>
        <w:t>Federal Court of Australia Act 1976 (Cth)</w:t>
      </w:r>
    </w:p>
    <w:p w14:paraId="4173E926" w14:textId="77777777" w:rsidR="00EA6468" w:rsidRPr="00C778CF" w:rsidRDefault="00EA6468" w:rsidP="00C778CF">
      <w:pPr>
        <w:rPr>
          <w:rStyle w:val="Emphasis"/>
        </w:rPr>
      </w:pPr>
      <w:r w:rsidRPr="00C778CF">
        <w:rPr>
          <w:rStyle w:val="Emphasis"/>
        </w:rPr>
        <w:t>Health Care Complaints Act 1993 (NSW)</w:t>
      </w:r>
    </w:p>
    <w:p w14:paraId="16C43CA3" w14:textId="77777777" w:rsidR="00EA6468" w:rsidRPr="00C778CF" w:rsidRDefault="00EA6468" w:rsidP="00C778CF">
      <w:pPr>
        <w:rPr>
          <w:rStyle w:val="Emphasis"/>
        </w:rPr>
      </w:pPr>
      <w:r w:rsidRPr="00C778CF">
        <w:rPr>
          <w:rStyle w:val="Emphasis"/>
        </w:rPr>
        <w:t xml:space="preserve">Health Practitioner Regulation (Adoption of National Law) Act 2009 (NSW) </w:t>
      </w:r>
    </w:p>
    <w:p w14:paraId="7DE5BDED" w14:textId="77777777" w:rsidR="00EA6468" w:rsidRPr="00C778CF" w:rsidRDefault="00EA6468" w:rsidP="00C778CF">
      <w:pPr>
        <w:rPr>
          <w:rStyle w:val="Emphasis"/>
        </w:rPr>
      </w:pPr>
      <w:r w:rsidRPr="00C778CF">
        <w:rPr>
          <w:rStyle w:val="Emphasis"/>
        </w:rPr>
        <w:t>Health Practitioner Regulation National Law 2009 (Qld)</w:t>
      </w:r>
    </w:p>
    <w:p w14:paraId="29B90EFC" w14:textId="77777777" w:rsidR="00EA6468" w:rsidRPr="00C778CF" w:rsidRDefault="00EA6468" w:rsidP="00C778CF">
      <w:pPr>
        <w:rPr>
          <w:rStyle w:val="Emphasis"/>
        </w:rPr>
      </w:pPr>
      <w:r w:rsidRPr="00C778CF">
        <w:rPr>
          <w:rStyle w:val="Emphasis"/>
        </w:rPr>
        <w:t>Health Practitioner Regulation National Law 2009 (Vic)</w:t>
      </w:r>
    </w:p>
    <w:p w14:paraId="5685D2C1" w14:textId="271EBEC1" w:rsidR="00EA6468" w:rsidRPr="00C778CF" w:rsidRDefault="00EA6468" w:rsidP="00C778CF">
      <w:pPr>
        <w:rPr>
          <w:rStyle w:val="Emphasis"/>
        </w:rPr>
      </w:pPr>
      <w:r w:rsidRPr="00C778CF">
        <w:rPr>
          <w:rStyle w:val="Emphasis"/>
        </w:rPr>
        <w:t xml:space="preserve">Health Practitioner Regulation National Law </w:t>
      </w:r>
      <w:r w:rsidR="006E7260" w:rsidRPr="00C778CF">
        <w:rPr>
          <w:rStyle w:val="Emphasis"/>
        </w:rPr>
        <w:t xml:space="preserve">Act </w:t>
      </w:r>
      <w:r w:rsidRPr="00C778CF">
        <w:rPr>
          <w:rStyle w:val="Emphasis"/>
        </w:rPr>
        <w:t>2010 (NT)</w:t>
      </w:r>
    </w:p>
    <w:p w14:paraId="66F312DF" w14:textId="3341A330" w:rsidR="00EA6468" w:rsidRPr="00C778CF" w:rsidRDefault="00EA6468" w:rsidP="00C778CF">
      <w:pPr>
        <w:rPr>
          <w:rStyle w:val="Emphasis"/>
        </w:rPr>
      </w:pPr>
      <w:r w:rsidRPr="00C778CF">
        <w:rPr>
          <w:rStyle w:val="Emphasis"/>
        </w:rPr>
        <w:t xml:space="preserve">Health Practitioner Regulation National Law </w:t>
      </w:r>
      <w:r w:rsidR="006E7260" w:rsidRPr="00C778CF">
        <w:rPr>
          <w:rStyle w:val="Emphasis"/>
        </w:rPr>
        <w:t xml:space="preserve">Act </w:t>
      </w:r>
      <w:r w:rsidRPr="00C778CF">
        <w:rPr>
          <w:rStyle w:val="Emphasis"/>
        </w:rPr>
        <w:t>2010 (Tas)</w:t>
      </w:r>
    </w:p>
    <w:p w14:paraId="15395931" w14:textId="77777777" w:rsidR="00EA6468" w:rsidRPr="00C778CF" w:rsidRDefault="00EA6468" w:rsidP="00C778CF">
      <w:pPr>
        <w:rPr>
          <w:rStyle w:val="Emphasis"/>
        </w:rPr>
      </w:pPr>
      <w:r w:rsidRPr="00C778CF">
        <w:rPr>
          <w:rStyle w:val="Emphasis"/>
        </w:rPr>
        <w:t>Health Practitioner Regulation National Law Act 2010 (ACT)</w:t>
      </w:r>
    </w:p>
    <w:p w14:paraId="7F851B3E" w14:textId="77777777" w:rsidR="00EA6468" w:rsidRPr="00C778CF" w:rsidRDefault="00EA6468" w:rsidP="00C778CF">
      <w:pPr>
        <w:rPr>
          <w:rStyle w:val="Emphasis"/>
        </w:rPr>
      </w:pPr>
      <w:r w:rsidRPr="00C778CF">
        <w:rPr>
          <w:rStyle w:val="Emphasis"/>
        </w:rPr>
        <w:t>Health Practitioner Regulation National Law Act 2010 (SA)</w:t>
      </w:r>
    </w:p>
    <w:p w14:paraId="30731D19" w14:textId="77777777" w:rsidR="00EA6468" w:rsidRPr="00C778CF" w:rsidRDefault="00EA6468" w:rsidP="00C778CF">
      <w:pPr>
        <w:rPr>
          <w:rStyle w:val="Emphasis"/>
        </w:rPr>
      </w:pPr>
      <w:r w:rsidRPr="00C778CF">
        <w:rPr>
          <w:rStyle w:val="Emphasis"/>
        </w:rPr>
        <w:t>Health Practitioner Regulation National Law Act 2010 (WA)</w:t>
      </w:r>
    </w:p>
    <w:p w14:paraId="4B30206C" w14:textId="77777777" w:rsidR="00EA6468" w:rsidRPr="00C778CF" w:rsidRDefault="00EA6468" w:rsidP="00C778CF">
      <w:pPr>
        <w:rPr>
          <w:rStyle w:val="Emphasis"/>
        </w:rPr>
      </w:pPr>
      <w:r w:rsidRPr="00C778CF">
        <w:rPr>
          <w:rStyle w:val="Emphasis"/>
        </w:rPr>
        <w:t>Health Records and Information Privacy Act 2002 (NSW)</w:t>
      </w:r>
    </w:p>
    <w:p w14:paraId="1058AEFF" w14:textId="77777777" w:rsidR="00EA6468" w:rsidRPr="00C778CF" w:rsidRDefault="00EA6468" w:rsidP="00C778CF">
      <w:pPr>
        <w:rPr>
          <w:rStyle w:val="Emphasis"/>
        </w:rPr>
      </w:pPr>
      <w:r w:rsidRPr="00C778CF">
        <w:rPr>
          <w:rStyle w:val="Emphasis"/>
        </w:rPr>
        <w:t xml:space="preserve">Human Rights Act 2004 (ACT) </w:t>
      </w:r>
    </w:p>
    <w:p w14:paraId="353E255C" w14:textId="77777777" w:rsidR="00EA6468" w:rsidRPr="00C778CF" w:rsidRDefault="00EA6468" w:rsidP="00C778CF">
      <w:pPr>
        <w:rPr>
          <w:rStyle w:val="Emphasis"/>
        </w:rPr>
      </w:pPr>
      <w:r w:rsidRPr="00C778CF">
        <w:rPr>
          <w:rStyle w:val="Emphasis"/>
        </w:rPr>
        <w:t>Human Rights Act 2019 (Qld)</w:t>
      </w:r>
    </w:p>
    <w:p w14:paraId="2C2C0128" w14:textId="77777777" w:rsidR="00EA6468" w:rsidRPr="00C778CF" w:rsidRDefault="00EA6468" w:rsidP="00C778CF">
      <w:pPr>
        <w:rPr>
          <w:rStyle w:val="Emphasis"/>
        </w:rPr>
      </w:pPr>
      <w:r w:rsidRPr="00C778CF">
        <w:rPr>
          <w:rStyle w:val="Emphasis"/>
        </w:rPr>
        <w:t>Human Tissue Act 1982 (Vic)</w:t>
      </w:r>
    </w:p>
    <w:p w14:paraId="243F725D" w14:textId="77777777" w:rsidR="00EA6468" w:rsidRPr="00C778CF" w:rsidRDefault="00EA6468" w:rsidP="00C778CF">
      <w:pPr>
        <w:rPr>
          <w:rStyle w:val="Emphasis"/>
        </w:rPr>
      </w:pPr>
      <w:r w:rsidRPr="00C778CF">
        <w:rPr>
          <w:rStyle w:val="Emphasis"/>
        </w:rPr>
        <w:t>Human Tissue Act 1983 (NSW)</w:t>
      </w:r>
    </w:p>
    <w:p w14:paraId="31131534" w14:textId="77777777" w:rsidR="00EA6468" w:rsidRPr="00C778CF" w:rsidRDefault="00EA6468" w:rsidP="00C778CF">
      <w:pPr>
        <w:rPr>
          <w:rStyle w:val="Emphasis"/>
        </w:rPr>
      </w:pPr>
      <w:r w:rsidRPr="00C778CF">
        <w:rPr>
          <w:rStyle w:val="Emphasis"/>
        </w:rPr>
        <w:t>Human Tissue Act 1985 (Tas)</w:t>
      </w:r>
    </w:p>
    <w:p w14:paraId="4421474E" w14:textId="77777777" w:rsidR="00EA6468" w:rsidRPr="00C778CF" w:rsidRDefault="00EA6468" w:rsidP="00C778CF">
      <w:pPr>
        <w:rPr>
          <w:rStyle w:val="Emphasis"/>
        </w:rPr>
      </w:pPr>
      <w:r w:rsidRPr="00C778CF">
        <w:rPr>
          <w:rStyle w:val="Emphasis"/>
        </w:rPr>
        <w:t>Human Tissue and Transplant Act 1982 (WA)</w:t>
      </w:r>
    </w:p>
    <w:p w14:paraId="4BB945E4" w14:textId="77777777" w:rsidR="00EA6468" w:rsidRPr="00C778CF" w:rsidRDefault="00EA6468" w:rsidP="00C778CF">
      <w:pPr>
        <w:rPr>
          <w:rStyle w:val="Emphasis"/>
        </w:rPr>
      </w:pPr>
      <w:r w:rsidRPr="00C778CF">
        <w:rPr>
          <w:rStyle w:val="Emphasis"/>
        </w:rPr>
        <w:t>Human Tissue Transplant Act 1979 (NT)</w:t>
      </w:r>
    </w:p>
    <w:p w14:paraId="1DBB0B68" w14:textId="77777777" w:rsidR="00EA6468" w:rsidRPr="00C778CF" w:rsidRDefault="00EA6468" w:rsidP="00C778CF">
      <w:pPr>
        <w:rPr>
          <w:rStyle w:val="Emphasis"/>
        </w:rPr>
      </w:pPr>
      <w:r w:rsidRPr="00C778CF">
        <w:rPr>
          <w:rStyle w:val="Emphasis"/>
        </w:rPr>
        <w:t>Mental Health Act 2007 (NSW)</w:t>
      </w:r>
    </w:p>
    <w:p w14:paraId="2BB14483" w14:textId="77777777" w:rsidR="00EA6468" w:rsidRPr="00C778CF" w:rsidRDefault="00EA6468" w:rsidP="00C778CF">
      <w:pPr>
        <w:rPr>
          <w:rStyle w:val="Emphasis"/>
        </w:rPr>
      </w:pPr>
      <w:r w:rsidRPr="00C778CF">
        <w:rPr>
          <w:rStyle w:val="Emphasis"/>
        </w:rPr>
        <w:t>My Health Records (National Application) Rules 2017 (Cth)</w:t>
      </w:r>
    </w:p>
    <w:p w14:paraId="4A9E241D" w14:textId="77777777" w:rsidR="00EA6468" w:rsidRPr="00C778CF" w:rsidRDefault="00EA6468" w:rsidP="00C778CF">
      <w:pPr>
        <w:rPr>
          <w:rStyle w:val="Emphasis"/>
        </w:rPr>
      </w:pPr>
      <w:r w:rsidRPr="00C778CF">
        <w:rPr>
          <w:rStyle w:val="Emphasis"/>
        </w:rPr>
        <w:t>My Health Records Act 2012 (Cth)</w:t>
      </w:r>
    </w:p>
    <w:p w14:paraId="32958AC1" w14:textId="77777777" w:rsidR="00EA6468" w:rsidRPr="00C778CF" w:rsidRDefault="00EA6468" w:rsidP="00C778CF">
      <w:pPr>
        <w:rPr>
          <w:rStyle w:val="Emphasis"/>
        </w:rPr>
      </w:pPr>
      <w:r w:rsidRPr="00C778CF">
        <w:rPr>
          <w:rStyle w:val="Emphasis"/>
        </w:rPr>
        <w:lastRenderedPageBreak/>
        <w:t>National Health and Medical Research Council Act 1992 (Cth)</w:t>
      </w:r>
    </w:p>
    <w:p w14:paraId="2DF8CA22" w14:textId="77777777" w:rsidR="00EA6468" w:rsidRPr="00C778CF" w:rsidRDefault="00EA6468" w:rsidP="00C778CF">
      <w:pPr>
        <w:rPr>
          <w:rStyle w:val="Emphasis"/>
        </w:rPr>
      </w:pPr>
      <w:r w:rsidRPr="00C778CF">
        <w:rPr>
          <w:rStyle w:val="Emphasis"/>
        </w:rPr>
        <w:t>Patents Act 1990 (Cth)</w:t>
      </w:r>
    </w:p>
    <w:p w14:paraId="3C6F40C9" w14:textId="77777777" w:rsidR="00EA6468" w:rsidRPr="00C778CF" w:rsidRDefault="00EA6468" w:rsidP="00C778CF">
      <w:pPr>
        <w:rPr>
          <w:rStyle w:val="Emphasis"/>
        </w:rPr>
      </w:pPr>
      <w:r w:rsidRPr="00C778CF">
        <w:rPr>
          <w:rStyle w:val="Emphasis"/>
        </w:rPr>
        <w:t>Patents Act 2013 (NZ)</w:t>
      </w:r>
    </w:p>
    <w:p w14:paraId="13152EF9" w14:textId="77777777" w:rsidR="00EA6468" w:rsidRPr="00C778CF" w:rsidRDefault="00EA6468" w:rsidP="00C778CF">
      <w:pPr>
        <w:rPr>
          <w:rStyle w:val="Emphasis"/>
        </w:rPr>
      </w:pPr>
      <w:r w:rsidRPr="00C778CF">
        <w:rPr>
          <w:rStyle w:val="Emphasis"/>
        </w:rPr>
        <w:t>Privacy Act 1988 (Cth)</w:t>
      </w:r>
    </w:p>
    <w:p w14:paraId="2EB7B2AB" w14:textId="77777777" w:rsidR="00EA6468" w:rsidRPr="00C778CF" w:rsidRDefault="00EA6468" w:rsidP="00C778CF">
      <w:pPr>
        <w:rPr>
          <w:rStyle w:val="Emphasis"/>
        </w:rPr>
      </w:pPr>
      <w:r w:rsidRPr="00C778CF">
        <w:rPr>
          <w:rStyle w:val="Emphasis"/>
        </w:rPr>
        <w:t>Protection of Movable Cultural Heritage Act 1986 (Cth)</w:t>
      </w:r>
    </w:p>
    <w:p w14:paraId="584E040A" w14:textId="77777777" w:rsidR="00EA6468" w:rsidRPr="00C778CF" w:rsidRDefault="00EA6468" w:rsidP="00C778CF">
      <w:pPr>
        <w:rPr>
          <w:rStyle w:val="Emphasis"/>
        </w:rPr>
      </w:pPr>
      <w:r w:rsidRPr="00C778CF">
        <w:rPr>
          <w:rStyle w:val="Emphasis"/>
        </w:rPr>
        <w:t xml:space="preserve">Protection of Moveable Cultural Heritage Regulations 2018 (Cth) </w:t>
      </w:r>
    </w:p>
    <w:p w14:paraId="43FDDD22" w14:textId="77777777" w:rsidR="00EA6468" w:rsidRPr="00C778CF" w:rsidRDefault="00EA6468" w:rsidP="00C778CF">
      <w:pPr>
        <w:rPr>
          <w:rStyle w:val="Emphasis"/>
        </w:rPr>
      </w:pPr>
      <w:r w:rsidRPr="00C778CF">
        <w:rPr>
          <w:rStyle w:val="Emphasis"/>
        </w:rPr>
        <w:t xml:space="preserve">Public Health Act 2010 (NSW) </w:t>
      </w:r>
    </w:p>
    <w:p w14:paraId="7D193199" w14:textId="77777777" w:rsidR="00EA6468" w:rsidRPr="00C778CF" w:rsidRDefault="00EA6468" w:rsidP="00C778CF">
      <w:pPr>
        <w:rPr>
          <w:rStyle w:val="Emphasis"/>
        </w:rPr>
      </w:pPr>
      <w:r w:rsidRPr="00C778CF">
        <w:rPr>
          <w:rStyle w:val="Emphasis"/>
        </w:rPr>
        <w:t>Racial Discrimination Act 1975 (Cth)</w:t>
      </w:r>
    </w:p>
    <w:p w14:paraId="4A90A907" w14:textId="77777777" w:rsidR="00EA6468" w:rsidRPr="00C778CF" w:rsidRDefault="00EA6468" w:rsidP="00C778CF">
      <w:pPr>
        <w:rPr>
          <w:rStyle w:val="Emphasis"/>
        </w:rPr>
      </w:pPr>
      <w:r w:rsidRPr="00C778CF">
        <w:rPr>
          <w:rStyle w:val="Emphasis"/>
        </w:rPr>
        <w:t>Transplantation and Anatomy Act 1978 (ACT)</w:t>
      </w:r>
    </w:p>
    <w:p w14:paraId="2AB1417E" w14:textId="77777777" w:rsidR="00EA6468" w:rsidRPr="00C778CF" w:rsidRDefault="00EA6468" w:rsidP="00C778CF">
      <w:pPr>
        <w:rPr>
          <w:rStyle w:val="Emphasis"/>
        </w:rPr>
      </w:pPr>
      <w:r w:rsidRPr="00C778CF">
        <w:rPr>
          <w:rStyle w:val="Emphasis"/>
        </w:rPr>
        <w:t>Transplantation and Anatomy Act 1979 (Qld)</w:t>
      </w:r>
    </w:p>
    <w:p w14:paraId="6D2A5158" w14:textId="77777777" w:rsidR="00EA6468" w:rsidRPr="00C778CF" w:rsidRDefault="00EA6468" w:rsidP="00C778CF">
      <w:pPr>
        <w:rPr>
          <w:rStyle w:val="Emphasis"/>
        </w:rPr>
      </w:pPr>
      <w:r w:rsidRPr="00C778CF">
        <w:rPr>
          <w:rStyle w:val="Emphasis"/>
        </w:rPr>
        <w:t>Transplantation and Anatomy Act 1983 (SA)</w:t>
      </w:r>
    </w:p>
    <w:p w14:paraId="32BB1ADF" w14:textId="74433273" w:rsidR="00EA6468" w:rsidRPr="00C778CF" w:rsidRDefault="00EA6468" w:rsidP="00C778CF">
      <w:pPr>
        <w:rPr>
          <w:rStyle w:val="Emphasis"/>
        </w:rPr>
      </w:pPr>
      <w:r w:rsidRPr="00C778CF">
        <w:rPr>
          <w:rStyle w:val="Emphasis"/>
        </w:rPr>
        <w:t>Transplantation and Anatomy Act 1983 (SA)</w:t>
      </w:r>
    </w:p>
    <w:p w14:paraId="32E640A2" w14:textId="2693B04A" w:rsidR="00EA6468" w:rsidRPr="00242755" w:rsidRDefault="00EA6468" w:rsidP="00C778CF">
      <w:pPr>
        <w:pStyle w:val="Heading2nonumbering"/>
      </w:pPr>
      <w:bookmarkStart w:id="222" w:name="_Toc118824419"/>
      <w:r w:rsidRPr="00242755">
        <w:t>D Treaties</w:t>
      </w:r>
      <w:bookmarkEnd w:id="222"/>
    </w:p>
    <w:p w14:paraId="77C87E24" w14:textId="77777777" w:rsidR="00EA6468" w:rsidRPr="00A24315" w:rsidRDefault="00EA6468" w:rsidP="00A24315">
      <w:pPr>
        <w:pStyle w:val="FootnoteText"/>
      </w:pPr>
      <w:r w:rsidRPr="00A24315">
        <w:rPr>
          <w:rStyle w:val="EndnoteTextChar"/>
          <w:sz w:val="22"/>
        </w:rPr>
        <w:t xml:space="preserve">International Covenant on Civil and Political Rights, </w:t>
      </w:r>
      <w:r w:rsidRPr="00A24315">
        <w:t>opened for signature 16 December 1966, 999 UNTS 171 (entered into force 23 March 1976)</w:t>
      </w:r>
    </w:p>
    <w:p w14:paraId="2B5C8C9B" w14:textId="396A90D1" w:rsidR="00EA6468" w:rsidRPr="00A24315" w:rsidRDefault="00EA6468" w:rsidP="00A24315">
      <w:pPr>
        <w:pStyle w:val="FootnoteText"/>
      </w:pPr>
      <w:r w:rsidRPr="00A24315">
        <w:t xml:space="preserve">International Convention on the </w:t>
      </w:r>
      <w:r w:rsidR="00373FB2" w:rsidRPr="00A24315">
        <w:t>Elimination</w:t>
      </w:r>
      <w:r w:rsidRPr="00A24315">
        <w:t xml:space="preserve"> of all forms of </w:t>
      </w:r>
      <w:r w:rsidR="00373FB2" w:rsidRPr="00A24315">
        <w:t>Racial Discrimination</w:t>
      </w:r>
      <w:r w:rsidR="00FC236D" w:rsidRPr="00A24315">
        <w:t xml:space="preserve">, opened for </w:t>
      </w:r>
      <w:r w:rsidR="005B265B" w:rsidRPr="00A24315">
        <w:t>signature</w:t>
      </w:r>
      <w:r w:rsidRPr="00A24315">
        <w:t xml:space="preserve"> </w:t>
      </w:r>
      <w:r w:rsidR="00263904" w:rsidRPr="00A24315">
        <w:t>21 December 1965</w:t>
      </w:r>
      <w:r w:rsidR="00D45BB1" w:rsidRPr="00A24315">
        <w:t xml:space="preserve">, </w:t>
      </w:r>
      <w:r w:rsidR="00FE2CC4" w:rsidRPr="00A24315">
        <w:t xml:space="preserve">660 </w:t>
      </w:r>
      <w:r w:rsidR="00D45BB1" w:rsidRPr="00A24315">
        <w:t xml:space="preserve">UNTS </w:t>
      </w:r>
      <w:r w:rsidR="00FE2CC4" w:rsidRPr="00A24315">
        <w:t>195</w:t>
      </w:r>
      <w:r w:rsidR="00263904" w:rsidRPr="00A24315">
        <w:t xml:space="preserve"> (entered into force 4 January 1969)</w:t>
      </w:r>
    </w:p>
    <w:p w14:paraId="4D521D5E" w14:textId="104C74DF" w:rsidR="00F83F8C" w:rsidRPr="00242755" w:rsidRDefault="00EA6468" w:rsidP="00C778CF">
      <w:pPr>
        <w:pStyle w:val="Heading2nonumbering"/>
      </w:pPr>
      <w:bookmarkStart w:id="223" w:name="_Toc118824420"/>
      <w:r w:rsidRPr="00242755">
        <w:t xml:space="preserve">E </w:t>
      </w:r>
      <w:r w:rsidR="00600189" w:rsidRPr="00242755">
        <w:t>Internet Materials</w:t>
      </w:r>
      <w:bookmarkEnd w:id="223"/>
    </w:p>
    <w:p w14:paraId="2542A6B6" w14:textId="0034B29C" w:rsidR="00EA6468" w:rsidRPr="00242755" w:rsidRDefault="00EA6468" w:rsidP="00A24315">
      <w:pPr>
        <w:pStyle w:val="FootnoteText"/>
        <w:rPr>
          <w:rFonts w:cs="Arial"/>
          <w:color w:val="000000" w:themeColor="text1"/>
          <w:lang w:val="en-US"/>
        </w:rPr>
      </w:pPr>
      <w:r w:rsidRPr="00242755">
        <w:rPr>
          <w:rFonts w:cs="Arial"/>
          <w:color w:val="000000" w:themeColor="text1"/>
        </w:rPr>
        <w:t>Aboriginal Affairs</w:t>
      </w:r>
      <w:r w:rsidR="003D3266" w:rsidRPr="00242755">
        <w:rPr>
          <w:rFonts w:cs="Arial"/>
          <w:color w:val="000000" w:themeColor="text1"/>
        </w:rPr>
        <w:t>,</w:t>
      </w:r>
      <w:r w:rsidRPr="00242755">
        <w:rPr>
          <w:rFonts w:cs="Arial"/>
          <w:color w:val="000000" w:themeColor="text1"/>
        </w:rPr>
        <w:t xml:space="preserve"> </w:t>
      </w:r>
      <w:r w:rsidRPr="00242755">
        <w:rPr>
          <w:rFonts w:cs="Arial"/>
          <w:i/>
          <w:iCs/>
          <w:color w:val="000000" w:themeColor="text1"/>
          <w:lang w:val="en-US"/>
        </w:rPr>
        <w:t>The Ochre Plan</w:t>
      </w:r>
      <w:r w:rsidR="00805416" w:rsidRPr="00242755">
        <w:rPr>
          <w:rFonts w:cs="Arial"/>
          <w:i/>
          <w:iCs/>
          <w:color w:val="000000" w:themeColor="text1"/>
          <w:lang w:val="en-US"/>
        </w:rPr>
        <w:t xml:space="preserve">, </w:t>
      </w:r>
      <w:r w:rsidRPr="00242755">
        <w:rPr>
          <w:rFonts w:cs="Arial"/>
          <w:color w:val="000000" w:themeColor="text1"/>
          <w:lang w:val="en-US"/>
        </w:rPr>
        <w:t xml:space="preserve">NSW Government </w:t>
      </w:r>
      <w:r w:rsidR="00F16759" w:rsidRPr="00242755">
        <w:rPr>
          <w:rFonts w:cs="Arial"/>
          <w:color w:val="000000" w:themeColor="text1"/>
          <w:lang w:val="en-US"/>
        </w:rPr>
        <w:t>(</w:t>
      </w:r>
      <w:r w:rsidRPr="00242755">
        <w:rPr>
          <w:rFonts w:cs="Arial"/>
          <w:color w:val="000000" w:themeColor="text1"/>
          <w:lang w:val="en-US"/>
        </w:rPr>
        <w:t>2013</w:t>
      </w:r>
      <w:r w:rsidR="00F16759" w:rsidRPr="00242755">
        <w:rPr>
          <w:rFonts w:cs="Arial"/>
          <w:color w:val="000000" w:themeColor="text1"/>
          <w:lang w:val="en-US"/>
        </w:rPr>
        <w:t>)</w:t>
      </w:r>
      <w:r w:rsidRPr="00242755">
        <w:rPr>
          <w:rFonts w:cs="Arial"/>
          <w:color w:val="000000" w:themeColor="text1"/>
          <w:lang w:val="en-US"/>
        </w:rPr>
        <w:t xml:space="preserve"> &lt;</w:t>
      </w:r>
      <w:hyperlink r:id="rId47" w:history="1">
        <w:r w:rsidRPr="00242755">
          <w:rPr>
            <w:rStyle w:val="Hyperlink"/>
            <w:rFonts w:cs="Arial"/>
          </w:rPr>
          <w:t>https://www.aboriginalaffairs.nsw.gov.au/our-agency/staying-accountable/ochre/nsw-government-aboriginal-affair</w:t>
        </w:r>
        <w:bookmarkStart w:id="224" w:name="_Hlt45200264"/>
        <w:bookmarkStart w:id="225" w:name="_Hlt45200265"/>
        <w:r w:rsidRPr="00242755">
          <w:rPr>
            <w:rStyle w:val="Hyperlink"/>
            <w:rFonts w:cs="Arial"/>
          </w:rPr>
          <w:t>s</w:t>
        </w:r>
        <w:bookmarkEnd w:id="224"/>
        <w:bookmarkEnd w:id="225"/>
        <w:r w:rsidRPr="00242755">
          <w:rPr>
            <w:rStyle w:val="Hyperlink"/>
            <w:rFonts w:cs="Arial"/>
          </w:rPr>
          <w:t>-strategy</w:t>
        </w:r>
      </w:hyperlink>
      <w:r w:rsidRPr="00242755">
        <w:rPr>
          <w:rFonts w:cs="Arial"/>
        </w:rPr>
        <w:t>&gt;</w:t>
      </w:r>
      <w:r w:rsidRPr="00242755">
        <w:rPr>
          <w:rFonts w:cs="Arial"/>
          <w:color w:val="000000" w:themeColor="text1"/>
          <w:lang w:val="en-US"/>
        </w:rPr>
        <w:t xml:space="preserve"> </w:t>
      </w:r>
    </w:p>
    <w:p w14:paraId="69ADE6B8" w14:textId="00B4B742" w:rsidR="00F83F8C" w:rsidRPr="00242755" w:rsidRDefault="00F83F8C" w:rsidP="00A24315">
      <w:pPr>
        <w:pStyle w:val="FootnoteText"/>
        <w:rPr>
          <w:rFonts w:cs="Arial"/>
          <w:color w:val="000000" w:themeColor="text1"/>
          <w:szCs w:val="22"/>
        </w:rPr>
      </w:pPr>
      <w:r w:rsidRPr="00242755">
        <w:rPr>
          <w:rFonts w:cs="Arial"/>
          <w:color w:val="000000" w:themeColor="text1"/>
          <w:szCs w:val="22"/>
        </w:rPr>
        <w:t xml:space="preserve">Australian Criminal Intelligence Commission, </w:t>
      </w:r>
      <w:r w:rsidRPr="00242755">
        <w:rPr>
          <w:rFonts w:cs="Arial"/>
          <w:i/>
          <w:iCs/>
          <w:color w:val="000000" w:themeColor="text1"/>
          <w:szCs w:val="22"/>
        </w:rPr>
        <w:t xml:space="preserve">Biometric and forensic services </w:t>
      </w:r>
      <w:r w:rsidRPr="00242755">
        <w:rPr>
          <w:rFonts w:cs="Arial"/>
          <w:color w:val="000000" w:themeColor="text1"/>
          <w:szCs w:val="22"/>
        </w:rPr>
        <w:t xml:space="preserve">(2019) </w:t>
      </w:r>
      <w:r w:rsidRPr="00C778CF">
        <w:rPr>
          <w:rStyle w:val="Hyperlink"/>
        </w:rPr>
        <w:t>&lt;</w:t>
      </w:r>
      <w:hyperlink r:id="rId48" w:history="1">
        <w:r w:rsidRPr="00C778CF">
          <w:rPr>
            <w:rStyle w:val="Hyperlink"/>
          </w:rPr>
          <w:t>https://www.acic.gov.au/our-services/biometric-matching</w:t>
        </w:r>
      </w:hyperlink>
      <w:r w:rsidRPr="00C778CF">
        <w:rPr>
          <w:rStyle w:val="Hyperlink"/>
        </w:rPr>
        <w:t>&gt;</w:t>
      </w:r>
    </w:p>
    <w:p w14:paraId="4F791CB3" w14:textId="2FE71561" w:rsidR="00F83F8C" w:rsidRPr="00242755" w:rsidRDefault="00F83F8C" w:rsidP="00A24315">
      <w:pPr>
        <w:pStyle w:val="FootnoteText"/>
        <w:rPr>
          <w:rFonts w:cs="Arial"/>
          <w:color w:val="000000" w:themeColor="text1"/>
          <w:szCs w:val="22"/>
        </w:rPr>
      </w:pPr>
      <w:r w:rsidRPr="00242755">
        <w:rPr>
          <w:rFonts w:cs="Arial"/>
          <w:color w:val="000000" w:themeColor="text1"/>
          <w:szCs w:val="22"/>
        </w:rPr>
        <w:t xml:space="preserve">Australian Government </w:t>
      </w:r>
      <w:r w:rsidRPr="00242755">
        <w:rPr>
          <w:rFonts w:cs="Arial"/>
          <w:i/>
          <w:iCs/>
          <w:color w:val="000000" w:themeColor="text1"/>
          <w:szCs w:val="22"/>
        </w:rPr>
        <w:t>Australian Digital Health Agency</w:t>
      </w:r>
      <w:r w:rsidRPr="00242755">
        <w:rPr>
          <w:rFonts w:cs="Arial"/>
          <w:color w:val="000000" w:themeColor="text1"/>
          <w:szCs w:val="22"/>
        </w:rPr>
        <w:t xml:space="preserve"> (2020) </w:t>
      </w:r>
      <w:r w:rsidRPr="00C778CF">
        <w:rPr>
          <w:rStyle w:val="Hyperlink"/>
        </w:rPr>
        <w:t>&lt;</w:t>
      </w:r>
      <w:hyperlink r:id="rId49" w:history="1">
        <w:r w:rsidRPr="00C778CF">
          <w:rPr>
            <w:rStyle w:val="Hyperlink"/>
          </w:rPr>
          <w:t>https://www.digitalhealth.gov.au/about-the-agency</w:t>
        </w:r>
      </w:hyperlink>
      <w:r w:rsidRPr="00C778CF">
        <w:rPr>
          <w:rStyle w:val="Hyperlink"/>
        </w:rPr>
        <w:t>&gt;</w:t>
      </w:r>
    </w:p>
    <w:p w14:paraId="744EE287" w14:textId="4F2BE724" w:rsidR="00F83F8C" w:rsidRPr="00242755" w:rsidRDefault="00F83F8C" w:rsidP="00A24315">
      <w:pPr>
        <w:pStyle w:val="FootnoteText"/>
        <w:rPr>
          <w:rFonts w:cs="Arial"/>
          <w:color w:val="000000" w:themeColor="text1"/>
          <w:szCs w:val="22"/>
        </w:rPr>
      </w:pPr>
      <w:r w:rsidRPr="00242755">
        <w:rPr>
          <w:rFonts w:cs="Arial"/>
          <w:i/>
          <w:color w:val="000000" w:themeColor="text1"/>
          <w:szCs w:val="22"/>
        </w:rPr>
        <w:t>Australian Human Rights Commission</w:t>
      </w:r>
      <w:r w:rsidRPr="00242755">
        <w:rPr>
          <w:rFonts w:cs="Arial"/>
          <w:color w:val="000000" w:themeColor="text1"/>
          <w:szCs w:val="22"/>
        </w:rPr>
        <w:t xml:space="preserve"> (2020) </w:t>
      </w:r>
      <w:r w:rsidRPr="00C778CF">
        <w:rPr>
          <w:rStyle w:val="Hyperlink"/>
        </w:rPr>
        <w:t>&lt;</w:t>
      </w:r>
      <w:hyperlink r:id="rId50" w:history="1">
        <w:r w:rsidRPr="00C778CF">
          <w:rPr>
            <w:rStyle w:val="Hyperlink"/>
          </w:rPr>
          <w:t>https://www.humanrights.gov.au/our-work/aboriginal-and-torres-strait-islander-social-justice</w:t>
        </w:r>
      </w:hyperlink>
      <w:r w:rsidRPr="00C778CF">
        <w:rPr>
          <w:rStyle w:val="Hyperlink"/>
        </w:rPr>
        <w:t>&gt;</w:t>
      </w:r>
    </w:p>
    <w:p w14:paraId="07DE8131" w14:textId="77777777" w:rsidR="00B77917" w:rsidRPr="00821DB2" w:rsidRDefault="00B77917" w:rsidP="00A24315">
      <w:pPr>
        <w:pStyle w:val="FootnoteText"/>
        <w:rPr>
          <w:rFonts w:cs="Arial"/>
          <w:color w:val="000000" w:themeColor="text1"/>
        </w:rPr>
      </w:pPr>
      <w:r w:rsidRPr="00821DB2">
        <w:rPr>
          <w:rFonts w:cs="Arial"/>
          <w:color w:val="000000" w:themeColor="text1"/>
        </w:rPr>
        <w:t>Brereton</w:t>
      </w:r>
      <w:r>
        <w:rPr>
          <w:rFonts w:cs="Arial"/>
          <w:color w:val="000000" w:themeColor="text1"/>
        </w:rPr>
        <w:t xml:space="preserve">, </w:t>
      </w:r>
      <w:r w:rsidRPr="00821DB2">
        <w:rPr>
          <w:rFonts w:cs="Arial"/>
          <w:color w:val="000000" w:themeColor="text1"/>
        </w:rPr>
        <w:t xml:space="preserve">Paul, ‘The Origins and Evolution of the </w:t>
      </w:r>
      <w:r w:rsidRPr="00821DB2">
        <w:rPr>
          <w:rFonts w:cs="Arial"/>
          <w:i/>
          <w:color w:val="000000" w:themeColor="text1"/>
        </w:rPr>
        <w:t xml:space="preserve">Parens Patriae </w:t>
      </w:r>
      <w:r w:rsidRPr="00821DB2">
        <w:rPr>
          <w:rFonts w:cs="Arial"/>
          <w:color w:val="000000" w:themeColor="text1"/>
        </w:rPr>
        <w:t>Jurisdiction’ (Lecture, Sydney University, 5 May 2017)</w:t>
      </w:r>
    </w:p>
    <w:p w14:paraId="1C654E47" w14:textId="624F3860" w:rsidR="00B43C60" w:rsidRPr="00242755" w:rsidRDefault="00B43C60" w:rsidP="00A24315">
      <w:pPr>
        <w:pStyle w:val="FootnoteText"/>
        <w:rPr>
          <w:rFonts w:cs="Arial"/>
        </w:rPr>
      </w:pPr>
      <w:r w:rsidRPr="00242755">
        <w:rPr>
          <w:rFonts w:cs="Arial"/>
        </w:rPr>
        <w:t xml:space="preserve">Broad Institute, </w:t>
      </w:r>
      <w:r w:rsidRPr="00242755">
        <w:rPr>
          <w:rFonts w:cs="Arial"/>
          <w:i/>
          <w:iCs/>
        </w:rPr>
        <w:t>Carlos Slim Center for Health Research at the Broad Institute</w:t>
      </w:r>
      <w:r w:rsidRPr="00242755">
        <w:rPr>
          <w:rFonts w:cs="Arial"/>
        </w:rPr>
        <w:t>, &lt;</w:t>
      </w:r>
      <w:hyperlink r:id="rId51" w:history="1">
        <w:r w:rsidRPr="00242755">
          <w:rPr>
            <w:rStyle w:val="Hyperlink"/>
            <w:rFonts w:cs="Arial"/>
          </w:rPr>
          <w:t>https://www.broadinstitute.org/sigma</w:t>
        </w:r>
      </w:hyperlink>
      <w:r w:rsidRPr="00242755">
        <w:rPr>
          <w:rFonts w:cs="Arial"/>
        </w:rPr>
        <w:t xml:space="preserve">&gt; </w:t>
      </w:r>
    </w:p>
    <w:p w14:paraId="27F6CD64" w14:textId="1432B516" w:rsidR="00B77917" w:rsidRPr="00821DB2" w:rsidRDefault="00B77917" w:rsidP="00A24315">
      <w:pPr>
        <w:pStyle w:val="FootnoteText"/>
        <w:rPr>
          <w:rFonts w:cs="Arial"/>
          <w:color w:val="000000" w:themeColor="text1"/>
          <w:szCs w:val="22"/>
        </w:rPr>
      </w:pPr>
      <w:r w:rsidRPr="00821DB2">
        <w:rPr>
          <w:rFonts w:cs="Arial"/>
          <w:color w:val="000000" w:themeColor="text1"/>
          <w:szCs w:val="22"/>
        </w:rPr>
        <w:t>Burt</w:t>
      </w:r>
      <w:r>
        <w:rPr>
          <w:rFonts w:cs="Arial"/>
          <w:color w:val="000000" w:themeColor="text1"/>
          <w:szCs w:val="22"/>
        </w:rPr>
        <w:t>,</w:t>
      </w:r>
      <w:r w:rsidRPr="00821DB2">
        <w:rPr>
          <w:rFonts w:cs="Arial"/>
          <w:color w:val="000000" w:themeColor="text1"/>
          <w:szCs w:val="22"/>
        </w:rPr>
        <w:t xml:space="preserve"> Jemima, ‘Gumby Gumby trademark bid angers Indigenous people who want intellectual property rights reform’, </w:t>
      </w:r>
      <w:r w:rsidRPr="00821DB2">
        <w:rPr>
          <w:rFonts w:cs="Arial"/>
          <w:i/>
          <w:color w:val="000000" w:themeColor="text1"/>
          <w:szCs w:val="22"/>
        </w:rPr>
        <w:t xml:space="preserve">ABC </w:t>
      </w:r>
      <w:r w:rsidRPr="00821DB2">
        <w:rPr>
          <w:rFonts w:cs="Arial"/>
          <w:color w:val="000000" w:themeColor="text1"/>
          <w:szCs w:val="22"/>
        </w:rPr>
        <w:t xml:space="preserve">(online, 9 April 2019) </w:t>
      </w:r>
      <w:r w:rsidRPr="00C778CF">
        <w:rPr>
          <w:rStyle w:val="Hyperlink"/>
        </w:rPr>
        <w:t>&lt;</w:t>
      </w:r>
      <w:hyperlink r:id="rId52" w:history="1">
        <w:r w:rsidRPr="00C778CF">
          <w:rPr>
            <w:rStyle w:val="Hyperlink"/>
          </w:rPr>
          <w:t>https://www.abc.net.au/news/2019-04-09/gumby-gumby-trademark-bid-angers-indigenous-people/10975908</w:t>
        </w:r>
      </w:hyperlink>
      <w:r w:rsidRPr="00C778CF">
        <w:rPr>
          <w:rStyle w:val="Hyperlink"/>
        </w:rPr>
        <w:t>&gt;</w:t>
      </w:r>
    </w:p>
    <w:p w14:paraId="12F61527" w14:textId="7859CA48" w:rsidR="00F83F8C" w:rsidRPr="00242755" w:rsidRDefault="00F83F8C" w:rsidP="00A24315">
      <w:pPr>
        <w:pStyle w:val="FootnoteText"/>
        <w:rPr>
          <w:rFonts w:cs="Arial"/>
          <w:szCs w:val="22"/>
        </w:rPr>
      </w:pPr>
      <w:r w:rsidRPr="00242755">
        <w:rPr>
          <w:rFonts w:cs="Arial"/>
          <w:szCs w:val="22"/>
        </w:rPr>
        <w:t xml:space="preserve">Fryer, ‘Brooke No DNA test exists for Aboriginality: Scientists’ on </w:t>
      </w:r>
      <w:r w:rsidRPr="00242755">
        <w:rPr>
          <w:rFonts w:cs="Arial"/>
          <w:i/>
          <w:iCs/>
          <w:szCs w:val="22"/>
        </w:rPr>
        <w:t>NITV</w:t>
      </w:r>
      <w:r w:rsidRPr="00242755">
        <w:rPr>
          <w:rFonts w:cs="Arial"/>
          <w:szCs w:val="22"/>
        </w:rPr>
        <w:t xml:space="preserve"> (16 March 2019) &lt;</w:t>
      </w:r>
      <w:hyperlink r:id="rId53" w:history="1">
        <w:r w:rsidRPr="00242755">
          <w:rPr>
            <w:rStyle w:val="Hyperlink"/>
            <w:rFonts w:cs="Arial"/>
            <w:szCs w:val="22"/>
          </w:rPr>
          <w:t>https://www.sbs.com.au/nitv/article/2019/03/16/no-dna-test-exists-aboriginality-scientists1</w:t>
        </w:r>
      </w:hyperlink>
      <w:r w:rsidRPr="00242755">
        <w:rPr>
          <w:rFonts w:cs="Arial"/>
          <w:szCs w:val="22"/>
        </w:rPr>
        <w:t>&gt;</w:t>
      </w:r>
    </w:p>
    <w:p w14:paraId="059631F8" w14:textId="27B21C53" w:rsidR="00F83F8C" w:rsidRPr="00242755" w:rsidRDefault="009B6FC7" w:rsidP="00A24315">
      <w:pPr>
        <w:pStyle w:val="FootnoteText"/>
        <w:rPr>
          <w:rFonts w:cs="Arial"/>
          <w:szCs w:val="22"/>
        </w:rPr>
      </w:pPr>
      <w:r w:rsidRPr="00242755">
        <w:rPr>
          <w:rFonts w:cs="Arial"/>
          <w:szCs w:val="22"/>
        </w:rPr>
        <w:t xml:space="preserve">Parker, Ziyaad, Suresh Maslamoney, Ayton Meintjes, Gerrit Both, Sumir Panji, Scott Hazelhurst, Nicole Mulder, ‘Building Infrastructure for African Human Genomic Data </w:t>
      </w:r>
      <w:r w:rsidRPr="00242755">
        <w:rPr>
          <w:rFonts w:cs="Arial"/>
          <w:szCs w:val="22"/>
        </w:rPr>
        <w:lastRenderedPageBreak/>
        <w:t>Management (</w:t>
      </w:r>
      <w:r w:rsidR="00C53F5F" w:rsidRPr="00242755">
        <w:rPr>
          <w:rFonts w:cs="Arial"/>
          <w:szCs w:val="22"/>
        </w:rPr>
        <w:t xml:space="preserve"> (2019) 18(1) </w:t>
      </w:r>
      <w:r w:rsidR="00C53F5F" w:rsidRPr="00242755">
        <w:rPr>
          <w:rFonts w:cs="Arial"/>
          <w:i/>
          <w:szCs w:val="22"/>
        </w:rPr>
        <w:t xml:space="preserve">Data Science Journal </w:t>
      </w:r>
      <w:r w:rsidR="00C53F5F" w:rsidRPr="00242755">
        <w:rPr>
          <w:rFonts w:cs="Arial"/>
          <w:szCs w:val="22"/>
        </w:rPr>
        <w:t xml:space="preserve">47 </w:t>
      </w:r>
      <w:hyperlink r:id="rId54" w:history="1">
        <w:r w:rsidR="00F83F8C" w:rsidRPr="00242755">
          <w:rPr>
            <w:rStyle w:val="Hyperlink"/>
            <w:rFonts w:cs="Arial"/>
            <w:szCs w:val="22"/>
          </w:rPr>
          <w:t>https://datascience.codata.org/articles/10.5334/dsj-2019-047/</w:t>
        </w:r>
      </w:hyperlink>
    </w:p>
    <w:p w14:paraId="32D97F73" w14:textId="76F572D7" w:rsidR="00235330" w:rsidRPr="00242755" w:rsidRDefault="00235330" w:rsidP="00A24315">
      <w:pPr>
        <w:pStyle w:val="FootnoteText"/>
        <w:rPr>
          <w:rFonts w:cs="Arial"/>
          <w:szCs w:val="22"/>
        </w:rPr>
      </w:pPr>
      <w:r w:rsidRPr="00242755">
        <w:rPr>
          <w:rFonts w:cs="Arial"/>
          <w:szCs w:val="22"/>
        </w:rPr>
        <w:t xml:space="preserve">H3Africa, </w:t>
      </w:r>
      <w:r w:rsidRPr="00242755">
        <w:rPr>
          <w:rFonts w:cs="Arial"/>
          <w:i/>
          <w:szCs w:val="22"/>
        </w:rPr>
        <w:t>Human Heredity &amp; Health in Africa</w:t>
      </w:r>
      <w:r w:rsidRPr="00242755">
        <w:rPr>
          <w:rFonts w:cs="Arial"/>
          <w:szCs w:val="22"/>
        </w:rPr>
        <w:t xml:space="preserve"> &lt;</w:t>
      </w:r>
      <w:hyperlink r:id="rId55" w:history="1">
        <w:r w:rsidR="00F83F8C" w:rsidRPr="00242755">
          <w:rPr>
            <w:rStyle w:val="Hyperlink"/>
            <w:rFonts w:cs="Arial"/>
            <w:szCs w:val="22"/>
          </w:rPr>
          <w:t>https://h3</w:t>
        </w:r>
        <w:bookmarkStart w:id="226" w:name="_Hlt45202916"/>
        <w:bookmarkStart w:id="227" w:name="_Hlt45202917"/>
        <w:r w:rsidR="00F83F8C" w:rsidRPr="00242755">
          <w:rPr>
            <w:rStyle w:val="Hyperlink"/>
            <w:rFonts w:cs="Arial"/>
            <w:szCs w:val="22"/>
          </w:rPr>
          <w:t>a</w:t>
        </w:r>
        <w:bookmarkEnd w:id="226"/>
        <w:bookmarkEnd w:id="227"/>
        <w:r w:rsidR="00F83F8C" w:rsidRPr="00242755">
          <w:rPr>
            <w:rStyle w:val="Hyperlink"/>
            <w:rFonts w:cs="Arial"/>
            <w:szCs w:val="22"/>
          </w:rPr>
          <w:t>frica.org/</w:t>
        </w:r>
      </w:hyperlink>
      <w:r w:rsidRPr="00242755">
        <w:rPr>
          <w:rFonts w:cs="Arial"/>
          <w:szCs w:val="22"/>
        </w:rPr>
        <w:t>&gt;</w:t>
      </w:r>
    </w:p>
    <w:p w14:paraId="37264138" w14:textId="4143A861" w:rsidR="00F83F8C" w:rsidRPr="00242755" w:rsidRDefault="00F83F8C" w:rsidP="00A24315">
      <w:pPr>
        <w:pStyle w:val="FootnoteText"/>
        <w:rPr>
          <w:rFonts w:cs="Arial"/>
          <w:color w:val="000000" w:themeColor="text1"/>
          <w:szCs w:val="22"/>
        </w:rPr>
      </w:pPr>
      <w:r w:rsidRPr="00242755">
        <w:rPr>
          <w:rFonts w:cs="Arial"/>
          <w:color w:val="000000" w:themeColor="text1"/>
          <w:szCs w:val="22"/>
        </w:rPr>
        <w:t>IP Australia</w:t>
      </w:r>
      <w:r w:rsidRPr="00242755">
        <w:rPr>
          <w:rFonts w:cs="Arial"/>
          <w:i/>
          <w:color w:val="000000" w:themeColor="text1"/>
          <w:szCs w:val="22"/>
        </w:rPr>
        <w:t xml:space="preserve">, </w:t>
      </w:r>
      <w:r w:rsidRPr="00242755">
        <w:rPr>
          <w:rFonts w:cs="Arial"/>
          <w:color w:val="000000" w:themeColor="text1"/>
          <w:szCs w:val="22"/>
        </w:rPr>
        <w:t xml:space="preserve">‘Types of Patents’, </w:t>
      </w:r>
      <w:r w:rsidRPr="00242755">
        <w:rPr>
          <w:rFonts w:cs="Arial"/>
          <w:i/>
          <w:color w:val="000000" w:themeColor="text1"/>
          <w:szCs w:val="22"/>
        </w:rPr>
        <w:t xml:space="preserve">Understanding </w:t>
      </w:r>
      <w:r w:rsidRPr="00242755">
        <w:rPr>
          <w:rFonts w:cs="Arial"/>
          <w:i/>
          <w:iCs/>
          <w:color w:val="000000" w:themeColor="text1"/>
          <w:szCs w:val="22"/>
        </w:rPr>
        <w:t>Patents</w:t>
      </w:r>
      <w:r w:rsidRPr="00242755">
        <w:rPr>
          <w:rFonts w:cs="Arial"/>
          <w:color w:val="000000" w:themeColor="text1"/>
          <w:szCs w:val="22"/>
        </w:rPr>
        <w:t xml:space="preserve"> (Website, 26 April 2020) </w:t>
      </w:r>
      <w:r w:rsidRPr="00C778CF">
        <w:rPr>
          <w:rStyle w:val="Hyperlink"/>
        </w:rPr>
        <w:t>&lt;</w:t>
      </w:r>
      <w:hyperlink r:id="rId56" w:history="1">
        <w:r w:rsidRPr="00C778CF">
          <w:rPr>
            <w:rStyle w:val="Hyperlink"/>
          </w:rPr>
          <w:t>https://www.ipaustralia.gov.au/patents/understanding-patents/types-patents</w:t>
        </w:r>
      </w:hyperlink>
      <w:r w:rsidRPr="00C778CF">
        <w:rPr>
          <w:rStyle w:val="Hyperlink"/>
        </w:rPr>
        <w:t>&gt;</w:t>
      </w:r>
    </w:p>
    <w:p w14:paraId="0C3DBF54" w14:textId="5B9F57E5" w:rsidR="00F83F8C" w:rsidRPr="00242755" w:rsidRDefault="00F83F8C" w:rsidP="00A24315">
      <w:pPr>
        <w:pStyle w:val="FootnoteText"/>
        <w:rPr>
          <w:rFonts w:cs="Arial"/>
          <w:color w:val="000000" w:themeColor="text1"/>
          <w:szCs w:val="22"/>
        </w:rPr>
      </w:pPr>
      <w:r w:rsidRPr="00242755">
        <w:rPr>
          <w:rFonts w:cs="Arial"/>
          <w:color w:val="000000" w:themeColor="text1"/>
          <w:szCs w:val="22"/>
        </w:rPr>
        <w:t xml:space="preserve">National Centre for Indigenous Genomics </w:t>
      </w:r>
      <w:r w:rsidRPr="00242755">
        <w:rPr>
          <w:rFonts w:cs="Arial"/>
          <w:i/>
          <w:color w:val="000000" w:themeColor="text1"/>
          <w:szCs w:val="22"/>
        </w:rPr>
        <w:t xml:space="preserve">Annual Report 2018, 8. </w:t>
      </w:r>
      <w:r w:rsidRPr="00242755">
        <w:rPr>
          <w:rFonts w:cs="Arial"/>
          <w:color w:val="000000" w:themeColor="text1"/>
          <w:szCs w:val="22"/>
        </w:rPr>
        <w:t xml:space="preserve">(Australian National University, 2018) </w:t>
      </w:r>
      <w:r w:rsidRPr="00C778CF">
        <w:rPr>
          <w:rStyle w:val="Hyperlink"/>
        </w:rPr>
        <w:t>&lt;</w:t>
      </w:r>
      <w:hyperlink r:id="rId57" w:history="1">
        <w:r w:rsidRPr="00C778CF">
          <w:rPr>
            <w:rStyle w:val="Hyperlink"/>
          </w:rPr>
          <w:t>https://ncig.anu.edu.au/files/NCIG-2018-Annual-Report.pdf</w:t>
        </w:r>
      </w:hyperlink>
      <w:r w:rsidRPr="00C778CF">
        <w:rPr>
          <w:rStyle w:val="Hyperlink"/>
        </w:rPr>
        <w:t>&gt;</w:t>
      </w:r>
    </w:p>
    <w:p w14:paraId="37E1B77B" w14:textId="0AFBD10C" w:rsidR="00F83F8C" w:rsidRPr="00242755" w:rsidRDefault="00F83F8C" w:rsidP="00A24315">
      <w:pPr>
        <w:pStyle w:val="FootnoteText"/>
        <w:rPr>
          <w:rFonts w:cs="Arial"/>
          <w:color w:val="000000" w:themeColor="text1"/>
          <w:szCs w:val="22"/>
        </w:rPr>
      </w:pPr>
      <w:r w:rsidRPr="00242755">
        <w:rPr>
          <w:rFonts w:cs="Arial"/>
          <w:color w:val="000000" w:themeColor="text1"/>
          <w:szCs w:val="22"/>
        </w:rPr>
        <w:t xml:space="preserve">National Centre for Indigenous Genomics, </w:t>
      </w:r>
      <w:r w:rsidRPr="00242755">
        <w:rPr>
          <w:rFonts w:cs="Arial"/>
          <w:i/>
          <w:color w:val="000000" w:themeColor="text1"/>
          <w:szCs w:val="22"/>
        </w:rPr>
        <w:t xml:space="preserve">About NCIG </w:t>
      </w:r>
      <w:r w:rsidRPr="00C778CF">
        <w:rPr>
          <w:rStyle w:val="Hyperlink"/>
        </w:rPr>
        <w:t>&lt;</w:t>
      </w:r>
      <w:hyperlink r:id="rId58" w:history="1">
        <w:r w:rsidRPr="00C778CF">
          <w:rPr>
            <w:rStyle w:val="Hyperlink"/>
          </w:rPr>
          <w:t>https://ncig.anu.edu.au/</w:t>
        </w:r>
      </w:hyperlink>
      <w:r w:rsidRPr="00C778CF">
        <w:rPr>
          <w:rStyle w:val="Hyperlink"/>
        </w:rPr>
        <w:t>&gt;</w:t>
      </w:r>
      <w:r w:rsidRPr="00242755">
        <w:rPr>
          <w:rFonts w:cs="Arial"/>
          <w:color w:val="000000" w:themeColor="text1"/>
          <w:szCs w:val="22"/>
        </w:rPr>
        <w:t xml:space="preserve"> </w:t>
      </w:r>
    </w:p>
    <w:p w14:paraId="6948CBD6" w14:textId="798F7F90" w:rsidR="00F83F8C" w:rsidRPr="00242755" w:rsidRDefault="00F83F8C" w:rsidP="00A24315">
      <w:pPr>
        <w:pStyle w:val="FootnoteText"/>
        <w:rPr>
          <w:rFonts w:cs="Arial"/>
          <w:szCs w:val="22"/>
        </w:rPr>
      </w:pPr>
      <w:r w:rsidRPr="00242755">
        <w:rPr>
          <w:rFonts w:cs="Arial"/>
          <w:color w:val="000000" w:themeColor="text1"/>
          <w:szCs w:val="22"/>
        </w:rPr>
        <w:t>N</w:t>
      </w:r>
      <w:r w:rsidRPr="00242755">
        <w:rPr>
          <w:rFonts w:cs="Arial"/>
          <w:szCs w:val="22"/>
        </w:rPr>
        <w:t xml:space="preserve">ational Centre for Indigenous Genomics, </w:t>
      </w:r>
      <w:r w:rsidRPr="00242755">
        <w:rPr>
          <w:rFonts w:cs="Arial"/>
          <w:i/>
          <w:szCs w:val="22"/>
        </w:rPr>
        <w:t xml:space="preserve">How the Galiwin’ku samples came to be held at ANU </w:t>
      </w:r>
      <w:r w:rsidRPr="00242755">
        <w:rPr>
          <w:rFonts w:cs="Arial"/>
          <w:szCs w:val="22"/>
        </w:rPr>
        <w:t>(Case Study, 07 July 2020) &lt;</w:t>
      </w:r>
      <w:hyperlink r:id="rId59" w:history="1">
        <w:r w:rsidRPr="00242755">
          <w:rPr>
            <w:rStyle w:val="Hyperlink"/>
            <w:rFonts w:cs="Arial"/>
            <w:szCs w:val="22"/>
          </w:rPr>
          <w:t>https://ncig.anu.edu.au/ncig-collection</w:t>
        </w:r>
      </w:hyperlink>
      <w:r w:rsidRPr="00242755">
        <w:rPr>
          <w:rFonts w:cs="Arial"/>
          <w:szCs w:val="22"/>
        </w:rPr>
        <w:t>&gt;</w:t>
      </w:r>
    </w:p>
    <w:p w14:paraId="28C0CF00" w14:textId="111DBF16" w:rsidR="00F83F8C" w:rsidRPr="00242755" w:rsidRDefault="00F83F8C" w:rsidP="00A24315">
      <w:pPr>
        <w:pStyle w:val="FootnoteText"/>
        <w:rPr>
          <w:rFonts w:cs="Arial"/>
          <w:szCs w:val="22"/>
        </w:rPr>
      </w:pPr>
      <w:r w:rsidRPr="00242755">
        <w:rPr>
          <w:rFonts w:cs="Arial"/>
          <w:szCs w:val="22"/>
        </w:rPr>
        <w:t xml:space="preserve">National Centre for Indigenous Genomics, </w:t>
      </w:r>
      <w:r w:rsidRPr="00242755">
        <w:rPr>
          <w:rFonts w:cs="Arial"/>
          <w:i/>
          <w:iCs/>
          <w:szCs w:val="22"/>
        </w:rPr>
        <w:t xml:space="preserve">NCIG Collection </w:t>
      </w:r>
      <w:r w:rsidRPr="00242755">
        <w:rPr>
          <w:rFonts w:cs="Arial"/>
          <w:szCs w:val="22"/>
        </w:rPr>
        <w:t>(Webpage, 05 July 2020) &lt;</w:t>
      </w:r>
      <w:hyperlink r:id="rId60" w:history="1">
        <w:r w:rsidRPr="00242755">
          <w:rPr>
            <w:rStyle w:val="Hyperlink"/>
            <w:rFonts w:cs="Arial"/>
            <w:szCs w:val="22"/>
          </w:rPr>
          <w:t>https://ncig.anu.edu.au/ncig-collection</w:t>
        </w:r>
      </w:hyperlink>
      <w:r w:rsidRPr="00242755">
        <w:rPr>
          <w:rFonts w:cs="Arial"/>
          <w:szCs w:val="22"/>
        </w:rPr>
        <w:t>&gt;</w:t>
      </w:r>
    </w:p>
    <w:p w14:paraId="07D1E8F4" w14:textId="1F2CFAEB" w:rsidR="00F83F8C" w:rsidRPr="00242755" w:rsidRDefault="00F83F8C" w:rsidP="00A24315">
      <w:pPr>
        <w:pStyle w:val="FootnoteText"/>
        <w:rPr>
          <w:rFonts w:cs="Arial"/>
          <w:color w:val="000000" w:themeColor="text1"/>
          <w:szCs w:val="22"/>
        </w:rPr>
      </w:pPr>
      <w:r w:rsidRPr="00242755">
        <w:rPr>
          <w:rFonts w:cs="Arial"/>
          <w:color w:val="000000" w:themeColor="text1"/>
          <w:szCs w:val="22"/>
        </w:rPr>
        <w:t xml:space="preserve">National Centre for Indigenous Genomics, </w:t>
      </w:r>
      <w:r w:rsidRPr="00242755">
        <w:rPr>
          <w:rFonts w:cs="Arial"/>
          <w:i/>
          <w:color w:val="000000" w:themeColor="text1"/>
          <w:szCs w:val="22"/>
        </w:rPr>
        <w:t xml:space="preserve">Public </w:t>
      </w:r>
      <w:r w:rsidRPr="00242755">
        <w:rPr>
          <w:rFonts w:cs="Arial"/>
          <w:i/>
          <w:color w:val="000000" w:themeColor="text1"/>
          <w:szCs w:val="22"/>
          <w:lang w:val="en-US"/>
        </w:rPr>
        <w:t>Lecture by Prof Simon Easteal</w:t>
      </w:r>
      <w:r w:rsidRPr="00242755">
        <w:rPr>
          <w:rFonts w:cs="Arial"/>
          <w:color w:val="000000" w:themeColor="text1"/>
          <w:szCs w:val="22"/>
          <w:lang w:val="en-US"/>
        </w:rPr>
        <w:t xml:space="preserve"> (YouTube, 16 June 2015) </w:t>
      </w:r>
      <w:r w:rsidRPr="00C778CF">
        <w:rPr>
          <w:rStyle w:val="Hyperlink"/>
        </w:rPr>
        <w:t>&lt;</w:t>
      </w:r>
      <w:hyperlink r:id="rId61" w:history="1">
        <w:r w:rsidRPr="00C778CF">
          <w:rPr>
            <w:rStyle w:val="Hyperlink"/>
          </w:rPr>
          <w:t>https://www.youtube.com/watch?v=UieBgf9AuPw</w:t>
        </w:r>
      </w:hyperlink>
      <w:r w:rsidRPr="00C778CF">
        <w:rPr>
          <w:rStyle w:val="Hyperlink"/>
        </w:rPr>
        <w:t>&gt;</w:t>
      </w:r>
    </w:p>
    <w:p w14:paraId="60DD6AEF" w14:textId="37E9DE79" w:rsidR="00B43C60" w:rsidRPr="00A24315" w:rsidRDefault="00B43C60" w:rsidP="00A24315">
      <w:pPr>
        <w:pStyle w:val="FootnoteText"/>
        <w:rPr>
          <w:rStyle w:val="FootnoteReference"/>
          <w:vertAlign w:val="baseline"/>
        </w:rPr>
      </w:pPr>
      <w:r w:rsidRPr="00A24315">
        <w:rPr>
          <w:rStyle w:val="FootnoteReference"/>
          <w:vertAlign w:val="baseline"/>
        </w:rPr>
        <w:t>National Centre for Indigenous Genomics, Repatriation: bringing home the Manggu* samples (Case Study, 07 July 2020) &lt;</w:t>
      </w:r>
      <w:hyperlink r:id="rId62" w:history="1">
        <w:r w:rsidRPr="00A24315">
          <w:rPr>
            <w:rStyle w:val="FootnoteReference"/>
            <w:vertAlign w:val="baseline"/>
          </w:rPr>
          <w:t>https://ncig.anu.edu.au/ncig-collection</w:t>
        </w:r>
      </w:hyperlink>
      <w:r w:rsidRPr="00A24315">
        <w:rPr>
          <w:rStyle w:val="FootnoteReference"/>
          <w:vertAlign w:val="baseline"/>
        </w:rPr>
        <w:t>&gt;</w:t>
      </w:r>
    </w:p>
    <w:p w14:paraId="7EE43B0D" w14:textId="220895A9" w:rsidR="00F83F8C" w:rsidRPr="00A24315" w:rsidRDefault="00F83F8C" w:rsidP="00A24315">
      <w:pPr>
        <w:pStyle w:val="FootnoteText"/>
        <w:rPr>
          <w:rStyle w:val="FootnoteReference"/>
          <w:vertAlign w:val="baseline"/>
        </w:rPr>
      </w:pPr>
      <w:r w:rsidRPr="00A24315">
        <w:rPr>
          <w:rStyle w:val="FootnoteReference"/>
          <w:vertAlign w:val="baseline"/>
        </w:rPr>
        <w:t xml:space="preserve">National Centre for Indigenous Genomics, Strategic Plan 2017-2021(Webpage, 06 July 2020) </w:t>
      </w:r>
      <w:r w:rsidRPr="00C778CF">
        <w:rPr>
          <w:rStyle w:val="Hyperlink"/>
        </w:rPr>
        <w:t>&lt;</w:t>
      </w:r>
      <w:hyperlink r:id="rId63" w:history="1">
        <w:r w:rsidRPr="00C778CF">
          <w:rPr>
            <w:rStyle w:val="Hyperlink"/>
          </w:rPr>
          <w:t>https://ncig.anu.edu.au/abo</w:t>
        </w:r>
        <w:bookmarkStart w:id="228" w:name="_Hlt45202457"/>
        <w:r w:rsidRPr="00C778CF">
          <w:rPr>
            <w:rStyle w:val="Hyperlink"/>
          </w:rPr>
          <w:t>u</w:t>
        </w:r>
        <w:bookmarkEnd w:id="228"/>
        <w:r w:rsidRPr="00C778CF">
          <w:rPr>
            <w:rStyle w:val="Hyperlink"/>
          </w:rPr>
          <w:t>t/strategic-plan-2017-2021</w:t>
        </w:r>
      </w:hyperlink>
      <w:r w:rsidRPr="00C778CF">
        <w:rPr>
          <w:rStyle w:val="Hyperlink"/>
        </w:rPr>
        <w:t>&gt;</w:t>
      </w:r>
    </w:p>
    <w:p w14:paraId="295C4085" w14:textId="3E6235BC" w:rsidR="00B43C60" w:rsidRPr="00A24315" w:rsidRDefault="00B43C60" w:rsidP="00A24315">
      <w:pPr>
        <w:pStyle w:val="FootnoteText"/>
        <w:rPr>
          <w:rStyle w:val="FootnoteReference"/>
          <w:vertAlign w:val="baseline"/>
        </w:rPr>
      </w:pPr>
      <w:r w:rsidRPr="00A24315">
        <w:rPr>
          <w:rStyle w:val="FootnoteReference"/>
          <w:vertAlign w:val="baseline"/>
        </w:rPr>
        <w:t>National Geographic, Genographic Project  &lt;</w:t>
      </w:r>
      <w:hyperlink r:id="rId64" w:history="1">
        <w:r w:rsidRPr="00A24315">
          <w:rPr>
            <w:rStyle w:val="FootnoteReference"/>
            <w:vertAlign w:val="baseline"/>
          </w:rPr>
          <w:t>https://genographic.nationalgeographic.com/</w:t>
        </w:r>
      </w:hyperlink>
      <w:r w:rsidRPr="00A24315">
        <w:rPr>
          <w:rStyle w:val="FootnoteReference"/>
          <w:vertAlign w:val="baseline"/>
        </w:rPr>
        <w:t xml:space="preserve">&gt; </w:t>
      </w:r>
    </w:p>
    <w:p w14:paraId="53240528" w14:textId="58B42FC2" w:rsidR="00B43C60" w:rsidRPr="00A24315" w:rsidRDefault="00B43C60" w:rsidP="00A24315">
      <w:pPr>
        <w:pStyle w:val="FootnoteText"/>
        <w:rPr>
          <w:rStyle w:val="FootnoteReference"/>
          <w:vertAlign w:val="baseline"/>
        </w:rPr>
      </w:pPr>
      <w:r w:rsidRPr="00A24315">
        <w:rPr>
          <w:rStyle w:val="FootnoteReference"/>
          <w:vertAlign w:val="baseline"/>
        </w:rPr>
        <w:t xml:space="preserve">NSW Health Statewide Biobank, NSW Health Statewide Biobank FAQ’s for Researchers (Gebruary 2019) </w:t>
      </w:r>
      <w:r w:rsidRPr="00A24315">
        <w:rPr>
          <w:rStyle w:val="Hyperlink"/>
        </w:rPr>
        <w:t>&lt;</w:t>
      </w:r>
      <w:hyperlink r:id="rId65" w:history="1">
        <w:r w:rsidRPr="00A24315">
          <w:rPr>
            <w:rStyle w:val="Hyperlink"/>
          </w:rPr>
          <w:t>https://biobank.health.nsw.gov.au/wp-content/uploads/2019/07/NSW-Health-Statewide-Biobank-FAQs-for-researchers-Feb-2017_FINAL.pdf</w:t>
        </w:r>
      </w:hyperlink>
      <w:r w:rsidRPr="00A24315">
        <w:rPr>
          <w:rStyle w:val="Hyperlink"/>
        </w:rPr>
        <w:t>&gt;</w:t>
      </w:r>
    </w:p>
    <w:p w14:paraId="3BEAD926" w14:textId="139903BD" w:rsidR="00F83F8C" w:rsidRPr="00A24315" w:rsidRDefault="00B43C60" w:rsidP="00A24315">
      <w:pPr>
        <w:pStyle w:val="FootnoteText"/>
        <w:rPr>
          <w:rStyle w:val="FootnoteReference"/>
          <w:vertAlign w:val="baseline"/>
        </w:rPr>
      </w:pPr>
      <w:r w:rsidRPr="00A24315">
        <w:rPr>
          <w:rStyle w:val="FootnoteReference"/>
          <w:vertAlign w:val="baseline"/>
        </w:rPr>
        <w:t xml:space="preserve">NSW Health, ‘Biobanking’ </w:t>
      </w:r>
      <w:r w:rsidRPr="00A24315">
        <w:rPr>
          <w:rStyle w:val="Hyperlink"/>
        </w:rPr>
        <w:t>&lt;</w:t>
      </w:r>
      <w:hyperlink r:id="rId66" w:history="1">
        <w:r w:rsidRPr="00A24315">
          <w:rPr>
            <w:rStyle w:val="Hyperlink"/>
          </w:rPr>
          <w:t>https://www.medicalresearch.nsw.gov.au/biobanking/</w:t>
        </w:r>
      </w:hyperlink>
      <w:r w:rsidRPr="00A24315">
        <w:rPr>
          <w:rStyle w:val="Hyperlink"/>
        </w:rPr>
        <w:t>&gt;</w:t>
      </w:r>
      <w:r w:rsidRPr="00A24315">
        <w:rPr>
          <w:rStyle w:val="FootnoteReference"/>
          <w:vertAlign w:val="baseline"/>
        </w:rPr>
        <w:t xml:space="preserve"> (Accessed 03 July 2020)</w:t>
      </w:r>
    </w:p>
    <w:p w14:paraId="59FBF0A7" w14:textId="70313077" w:rsidR="00B43C60" w:rsidRPr="00A24315" w:rsidRDefault="00B43C60" w:rsidP="00A24315">
      <w:pPr>
        <w:pStyle w:val="FootnoteText"/>
        <w:rPr>
          <w:rStyle w:val="Hyperlink"/>
        </w:rPr>
      </w:pPr>
      <w:r w:rsidRPr="00A24315">
        <w:rPr>
          <w:rStyle w:val="FootnoteReference"/>
          <w:vertAlign w:val="baseline"/>
        </w:rPr>
        <w:t xml:space="preserve">Shelston IP, ‘Australia remains a gene-patent friendly jurisdiction’ on Shelton IP Blog (18 February 2018) </w:t>
      </w:r>
      <w:r w:rsidRPr="00A24315">
        <w:rPr>
          <w:rStyle w:val="Hyperlink"/>
        </w:rPr>
        <w:t>&lt;</w:t>
      </w:r>
      <w:hyperlink r:id="rId67" w:history="1">
        <w:r w:rsidRPr="00A24315">
          <w:rPr>
            <w:rStyle w:val="Hyperlink"/>
          </w:rPr>
          <w:t>http://www.shelstonip.com/news/australia-remains-gene-patent-friendly-jurisdiction/</w:t>
        </w:r>
      </w:hyperlink>
      <w:r w:rsidRPr="00A24315">
        <w:rPr>
          <w:rStyle w:val="Hyperlink"/>
        </w:rPr>
        <w:t>&gt;</w:t>
      </w:r>
    </w:p>
    <w:p w14:paraId="314C1C46" w14:textId="2A1D3806" w:rsidR="00B43C60" w:rsidRPr="00A24315" w:rsidRDefault="00B43C60" w:rsidP="00A24315">
      <w:pPr>
        <w:pStyle w:val="FootnoteText"/>
        <w:rPr>
          <w:rStyle w:val="FootnoteReference"/>
          <w:vertAlign w:val="baseline"/>
        </w:rPr>
      </w:pPr>
      <w:r w:rsidRPr="00A24315">
        <w:rPr>
          <w:rStyle w:val="FootnoteReference"/>
          <w:vertAlign w:val="baseline"/>
        </w:rPr>
        <w:t xml:space="preserve">Type 2 Diabetes Knowledge Portal, </w:t>
      </w:r>
      <w:r w:rsidRPr="00A24315">
        <w:rPr>
          <w:rStyle w:val="Hyperlink"/>
        </w:rPr>
        <w:t>&lt;</w:t>
      </w:r>
      <w:hyperlink r:id="rId68" w:history="1">
        <w:r w:rsidRPr="00A24315">
          <w:rPr>
            <w:rStyle w:val="Hyperlink"/>
          </w:rPr>
          <w:t>http://www.type2diabetesgenetics.org/</w:t>
        </w:r>
      </w:hyperlink>
      <w:r w:rsidRPr="00A24315">
        <w:rPr>
          <w:rStyle w:val="Hyperlink"/>
        </w:rPr>
        <w:t>&gt;</w:t>
      </w:r>
      <w:r w:rsidRPr="00A24315">
        <w:rPr>
          <w:rStyle w:val="FootnoteReference"/>
          <w:vertAlign w:val="baseline"/>
        </w:rPr>
        <w:t>, viewed 8 July 2020.</w:t>
      </w:r>
    </w:p>
    <w:p w14:paraId="09025EF9" w14:textId="3DFAFC25" w:rsidR="00EA6468" w:rsidRPr="00A24315" w:rsidRDefault="00EA6468" w:rsidP="00A24315">
      <w:pPr>
        <w:pStyle w:val="FootnoteText"/>
        <w:rPr>
          <w:rStyle w:val="FootnoteReference"/>
          <w:vertAlign w:val="baseline"/>
        </w:rPr>
      </w:pPr>
      <w:r w:rsidRPr="00A24315">
        <w:rPr>
          <w:rStyle w:val="FootnoteReference"/>
          <w:vertAlign w:val="baseline"/>
        </w:rPr>
        <w:t>Wellington</w:t>
      </w:r>
      <w:r w:rsidR="00BA2F94" w:rsidRPr="00A24315">
        <w:rPr>
          <w:rStyle w:val="FootnoteReference"/>
          <w:vertAlign w:val="baseline"/>
        </w:rPr>
        <w:t xml:space="preserve">, </w:t>
      </w:r>
      <w:r w:rsidRPr="00A24315">
        <w:rPr>
          <w:rStyle w:val="FootnoteReference"/>
          <w:vertAlign w:val="baseline"/>
        </w:rPr>
        <w:t xml:space="preserve">Shahni, ‘Indigenous Blood Samples return to Galiwin’ku after 50 years in medical storage’, National Indigenous Television Network (NITV) (online, 13 November 2019) </w:t>
      </w:r>
      <w:hyperlink r:id="rId69" w:history="1">
        <w:r w:rsidRPr="00A24315">
          <w:rPr>
            <w:rStyle w:val="Hyperlink"/>
          </w:rPr>
          <w:t>https://www.sbs.com.au/nitv/article/2019/11/18/indigenous-blood-samples-return-galiwinku-after-50-years-medical-storage</w:t>
        </w:r>
      </w:hyperlink>
      <w:r w:rsidRPr="00A24315">
        <w:rPr>
          <w:rStyle w:val="Hyperlink"/>
        </w:rPr>
        <w:t>&gt;</w:t>
      </w:r>
    </w:p>
    <w:p w14:paraId="2EEA6DC8" w14:textId="60A7F999" w:rsidR="00B43C60" w:rsidRPr="00A24315" w:rsidRDefault="00B43C60" w:rsidP="00A24315">
      <w:pPr>
        <w:pStyle w:val="FootnoteText"/>
        <w:rPr>
          <w:rStyle w:val="FootnoteReference"/>
          <w:vertAlign w:val="baseline"/>
        </w:rPr>
      </w:pPr>
      <w:r w:rsidRPr="00A24315">
        <w:rPr>
          <w:rStyle w:val="FootnoteReference"/>
          <w:vertAlign w:val="baseline"/>
        </w:rPr>
        <w:t xml:space="preserve">World Intellectual Property Organization, ‘Bioethics and Patent Law: The Case of the Oncomouse’ (June 2006), WIPO Magazine) </w:t>
      </w:r>
      <w:r w:rsidRPr="00A24315">
        <w:rPr>
          <w:rStyle w:val="Hyperlink"/>
        </w:rPr>
        <w:t>&lt;</w:t>
      </w:r>
      <w:hyperlink r:id="rId70" w:history="1">
        <w:r w:rsidRPr="00A24315">
          <w:rPr>
            <w:rStyle w:val="Hyperlink"/>
          </w:rPr>
          <w:t>https://www.wipo.int/wipo_magazine/en/2006/03/article_0006.html</w:t>
        </w:r>
      </w:hyperlink>
      <w:r w:rsidRPr="00A24315">
        <w:rPr>
          <w:rStyle w:val="Hyperlink"/>
        </w:rPr>
        <w:t>&gt;</w:t>
      </w:r>
      <w:r w:rsidRPr="00A24315">
        <w:rPr>
          <w:rStyle w:val="FootnoteReference"/>
          <w:vertAlign w:val="baseline"/>
        </w:rPr>
        <w:t xml:space="preserve"> </w:t>
      </w:r>
    </w:p>
    <w:p w14:paraId="31AF11F0" w14:textId="270A7B42" w:rsidR="00EA6468" w:rsidRPr="00A24315" w:rsidRDefault="0040110A" w:rsidP="00A24315">
      <w:pPr>
        <w:pStyle w:val="FootnoteText"/>
        <w:rPr>
          <w:rStyle w:val="FootnoteReference"/>
          <w:vertAlign w:val="baseline"/>
        </w:rPr>
      </w:pPr>
      <w:r w:rsidRPr="00A24315">
        <w:rPr>
          <w:rStyle w:val="FootnoteReference"/>
          <w:vertAlign w:val="baseline"/>
        </w:rPr>
        <w:t xml:space="preserve">Zhang, Sarah, How a Genealogy Website Led to the Alleged Golden State Killer (27 April 2018) </w:t>
      </w:r>
      <w:r w:rsidRPr="00A24315">
        <w:rPr>
          <w:rStyle w:val="Hyperlink"/>
        </w:rPr>
        <w:t>&lt;</w:t>
      </w:r>
      <w:hyperlink r:id="rId71" w:history="1">
        <w:r w:rsidRPr="00A24315">
          <w:rPr>
            <w:rStyle w:val="Hyperlink"/>
          </w:rPr>
          <w:t>https://www.theatlantic.com/science/archive/2018/04/golden-state-killer-east-area-rapist-dna-genealogy/559070/</w:t>
        </w:r>
      </w:hyperlink>
    </w:p>
    <w:p w14:paraId="244FE48E" w14:textId="20317C18" w:rsidR="00EA6468" w:rsidRPr="00242755" w:rsidRDefault="00600189" w:rsidP="00C778CF">
      <w:pPr>
        <w:pStyle w:val="Heading2nonumbering"/>
      </w:pPr>
      <w:bookmarkStart w:id="229" w:name="_Toc118824421"/>
      <w:r w:rsidRPr="00242755">
        <w:lastRenderedPageBreak/>
        <w:t xml:space="preserve">F </w:t>
      </w:r>
      <w:r w:rsidR="00EA6468" w:rsidRPr="00242755">
        <w:t xml:space="preserve">Guidelines </w:t>
      </w:r>
      <w:r w:rsidRPr="00242755">
        <w:t>and</w:t>
      </w:r>
      <w:r w:rsidR="00EA6468" w:rsidRPr="00242755">
        <w:t xml:space="preserve"> </w:t>
      </w:r>
      <w:r w:rsidR="00A77468" w:rsidRPr="00242755">
        <w:rPr>
          <w:iCs/>
        </w:rPr>
        <w:t>Codes of Conduct</w:t>
      </w:r>
      <w:bookmarkEnd w:id="229"/>
    </w:p>
    <w:p w14:paraId="10BD5292" w14:textId="74131044" w:rsidR="00EA6468" w:rsidRPr="00241567" w:rsidRDefault="00242755" w:rsidP="00821DB2">
      <w:pPr>
        <w:pStyle w:val="FootnoteText"/>
        <w:spacing w:before="240"/>
        <w:rPr>
          <w:rFonts w:cs="Arial"/>
          <w:color w:val="000000" w:themeColor="text1"/>
          <w:szCs w:val="22"/>
        </w:rPr>
      </w:pPr>
      <w:r w:rsidRPr="00242755">
        <w:rPr>
          <w:rFonts w:cs="Arial"/>
          <w:color w:val="000000" w:themeColor="text1"/>
          <w:szCs w:val="22"/>
        </w:rPr>
        <w:t xml:space="preserve">Australian Government, Office of the Australian Information Commissioner, </w:t>
      </w:r>
      <w:r w:rsidR="00EA6468" w:rsidRPr="00242755">
        <w:rPr>
          <w:rFonts w:cs="Arial"/>
          <w:i/>
          <w:iCs/>
          <w:color w:val="000000" w:themeColor="text1"/>
          <w:szCs w:val="22"/>
        </w:rPr>
        <w:t xml:space="preserve">Australia Privacy Principles </w:t>
      </w:r>
      <w:r w:rsidRPr="00242755">
        <w:rPr>
          <w:rFonts w:cs="Arial"/>
          <w:i/>
          <w:iCs/>
          <w:color w:val="000000" w:themeColor="text1"/>
          <w:szCs w:val="22"/>
        </w:rPr>
        <w:t>G</w:t>
      </w:r>
      <w:r w:rsidR="00EA6468" w:rsidRPr="00242755">
        <w:rPr>
          <w:rFonts w:cs="Arial"/>
          <w:i/>
          <w:iCs/>
          <w:color w:val="000000" w:themeColor="text1"/>
          <w:szCs w:val="22"/>
        </w:rPr>
        <w:t>uidelines</w:t>
      </w:r>
      <w:r w:rsidRPr="00242755">
        <w:rPr>
          <w:rFonts w:cs="Arial"/>
          <w:color w:val="000000" w:themeColor="text1"/>
          <w:szCs w:val="22"/>
        </w:rPr>
        <w:t xml:space="preserve">, </w:t>
      </w:r>
      <w:r w:rsidR="00045540">
        <w:rPr>
          <w:rFonts w:cs="Arial"/>
          <w:color w:val="000000" w:themeColor="text1"/>
          <w:szCs w:val="22"/>
        </w:rPr>
        <w:t xml:space="preserve">(at </w:t>
      </w:r>
      <w:r w:rsidRPr="00242755">
        <w:rPr>
          <w:rFonts w:cs="Arial"/>
          <w:color w:val="000000" w:themeColor="text1"/>
          <w:szCs w:val="22"/>
        </w:rPr>
        <w:t>July 2019</w:t>
      </w:r>
      <w:r w:rsidR="00045540">
        <w:rPr>
          <w:rFonts w:cs="Arial"/>
          <w:color w:val="000000" w:themeColor="text1"/>
          <w:szCs w:val="22"/>
        </w:rPr>
        <w:t>)</w:t>
      </w:r>
      <w:r w:rsidRPr="00242755">
        <w:rPr>
          <w:rFonts w:cs="Arial"/>
          <w:color w:val="000000" w:themeColor="text1"/>
          <w:szCs w:val="22"/>
        </w:rPr>
        <w:t xml:space="preserve"> &lt;</w:t>
      </w:r>
      <w:r w:rsidRPr="00242755">
        <w:rPr>
          <w:rFonts w:cs="Arial"/>
          <w:szCs w:val="22"/>
        </w:rPr>
        <w:t xml:space="preserve"> </w:t>
      </w:r>
      <w:hyperlink r:id="rId72" w:history="1">
        <w:r w:rsidRPr="00242755">
          <w:rPr>
            <w:rStyle w:val="Hyperlink"/>
            <w:rFonts w:cs="Arial"/>
            <w:szCs w:val="22"/>
          </w:rPr>
          <w:t>https://www.oaic.gov.au/assets/privacy/app-guidelines/app-guidelines-july-2019.pdf</w:t>
        </w:r>
      </w:hyperlink>
      <w:r w:rsidRPr="00242755">
        <w:rPr>
          <w:rFonts w:cs="Arial"/>
          <w:szCs w:val="22"/>
        </w:rPr>
        <w:t>&gt;</w:t>
      </w:r>
    </w:p>
    <w:p w14:paraId="4F5155E1" w14:textId="3E78412D" w:rsidR="00583743" w:rsidRPr="00821DB2" w:rsidRDefault="00583743" w:rsidP="00821DB2">
      <w:pPr>
        <w:spacing w:before="240" w:line="240" w:lineRule="auto"/>
        <w:rPr>
          <w:rFonts w:cs="Arial"/>
          <w:color w:val="000000" w:themeColor="text1"/>
        </w:rPr>
      </w:pPr>
      <w:r w:rsidRPr="00821DB2">
        <w:rPr>
          <w:rFonts w:cs="Arial"/>
          <w:color w:val="000000" w:themeColor="text1"/>
        </w:rPr>
        <w:t xml:space="preserve">Australian Institute of Aboriginal and Torres Strait Islander Studies, </w:t>
      </w:r>
      <w:r w:rsidRPr="00821DB2">
        <w:rPr>
          <w:rFonts w:cs="Arial"/>
          <w:i/>
          <w:iCs/>
          <w:color w:val="000000" w:themeColor="text1"/>
        </w:rPr>
        <w:t>Guidelines for Ethical Research in Australian Indigenous Studies</w:t>
      </w:r>
      <w:r w:rsidRPr="00821DB2">
        <w:rPr>
          <w:rFonts w:cs="Arial"/>
          <w:color w:val="000000" w:themeColor="text1"/>
        </w:rPr>
        <w:t xml:space="preserve"> (2012)</w:t>
      </w:r>
    </w:p>
    <w:p w14:paraId="7E586742" w14:textId="77777777" w:rsidR="00583743" w:rsidRPr="00821DB2" w:rsidRDefault="00583743" w:rsidP="00821DB2">
      <w:pPr>
        <w:pStyle w:val="FootnoteText"/>
        <w:spacing w:before="240"/>
        <w:rPr>
          <w:rFonts w:cs="Arial"/>
          <w:szCs w:val="22"/>
        </w:rPr>
      </w:pPr>
      <w:r w:rsidRPr="00821DB2">
        <w:rPr>
          <w:rFonts w:cs="Arial"/>
          <w:szCs w:val="22"/>
        </w:rPr>
        <w:t xml:space="preserve">Hudson, Maui, Angela Beaton, Moe Milne, Waiora Port, Khyla Russell, Barry Smith, Valmaine Toki, Lynley Uerata and Phil Wilcox, </w:t>
      </w:r>
      <w:r w:rsidRPr="00821DB2">
        <w:rPr>
          <w:rFonts w:cs="Arial"/>
          <w:i/>
          <w:iCs/>
          <w:szCs w:val="22"/>
        </w:rPr>
        <w:t>Te Mata Ira: Guidelines for Genomic Research with Māori</w:t>
      </w:r>
      <w:r w:rsidRPr="00821DB2">
        <w:rPr>
          <w:rFonts w:cs="Arial"/>
          <w:szCs w:val="22"/>
        </w:rPr>
        <w:t xml:space="preserve"> (Te Mata Hautū Taketake – Māori &amp; Indigenous Governance Centre, October 2016)</w:t>
      </w:r>
    </w:p>
    <w:p w14:paraId="207E5CF8" w14:textId="77777777" w:rsidR="00583743" w:rsidRPr="00821DB2" w:rsidRDefault="00583743" w:rsidP="00A24315">
      <w:pPr>
        <w:pStyle w:val="FootnoteText"/>
      </w:pPr>
      <w:r w:rsidRPr="00821DB2">
        <w:t>IP Australia, Australian Patent Office Manual of Practice and Procedure (1 August 2017)</w:t>
      </w:r>
    </w:p>
    <w:p w14:paraId="2AC151AA" w14:textId="1A63F884" w:rsidR="00583743" w:rsidRPr="00821DB2" w:rsidRDefault="00583743" w:rsidP="00A24315">
      <w:pPr>
        <w:pStyle w:val="FootnoteText"/>
      </w:pPr>
      <w:r w:rsidRPr="00821DB2">
        <w:t xml:space="preserve">Kimberley Land Council, </w:t>
      </w:r>
      <w:r w:rsidRPr="00821DB2">
        <w:rPr>
          <w:iCs/>
        </w:rPr>
        <w:t>Intellectual Property and Traditional Knowledge Policy</w:t>
      </w:r>
      <w:r w:rsidRPr="00821DB2">
        <w:t xml:space="preserve"> (6 September 2011), </w:t>
      </w:r>
      <w:r w:rsidRPr="00BC3C06">
        <w:t>Kimberl</w:t>
      </w:r>
      <w:r>
        <w:t>e</w:t>
      </w:r>
      <w:r w:rsidRPr="00BC3C06">
        <w:t>y</w:t>
      </w:r>
      <w:r w:rsidRPr="00821DB2">
        <w:t xml:space="preserve"> Land Council) &lt;</w:t>
      </w:r>
      <w:hyperlink r:id="rId73" w:history="1">
        <w:r w:rsidRPr="00821DB2">
          <w:rPr>
            <w:rStyle w:val="Hyperlink"/>
            <w:rFonts w:cs="Arial"/>
            <w:szCs w:val="22"/>
          </w:rPr>
          <w:t>https://www.klc.org.au/research-facilitation</w:t>
        </w:r>
      </w:hyperlink>
      <w:r w:rsidRPr="00821DB2">
        <w:t>&gt;</w:t>
      </w:r>
    </w:p>
    <w:p w14:paraId="5566A9BE" w14:textId="77777777" w:rsidR="00583743" w:rsidRPr="00821DB2" w:rsidRDefault="00583743" w:rsidP="00A24315">
      <w:pPr>
        <w:pStyle w:val="FootnoteText"/>
      </w:pPr>
      <w:r w:rsidRPr="00821DB2">
        <w:t xml:space="preserve">Medical Board of Australia, </w:t>
      </w:r>
      <w:r w:rsidRPr="00821DB2">
        <w:rPr>
          <w:iCs/>
        </w:rPr>
        <w:t>Good Medical Practice: A Code of Conduct for Doctors in Australia</w:t>
      </w:r>
      <w:r w:rsidRPr="00821DB2">
        <w:t xml:space="preserve"> (17 March 2014)</w:t>
      </w:r>
    </w:p>
    <w:p w14:paraId="5E8AC6B2" w14:textId="77777777" w:rsidR="00583743" w:rsidRPr="00242755" w:rsidRDefault="00583743" w:rsidP="00A24315">
      <w:pPr>
        <w:pStyle w:val="FootnoteText"/>
        <w:rPr>
          <w:lang w:val="en-US"/>
        </w:rPr>
      </w:pPr>
      <w:r w:rsidRPr="00821DB2">
        <w:t xml:space="preserve">National Health and Medical Research Council, </w:t>
      </w:r>
      <w:r w:rsidRPr="00821DB2">
        <w:rPr>
          <w:iCs/>
        </w:rPr>
        <w:t>Ethical Conduct in Research with Aboriginal and Torres Strait Islander Peoples and Communities: Guidelines for Researchers and Stakeholders</w:t>
      </w:r>
      <w:r w:rsidRPr="00821DB2">
        <w:t xml:space="preserve">, (Australian Government, Canberra, 2018) </w:t>
      </w:r>
    </w:p>
    <w:p w14:paraId="0CF5915B" w14:textId="77777777" w:rsidR="00583743" w:rsidRDefault="00583743" w:rsidP="00A24315">
      <w:pPr>
        <w:pStyle w:val="FootnoteText"/>
      </w:pPr>
      <w:r w:rsidRPr="00821DB2">
        <w:t>National Health and Medical Research Council</w:t>
      </w:r>
      <w:r w:rsidRPr="00821DB2">
        <w:rPr>
          <w:lang w:val="en-US"/>
        </w:rPr>
        <w:t xml:space="preserve">, </w:t>
      </w:r>
      <w:r w:rsidRPr="00821DB2">
        <w:rPr>
          <w:iCs/>
          <w:lang w:val="en-US"/>
        </w:rPr>
        <w:t xml:space="preserve">Road Map 3: A strategic framework for improving Aboriginal and Torres Strait Islander health through research </w:t>
      </w:r>
      <w:r w:rsidRPr="00821DB2">
        <w:rPr>
          <w:lang w:val="en-US"/>
        </w:rPr>
        <w:t>(Australian Government, Canberra, June 2018)</w:t>
      </w:r>
      <w:r w:rsidRPr="00583743">
        <w:t xml:space="preserve"> </w:t>
      </w:r>
    </w:p>
    <w:p w14:paraId="43D5F8BF" w14:textId="77777777" w:rsidR="00583743" w:rsidRPr="00647CEB" w:rsidRDefault="00583743" w:rsidP="00A24315">
      <w:pPr>
        <w:pStyle w:val="FootnoteText"/>
      </w:pPr>
      <w:r>
        <w:t xml:space="preserve">Office of the Australian Information Commissioner, </w:t>
      </w:r>
      <w:r>
        <w:rPr>
          <w:iCs/>
        </w:rPr>
        <w:t>Australian Privacy Principles Guidelines Privacy Act 1988</w:t>
      </w:r>
      <w:r>
        <w:t>, (Australian Government)</w:t>
      </w:r>
    </w:p>
    <w:p w14:paraId="4A156CE7" w14:textId="0841A484" w:rsidR="00EA6468" w:rsidRPr="00242755" w:rsidRDefault="00EA6468" w:rsidP="00A24315">
      <w:pPr>
        <w:pStyle w:val="FootnoteText"/>
      </w:pPr>
      <w:r w:rsidRPr="00242755">
        <w:t xml:space="preserve">QIMR Berghofer Medical Research Institute, </w:t>
      </w:r>
      <w:r w:rsidRPr="00242755">
        <w:rPr>
          <w:iCs/>
        </w:rPr>
        <w:t>Genomic Partnerships: Guidelines for genomic research with Aboriginal and Torres Strait Islander peoples of Queensland</w:t>
      </w:r>
      <w:r w:rsidRPr="00242755">
        <w:t>, September 2019</w:t>
      </w:r>
      <w:r w:rsidR="00242755" w:rsidRPr="00242755">
        <w:t>,</w:t>
      </w:r>
      <w:r w:rsidRPr="00242755">
        <w:t xml:space="preserve"> &lt;</w:t>
      </w:r>
      <w:hyperlink r:id="rId74" w:history="1">
        <w:r w:rsidRPr="00242755">
          <w:rPr>
            <w:rStyle w:val="Hyperlink"/>
            <w:rFonts w:cs="Arial"/>
            <w:szCs w:val="22"/>
          </w:rPr>
          <w:t>https://www.qimrberghofer.edu.au/wp-content/uploads/2019-Indigenous-Health-Genomics-Guide-v9-WEB-1.pdf</w:t>
        </w:r>
      </w:hyperlink>
      <w:r w:rsidRPr="00242755">
        <w:t xml:space="preserve">&gt; </w:t>
      </w:r>
    </w:p>
    <w:p w14:paraId="46313668" w14:textId="59511725" w:rsidR="00EA6468" w:rsidRPr="00242755" w:rsidRDefault="00EA6468" w:rsidP="00A24315">
      <w:pPr>
        <w:pStyle w:val="FootnoteText"/>
        <w:rPr>
          <w:lang w:val="en-US"/>
        </w:rPr>
      </w:pPr>
      <w:r w:rsidRPr="00242755">
        <w:rPr>
          <w:lang w:val="en-US"/>
        </w:rPr>
        <w:t>South Australian Aboriginal Health Research Accord</w:t>
      </w:r>
      <w:r w:rsidR="005B265B" w:rsidRPr="00242755">
        <w:rPr>
          <w:lang w:val="en-US"/>
        </w:rPr>
        <w:t xml:space="preserve">, </w:t>
      </w:r>
      <w:r w:rsidRPr="00242755">
        <w:rPr>
          <w:lang w:val="en-US"/>
        </w:rPr>
        <w:t xml:space="preserve"> South Australian Health &amp; Medical Research Institute (Web Page) &lt;</w:t>
      </w:r>
      <w:r w:rsidRPr="00242755">
        <w:t xml:space="preserve"> </w:t>
      </w:r>
      <w:hyperlink r:id="rId75" w:history="1">
        <w:r w:rsidRPr="00242755">
          <w:rPr>
            <w:rStyle w:val="Hyperlink"/>
            <w:rFonts w:cs="Arial"/>
            <w:szCs w:val="22"/>
          </w:rPr>
          <w:t>https://www.sahmriresearch.org/our-research/themes/aboriginal-health/research-list/south-australian-aboriginal-health-research-accord</w:t>
        </w:r>
      </w:hyperlink>
      <w:r w:rsidRPr="00242755">
        <w:t>&gt;</w:t>
      </w:r>
    </w:p>
    <w:p w14:paraId="7CDCA70B" w14:textId="37695FAA" w:rsidR="00A21E08" w:rsidRDefault="00583743" w:rsidP="00A24315">
      <w:pPr>
        <w:pStyle w:val="FootnoteText"/>
      </w:pPr>
      <w:r w:rsidRPr="00821DB2">
        <w:t xml:space="preserve">The National Health and Medical Research Council, the Australian Research Council and Universities Australia. </w:t>
      </w:r>
      <w:r w:rsidRPr="00242755">
        <w:t xml:space="preserve">Commonwealth of Australia, </w:t>
      </w:r>
      <w:r w:rsidRPr="00242755">
        <w:rPr>
          <w:iCs/>
        </w:rPr>
        <w:t xml:space="preserve">National Statement on Ethical Conduct in Human Research 2007 </w:t>
      </w:r>
      <w:r w:rsidRPr="00242755">
        <w:t>(Updated 2018), (Australian Government, Canberra, 2018)</w:t>
      </w:r>
    </w:p>
    <w:p w14:paraId="00BED272" w14:textId="1D69FFDB" w:rsidR="00A10223" w:rsidRPr="00242755" w:rsidRDefault="00A10223" w:rsidP="00C778CF">
      <w:pPr>
        <w:pStyle w:val="Heading2nonumbering"/>
      </w:pPr>
      <w:bookmarkStart w:id="230" w:name="_Toc118824422"/>
      <w:r w:rsidRPr="00242755">
        <w:t>G International Legal Instruments</w:t>
      </w:r>
      <w:r w:rsidR="00992447" w:rsidRPr="00242755">
        <w:t xml:space="preserve"> and Sources</w:t>
      </w:r>
      <w:bookmarkEnd w:id="230"/>
    </w:p>
    <w:p w14:paraId="5ED7062A" w14:textId="77777777" w:rsidR="00A10223" w:rsidRPr="00242755" w:rsidRDefault="00A10223" w:rsidP="00A24315">
      <w:pPr>
        <w:pStyle w:val="FootnoteText"/>
      </w:pPr>
      <w:r w:rsidRPr="00242755">
        <w:t>Convention on the Grant of European Patents (European Patent Convention) (2016) OJ EPO June 2016)</w:t>
      </w:r>
    </w:p>
    <w:p w14:paraId="7A145C03" w14:textId="77777777" w:rsidR="00A21E08" w:rsidRDefault="00A21E08" w:rsidP="00A24315">
      <w:pPr>
        <w:pStyle w:val="FootnoteText"/>
        <w:rPr>
          <w:szCs w:val="22"/>
        </w:rPr>
      </w:pPr>
      <w:r w:rsidRPr="00821DB2">
        <w:rPr>
          <w:szCs w:val="22"/>
        </w:rPr>
        <w:t>International Declaration on Human Genetic Data, 32 C/Res 22 UNESCO 39 (16 October 2003)</w:t>
      </w:r>
    </w:p>
    <w:p w14:paraId="7A1AC85C" w14:textId="77777777" w:rsidR="00A10223" w:rsidRPr="00242755" w:rsidRDefault="00A10223" w:rsidP="00A24315">
      <w:pPr>
        <w:pStyle w:val="FootnoteText"/>
        <w:rPr>
          <w:rStyle w:val="Hyperlink"/>
          <w:rFonts w:cs="Arial"/>
          <w:color w:val="auto"/>
          <w:u w:val="none"/>
        </w:rPr>
      </w:pPr>
      <w:r w:rsidRPr="00242755">
        <w:rPr>
          <w:rStyle w:val="Hyperlink"/>
          <w:rFonts w:cs="Arial"/>
          <w:i/>
          <w:iCs/>
          <w:color w:val="auto"/>
          <w:u w:val="none"/>
        </w:rPr>
        <w:t>Universal Declaration on Bioethics and Human Rights</w:t>
      </w:r>
      <w:r w:rsidRPr="00242755">
        <w:rPr>
          <w:rStyle w:val="Hyperlink"/>
          <w:rFonts w:cs="Arial"/>
          <w:color w:val="auto"/>
          <w:u w:val="none"/>
        </w:rPr>
        <w:t>, 32 C/Res 24, UNESCO 33</w:t>
      </w:r>
      <w:r w:rsidRPr="00242755">
        <w:rPr>
          <w:rStyle w:val="Hyperlink"/>
          <w:rFonts w:cs="Arial"/>
          <w:color w:val="auto"/>
          <w:u w:val="none"/>
          <w:vertAlign w:val="superscript"/>
        </w:rPr>
        <w:t>rd</w:t>
      </w:r>
      <w:r w:rsidRPr="00242755">
        <w:rPr>
          <w:rStyle w:val="Hyperlink"/>
          <w:rFonts w:cs="Arial"/>
          <w:color w:val="auto"/>
          <w:u w:val="none"/>
        </w:rPr>
        <w:t xml:space="preserve"> session, (19 October 2005)</w:t>
      </w:r>
    </w:p>
    <w:p w14:paraId="70857990" w14:textId="77777777" w:rsidR="00A10223" w:rsidRPr="00242755" w:rsidRDefault="00A10223" w:rsidP="00A24315">
      <w:pPr>
        <w:pStyle w:val="FootnoteText"/>
        <w:rPr>
          <w:lang w:val="en-US"/>
        </w:rPr>
      </w:pPr>
      <w:r w:rsidRPr="00242755">
        <w:lastRenderedPageBreak/>
        <w:t>Universal Declaration on the Human Genome and Human Rights, C/Res 16, UNESCO 29</w:t>
      </w:r>
      <w:r w:rsidRPr="00242755">
        <w:rPr>
          <w:vertAlign w:val="superscript"/>
        </w:rPr>
        <w:t>th</w:t>
      </w:r>
      <w:r w:rsidRPr="00242755">
        <w:t xml:space="preserve"> sess, (11 November 1997)</w:t>
      </w:r>
    </w:p>
    <w:p w14:paraId="74462CB6" w14:textId="1130406F" w:rsidR="00A21E08" w:rsidRPr="009B6075" w:rsidRDefault="00A21E08" w:rsidP="00A24315">
      <w:pPr>
        <w:pStyle w:val="FootnoteText"/>
      </w:pPr>
      <w:r w:rsidRPr="00821DB2">
        <w:t>Universal Declaration on the Rights of Indigenous Peoples, GA Res 61/295, UN GAOR, 61</w:t>
      </w:r>
      <w:r w:rsidRPr="00821DB2">
        <w:rPr>
          <w:vertAlign w:val="superscript"/>
        </w:rPr>
        <w:t>st</w:t>
      </w:r>
      <w:r w:rsidRPr="00821DB2">
        <w:t xml:space="preserve"> sess, 107</w:t>
      </w:r>
      <w:r w:rsidRPr="00821DB2">
        <w:rPr>
          <w:vertAlign w:val="superscript"/>
        </w:rPr>
        <w:t>th</w:t>
      </w:r>
      <w:r w:rsidRPr="00821DB2">
        <w:t xml:space="preserve"> plen mtg, UN Doc A/RES/61/295 (13 September 2007)</w:t>
      </w:r>
    </w:p>
    <w:p w14:paraId="55532ABD" w14:textId="2F14D9D1" w:rsidR="00EA6468" w:rsidRPr="00242755" w:rsidRDefault="009B6075" w:rsidP="00C778CF">
      <w:pPr>
        <w:pStyle w:val="Heading2nonumbering"/>
      </w:pPr>
      <w:bookmarkStart w:id="231" w:name="_Toc118824423"/>
      <w:r>
        <w:t>H</w:t>
      </w:r>
      <w:r w:rsidR="00992447" w:rsidRPr="00242755">
        <w:t xml:space="preserve"> Other</w:t>
      </w:r>
      <w:bookmarkEnd w:id="231"/>
    </w:p>
    <w:p w14:paraId="28DD76AF" w14:textId="77777777" w:rsidR="00394C0F" w:rsidRPr="00242755" w:rsidRDefault="00394C0F" w:rsidP="00821DB2">
      <w:pPr>
        <w:pStyle w:val="FootnoteText"/>
        <w:spacing w:before="240"/>
        <w:rPr>
          <w:rFonts w:cs="Arial"/>
          <w:color w:val="000000" w:themeColor="text1"/>
          <w:szCs w:val="22"/>
        </w:rPr>
      </w:pPr>
      <w:r w:rsidRPr="00242755">
        <w:rPr>
          <w:rFonts w:cs="Arial"/>
          <w:i/>
          <w:color w:val="000000" w:themeColor="text1"/>
          <w:szCs w:val="22"/>
        </w:rPr>
        <w:t>AU Patent Application no</w:t>
      </w:r>
      <w:r w:rsidRPr="00242755">
        <w:rPr>
          <w:rFonts w:cs="Arial"/>
          <w:color w:val="000000" w:themeColor="text1"/>
          <w:szCs w:val="22"/>
        </w:rPr>
        <w:t xml:space="preserve"> </w:t>
      </w:r>
      <w:r w:rsidRPr="00242755">
        <w:rPr>
          <w:rFonts w:cs="Arial"/>
          <w:i/>
          <w:color w:val="000000" w:themeColor="text1"/>
          <w:szCs w:val="22"/>
        </w:rPr>
        <w:t>2007205838,</w:t>
      </w:r>
      <w:r w:rsidRPr="00242755">
        <w:rPr>
          <w:rFonts w:cs="Arial"/>
          <w:color w:val="000000" w:themeColor="text1"/>
          <w:szCs w:val="22"/>
        </w:rPr>
        <w:t xml:space="preserve"> filed on 19 January 2007 (Withdrew 27 October 2011)</w:t>
      </w:r>
    </w:p>
    <w:p w14:paraId="408983F0" w14:textId="77777777" w:rsidR="00394C0F" w:rsidRPr="00242755" w:rsidRDefault="00394C0F" w:rsidP="00821DB2">
      <w:pPr>
        <w:spacing w:before="240" w:after="0" w:line="240" w:lineRule="auto"/>
        <w:rPr>
          <w:rFonts w:cs="Arial"/>
          <w:color w:val="000000" w:themeColor="text1"/>
        </w:rPr>
      </w:pPr>
      <w:r w:rsidRPr="00242755">
        <w:rPr>
          <w:rFonts w:cs="Arial"/>
          <w:i/>
          <w:color w:val="000000" w:themeColor="text1"/>
        </w:rPr>
        <w:t>AU Patent Application no 2008300612</w:t>
      </w:r>
      <w:r w:rsidRPr="00242755">
        <w:rPr>
          <w:rFonts w:cs="Arial"/>
          <w:color w:val="000000" w:themeColor="text1"/>
        </w:rPr>
        <w:t>, filed on 15 September 2008 (Issued 6 May 2010)</w:t>
      </w:r>
    </w:p>
    <w:p w14:paraId="745E579D" w14:textId="16F1D351" w:rsidR="00EA6468" w:rsidRPr="00242755" w:rsidRDefault="004E4BEE" w:rsidP="00A24315">
      <w:pPr>
        <w:pStyle w:val="FootnoteText"/>
        <w:rPr>
          <w:rFonts w:cs="Arial"/>
        </w:rPr>
      </w:pPr>
      <w:r w:rsidRPr="00242755">
        <w:rPr>
          <w:rFonts w:cs="Arial"/>
          <w:lang w:val="en-US"/>
        </w:rPr>
        <w:t xml:space="preserve">Australian Government, Department of Social Services, </w:t>
      </w:r>
      <w:r w:rsidR="00EA6468" w:rsidRPr="00242755">
        <w:rPr>
          <w:rFonts w:cs="Arial"/>
          <w:i/>
          <w:lang w:val="en-US"/>
        </w:rPr>
        <w:t>Footprints in Time – The Longitudinal Study of Indigenous Children (LSIC)</w:t>
      </w:r>
      <w:r w:rsidR="00EA6468" w:rsidRPr="00242755">
        <w:rPr>
          <w:rFonts w:cs="Arial"/>
          <w:lang w:val="en-US"/>
        </w:rPr>
        <w:t xml:space="preserve"> &lt;</w:t>
      </w:r>
      <w:r w:rsidR="00EA6468" w:rsidRPr="00242755">
        <w:rPr>
          <w:rFonts w:cs="Arial"/>
        </w:rPr>
        <w:t xml:space="preserve"> </w:t>
      </w:r>
      <w:hyperlink r:id="rId76" w:anchor="3" w:history="1">
        <w:r w:rsidR="00EA6468" w:rsidRPr="00242755">
          <w:rPr>
            <w:rStyle w:val="Hyperlink"/>
            <w:rFonts w:cs="Arial"/>
          </w:rPr>
          <w:t>https://www.dss.gov.au/about-the-department/publications-articles/research-publications/longitudinal-data-initiatives/footprints-in-time-the-longitudinal-study-of-indigenous-children-lsic#3</w:t>
        </w:r>
      </w:hyperlink>
      <w:r w:rsidR="00EA6468" w:rsidRPr="00242755">
        <w:rPr>
          <w:rFonts w:cs="Arial"/>
        </w:rPr>
        <w:t>&gt;</w:t>
      </w:r>
    </w:p>
    <w:p w14:paraId="508731C5" w14:textId="56447AFA" w:rsidR="00EA6468" w:rsidRPr="00242755" w:rsidRDefault="00EA6468" w:rsidP="00A24315">
      <w:pPr>
        <w:pStyle w:val="FootnoteText"/>
        <w:rPr>
          <w:rFonts w:cs="Arial"/>
        </w:rPr>
      </w:pPr>
      <w:r w:rsidRPr="00242755">
        <w:rPr>
          <w:rFonts w:cs="Arial"/>
          <w:lang w:val="en-US"/>
        </w:rPr>
        <w:t>Australian Government, Department of Social Services</w:t>
      </w:r>
      <w:r w:rsidR="00736815" w:rsidRPr="00242755">
        <w:rPr>
          <w:rFonts w:cs="Arial"/>
          <w:lang w:val="en-US"/>
        </w:rPr>
        <w:t xml:space="preserve">, </w:t>
      </w:r>
      <w:r w:rsidRPr="00242755">
        <w:rPr>
          <w:rFonts w:cs="Arial"/>
          <w:i/>
          <w:iCs/>
          <w:lang w:val="en-US"/>
        </w:rPr>
        <w:t>National Centre for Longitudinal Data Dataverse</w:t>
      </w:r>
      <w:r w:rsidR="00F34255" w:rsidRPr="00242755">
        <w:rPr>
          <w:rFonts w:cs="Arial"/>
          <w:lang w:val="en-US"/>
        </w:rPr>
        <w:t xml:space="preserve">, </w:t>
      </w:r>
      <w:r w:rsidRPr="00242755">
        <w:rPr>
          <w:rFonts w:cs="Arial"/>
          <w:lang w:val="en-US"/>
        </w:rPr>
        <w:t>&lt;</w:t>
      </w:r>
      <w:hyperlink r:id="rId77" w:history="1">
        <w:r w:rsidRPr="00242755">
          <w:rPr>
            <w:rStyle w:val="Hyperlink"/>
            <w:rFonts w:cs="Arial"/>
          </w:rPr>
          <w:t>https://dataverse.ada.ed</w:t>
        </w:r>
        <w:bookmarkStart w:id="232" w:name="_Hlt45201058"/>
        <w:bookmarkStart w:id="233" w:name="_Hlt45201059"/>
        <w:r w:rsidRPr="00242755">
          <w:rPr>
            <w:rStyle w:val="Hyperlink"/>
            <w:rFonts w:cs="Arial"/>
          </w:rPr>
          <w:t>u</w:t>
        </w:r>
        <w:bookmarkEnd w:id="232"/>
        <w:bookmarkEnd w:id="233"/>
        <w:r w:rsidRPr="00242755">
          <w:rPr>
            <w:rStyle w:val="Hyperlink"/>
            <w:rFonts w:cs="Arial"/>
          </w:rPr>
          <w:t>.au/dataverse/ncld</w:t>
        </w:r>
      </w:hyperlink>
      <w:r w:rsidRPr="00242755">
        <w:rPr>
          <w:rFonts w:cs="Arial"/>
        </w:rPr>
        <w:t>&gt;</w:t>
      </w:r>
    </w:p>
    <w:p w14:paraId="6D8D4368" w14:textId="0CB0FB59" w:rsidR="00EA6468" w:rsidRPr="00242755" w:rsidRDefault="00A95EFD" w:rsidP="00A24315">
      <w:pPr>
        <w:pStyle w:val="FootnoteText"/>
        <w:rPr>
          <w:rFonts w:cs="Arial"/>
          <w:i/>
          <w:color w:val="000000" w:themeColor="text1"/>
        </w:rPr>
      </w:pPr>
      <w:r w:rsidRPr="00242755">
        <w:rPr>
          <w:rFonts w:cs="Arial"/>
          <w:color w:val="000000" w:themeColor="text1"/>
        </w:rPr>
        <w:t>CCH Intelliconnect,</w:t>
      </w:r>
      <w:r w:rsidRPr="00242755">
        <w:rPr>
          <w:rFonts w:cs="Arial"/>
          <w:i/>
          <w:color w:val="000000" w:themeColor="text1"/>
        </w:rPr>
        <w:t xml:space="preserve"> Australian Health &amp; Medical Law Report (</w:t>
      </w:r>
      <w:r w:rsidRPr="00242755">
        <w:rPr>
          <w:rFonts w:cs="Arial"/>
          <w:color w:val="000000" w:themeColor="text1"/>
        </w:rPr>
        <w:t>online at 22 April 2020</w:t>
      </w:r>
      <w:r w:rsidRPr="00242755">
        <w:rPr>
          <w:rFonts w:cs="Arial"/>
          <w:i/>
          <w:color w:val="000000" w:themeColor="text1"/>
        </w:rPr>
        <w:t xml:space="preserve">) </w:t>
      </w:r>
      <w:r w:rsidR="00EA6468" w:rsidRPr="00242755">
        <w:rPr>
          <w:rFonts w:cs="Arial"/>
          <w:i/>
          <w:color w:val="000000" w:themeColor="text1"/>
        </w:rPr>
        <w:t>Source of Patient Rights</w:t>
      </w:r>
      <w:r w:rsidR="00A60A5A" w:rsidRPr="00242755">
        <w:rPr>
          <w:rFonts w:cs="Arial"/>
          <w:i/>
          <w:iCs/>
          <w:color w:val="000000" w:themeColor="text1"/>
        </w:rPr>
        <w:t xml:space="preserve"> [</w:t>
      </w:r>
      <w:r w:rsidR="00AA2631" w:rsidRPr="00242755">
        <w:rPr>
          <w:rFonts w:cs="Arial"/>
          <w:i/>
          <w:iCs/>
          <w:color w:val="000000" w:themeColor="text1"/>
        </w:rPr>
        <w:t>27-130]</w:t>
      </w:r>
    </w:p>
    <w:p w14:paraId="4E488742" w14:textId="79BD10F1" w:rsidR="00EA6468" w:rsidRPr="00242755" w:rsidRDefault="00992447" w:rsidP="00A24315">
      <w:pPr>
        <w:pStyle w:val="FootnoteText"/>
        <w:rPr>
          <w:rFonts w:cs="Arial"/>
        </w:rPr>
      </w:pPr>
      <w:r w:rsidRPr="00242755">
        <w:rPr>
          <w:rFonts w:cs="Arial"/>
        </w:rPr>
        <w:t>Consultation with National Centre for Indigenous Genomics, (Patrick Goulding and Laura Curtis, Teleconference, 15 April 2020).</w:t>
      </w:r>
    </w:p>
    <w:p w14:paraId="08655738" w14:textId="1C2EBDA3" w:rsidR="00394C0F" w:rsidRPr="00242755" w:rsidRDefault="00394C0F" w:rsidP="00A24315">
      <w:pPr>
        <w:pStyle w:val="FootnoteText"/>
        <w:rPr>
          <w:rFonts w:cs="Arial"/>
          <w:color w:val="000000" w:themeColor="text1"/>
        </w:rPr>
      </w:pPr>
      <w:r w:rsidRPr="00242755">
        <w:rPr>
          <w:rFonts w:cs="Arial"/>
          <w:color w:val="000000" w:themeColor="text1"/>
        </w:rPr>
        <w:t>International Center for Technology Assessment, the Indigenous Peoples Council on Biocolonialism, Greenpeace and the Council for Responsible Genetics, ‘Brief for Amici Curiae in Support of the Plaintiffs’, Submission in Association for Molecular Pathology, et al. v. Myriad Genetics, 569 </w:t>
      </w:r>
      <w:hyperlink r:id="rId78" w:tooltip="United States Reports" w:history="1">
        <w:r w:rsidRPr="00242755">
          <w:rPr>
            <w:rFonts w:cs="Arial"/>
            <w:color w:val="000000" w:themeColor="text1"/>
          </w:rPr>
          <w:t>U.S.</w:t>
        </w:r>
      </w:hyperlink>
      <w:r w:rsidRPr="00242755">
        <w:rPr>
          <w:rFonts w:cs="Arial"/>
          <w:color w:val="000000" w:themeColor="text1"/>
        </w:rPr>
        <w:t xml:space="preserve"> 576,12,15, (2013) 10 September 2009 </w:t>
      </w:r>
    </w:p>
    <w:p w14:paraId="1B6F84C9" w14:textId="77777777" w:rsidR="00372E09" w:rsidRPr="00821DB2" w:rsidRDefault="00372E09" w:rsidP="00A24315">
      <w:pPr>
        <w:pStyle w:val="FootnoteText"/>
        <w:rPr>
          <w:rFonts w:cs="Arial"/>
          <w:color w:val="000000" w:themeColor="text1"/>
        </w:rPr>
      </w:pPr>
      <w:r w:rsidRPr="00821DB2">
        <w:rPr>
          <w:rFonts w:cs="Arial"/>
          <w:iCs/>
          <w:color w:val="000000" w:themeColor="text1"/>
        </w:rPr>
        <w:t xml:space="preserve">LexisNexis, </w:t>
      </w:r>
      <w:r w:rsidRPr="00821DB2">
        <w:rPr>
          <w:rFonts w:cs="Arial"/>
          <w:i/>
          <w:color w:val="000000" w:themeColor="text1"/>
        </w:rPr>
        <w:t xml:space="preserve">Halsbury Laws of Australia </w:t>
      </w:r>
      <w:r w:rsidRPr="00821DB2">
        <w:rPr>
          <w:rFonts w:cs="Arial"/>
          <w:iCs/>
          <w:color w:val="000000" w:themeColor="text1"/>
        </w:rPr>
        <w:t>(online at 24 April 2020</w:t>
      </w:r>
      <w:r w:rsidRPr="00821DB2">
        <w:rPr>
          <w:rFonts w:cs="Arial"/>
          <w:i/>
          <w:color w:val="000000" w:themeColor="text1"/>
        </w:rPr>
        <w:t xml:space="preserve">) </w:t>
      </w:r>
      <w:r w:rsidRPr="00821DB2">
        <w:rPr>
          <w:rFonts w:cs="Arial"/>
          <w:iCs/>
          <w:color w:val="000000" w:themeColor="text1"/>
        </w:rPr>
        <w:t>280 Medicine, ‘2 Disciplinary Matters and Offences – Registration of Medical Practitioners, [280]</w:t>
      </w:r>
    </w:p>
    <w:p w14:paraId="32CFBF8F" w14:textId="77777777" w:rsidR="00394C0F" w:rsidRPr="00242755" w:rsidRDefault="00394C0F" w:rsidP="00A24315">
      <w:pPr>
        <w:pStyle w:val="FootnoteText"/>
        <w:rPr>
          <w:rFonts w:cs="Arial"/>
        </w:rPr>
      </w:pPr>
      <w:r w:rsidRPr="00242755">
        <w:rPr>
          <w:rFonts w:cs="Arial"/>
        </w:rPr>
        <w:t xml:space="preserve">National Health and Medical Research Council, </w:t>
      </w:r>
      <w:r w:rsidRPr="00242755">
        <w:rPr>
          <w:rFonts w:cs="Arial"/>
          <w:i/>
          <w:iCs/>
        </w:rPr>
        <w:t>Biobanks Information Paper</w:t>
      </w:r>
      <w:r w:rsidRPr="00242755">
        <w:rPr>
          <w:rFonts w:cs="Arial"/>
        </w:rPr>
        <w:t xml:space="preserve"> (Report, February 2010)</w:t>
      </w:r>
    </w:p>
    <w:p w14:paraId="3D50DEAC" w14:textId="3FD32338" w:rsidR="00FD63E3" w:rsidRPr="009531F1" w:rsidRDefault="00394C0F" w:rsidP="00A24315">
      <w:pPr>
        <w:pStyle w:val="FootnoteText"/>
        <w:rPr>
          <w:rFonts w:cs="Arial"/>
        </w:rPr>
      </w:pPr>
      <w:r w:rsidRPr="00242755">
        <w:rPr>
          <w:rFonts w:cs="Arial"/>
        </w:rPr>
        <w:t xml:space="preserve">Simons Foundation, </w:t>
      </w:r>
      <w:r w:rsidRPr="00242755">
        <w:rPr>
          <w:rFonts w:cs="Arial"/>
          <w:i/>
          <w:iCs/>
        </w:rPr>
        <w:t xml:space="preserve">Simons Genome Diversity Project </w:t>
      </w:r>
      <w:r w:rsidRPr="00242755">
        <w:rPr>
          <w:rFonts w:cs="Arial"/>
        </w:rPr>
        <w:t>(12 April 2017) &lt;</w:t>
      </w:r>
      <w:hyperlink r:id="rId79" w:history="1">
        <w:r w:rsidRPr="00242755">
          <w:rPr>
            <w:rStyle w:val="Hyperlink"/>
            <w:rFonts w:cs="Arial"/>
          </w:rPr>
          <w:t>https://www.simonsfoundation.org/simons-genome-diversity-project/</w:t>
        </w:r>
      </w:hyperlink>
      <w:r w:rsidRPr="00242755">
        <w:rPr>
          <w:rFonts w:cs="Arial"/>
        </w:rPr>
        <w:t>&gt;</w:t>
      </w:r>
    </w:p>
    <w:sectPr w:rsidR="00FD63E3" w:rsidRPr="009531F1" w:rsidSect="00D24EBB">
      <w:headerReference w:type="default" r:id="rId80"/>
      <w:footerReference w:type="default" r:id="rId81"/>
      <w:pgSz w:w="11906" w:h="16838"/>
      <w:pgMar w:top="1429"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D236B" w14:textId="77777777" w:rsidR="006A6AFD" w:rsidRDefault="006A6AFD" w:rsidP="00AC73DF">
      <w:r>
        <w:separator/>
      </w:r>
    </w:p>
  </w:endnote>
  <w:endnote w:type="continuationSeparator" w:id="0">
    <w:p w14:paraId="449B6E8B" w14:textId="77777777" w:rsidR="006A6AFD" w:rsidRDefault="006A6AFD" w:rsidP="00AC73DF">
      <w:r>
        <w:continuationSeparator/>
      </w:r>
    </w:p>
  </w:endnote>
  <w:endnote w:type="continuationNotice" w:id="1">
    <w:p w14:paraId="268EA73C" w14:textId="77777777" w:rsidR="006A6AFD" w:rsidRDefault="006A6AFD" w:rsidP="00AC7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E367" w14:textId="369F4800" w:rsidR="00FB2047" w:rsidRPr="00D109FB" w:rsidRDefault="000C7A64" w:rsidP="00A24315">
    <w:pPr>
      <w:pStyle w:val="Footer"/>
      <w:tabs>
        <w:tab w:val="clear" w:pos="9026"/>
        <w:tab w:val="right" w:pos="7797"/>
      </w:tabs>
      <w:ind w:right="-46"/>
    </w:pPr>
    <w:r>
      <w:rPr>
        <w:noProof/>
      </w:rPr>
      <w:drawing>
        <wp:anchor distT="0" distB="0" distL="114300" distR="114300" simplePos="0" relativeHeight="251658240" behindDoc="0" locked="0" layoutInCell="1" allowOverlap="1" wp14:anchorId="6D049A00" wp14:editId="60E74A01">
          <wp:simplePos x="0" y="0"/>
          <wp:positionH relativeFrom="column">
            <wp:posOffset>-351155</wp:posOffset>
          </wp:positionH>
          <wp:positionV relativeFrom="paragraph">
            <wp:posOffset>-51435</wp:posOffset>
          </wp:positionV>
          <wp:extent cx="262255" cy="228797"/>
          <wp:effectExtent l="0" t="0" r="4445"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255" cy="228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BEE">
      <w:rPr>
        <w:rFonts w:cs="Arial"/>
        <w:sz w:val="18"/>
      </w:rPr>
      <w:t>Terri Janke and Company</w:t>
    </w:r>
    <w:r>
      <w:rPr>
        <w:rFonts w:cs="Arial"/>
        <w:sz w:val="18"/>
      </w:rPr>
      <w:t>: Lawyers and Consultants</w:t>
    </w:r>
    <w:sdt>
      <w:sdtPr>
        <w:id w:val="-1501112750"/>
        <w:docPartObj>
          <w:docPartGallery w:val="Page Numbers (Bottom of Page)"/>
          <w:docPartUnique/>
        </w:docPartObj>
      </w:sdtPr>
      <w:sdtEndPr>
        <w:rPr>
          <w:noProof/>
        </w:rPr>
      </w:sdtEndPr>
      <w:sdtContent>
        <w:r>
          <w:tab/>
        </w:r>
        <w:r>
          <w:tab/>
        </w:r>
        <w:r w:rsidR="00FB2047" w:rsidRPr="00D109FB">
          <w:fldChar w:fldCharType="begin"/>
        </w:r>
        <w:r w:rsidR="00FB2047" w:rsidRPr="00D109FB">
          <w:instrText xml:space="preserve"> PAGE   \* MERGEFORMAT </w:instrText>
        </w:r>
        <w:r w:rsidR="00FB2047" w:rsidRPr="00D109FB">
          <w:fldChar w:fldCharType="separate"/>
        </w:r>
        <w:r w:rsidR="00FB2047" w:rsidRPr="00D109FB">
          <w:t>1</w:t>
        </w:r>
        <w:r w:rsidR="00FB2047" w:rsidRPr="00D109FB">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9EF88" w14:textId="77777777" w:rsidR="006A6AFD" w:rsidRDefault="006A6AFD" w:rsidP="00AC73DF">
      <w:r>
        <w:separator/>
      </w:r>
    </w:p>
  </w:footnote>
  <w:footnote w:type="continuationSeparator" w:id="0">
    <w:p w14:paraId="1E725049" w14:textId="77777777" w:rsidR="006A6AFD" w:rsidRDefault="006A6AFD" w:rsidP="00AC73DF">
      <w:r>
        <w:continuationSeparator/>
      </w:r>
    </w:p>
  </w:footnote>
  <w:footnote w:type="continuationNotice" w:id="1">
    <w:p w14:paraId="7272C7CE" w14:textId="77777777" w:rsidR="006A6AFD" w:rsidRPr="007E6C13" w:rsidRDefault="006A6AFD" w:rsidP="007E6C13">
      <w:pPr>
        <w:pStyle w:val="Footer"/>
      </w:pPr>
    </w:p>
  </w:footnote>
  <w:footnote w:id="2">
    <w:p w14:paraId="22974B58" w14:textId="20A4F135" w:rsidR="00394F6E" w:rsidRPr="002D3BE8" w:rsidRDefault="00394F6E">
      <w:pPr>
        <w:pStyle w:val="FootnoteText"/>
        <w:rPr>
          <w:rFonts w:cs="Arial"/>
          <w:sz w:val="20"/>
          <w:lang w:val="en-US"/>
        </w:rPr>
      </w:pPr>
      <w:r w:rsidRPr="002D3BE8">
        <w:rPr>
          <w:rStyle w:val="FootnoteReference"/>
          <w:rFonts w:cs="Arial"/>
          <w:sz w:val="20"/>
        </w:rPr>
        <w:footnoteRef/>
      </w:r>
      <w:r w:rsidRPr="002D3BE8">
        <w:rPr>
          <w:rFonts w:cs="Arial"/>
          <w:sz w:val="20"/>
        </w:rPr>
        <w:t xml:space="preserve"> </w:t>
      </w:r>
      <w:r w:rsidR="00233411" w:rsidRPr="002D3BE8">
        <w:rPr>
          <w:rFonts w:cs="Arial"/>
          <w:sz w:val="20"/>
          <w:lang w:val="en-US"/>
        </w:rPr>
        <w:t>National Health and Medical Research Council</w:t>
      </w:r>
      <w:r w:rsidR="009811C4" w:rsidRPr="002D3BE8">
        <w:rPr>
          <w:rFonts w:cs="Arial"/>
          <w:sz w:val="20"/>
          <w:lang w:val="en-US"/>
        </w:rPr>
        <w:t xml:space="preserve">, </w:t>
      </w:r>
      <w:r w:rsidR="00233411" w:rsidRPr="002D3BE8">
        <w:rPr>
          <w:rFonts w:cs="Arial"/>
          <w:sz w:val="20"/>
          <w:lang w:val="en-US"/>
        </w:rPr>
        <w:t xml:space="preserve"> </w:t>
      </w:r>
      <w:r w:rsidR="009811C4" w:rsidRPr="002D3BE8">
        <w:rPr>
          <w:rFonts w:cs="Arial"/>
          <w:i/>
          <w:sz w:val="20"/>
          <w:lang w:val="en-US"/>
        </w:rPr>
        <w:t>Genomics resources for consumers</w:t>
      </w:r>
      <w:r w:rsidR="00233411" w:rsidRPr="002D3BE8">
        <w:rPr>
          <w:rFonts w:cs="Arial"/>
          <w:sz w:val="20"/>
          <w:lang w:val="en-US"/>
        </w:rPr>
        <w:t xml:space="preserve"> </w:t>
      </w:r>
      <w:r w:rsidR="008D0FAD" w:rsidRPr="002D3BE8">
        <w:rPr>
          <w:rFonts w:cs="Arial"/>
          <w:sz w:val="20"/>
          <w:lang w:val="en-US"/>
        </w:rPr>
        <w:t>(Web Page)</w:t>
      </w:r>
      <w:r w:rsidR="00547010" w:rsidRPr="002D3BE8">
        <w:rPr>
          <w:rFonts w:cs="Arial"/>
          <w:sz w:val="20"/>
          <w:lang w:val="en-US"/>
        </w:rPr>
        <w:t xml:space="preserve"> &lt;</w:t>
      </w:r>
      <w:hyperlink r:id="rId1" w:history="1">
        <w:r w:rsidR="00547010" w:rsidRPr="002D3BE8">
          <w:rPr>
            <w:rStyle w:val="Hyperlink"/>
            <w:rFonts w:cs="Arial"/>
            <w:sz w:val="20"/>
          </w:rPr>
          <w:t>https://www.nhmrc.gov.au/health-advice/genomics/genomics-resources-consumers</w:t>
        </w:r>
      </w:hyperlink>
      <w:r w:rsidR="00547010" w:rsidRPr="002D3BE8">
        <w:rPr>
          <w:rFonts w:cs="Arial"/>
          <w:sz w:val="20"/>
        </w:rPr>
        <w:t xml:space="preserve">&gt;. </w:t>
      </w:r>
    </w:p>
  </w:footnote>
  <w:footnote w:id="3">
    <w:p w14:paraId="00656C7D" w14:textId="72C639E5" w:rsidR="00582029" w:rsidRPr="002D3BE8" w:rsidRDefault="00582029">
      <w:pPr>
        <w:pStyle w:val="FootnoteText"/>
        <w:rPr>
          <w:rFonts w:cs="Arial"/>
          <w:sz w:val="20"/>
          <w:lang w:val="en-US"/>
        </w:rPr>
      </w:pPr>
      <w:r w:rsidRPr="002D3BE8">
        <w:rPr>
          <w:rStyle w:val="FootnoteReference"/>
          <w:rFonts w:cs="Arial"/>
          <w:sz w:val="20"/>
        </w:rPr>
        <w:footnoteRef/>
      </w:r>
      <w:r w:rsidRPr="002D3BE8">
        <w:rPr>
          <w:rFonts w:cs="Arial"/>
          <w:sz w:val="20"/>
        </w:rPr>
        <w:t xml:space="preserve"> </w:t>
      </w:r>
      <w:r w:rsidR="00B6006A" w:rsidRPr="002D3BE8">
        <w:rPr>
          <w:rFonts w:cs="Arial"/>
          <w:sz w:val="20"/>
        </w:rPr>
        <w:t>National Health and Medical Research Council</w:t>
      </w:r>
      <w:r w:rsidR="00366D6E" w:rsidRPr="002D3BE8">
        <w:rPr>
          <w:rFonts w:cs="Arial"/>
          <w:sz w:val="20"/>
        </w:rPr>
        <w:t xml:space="preserve">, </w:t>
      </w:r>
      <w:r w:rsidR="00366D6E" w:rsidRPr="002D3BE8">
        <w:rPr>
          <w:rFonts w:cs="Arial"/>
          <w:i/>
          <w:sz w:val="20"/>
        </w:rPr>
        <w:t>The Human Genome</w:t>
      </w:r>
      <w:r w:rsidR="00366D6E" w:rsidRPr="002D3BE8">
        <w:rPr>
          <w:rFonts w:cs="Arial"/>
          <w:sz w:val="20"/>
        </w:rPr>
        <w:t xml:space="preserve">, </w:t>
      </w:r>
      <w:r w:rsidR="00095BDD" w:rsidRPr="002D3BE8">
        <w:rPr>
          <w:rFonts w:cs="Arial"/>
          <w:sz w:val="20"/>
        </w:rPr>
        <w:t>NHMRC REF# G</w:t>
      </w:r>
      <w:r w:rsidR="00F93136" w:rsidRPr="002D3BE8">
        <w:rPr>
          <w:rFonts w:cs="Arial"/>
          <w:sz w:val="20"/>
        </w:rPr>
        <w:t>6, (</w:t>
      </w:r>
      <w:r w:rsidR="00840BEF" w:rsidRPr="002D3BE8">
        <w:rPr>
          <w:rFonts w:cs="Arial"/>
          <w:sz w:val="20"/>
        </w:rPr>
        <w:t xml:space="preserve">online </w:t>
      </w:r>
      <w:r w:rsidR="00B80329" w:rsidRPr="002D3BE8">
        <w:rPr>
          <w:rFonts w:cs="Arial"/>
          <w:sz w:val="20"/>
        </w:rPr>
        <w:t>at 9 July 2020)</w:t>
      </w:r>
      <w:r w:rsidR="00E17452" w:rsidRPr="002D3BE8">
        <w:rPr>
          <w:rFonts w:cs="Arial"/>
          <w:sz w:val="20"/>
        </w:rPr>
        <w:t xml:space="preserve"> &lt;</w:t>
      </w:r>
      <w:r w:rsidR="00D33F38" w:rsidRPr="002D3BE8">
        <w:rPr>
          <w:rFonts w:cs="Arial"/>
          <w:sz w:val="20"/>
        </w:rPr>
        <w:t xml:space="preserve"> </w:t>
      </w:r>
      <w:hyperlink r:id="rId2" w:history="1">
        <w:r w:rsidR="00D33F38" w:rsidRPr="002D3BE8">
          <w:rPr>
            <w:rStyle w:val="Hyperlink"/>
            <w:rFonts w:cs="Arial"/>
            <w:sz w:val="20"/>
          </w:rPr>
          <w:t>https://www.nhmrc.gov.au/about-us/publications/human-genome</w:t>
        </w:r>
      </w:hyperlink>
      <w:r w:rsidR="00D33F38" w:rsidRPr="002D3BE8">
        <w:rPr>
          <w:rFonts w:cs="Arial"/>
          <w:sz w:val="20"/>
        </w:rPr>
        <w:t>&gt;</w:t>
      </w:r>
      <w:r w:rsidR="00093708" w:rsidRPr="002D3BE8">
        <w:rPr>
          <w:rFonts w:cs="Arial"/>
          <w:sz w:val="20"/>
        </w:rPr>
        <w:t xml:space="preserve">. </w:t>
      </w:r>
      <w:r w:rsidR="000237FE" w:rsidRPr="002D3BE8">
        <w:rPr>
          <w:rFonts w:cs="Arial"/>
          <w:sz w:val="20"/>
        </w:rPr>
        <w:t xml:space="preserve"> </w:t>
      </w:r>
    </w:p>
  </w:footnote>
  <w:footnote w:id="4">
    <w:p w14:paraId="2E9CBCED" w14:textId="6AA983A5" w:rsidR="00FB2047" w:rsidRPr="001F47B8" w:rsidRDefault="00FB2047">
      <w:pPr>
        <w:pStyle w:val="FootnoteText"/>
        <w:rPr>
          <w:rFonts w:cs="Arial"/>
          <w:sz w:val="20"/>
          <w:lang w:val="en-US"/>
        </w:rPr>
      </w:pPr>
      <w:r w:rsidRPr="001F47B8">
        <w:rPr>
          <w:rStyle w:val="FootnoteReference"/>
          <w:rFonts w:cs="Arial"/>
          <w:sz w:val="20"/>
        </w:rPr>
        <w:footnoteRef/>
      </w:r>
      <w:r w:rsidRPr="001F47B8">
        <w:rPr>
          <w:rFonts w:cs="Arial"/>
          <w:sz w:val="20"/>
        </w:rPr>
        <w:t xml:space="preserve"> </w:t>
      </w:r>
      <w:r w:rsidRPr="001F47B8">
        <w:rPr>
          <w:rFonts w:cs="Arial"/>
          <w:color w:val="000000" w:themeColor="text1"/>
          <w:sz w:val="20"/>
        </w:rPr>
        <w:t>Declaration on the Rights of Indigenous Peoples, GA Res 61/295, UN GAOR, 61</w:t>
      </w:r>
      <w:r w:rsidRPr="001F47B8">
        <w:rPr>
          <w:rFonts w:cs="Arial"/>
          <w:color w:val="000000" w:themeColor="text1"/>
          <w:sz w:val="20"/>
          <w:vertAlign w:val="superscript"/>
        </w:rPr>
        <w:t>st</w:t>
      </w:r>
      <w:r w:rsidRPr="001F47B8">
        <w:rPr>
          <w:rFonts w:cs="Arial"/>
          <w:color w:val="000000" w:themeColor="text1"/>
          <w:sz w:val="20"/>
        </w:rPr>
        <w:t xml:space="preserve"> sess, 107</w:t>
      </w:r>
      <w:r w:rsidRPr="001F47B8">
        <w:rPr>
          <w:rFonts w:cs="Arial"/>
          <w:color w:val="000000" w:themeColor="text1"/>
          <w:sz w:val="20"/>
          <w:vertAlign w:val="superscript"/>
        </w:rPr>
        <w:t>th</w:t>
      </w:r>
      <w:r w:rsidRPr="001F47B8">
        <w:rPr>
          <w:rFonts w:cs="Arial"/>
          <w:color w:val="000000" w:themeColor="text1"/>
          <w:sz w:val="20"/>
        </w:rPr>
        <w:t xml:space="preserve"> plen mtg, UN Doc A/RES/61/295 (13 September 2007) </w:t>
      </w:r>
      <w:r w:rsidRPr="001F47B8">
        <w:rPr>
          <w:rFonts w:cs="Arial"/>
          <w:color w:val="000000" w:themeColor="text1"/>
          <w:sz w:val="20"/>
          <w:lang w:val="en-US"/>
        </w:rPr>
        <w:t>art 31.</w:t>
      </w:r>
    </w:p>
  </w:footnote>
  <w:footnote w:id="5">
    <w:p w14:paraId="334BD84E" w14:textId="1D8D8299"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Mathew Rimmer ‘The Genographic Project: Traditional Knowledge and Population Genetics’ (2007) 11(2) </w:t>
      </w:r>
      <w:r w:rsidRPr="001F47B8">
        <w:rPr>
          <w:rFonts w:cs="Arial"/>
          <w:i/>
          <w:color w:val="000000" w:themeColor="text1"/>
          <w:sz w:val="20"/>
        </w:rPr>
        <w:t xml:space="preserve">Australian Indigenous Law Reporter </w:t>
      </w:r>
      <w:r w:rsidRPr="001F47B8">
        <w:rPr>
          <w:rFonts w:cs="Arial"/>
          <w:color w:val="000000" w:themeColor="text1"/>
          <w:sz w:val="20"/>
        </w:rPr>
        <w:t>36-38.</w:t>
      </w:r>
    </w:p>
  </w:footnote>
  <w:footnote w:id="6">
    <w:p w14:paraId="42B5A0BF" w14:textId="02A7E62B"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A05052">
        <w:rPr>
          <w:rFonts w:cs="Arial"/>
          <w:color w:val="000000" w:themeColor="text1"/>
          <w:sz w:val="20"/>
        </w:rPr>
        <w:t xml:space="preserve">Ibid </w:t>
      </w:r>
      <w:r w:rsidRPr="001F47B8">
        <w:rPr>
          <w:rFonts w:cs="Arial"/>
          <w:color w:val="000000" w:themeColor="text1"/>
          <w:sz w:val="20"/>
        </w:rPr>
        <w:t>37.</w:t>
      </w:r>
    </w:p>
  </w:footnote>
  <w:footnote w:id="7">
    <w:p w14:paraId="3309CF12" w14:textId="7E35A7DB"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A05052">
        <w:rPr>
          <w:rFonts w:cs="Arial"/>
          <w:color w:val="000000" w:themeColor="text1"/>
          <w:sz w:val="20"/>
        </w:rPr>
        <w:t xml:space="preserve">Ibid </w:t>
      </w:r>
      <w:r w:rsidRPr="001F47B8">
        <w:rPr>
          <w:rFonts w:cs="Arial"/>
          <w:color w:val="000000" w:themeColor="text1"/>
          <w:sz w:val="20"/>
        </w:rPr>
        <w:t>37.</w:t>
      </w:r>
    </w:p>
  </w:footnote>
  <w:footnote w:id="8">
    <w:p w14:paraId="602C7DE5" w14:textId="129CABFC"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A05052">
        <w:rPr>
          <w:rFonts w:cs="Arial"/>
          <w:color w:val="000000" w:themeColor="text1"/>
          <w:sz w:val="20"/>
        </w:rPr>
        <w:t xml:space="preserve">Ibid </w:t>
      </w:r>
      <w:r w:rsidRPr="001F47B8">
        <w:rPr>
          <w:rFonts w:cs="Arial"/>
          <w:color w:val="000000" w:themeColor="text1"/>
          <w:sz w:val="20"/>
        </w:rPr>
        <w:t>38.</w:t>
      </w:r>
    </w:p>
  </w:footnote>
  <w:footnote w:id="9">
    <w:p w14:paraId="79329365" w14:textId="6B756B27"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A05052">
        <w:rPr>
          <w:rFonts w:cs="Arial"/>
          <w:color w:val="000000" w:themeColor="text1"/>
          <w:sz w:val="20"/>
        </w:rPr>
        <w:t xml:space="preserve">Ibid </w:t>
      </w:r>
      <w:r w:rsidRPr="001F47B8">
        <w:rPr>
          <w:rFonts w:cs="Arial"/>
          <w:color w:val="000000" w:themeColor="text1"/>
          <w:sz w:val="20"/>
        </w:rPr>
        <w:t>43.</w:t>
      </w:r>
    </w:p>
  </w:footnote>
  <w:footnote w:id="10">
    <w:p w14:paraId="5627B5BC" w14:textId="1F7E9CEB"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B840C7">
        <w:rPr>
          <w:rFonts w:cs="Arial"/>
          <w:color w:val="000000" w:themeColor="text1"/>
          <w:sz w:val="20"/>
        </w:rPr>
        <w:t xml:space="preserve">Ibid </w:t>
      </w:r>
      <w:r w:rsidRPr="001F47B8">
        <w:rPr>
          <w:rFonts w:cs="Arial"/>
          <w:color w:val="000000" w:themeColor="text1"/>
          <w:sz w:val="20"/>
        </w:rPr>
        <w:t>46.</w:t>
      </w:r>
    </w:p>
  </w:footnote>
  <w:footnote w:id="11">
    <w:p w14:paraId="06495517" w14:textId="39A7F682"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National Geographic </w:t>
      </w:r>
      <w:r w:rsidRPr="001F47B8">
        <w:rPr>
          <w:rFonts w:cs="Arial"/>
          <w:i/>
          <w:color w:val="000000" w:themeColor="text1"/>
          <w:sz w:val="20"/>
        </w:rPr>
        <w:t xml:space="preserve">Genographic Project – January 2020 Update </w:t>
      </w:r>
      <w:r w:rsidRPr="001F47B8">
        <w:rPr>
          <w:rFonts w:cs="Arial"/>
          <w:color w:val="000000" w:themeColor="text1"/>
          <w:sz w:val="20"/>
        </w:rPr>
        <w:t xml:space="preserve">(2020) </w:t>
      </w:r>
      <w:r w:rsidRPr="00C572A8">
        <w:rPr>
          <w:rFonts w:cs="Arial"/>
          <w:color w:val="000000" w:themeColor="text1"/>
          <w:sz w:val="20"/>
        </w:rPr>
        <w:t>&lt;</w:t>
      </w:r>
      <w:hyperlink r:id="rId3" w:history="1">
        <w:r w:rsidRPr="00C572A8">
          <w:rPr>
            <w:rStyle w:val="Hyperlink"/>
            <w:rFonts w:cs="Arial"/>
            <w:color w:val="000000" w:themeColor="text1"/>
            <w:sz w:val="20"/>
          </w:rPr>
          <w:t>https://genographic.nationalgeographic.com/</w:t>
        </w:r>
      </w:hyperlink>
      <w:r w:rsidRPr="001F47B8">
        <w:rPr>
          <w:rFonts w:cs="Arial"/>
          <w:color w:val="000000" w:themeColor="text1"/>
          <w:sz w:val="20"/>
        </w:rPr>
        <w:t xml:space="preserve">&gt; viewed 9 April 2020. </w:t>
      </w:r>
    </w:p>
  </w:footnote>
  <w:footnote w:id="12">
    <w:p w14:paraId="2D873010" w14:textId="7BA8BDDA"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Emma E Kowal ‘Genetic research in Indigenous health: significant progress, substantial challenges’(2012) 197(1) </w:t>
      </w:r>
      <w:r w:rsidRPr="001F47B8">
        <w:rPr>
          <w:rFonts w:cs="Arial"/>
          <w:i/>
          <w:color w:val="000000" w:themeColor="text1"/>
          <w:sz w:val="20"/>
        </w:rPr>
        <w:t>The Medical Journal of Australia,</w:t>
      </w:r>
      <w:r w:rsidRPr="001F47B8">
        <w:rPr>
          <w:rFonts w:cs="Arial"/>
          <w:iCs/>
          <w:color w:val="000000" w:themeColor="text1"/>
          <w:sz w:val="20"/>
        </w:rPr>
        <w:t xml:space="preserve"> 19</w:t>
      </w:r>
      <w:r w:rsidRPr="001F47B8">
        <w:rPr>
          <w:rFonts w:cs="Arial"/>
          <w:i/>
          <w:color w:val="000000" w:themeColor="text1"/>
          <w:sz w:val="20"/>
        </w:rPr>
        <w:t>. &lt;</w:t>
      </w:r>
      <w:hyperlink r:id="rId4" w:history="1">
        <w:r w:rsidRPr="001F47B8">
          <w:rPr>
            <w:rStyle w:val="Hyperlink"/>
            <w:rFonts w:cs="Arial"/>
            <w:color w:val="000000" w:themeColor="text1"/>
            <w:sz w:val="20"/>
          </w:rPr>
          <w:t>https://www.mja.com.au/system/files/issues/197_01_020712/kow10531_fm.pdf</w:t>
        </w:r>
      </w:hyperlink>
      <w:r w:rsidRPr="001F47B8">
        <w:rPr>
          <w:rStyle w:val="Hyperlink"/>
          <w:rFonts w:cs="Arial"/>
          <w:color w:val="000000" w:themeColor="text1"/>
          <w:sz w:val="20"/>
        </w:rPr>
        <w:t xml:space="preserve"> &gt;</w:t>
      </w:r>
      <w:r w:rsidRPr="001F47B8">
        <w:rPr>
          <w:rFonts w:cs="Arial"/>
          <w:color w:val="000000" w:themeColor="text1"/>
          <w:sz w:val="20"/>
        </w:rPr>
        <w:t>.</w:t>
      </w:r>
    </w:p>
  </w:footnote>
  <w:footnote w:id="13">
    <w:p w14:paraId="451E16A4" w14:textId="4A53DFDF" w:rsidR="00FB2047" w:rsidRPr="001F47B8" w:rsidRDefault="00FB2047">
      <w:pPr>
        <w:pStyle w:val="FootnoteText"/>
        <w:rPr>
          <w:rFonts w:cs="Arial"/>
          <w:sz w:val="20"/>
          <w:lang w:val="en-US"/>
        </w:rPr>
      </w:pPr>
      <w:r w:rsidRPr="001F47B8">
        <w:rPr>
          <w:rStyle w:val="FootnoteReference"/>
          <w:rFonts w:cs="Arial"/>
          <w:sz w:val="20"/>
        </w:rPr>
        <w:footnoteRef/>
      </w:r>
      <w:r w:rsidRPr="001F47B8">
        <w:rPr>
          <w:rFonts w:cs="Arial"/>
          <w:sz w:val="20"/>
        </w:rPr>
        <w:t xml:space="preserve"> Several Advisory Group members raised this concern and cited conservative commentators such as Mark Latham, Pauline Hansen and Josephine Cashman whom they considered might support such a register. For example, in 2019</w:t>
      </w:r>
      <w:r w:rsidR="00CF0397">
        <w:rPr>
          <w:rFonts w:cs="Arial"/>
          <w:sz w:val="20"/>
        </w:rPr>
        <w:t>,</w:t>
      </w:r>
      <w:r w:rsidRPr="001F47B8">
        <w:rPr>
          <w:rFonts w:cs="Arial"/>
          <w:sz w:val="20"/>
        </w:rPr>
        <w:t xml:space="preserve"> One Nation released a policy proposing to have DNA tests for people identifying as Indigenous:  Fryer, ‘Brooke No DNA test exists for Aboriginality: Scientists’ on </w:t>
      </w:r>
      <w:r w:rsidRPr="001F47B8">
        <w:rPr>
          <w:rFonts w:cs="Arial"/>
          <w:i/>
          <w:iCs/>
          <w:sz w:val="20"/>
        </w:rPr>
        <w:t>NITV</w:t>
      </w:r>
      <w:r w:rsidRPr="001F47B8">
        <w:rPr>
          <w:rFonts w:cs="Arial"/>
          <w:sz w:val="20"/>
        </w:rPr>
        <w:t xml:space="preserve"> (16 March 2019) &lt;</w:t>
      </w:r>
      <w:hyperlink r:id="rId5" w:history="1">
        <w:r w:rsidRPr="001F47B8">
          <w:rPr>
            <w:rStyle w:val="Hyperlink"/>
            <w:rFonts w:cs="Arial"/>
            <w:sz w:val="20"/>
          </w:rPr>
          <w:t>https://www.sbs.com.au/nitv/article/2019/03/16/no-dna-test-exists-aboriginality-scientists1</w:t>
        </w:r>
      </w:hyperlink>
      <w:r w:rsidRPr="001F47B8">
        <w:rPr>
          <w:rFonts w:cs="Arial"/>
          <w:sz w:val="20"/>
        </w:rPr>
        <w:t xml:space="preserve">&gt;. </w:t>
      </w:r>
    </w:p>
  </w:footnote>
  <w:footnote w:id="14">
    <w:p w14:paraId="6FF8B673" w14:textId="0A1FF347" w:rsidR="00FB2047" w:rsidRPr="001F47B8" w:rsidRDefault="00FB2047">
      <w:pPr>
        <w:pStyle w:val="FootnoteText"/>
        <w:rPr>
          <w:rFonts w:cs="Arial"/>
          <w:sz w:val="20"/>
          <w:lang w:val="en-US"/>
        </w:rPr>
      </w:pPr>
      <w:r w:rsidRPr="001F47B8">
        <w:rPr>
          <w:rStyle w:val="FootnoteReference"/>
          <w:rFonts w:cs="Arial"/>
          <w:sz w:val="20"/>
        </w:rPr>
        <w:footnoteRef/>
      </w:r>
      <w:r w:rsidRPr="001F47B8">
        <w:rPr>
          <w:rFonts w:cs="Arial"/>
          <w:sz w:val="20"/>
        </w:rPr>
        <w:t xml:space="preserve"> Dignitary harms are defined and discussed in greater detail in section</w:t>
      </w:r>
      <w:r w:rsidR="00441B2E">
        <w:rPr>
          <w:rFonts w:cs="Arial"/>
          <w:sz w:val="20"/>
        </w:rPr>
        <w:t xml:space="preserve"> </w:t>
      </w:r>
      <w:r w:rsidR="0068727C" w:rsidRPr="002D3BE8">
        <w:rPr>
          <w:rFonts w:cs="Arial"/>
          <w:sz w:val="20"/>
        </w:rPr>
        <w:fldChar w:fldCharType="begin"/>
      </w:r>
      <w:r w:rsidR="0068727C" w:rsidRPr="002D3BE8">
        <w:rPr>
          <w:rFonts w:cs="Arial"/>
          <w:sz w:val="20"/>
        </w:rPr>
        <w:instrText xml:space="preserve"> REF _Ref45033033 \r \h </w:instrText>
      </w:r>
      <w:r w:rsidR="002D3BE8" w:rsidRPr="002D3BE8">
        <w:rPr>
          <w:rFonts w:cs="Arial"/>
          <w:sz w:val="20"/>
        </w:rPr>
        <w:instrText xml:space="preserve"> \* MERGEFORMAT </w:instrText>
      </w:r>
      <w:r w:rsidR="0068727C" w:rsidRPr="002D3BE8">
        <w:rPr>
          <w:rFonts w:cs="Arial"/>
          <w:sz w:val="20"/>
        </w:rPr>
      </w:r>
      <w:r w:rsidR="0068727C" w:rsidRPr="002D3BE8">
        <w:rPr>
          <w:rFonts w:cs="Arial"/>
          <w:sz w:val="20"/>
        </w:rPr>
        <w:fldChar w:fldCharType="separate"/>
      </w:r>
      <w:r w:rsidR="000B4085">
        <w:rPr>
          <w:rFonts w:cs="Arial"/>
          <w:sz w:val="20"/>
        </w:rPr>
        <w:t>5.3</w:t>
      </w:r>
      <w:r w:rsidR="0068727C" w:rsidRPr="002D3BE8">
        <w:rPr>
          <w:rFonts w:cs="Arial"/>
          <w:sz w:val="20"/>
        </w:rPr>
        <w:fldChar w:fldCharType="end"/>
      </w:r>
      <w:r w:rsidRPr="001F47B8">
        <w:rPr>
          <w:rFonts w:cs="Arial"/>
          <w:sz w:val="20"/>
        </w:rPr>
        <w:t xml:space="preserve"> </w:t>
      </w:r>
      <w:r w:rsidR="00393F65">
        <w:rPr>
          <w:rFonts w:cs="Arial"/>
          <w:sz w:val="20"/>
        </w:rPr>
        <w:t>The Rights of Patients in a Clinical Setting</w:t>
      </w:r>
      <w:r w:rsidR="00583F3C">
        <w:rPr>
          <w:rFonts w:cs="Arial"/>
          <w:sz w:val="20"/>
        </w:rPr>
        <w:t>.</w:t>
      </w:r>
    </w:p>
  </w:footnote>
  <w:footnote w:id="15">
    <w:p w14:paraId="13C98E72" w14:textId="0A19EDAC"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National Centre for Indigenous Genomics, </w:t>
      </w:r>
      <w:r w:rsidRPr="001F47B8">
        <w:rPr>
          <w:rFonts w:cs="Arial"/>
          <w:i/>
          <w:color w:val="000000" w:themeColor="text1"/>
          <w:sz w:val="20"/>
        </w:rPr>
        <w:t xml:space="preserve">Public </w:t>
      </w:r>
      <w:r w:rsidRPr="001F47B8">
        <w:rPr>
          <w:rFonts w:cs="Arial"/>
          <w:i/>
          <w:color w:val="000000" w:themeColor="text1"/>
          <w:sz w:val="20"/>
          <w:lang w:val="en-US"/>
        </w:rPr>
        <w:t>Lecture by Prof Simon Easteal</w:t>
      </w:r>
      <w:r w:rsidRPr="001F47B8">
        <w:rPr>
          <w:rFonts w:cs="Arial"/>
          <w:color w:val="000000" w:themeColor="text1"/>
          <w:sz w:val="20"/>
          <w:lang w:val="en-US"/>
        </w:rPr>
        <w:t xml:space="preserve"> (YouTube, 16 June 2015) &lt;</w:t>
      </w:r>
      <w:hyperlink r:id="rId6" w:history="1">
        <w:r w:rsidRPr="001F47B8">
          <w:rPr>
            <w:rStyle w:val="Hyperlink"/>
            <w:rFonts w:cs="Arial"/>
            <w:color w:val="000000" w:themeColor="text1"/>
            <w:sz w:val="20"/>
          </w:rPr>
          <w:t>https://www.youtube.com/watch?v=UieBgf9AuPw</w:t>
        </w:r>
      </w:hyperlink>
      <w:r w:rsidRPr="001F47B8">
        <w:rPr>
          <w:rFonts w:cs="Arial"/>
          <w:color w:val="000000" w:themeColor="text1"/>
          <w:sz w:val="20"/>
        </w:rPr>
        <w:t>&gt; viewed 15 April 2020.</w:t>
      </w:r>
    </w:p>
  </w:footnote>
  <w:footnote w:id="16">
    <w:p w14:paraId="366A73F2" w14:textId="7FF6D572"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93F65">
        <w:rPr>
          <w:rFonts w:cs="Arial"/>
          <w:color w:val="000000" w:themeColor="text1"/>
          <w:sz w:val="20"/>
        </w:rPr>
        <w:t>Ibid</w:t>
      </w:r>
      <w:r w:rsidRPr="001F47B8">
        <w:rPr>
          <w:rFonts w:cs="Arial"/>
          <w:color w:val="000000" w:themeColor="text1"/>
          <w:sz w:val="20"/>
        </w:rPr>
        <w:t>.</w:t>
      </w:r>
    </w:p>
  </w:footnote>
  <w:footnote w:id="17">
    <w:p w14:paraId="4047392E" w14:textId="1FBF87F3"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Sarah Zhang </w:t>
      </w:r>
      <w:r w:rsidRPr="001F47B8">
        <w:rPr>
          <w:rFonts w:cs="Arial"/>
          <w:i/>
          <w:iCs/>
          <w:color w:val="000000" w:themeColor="text1"/>
          <w:sz w:val="20"/>
        </w:rPr>
        <w:t xml:space="preserve">How a Genealogy Website Led to the Alleged Golden State Killer </w:t>
      </w:r>
      <w:r w:rsidRPr="001F47B8">
        <w:rPr>
          <w:rFonts w:cs="Arial"/>
          <w:color w:val="000000" w:themeColor="text1"/>
          <w:sz w:val="20"/>
        </w:rPr>
        <w:t>(27 April 2018) &lt;</w:t>
      </w:r>
      <w:hyperlink r:id="rId7" w:history="1">
        <w:r w:rsidRPr="001F47B8">
          <w:rPr>
            <w:rStyle w:val="Hyperlink"/>
            <w:rFonts w:cs="Arial"/>
            <w:color w:val="000000" w:themeColor="text1"/>
            <w:sz w:val="20"/>
          </w:rPr>
          <w:t>https://www.theatlantic.com/science/archive/2018/04/golden-state-killer-east-area-rapist-dna-genealogy/559070/</w:t>
        </w:r>
      </w:hyperlink>
      <w:r w:rsidRPr="001F47B8">
        <w:rPr>
          <w:rFonts w:cs="Arial"/>
          <w:color w:val="000000" w:themeColor="text1"/>
          <w:sz w:val="20"/>
        </w:rPr>
        <w:t xml:space="preserve">&gt;. </w:t>
      </w:r>
    </w:p>
  </w:footnote>
  <w:footnote w:id="18">
    <w:p w14:paraId="582F02B3" w14:textId="61DE9633"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shd w:val="clear" w:color="auto" w:fill="FFFFFF"/>
        </w:rPr>
        <w:t>Primary Health Care Ltd v Commissioner of Taxation</w:t>
      </w:r>
      <w:r w:rsidRPr="001F47B8">
        <w:rPr>
          <w:rStyle w:val="EndnoteTextChar"/>
          <w:rFonts w:cs="Arial"/>
          <w:color w:val="000000" w:themeColor="text1"/>
          <w:shd w:val="clear" w:color="auto" w:fill="FFFFFF"/>
        </w:rPr>
        <w:t> </w:t>
      </w:r>
      <w:r w:rsidRPr="001F47B8">
        <w:rPr>
          <w:rFonts w:cs="Arial"/>
          <w:color w:val="000000" w:themeColor="text1"/>
          <w:sz w:val="20"/>
          <w:shd w:val="clear" w:color="auto" w:fill="FFFFFF"/>
        </w:rPr>
        <w:t>[2010] FCA 419, [36].</w:t>
      </w:r>
    </w:p>
  </w:footnote>
  <w:footnote w:id="19">
    <w:p w14:paraId="1E876CA3" w14:textId="4EBB4635"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93F65" w:rsidRPr="00393F65">
        <w:rPr>
          <w:rFonts w:cs="Arial"/>
          <w:iCs/>
          <w:color w:val="000000" w:themeColor="text1"/>
          <w:sz w:val="20"/>
          <w:shd w:val="clear" w:color="auto" w:fill="FFFFFF"/>
        </w:rPr>
        <w:t>Ibid</w:t>
      </w:r>
      <w:r w:rsidRPr="001F47B8">
        <w:rPr>
          <w:rFonts w:cs="Arial"/>
          <w:color w:val="000000" w:themeColor="text1"/>
          <w:sz w:val="20"/>
          <w:shd w:val="clear" w:color="auto" w:fill="FFFFFF"/>
        </w:rPr>
        <w:t xml:space="preserve"> [38].</w:t>
      </w:r>
    </w:p>
  </w:footnote>
  <w:footnote w:id="20">
    <w:p w14:paraId="4C5F7A5D" w14:textId="4FECE934"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93F65" w:rsidRPr="00393F65">
        <w:rPr>
          <w:rFonts w:cs="Arial"/>
          <w:iCs/>
          <w:color w:val="000000" w:themeColor="text1"/>
          <w:sz w:val="20"/>
          <w:shd w:val="clear" w:color="auto" w:fill="FFFFFF"/>
        </w:rPr>
        <w:t>Ibid</w:t>
      </w:r>
      <w:r w:rsidRPr="001F47B8">
        <w:rPr>
          <w:rFonts w:cs="Arial"/>
          <w:color w:val="000000" w:themeColor="text1"/>
          <w:sz w:val="20"/>
          <w:shd w:val="clear" w:color="auto" w:fill="FFFFFF"/>
        </w:rPr>
        <w:t xml:space="preserve"> [45].</w:t>
      </w:r>
    </w:p>
  </w:footnote>
  <w:footnote w:id="21">
    <w:p w14:paraId="4524E74C" w14:textId="77777777" w:rsidR="00FB2047" w:rsidRPr="001F47B8" w:rsidRDefault="00FB2047" w:rsidP="007D284A">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Copyright Act 1968</w:t>
      </w:r>
      <w:r w:rsidRPr="001F47B8">
        <w:rPr>
          <w:rFonts w:cs="Arial"/>
          <w:color w:val="000000" w:themeColor="text1"/>
          <w:sz w:val="20"/>
        </w:rPr>
        <w:t xml:space="preserve"> (Cth), s 113B.</w:t>
      </w:r>
    </w:p>
  </w:footnote>
  <w:footnote w:id="22">
    <w:p w14:paraId="0C375A07" w14:textId="61BBF719" w:rsidR="00FB2047" w:rsidRPr="001F47B8" w:rsidRDefault="00FB2047" w:rsidP="007D284A">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531D90" w:rsidRPr="00531D90">
        <w:rPr>
          <w:rFonts w:cs="Arial"/>
          <w:iCs/>
          <w:color w:val="000000" w:themeColor="text1"/>
          <w:sz w:val="20"/>
        </w:rPr>
        <w:t>Ibid</w:t>
      </w:r>
      <w:r w:rsidR="00531D90">
        <w:rPr>
          <w:rFonts w:cs="Arial"/>
          <w:i/>
          <w:color w:val="000000" w:themeColor="text1"/>
          <w:sz w:val="20"/>
        </w:rPr>
        <w:t xml:space="preserve"> </w:t>
      </w:r>
      <w:r w:rsidRPr="001F47B8">
        <w:rPr>
          <w:rFonts w:cs="Arial"/>
          <w:color w:val="000000" w:themeColor="text1"/>
          <w:sz w:val="20"/>
        </w:rPr>
        <w:t>s97.</w:t>
      </w:r>
    </w:p>
  </w:footnote>
  <w:footnote w:id="23">
    <w:p w14:paraId="531A2A9C" w14:textId="3813915A" w:rsidR="00FB2047" w:rsidRPr="001F47B8" w:rsidRDefault="00FB2047" w:rsidP="007D284A">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531D90" w:rsidRPr="00531D90">
        <w:rPr>
          <w:rFonts w:cs="Arial"/>
          <w:iCs/>
          <w:color w:val="000000" w:themeColor="text1"/>
          <w:sz w:val="20"/>
        </w:rPr>
        <w:t>Ibid</w:t>
      </w:r>
      <w:r w:rsidR="00531D90">
        <w:rPr>
          <w:rFonts w:cs="Arial"/>
          <w:i/>
          <w:color w:val="000000" w:themeColor="text1"/>
          <w:sz w:val="20"/>
        </w:rPr>
        <w:t xml:space="preserve"> </w:t>
      </w:r>
      <w:r w:rsidRPr="001F47B8">
        <w:rPr>
          <w:rFonts w:cs="Arial"/>
          <w:color w:val="000000" w:themeColor="text1"/>
          <w:sz w:val="20"/>
        </w:rPr>
        <w:t>Part IX.</w:t>
      </w:r>
    </w:p>
  </w:footnote>
  <w:footnote w:id="24">
    <w:p w14:paraId="1FE75854" w14:textId="77777777"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shd w:val="clear" w:color="auto" w:fill="FFFFFF"/>
        </w:rPr>
        <w:t>Australian Law Reform Commission, </w:t>
      </w:r>
      <w:r w:rsidRPr="001F47B8">
        <w:rPr>
          <w:rFonts w:cs="Arial"/>
          <w:i/>
          <w:color w:val="000000" w:themeColor="text1"/>
          <w:sz w:val="20"/>
        </w:rPr>
        <w:t>Genes and Ingenuity: Gene Patenting and Human Health</w:t>
      </w:r>
      <w:r w:rsidRPr="001F47B8">
        <w:rPr>
          <w:rStyle w:val="EndnoteTextChar"/>
          <w:rFonts w:cs="Arial"/>
          <w:color w:val="000000" w:themeColor="text1"/>
          <w:spacing w:val="2"/>
          <w:bdr w:val="none" w:sz="0" w:space="0" w:color="auto" w:frame="1"/>
          <w:shd w:val="clear" w:color="auto" w:fill="FFFFFF"/>
        </w:rPr>
        <w:t>, </w:t>
      </w:r>
      <w:r w:rsidRPr="001F47B8">
        <w:rPr>
          <w:rFonts w:cs="Arial"/>
          <w:color w:val="000000" w:themeColor="text1"/>
          <w:sz w:val="20"/>
          <w:shd w:val="clear" w:color="auto" w:fill="FFFFFF"/>
        </w:rPr>
        <w:t>Report No 99 (2004) 638.</w:t>
      </w:r>
    </w:p>
  </w:footnote>
  <w:footnote w:id="25">
    <w:p w14:paraId="09343FD2" w14:textId="03035CEB"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DE29D2">
        <w:rPr>
          <w:rFonts w:cs="Arial"/>
          <w:color w:val="000000" w:themeColor="text1"/>
          <w:sz w:val="20"/>
          <w:shd w:val="clear" w:color="auto" w:fill="FFFFFF"/>
        </w:rPr>
        <w:t xml:space="preserve">Ibid </w:t>
      </w:r>
      <w:r w:rsidRPr="001F47B8">
        <w:rPr>
          <w:rFonts w:cs="Arial"/>
          <w:color w:val="000000" w:themeColor="text1"/>
          <w:sz w:val="20"/>
          <w:shd w:val="clear" w:color="auto" w:fill="FFFFFF"/>
        </w:rPr>
        <w:t>639.</w:t>
      </w:r>
    </w:p>
  </w:footnote>
  <w:footnote w:id="26">
    <w:p w14:paraId="348122B2" w14:textId="30B6FEAE"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shd w:val="clear" w:color="auto" w:fill="FFFFFF"/>
        </w:rPr>
        <w:t>D'Arcy v Myriad Genetics Inc</w:t>
      </w:r>
      <w:r w:rsidRPr="001F47B8">
        <w:rPr>
          <w:rFonts w:cs="Arial"/>
          <w:color w:val="000000" w:themeColor="text1"/>
          <w:sz w:val="20"/>
          <w:shd w:val="clear" w:color="auto" w:fill="FFFFFF"/>
        </w:rPr>
        <w:t xml:space="preserve"> [2015] HCA 35</w:t>
      </w:r>
      <w:r w:rsidR="00516927">
        <w:rPr>
          <w:rFonts w:cs="Arial"/>
          <w:color w:val="000000" w:themeColor="text1"/>
          <w:sz w:val="20"/>
          <w:shd w:val="clear" w:color="auto" w:fill="FFFFFF"/>
        </w:rPr>
        <w:t>.</w:t>
      </w:r>
    </w:p>
  </w:footnote>
  <w:footnote w:id="27">
    <w:p w14:paraId="67D34257" w14:textId="5C2ED295"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Desktop Marketing Systems Pty Ltd v Telstra Corporation Ltd</w:t>
      </w:r>
      <w:r w:rsidRPr="001F47B8">
        <w:rPr>
          <w:rFonts w:cs="Arial"/>
          <w:color w:val="000000" w:themeColor="text1"/>
          <w:sz w:val="20"/>
        </w:rPr>
        <w:t xml:space="preserve"> (2002) 192 ALR 433, see also </w:t>
      </w:r>
      <w:r w:rsidR="00730EE4">
        <w:rPr>
          <w:rFonts w:cs="Arial"/>
          <w:color w:val="000000" w:themeColor="text1"/>
          <w:sz w:val="20"/>
        </w:rPr>
        <w:t xml:space="preserve">ALRC, </w:t>
      </w:r>
      <w:r w:rsidR="00730EE4">
        <w:rPr>
          <w:rFonts w:cs="Arial"/>
          <w:i/>
          <w:iCs/>
          <w:color w:val="000000" w:themeColor="text1"/>
          <w:sz w:val="20"/>
        </w:rPr>
        <w:t xml:space="preserve">Genes and Ingenuity, </w:t>
      </w:r>
      <w:r w:rsidR="00730EE4">
        <w:rPr>
          <w:rFonts w:cs="Arial"/>
          <w:color w:val="000000" w:themeColor="text1"/>
          <w:sz w:val="20"/>
        </w:rPr>
        <w:t xml:space="preserve">(n 25) </w:t>
      </w:r>
      <w:r w:rsidR="00730EE4" w:rsidRPr="001F47B8">
        <w:rPr>
          <w:rFonts w:cs="Arial"/>
          <w:color w:val="000000" w:themeColor="text1"/>
          <w:spacing w:val="2"/>
          <w:sz w:val="20"/>
          <w:shd w:val="clear" w:color="auto" w:fill="FFFFFF"/>
        </w:rPr>
        <w:t>640</w:t>
      </w:r>
      <w:r w:rsidRPr="001F47B8">
        <w:rPr>
          <w:rFonts w:cs="Arial"/>
          <w:color w:val="000000" w:themeColor="text1"/>
          <w:spacing w:val="2"/>
          <w:sz w:val="20"/>
          <w:shd w:val="clear" w:color="auto" w:fill="FFFFFF"/>
        </w:rPr>
        <w:t>.</w:t>
      </w:r>
    </w:p>
  </w:footnote>
  <w:footnote w:id="28">
    <w:p w14:paraId="2EA4F6EC" w14:textId="1D99BAAC"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951BA2">
        <w:rPr>
          <w:rFonts w:cs="Arial"/>
          <w:color w:val="000000" w:themeColor="text1"/>
          <w:sz w:val="20"/>
        </w:rPr>
        <w:t xml:space="preserve">ALRC </w:t>
      </w:r>
      <w:r w:rsidR="00951BA2">
        <w:rPr>
          <w:rFonts w:cs="Arial"/>
          <w:i/>
          <w:iCs/>
          <w:color w:val="000000" w:themeColor="text1"/>
          <w:sz w:val="20"/>
        </w:rPr>
        <w:t xml:space="preserve">Genes and Ingenuity </w:t>
      </w:r>
      <w:r w:rsidR="00951BA2">
        <w:rPr>
          <w:rFonts w:cs="Arial"/>
          <w:color w:val="000000" w:themeColor="text1"/>
          <w:sz w:val="20"/>
        </w:rPr>
        <w:t>(n 25</w:t>
      </w:r>
      <w:r w:rsidR="000502A6">
        <w:rPr>
          <w:rFonts w:cs="Arial"/>
          <w:color w:val="000000" w:themeColor="text1"/>
          <w:sz w:val="20"/>
        </w:rPr>
        <w:t>)</w:t>
      </w:r>
      <w:r w:rsidRPr="001F47B8">
        <w:rPr>
          <w:rFonts w:cs="Arial"/>
          <w:color w:val="000000" w:themeColor="text1"/>
          <w:sz w:val="20"/>
          <w:shd w:val="clear" w:color="auto" w:fill="FFFFFF"/>
        </w:rPr>
        <w:t xml:space="preserve"> 644.</w:t>
      </w:r>
    </w:p>
  </w:footnote>
  <w:footnote w:id="29">
    <w:p w14:paraId="56E1EB82" w14:textId="77777777" w:rsidR="00FB2047" w:rsidRPr="001F47B8" w:rsidRDefault="00FB2047" w:rsidP="00D47F2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Copyright Act 1968</w:t>
      </w:r>
      <w:r w:rsidRPr="001F47B8">
        <w:rPr>
          <w:rFonts w:cs="Arial"/>
          <w:color w:val="000000" w:themeColor="text1"/>
          <w:sz w:val="20"/>
        </w:rPr>
        <w:t xml:space="preserve"> (Cth) s44BB, Fair dealing” is the use of a copyright work for the purpose of research or study, criticism or review, reporting news, judicial proceedings, or giving professional advice: </w:t>
      </w:r>
      <w:r w:rsidRPr="001F47B8">
        <w:rPr>
          <w:rFonts w:cs="Arial"/>
          <w:i/>
          <w:color w:val="000000" w:themeColor="text1"/>
          <w:sz w:val="20"/>
        </w:rPr>
        <w:t>Copyright Act 1968</w:t>
      </w:r>
      <w:r w:rsidRPr="001F47B8">
        <w:rPr>
          <w:rFonts w:cs="Arial"/>
          <w:color w:val="000000" w:themeColor="text1"/>
          <w:sz w:val="20"/>
        </w:rPr>
        <w:t xml:space="preserve"> (Cth) ss 40–43.</w:t>
      </w:r>
    </w:p>
  </w:footnote>
  <w:footnote w:id="30">
    <w:p w14:paraId="3414B99D" w14:textId="77777777" w:rsidR="00FB2047" w:rsidRPr="001F47B8" w:rsidRDefault="00FB2047" w:rsidP="00D47F2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Copyright Act 1968</w:t>
      </w:r>
      <w:r w:rsidRPr="001F47B8">
        <w:rPr>
          <w:rFonts w:cs="Arial"/>
          <w:color w:val="000000" w:themeColor="text1"/>
          <w:sz w:val="20"/>
        </w:rPr>
        <w:t xml:space="preserve"> (Cth) s 44BB (1)</w:t>
      </w:r>
    </w:p>
  </w:footnote>
  <w:footnote w:id="31">
    <w:p w14:paraId="1A217848" w14:textId="127C500E" w:rsidR="00FB2047" w:rsidRPr="001F47B8" w:rsidRDefault="00FB2047" w:rsidP="00D47F2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40A17" w:rsidRPr="00240A17">
        <w:rPr>
          <w:rFonts w:cs="Arial"/>
          <w:iCs/>
          <w:color w:val="000000" w:themeColor="text1"/>
          <w:sz w:val="20"/>
        </w:rPr>
        <w:t>Ibid</w:t>
      </w:r>
      <w:r w:rsidRPr="001F47B8">
        <w:rPr>
          <w:rFonts w:cs="Arial"/>
          <w:color w:val="000000" w:themeColor="text1"/>
          <w:sz w:val="20"/>
        </w:rPr>
        <w:t xml:space="preserve"> s 40(1).</w:t>
      </w:r>
    </w:p>
  </w:footnote>
  <w:footnote w:id="32">
    <w:p w14:paraId="11101722" w14:textId="331046E3" w:rsidR="00FB2047" w:rsidRPr="001F47B8" w:rsidRDefault="00FB2047" w:rsidP="00D47F2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40A17" w:rsidRPr="00240A17">
        <w:rPr>
          <w:rFonts w:cs="Arial"/>
          <w:iCs/>
          <w:color w:val="000000" w:themeColor="text1"/>
          <w:sz w:val="20"/>
        </w:rPr>
        <w:t>Ibid</w:t>
      </w:r>
      <w:r w:rsidR="00240A17">
        <w:rPr>
          <w:rFonts w:cs="Arial"/>
          <w:i/>
          <w:color w:val="000000" w:themeColor="text1"/>
          <w:sz w:val="20"/>
        </w:rPr>
        <w:t xml:space="preserve"> </w:t>
      </w:r>
      <w:r w:rsidRPr="001F47B8">
        <w:rPr>
          <w:rFonts w:cs="Arial"/>
          <w:color w:val="000000" w:themeColor="text1"/>
          <w:sz w:val="20"/>
        </w:rPr>
        <w:t>s 40(2).</w:t>
      </w:r>
    </w:p>
  </w:footnote>
  <w:footnote w:id="33">
    <w:p w14:paraId="315436F0" w14:textId="2D9B1075" w:rsidR="00FB2047" w:rsidRPr="001F47B8" w:rsidRDefault="00FB2047" w:rsidP="00D47F2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A53C79">
        <w:rPr>
          <w:rFonts w:cs="Arial"/>
          <w:color w:val="000000" w:themeColor="text1"/>
          <w:sz w:val="20"/>
        </w:rPr>
        <w:t>ALRC</w:t>
      </w:r>
      <w:r w:rsidR="0075557C">
        <w:rPr>
          <w:rFonts w:cs="Arial"/>
          <w:color w:val="000000" w:themeColor="text1"/>
          <w:sz w:val="20"/>
        </w:rPr>
        <w:t xml:space="preserve"> </w:t>
      </w:r>
      <w:r w:rsidR="0075557C">
        <w:rPr>
          <w:rFonts w:cs="Arial"/>
          <w:i/>
          <w:iCs/>
          <w:color w:val="000000" w:themeColor="text1"/>
          <w:sz w:val="20"/>
        </w:rPr>
        <w:t xml:space="preserve">Genes and Ingenuity </w:t>
      </w:r>
      <w:r w:rsidR="0075557C">
        <w:rPr>
          <w:rFonts w:cs="Arial"/>
          <w:color w:val="000000" w:themeColor="text1"/>
          <w:sz w:val="20"/>
        </w:rPr>
        <w:t>(</w:t>
      </w:r>
      <w:r w:rsidR="00A53C79">
        <w:rPr>
          <w:rFonts w:cs="Arial"/>
          <w:color w:val="000000" w:themeColor="text1"/>
          <w:sz w:val="20"/>
        </w:rPr>
        <w:t>n</w:t>
      </w:r>
      <w:r w:rsidR="0075557C">
        <w:rPr>
          <w:rFonts w:cs="Arial"/>
          <w:color w:val="000000" w:themeColor="text1"/>
          <w:sz w:val="20"/>
        </w:rPr>
        <w:t xml:space="preserve"> 25</w:t>
      </w:r>
      <w:r w:rsidR="0075557C" w:rsidRPr="002D3BE8">
        <w:rPr>
          <w:rFonts w:cs="Arial"/>
          <w:color w:val="000000" w:themeColor="text1"/>
          <w:sz w:val="20"/>
        </w:rPr>
        <w:t>)</w:t>
      </w:r>
      <w:r w:rsidRPr="001F47B8">
        <w:rPr>
          <w:rFonts w:cs="Arial"/>
          <w:color w:val="000000" w:themeColor="text1"/>
          <w:sz w:val="20"/>
          <w:shd w:val="clear" w:color="auto" w:fill="FFFFFF"/>
        </w:rPr>
        <w:t xml:space="preserve"> 638.</w:t>
      </w:r>
    </w:p>
  </w:footnote>
  <w:footnote w:id="34">
    <w:p w14:paraId="5133B521" w14:textId="6470B6AB" w:rsidR="00FB2047" w:rsidRPr="001F47B8" w:rsidRDefault="00FB2047" w:rsidP="00434EE3">
      <w:pPr>
        <w:pStyle w:val="FootnoteText"/>
        <w:rPr>
          <w:rFonts w:cs="Arial"/>
          <w:color w:val="000000" w:themeColor="text1"/>
          <w:sz w:val="20"/>
        </w:rPr>
      </w:pPr>
      <w:r w:rsidRPr="001F47B8">
        <w:rPr>
          <w:rStyle w:val="FootnoteReference"/>
          <w:rFonts w:cs="Arial"/>
          <w:color w:val="000000" w:themeColor="text1"/>
          <w:sz w:val="20"/>
        </w:rPr>
        <w:footnoteRef/>
      </w:r>
      <w:r w:rsidR="00045540" w:rsidRPr="001F47B8">
        <w:rPr>
          <w:rFonts w:cs="Arial"/>
          <w:color w:val="000000" w:themeColor="text1"/>
          <w:sz w:val="20"/>
        </w:rPr>
        <w:t xml:space="preserve"> </w:t>
      </w:r>
      <w:r w:rsidR="00045540" w:rsidRPr="002D3BE8">
        <w:rPr>
          <w:rFonts w:cs="Arial"/>
          <w:color w:val="000000" w:themeColor="text1"/>
          <w:sz w:val="20"/>
        </w:rPr>
        <w:t xml:space="preserve">Office of the Australian Information Commissioner, </w:t>
      </w:r>
      <w:r w:rsidR="00045540" w:rsidRPr="002D3BE8">
        <w:rPr>
          <w:rFonts w:cs="Arial"/>
          <w:i/>
          <w:color w:val="000000" w:themeColor="text1"/>
          <w:sz w:val="20"/>
        </w:rPr>
        <w:t>Australia Privacy Principles Guidelines</w:t>
      </w:r>
      <w:r w:rsidR="00045540" w:rsidRPr="002D3BE8">
        <w:rPr>
          <w:rFonts w:cs="Arial"/>
          <w:color w:val="000000" w:themeColor="text1"/>
          <w:sz w:val="20"/>
        </w:rPr>
        <w:t xml:space="preserve">, (at July 2019) </w:t>
      </w:r>
      <w:r w:rsidRPr="001F47B8">
        <w:rPr>
          <w:rFonts w:cs="Arial"/>
          <w:color w:val="000000" w:themeColor="text1"/>
          <w:sz w:val="20"/>
        </w:rPr>
        <w:t>Ch</w:t>
      </w:r>
      <w:r w:rsidR="00300A1E">
        <w:rPr>
          <w:rFonts w:cs="Arial"/>
          <w:color w:val="000000" w:themeColor="text1"/>
          <w:sz w:val="20"/>
        </w:rPr>
        <w:t>p</w:t>
      </w:r>
      <w:r w:rsidR="004135E2">
        <w:rPr>
          <w:rFonts w:cs="Arial"/>
          <w:color w:val="000000" w:themeColor="text1"/>
          <w:sz w:val="20"/>
        </w:rPr>
        <w:t>t</w:t>
      </w:r>
      <w:r w:rsidRPr="001F47B8">
        <w:rPr>
          <w:rFonts w:cs="Arial"/>
          <w:color w:val="000000" w:themeColor="text1"/>
          <w:sz w:val="20"/>
        </w:rPr>
        <w:t xml:space="preserve"> D, Pa</w:t>
      </w:r>
      <w:r w:rsidR="00300A1E">
        <w:rPr>
          <w:rFonts w:cs="Arial"/>
          <w:color w:val="000000" w:themeColor="text1"/>
          <w:sz w:val="20"/>
        </w:rPr>
        <w:t>ra</w:t>
      </w:r>
      <w:r w:rsidRPr="001F47B8">
        <w:rPr>
          <w:rFonts w:cs="Arial"/>
          <w:color w:val="000000" w:themeColor="text1"/>
          <w:sz w:val="20"/>
        </w:rPr>
        <w:t xml:space="preserve"> 1.</w:t>
      </w:r>
    </w:p>
  </w:footnote>
  <w:footnote w:id="35">
    <w:p w14:paraId="4E376006" w14:textId="77777777" w:rsidR="00FB2047" w:rsidRPr="001F47B8" w:rsidRDefault="00FB2047" w:rsidP="00F0787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Privacy Act 1988 </w:t>
      </w:r>
      <w:r w:rsidRPr="001F47B8">
        <w:rPr>
          <w:rFonts w:cs="Arial"/>
          <w:color w:val="000000" w:themeColor="text1"/>
          <w:sz w:val="20"/>
        </w:rPr>
        <w:t xml:space="preserve">(Cth) s 6(1); See </w:t>
      </w:r>
      <w:r w:rsidRPr="001F47B8">
        <w:rPr>
          <w:rFonts w:cs="Arial"/>
          <w:i/>
          <w:color w:val="000000" w:themeColor="text1"/>
          <w:sz w:val="20"/>
        </w:rPr>
        <w:t>Telstra Corporation Limited and Privacy Commissioner</w:t>
      </w:r>
      <w:r w:rsidRPr="001F47B8">
        <w:rPr>
          <w:rFonts w:cs="Arial"/>
          <w:color w:val="000000" w:themeColor="text1"/>
          <w:sz w:val="20"/>
        </w:rPr>
        <w:t xml:space="preserve"> [2015] AATA 991 (18 December 2015) at [112], and </w:t>
      </w:r>
      <w:r w:rsidRPr="001F47B8">
        <w:rPr>
          <w:rFonts w:cs="Arial"/>
          <w:i/>
          <w:color w:val="000000" w:themeColor="text1"/>
          <w:sz w:val="20"/>
        </w:rPr>
        <w:t>Privacy Commissioner v Telstra Corporation Limited</w:t>
      </w:r>
      <w:r w:rsidRPr="001F47B8">
        <w:rPr>
          <w:rFonts w:cs="Arial"/>
          <w:color w:val="000000" w:themeColor="text1"/>
          <w:sz w:val="20"/>
        </w:rPr>
        <w:t xml:space="preserve"> [2017] FCAFC 4 (19 January 2017), at [43] and [63]- [64] per Kenny and Edelman JJ.</w:t>
      </w:r>
    </w:p>
  </w:footnote>
  <w:footnote w:id="36">
    <w:p w14:paraId="7B975B9A" w14:textId="67C3B504" w:rsidR="00FB2047" w:rsidRPr="001F47B8" w:rsidRDefault="00FB2047" w:rsidP="00C56B29">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Privacy Act 1988</w:t>
      </w:r>
      <w:r w:rsidRPr="001F47B8">
        <w:rPr>
          <w:rFonts w:cs="Arial"/>
          <w:color w:val="000000" w:themeColor="text1"/>
          <w:sz w:val="20"/>
        </w:rPr>
        <w:t xml:space="preserve"> (Cth) ss 6(1) &amp; 6FA(d).</w:t>
      </w:r>
    </w:p>
  </w:footnote>
  <w:footnote w:id="37">
    <w:p w14:paraId="5022E6C7" w14:textId="77777777" w:rsidR="00830345" w:rsidRPr="001F47B8" w:rsidRDefault="00830345" w:rsidP="00830345">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See </w:t>
      </w:r>
      <w:r w:rsidRPr="001F47B8">
        <w:rPr>
          <w:rFonts w:cs="Arial"/>
          <w:i/>
          <w:color w:val="000000" w:themeColor="text1"/>
          <w:sz w:val="20"/>
        </w:rPr>
        <w:t>Telstra Corporation Limited and Privacy Commissioner</w:t>
      </w:r>
      <w:r w:rsidRPr="001F47B8">
        <w:rPr>
          <w:rFonts w:cs="Arial"/>
          <w:color w:val="000000" w:themeColor="text1"/>
          <w:sz w:val="20"/>
        </w:rPr>
        <w:t xml:space="preserve"> [2015] AATA 991 (18 December 2015) at [112], and </w:t>
      </w:r>
      <w:r w:rsidRPr="001F47B8">
        <w:rPr>
          <w:rFonts w:cs="Arial"/>
          <w:i/>
          <w:color w:val="000000" w:themeColor="text1"/>
          <w:sz w:val="20"/>
        </w:rPr>
        <w:t>Privacy Commissioner v Telstra Corporation Limited</w:t>
      </w:r>
      <w:r w:rsidRPr="001F47B8">
        <w:rPr>
          <w:rFonts w:cs="Arial"/>
          <w:color w:val="000000" w:themeColor="text1"/>
          <w:sz w:val="20"/>
        </w:rPr>
        <w:t xml:space="preserve"> [2017] FCAFC 4 (19 January 2017), at [43] and [63]- [64] per Kenny and Edelman JJ.</w:t>
      </w:r>
    </w:p>
  </w:footnote>
  <w:footnote w:id="38">
    <w:p w14:paraId="54E76AE2" w14:textId="77777777" w:rsidR="00956619" w:rsidRPr="001F47B8" w:rsidRDefault="00956619" w:rsidP="00956619">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See </w:t>
      </w:r>
      <w:r w:rsidRPr="001F47B8">
        <w:rPr>
          <w:rFonts w:cs="Arial"/>
          <w:i/>
          <w:color w:val="000000" w:themeColor="text1"/>
          <w:sz w:val="20"/>
        </w:rPr>
        <w:t>Telstra Corporation Limited and Privacy Commissioner</w:t>
      </w:r>
      <w:r w:rsidRPr="001F47B8">
        <w:rPr>
          <w:rFonts w:cs="Arial"/>
          <w:color w:val="000000" w:themeColor="text1"/>
          <w:sz w:val="20"/>
        </w:rPr>
        <w:t xml:space="preserve"> [2015] AATA 991 (18 December 2015) at [112], and </w:t>
      </w:r>
      <w:r w:rsidRPr="001F47B8">
        <w:rPr>
          <w:rFonts w:cs="Arial"/>
          <w:i/>
          <w:color w:val="000000" w:themeColor="text1"/>
          <w:sz w:val="20"/>
        </w:rPr>
        <w:t>Privacy Commissioner v Telstra Corporation Limited</w:t>
      </w:r>
      <w:r w:rsidRPr="001F47B8">
        <w:rPr>
          <w:rFonts w:cs="Arial"/>
          <w:color w:val="000000" w:themeColor="text1"/>
          <w:sz w:val="20"/>
        </w:rPr>
        <w:t xml:space="preserve"> [2017] FCAFC 4 (19 January 2017), at [43] and [63]- [64] per Kenny and Edelman JJ.</w:t>
      </w:r>
    </w:p>
  </w:footnote>
  <w:footnote w:id="39">
    <w:p w14:paraId="4CAB2D41" w14:textId="0C49FE02"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Australian Law Reform Commission, </w:t>
      </w:r>
      <w:r w:rsidRPr="001F47B8">
        <w:rPr>
          <w:rFonts w:cs="Arial"/>
          <w:i/>
          <w:color w:val="000000" w:themeColor="text1"/>
          <w:sz w:val="20"/>
        </w:rPr>
        <w:t>Essentially Yours</w:t>
      </w:r>
      <w:r w:rsidRPr="001F47B8">
        <w:rPr>
          <w:rFonts w:cs="Arial"/>
          <w:i/>
          <w:iCs/>
          <w:color w:val="000000" w:themeColor="text1"/>
          <w:sz w:val="20"/>
        </w:rPr>
        <w:t xml:space="preserve">: The Protection of Human Genetic Information in Australia </w:t>
      </w:r>
      <w:r w:rsidRPr="001F47B8">
        <w:rPr>
          <w:rFonts w:cs="Arial"/>
          <w:color w:val="000000" w:themeColor="text1"/>
          <w:sz w:val="20"/>
        </w:rPr>
        <w:t>ALRC Report 96 (2003)</w:t>
      </w:r>
      <w:r w:rsidRPr="001F47B8">
        <w:rPr>
          <w:rFonts w:cs="Arial"/>
          <w:i/>
          <w:iCs/>
          <w:color w:val="000000" w:themeColor="text1"/>
          <w:sz w:val="20"/>
        </w:rPr>
        <w:t>,</w:t>
      </w:r>
      <w:r w:rsidRPr="001F47B8">
        <w:rPr>
          <w:rFonts w:cs="Arial"/>
          <w:i/>
          <w:color w:val="000000" w:themeColor="text1"/>
          <w:sz w:val="20"/>
        </w:rPr>
        <w:t xml:space="preserve"> </w:t>
      </w:r>
      <w:r w:rsidRPr="001F47B8">
        <w:rPr>
          <w:rFonts w:cs="Arial"/>
          <w:color w:val="000000" w:themeColor="text1"/>
          <w:sz w:val="20"/>
        </w:rPr>
        <w:t>P</w:t>
      </w:r>
      <w:r w:rsidR="00612501">
        <w:rPr>
          <w:rFonts w:cs="Arial"/>
          <w:color w:val="000000" w:themeColor="text1"/>
          <w:sz w:val="20"/>
        </w:rPr>
        <w:t xml:space="preserve">ara </w:t>
      </w:r>
      <w:r w:rsidRPr="001F47B8">
        <w:rPr>
          <w:rFonts w:cs="Arial"/>
          <w:color w:val="000000" w:themeColor="text1"/>
          <w:sz w:val="20"/>
        </w:rPr>
        <w:t>7.15-7.16</w:t>
      </w:r>
      <w:r w:rsidR="00612501">
        <w:rPr>
          <w:rFonts w:cs="Arial"/>
          <w:color w:val="000000" w:themeColor="text1"/>
          <w:sz w:val="20"/>
        </w:rPr>
        <w:t xml:space="preserve">; </w:t>
      </w:r>
      <w:r w:rsidR="00B03E75" w:rsidRPr="001F47B8">
        <w:rPr>
          <w:rFonts w:cs="Arial"/>
          <w:color w:val="000000" w:themeColor="text1"/>
          <w:sz w:val="20"/>
          <w:shd w:val="clear" w:color="auto" w:fill="FFFFFF"/>
        </w:rPr>
        <w:t xml:space="preserve">Rebekah </w:t>
      </w:r>
      <w:r w:rsidRPr="001F47B8">
        <w:rPr>
          <w:rFonts w:cs="Arial"/>
          <w:color w:val="000000" w:themeColor="text1"/>
          <w:sz w:val="20"/>
          <w:shd w:val="clear" w:color="auto" w:fill="FFFFFF"/>
        </w:rPr>
        <w:t>McWhirter, Carolyn Johnston, and Jo Burke. "Disclosure of Genetic Results to At-risk Relatives without Consent: Issues for Health Care Professionals in Australia." </w:t>
      </w:r>
      <w:r w:rsidRPr="001F47B8">
        <w:rPr>
          <w:rFonts w:cs="Arial"/>
          <w:i/>
          <w:color w:val="000000" w:themeColor="text1"/>
          <w:sz w:val="20"/>
          <w:shd w:val="clear" w:color="auto" w:fill="FFFFFF"/>
        </w:rPr>
        <w:t xml:space="preserve">Journal of </w:t>
      </w:r>
      <w:r w:rsidR="00D8173D">
        <w:rPr>
          <w:rFonts w:cs="Arial"/>
          <w:i/>
          <w:color w:val="000000" w:themeColor="text1"/>
          <w:sz w:val="20"/>
          <w:shd w:val="clear" w:color="auto" w:fill="FFFFFF"/>
        </w:rPr>
        <w:t>L</w:t>
      </w:r>
      <w:r w:rsidRPr="001F47B8">
        <w:rPr>
          <w:rFonts w:cs="Arial"/>
          <w:i/>
          <w:color w:val="000000" w:themeColor="text1"/>
          <w:sz w:val="20"/>
          <w:shd w:val="clear" w:color="auto" w:fill="FFFFFF"/>
        </w:rPr>
        <w:t xml:space="preserve">aw and </w:t>
      </w:r>
      <w:r w:rsidR="00D8173D">
        <w:rPr>
          <w:rFonts w:cs="Arial"/>
          <w:i/>
          <w:color w:val="000000" w:themeColor="text1"/>
          <w:sz w:val="20"/>
          <w:shd w:val="clear" w:color="auto" w:fill="FFFFFF"/>
        </w:rPr>
        <w:t>M</w:t>
      </w:r>
      <w:r w:rsidRPr="001F47B8">
        <w:rPr>
          <w:rFonts w:cs="Arial"/>
          <w:i/>
          <w:color w:val="000000" w:themeColor="text1"/>
          <w:sz w:val="20"/>
          <w:shd w:val="clear" w:color="auto" w:fill="FFFFFF"/>
        </w:rPr>
        <w:t>edicine</w:t>
      </w:r>
      <w:r w:rsidRPr="001F47B8">
        <w:rPr>
          <w:rFonts w:cs="Arial"/>
          <w:color w:val="000000" w:themeColor="text1"/>
          <w:sz w:val="20"/>
          <w:shd w:val="clear" w:color="auto" w:fill="FFFFFF"/>
        </w:rPr>
        <w:t> 27, no. 1 (2019): 108-121, 108.</w:t>
      </w:r>
    </w:p>
  </w:footnote>
  <w:footnote w:id="40">
    <w:p w14:paraId="5DF3FD7D" w14:textId="2C4FFCAE"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Privacy Act 1988 </w:t>
      </w:r>
      <w:r w:rsidRPr="001F47B8">
        <w:rPr>
          <w:rFonts w:cs="Arial"/>
          <w:color w:val="000000" w:themeColor="text1"/>
          <w:sz w:val="20"/>
        </w:rPr>
        <w:t>(Cth) Pt II, s6.</w:t>
      </w:r>
    </w:p>
  </w:footnote>
  <w:footnote w:id="41">
    <w:p w14:paraId="74508D4F" w14:textId="0398BF29"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B96D58" w:rsidRPr="00B96D58">
        <w:rPr>
          <w:rFonts w:cs="Arial"/>
          <w:iCs/>
          <w:color w:val="000000" w:themeColor="text1"/>
          <w:sz w:val="20"/>
        </w:rPr>
        <w:t>Ibid</w:t>
      </w:r>
      <w:r w:rsidRPr="001F47B8">
        <w:rPr>
          <w:rFonts w:cs="Arial"/>
          <w:color w:val="000000" w:themeColor="text1"/>
          <w:sz w:val="20"/>
        </w:rPr>
        <w:t>, s6.</w:t>
      </w:r>
    </w:p>
  </w:footnote>
  <w:footnote w:id="42">
    <w:p w14:paraId="02FD74CD" w14:textId="04B9851C"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This issue is raised in Lisa Ekstein</w:t>
      </w:r>
      <w:r w:rsidR="00C74F4E">
        <w:rPr>
          <w:rFonts w:cs="Arial"/>
          <w:color w:val="000000" w:themeColor="text1"/>
          <w:sz w:val="20"/>
        </w:rPr>
        <w:t xml:space="preserve"> et al. </w:t>
      </w:r>
      <w:r w:rsidR="00DC79A5">
        <w:rPr>
          <w:rFonts w:cs="Arial"/>
          <w:color w:val="000000" w:themeColor="text1"/>
          <w:sz w:val="20"/>
        </w:rPr>
        <w:t>‘</w:t>
      </w:r>
      <w:r w:rsidRPr="001F47B8">
        <w:rPr>
          <w:rFonts w:cs="Arial"/>
          <w:color w:val="000000" w:themeColor="text1"/>
          <w:sz w:val="20"/>
        </w:rPr>
        <w:t xml:space="preserve">Australia: regulating genomic data sharing to promote public trust’, </w:t>
      </w:r>
      <w:r w:rsidR="00D70A58">
        <w:rPr>
          <w:rFonts w:cs="Arial"/>
          <w:color w:val="000000" w:themeColor="text1"/>
          <w:sz w:val="20"/>
        </w:rPr>
        <w:t xml:space="preserve">(2018) </w:t>
      </w:r>
      <w:r w:rsidR="001D2317">
        <w:rPr>
          <w:rFonts w:cs="Arial"/>
          <w:color w:val="000000" w:themeColor="text1"/>
          <w:sz w:val="20"/>
        </w:rPr>
        <w:t>137(</w:t>
      </w:r>
      <w:r w:rsidR="00D70A58">
        <w:rPr>
          <w:rFonts w:cs="Arial"/>
          <w:color w:val="000000" w:themeColor="text1"/>
          <w:sz w:val="20"/>
        </w:rPr>
        <w:t>8</w:t>
      </w:r>
      <w:r w:rsidR="001D2317">
        <w:rPr>
          <w:rFonts w:cs="Arial"/>
          <w:color w:val="000000" w:themeColor="text1"/>
          <w:sz w:val="20"/>
        </w:rPr>
        <w:t>)</w:t>
      </w:r>
      <w:r w:rsidRPr="001F47B8">
        <w:rPr>
          <w:rFonts w:cs="Arial"/>
          <w:color w:val="000000" w:themeColor="text1"/>
          <w:sz w:val="20"/>
        </w:rPr>
        <w:t xml:space="preserve"> </w:t>
      </w:r>
      <w:r w:rsidRPr="001F47B8">
        <w:rPr>
          <w:rFonts w:cs="Arial"/>
          <w:i/>
          <w:color w:val="000000" w:themeColor="text1"/>
          <w:sz w:val="20"/>
        </w:rPr>
        <w:t xml:space="preserve">Human Genetics </w:t>
      </w:r>
      <w:r w:rsidRPr="001F47B8">
        <w:rPr>
          <w:rFonts w:cs="Arial"/>
          <w:color w:val="000000" w:themeColor="text1"/>
          <w:sz w:val="20"/>
        </w:rPr>
        <w:t>583</w:t>
      </w:r>
      <w:r w:rsidR="001D2317">
        <w:rPr>
          <w:rFonts w:cs="Arial"/>
          <w:color w:val="000000" w:themeColor="text1"/>
          <w:sz w:val="20"/>
        </w:rPr>
        <w:t xml:space="preserve">, </w:t>
      </w:r>
      <w:r w:rsidRPr="001F47B8">
        <w:rPr>
          <w:rFonts w:cs="Arial"/>
          <w:color w:val="000000" w:themeColor="text1"/>
          <w:sz w:val="20"/>
        </w:rPr>
        <w:t>587.</w:t>
      </w:r>
    </w:p>
  </w:footnote>
  <w:footnote w:id="43">
    <w:p w14:paraId="1D461139" w14:textId="19DA5745"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B232FF" w:rsidRPr="00B0028D">
        <w:rPr>
          <w:rFonts w:cs="Arial"/>
          <w:i/>
          <w:iCs/>
          <w:color w:val="000000" w:themeColor="text1"/>
          <w:sz w:val="20"/>
        </w:rPr>
        <w:t xml:space="preserve">The National Statement </w:t>
      </w:r>
      <w:r w:rsidR="00B232FF" w:rsidRPr="00B0028D">
        <w:rPr>
          <w:rFonts w:cs="Arial"/>
          <w:color w:val="000000" w:themeColor="text1"/>
          <w:sz w:val="20"/>
        </w:rPr>
        <w:t>(no 44)</w:t>
      </w:r>
      <w:r w:rsidR="00B232FF" w:rsidRPr="001F47B8">
        <w:rPr>
          <w:rFonts w:cs="Arial"/>
          <w:color w:val="000000" w:themeColor="text1"/>
          <w:sz w:val="20"/>
        </w:rPr>
        <w:t xml:space="preserve"> </w:t>
      </w:r>
      <w:r w:rsidRPr="001F47B8">
        <w:rPr>
          <w:rFonts w:cs="Arial"/>
          <w:color w:val="000000" w:themeColor="text1"/>
          <w:sz w:val="20"/>
        </w:rPr>
        <w:t>para 3.3.22.</w:t>
      </w:r>
    </w:p>
  </w:footnote>
  <w:footnote w:id="44">
    <w:p w14:paraId="240F8B7B" w14:textId="1A687039"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Section 16B, Australia Privacy Principles guidelines Chapter D.</w:t>
      </w:r>
    </w:p>
  </w:footnote>
  <w:footnote w:id="45">
    <w:p w14:paraId="0366A403" w14:textId="5D3B51ED"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Australia Privacy Principles guidelines Chapter D, Paragraph D.2.</w:t>
      </w:r>
    </w:p>
  </w:footnote>
  <w:footnote w:id="46">
    <w:p w14:paraId="13AEAEA8" w14:textId="4B99AE9D"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rPr>
        <w:t xml:space="preserve">Privacy Act 1988 </w:t>
      </w:r>
      <w:r w:rsidRPr="001F47B8">
        <w:rPr>
          <w:rFonts w:cs="Arial"/>
          <w:color w:val="000000" w:themeColor="text1"/>
          <w:sz w:val="20"/>
        </w:rPr>
        <w:t>(Cth) s 16B (1), Note: this includes information about a third party if that information is necessary for the provision of a health services to the patient.</w:t>
      </w:r>
    </w:p>
  </w:footnote>
  <w:footnote w:id="47">
    <w:p w14:paraId="2F6F12E9" w14:textId="17A32F07"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506092">
        <w:rPr>
          <w:rFonts w:cs="Arial"/>
          <w:color w:val="000000" w:themeColor="text1"/>
          <w:sz w:val="20"/>
        </w:rPr>
        <w:t>Australian</w:t>
      </w:r>
      <w:r w:rsidRPr="001F47B8">
        <w:rPr>
          <w:rFonts w:cs="Arial"/>
          <w:color w:val="000000" w:themeColor="text1"/>
          <w:sz w:val="20"/>
        </w:rPr>
        <w:t xml:space="preserve"> Privacy </w:t>
      </w:r>
      <w:r w:rsidR="00506092">
        <w:rPr>
          <w:rFonts w:cs="Arial"/>
          <w:color w:val="000000" w:themeColor="text1"/>
          <w:sz w:val="20"/>
        </w:rPr>
        <w:t xml:space="preserve">Principle Guidelines </w:t>
      </w:r>
      <w:r w:rsidR="00CE44A1">
        <w:rPr>
          <w:rFonts w:cs="Arial"/>
          <w:color w:val="000000" w:themeColor="text1"/>
          <w:sz w:val="20"/>
        </w:rPr>
        <w:t>(</w:t>
      </w:r>
      <w:r w:rsidR="00506092">
        <w:rPr>
          <w:rFonts w:cs="Arial"/>
          <w:color w:val="000000" w:themeColor="text1"/>
          <w:sz w:val="20"/>
        </w:rPr>
        <w:t>n</w:t>
      </w:r>
      <w:r w:rsidRPr="001F47B8">
        <w:rPr>
          <w:rFonts w:cs="Arial"/>
          <w:color w:val="000000" w:themeColor="text1"/>
          <w:sz w:val="20"/>
        </w:rPr>
        <w:t xml:space="preserve"> </w:t>
      </w:r>
      <w:r w:rsidR="00CE44A1">
        <w:rPr>
          <w:rFonts w:cs="Arial"/>
          <w:color w:val="000000" w:themeColor="text1"/>
          <w:sz w:val="20"/>
        </w:rPr>
        <w:t>35)</w:t>
      </w:r>
      <w:r w:rsidRPr="001F47B8">
        <w:rPr>
          <w:rFonts w:cs="Arial"/>
          <w:color w:val="000000" w:themeColor="text1"/>
          <w:sz w:val="20"/>
        </w:rPr>
        <w:t xml:space="preserve"> Ch</w:t>
      </w:r>
      <w:r w:rsidR="002C6BEF">
        <w:rPr>
          <w:rFonts w:cs="Arial"/>
          <w:color w:val="000000" w:themeColor="text1"/>
          <w:sz w:val="20"/>
        </w:rPr>
        <w:t>pt</w:t>
      </w:r>
      <w:r w:rsidRPr="001F47B8">
        <w:rPr>
          <w:rFonts w:cs="Arial"/>
          <w:color w:val="000000" w:themeColor="text1"/>
          <w:sz w:val="20"/>
        </w:rPr>
        <w:t xml:space="preserve"> D, Para 2</w:t>
      </w:r>
      <w:r w:rsidR="00357398">
        <w:rPr>
          <w:rFonts w:cs="Arial"/>
          <w:color w:val="000000" w:themeColor="text1"/>
          <w:sz w:val="20"/>
        </w:rPr>
        <w:t>;</w:t>
      </w:r>
      <w:r w:rsidRPr="001F47B8">
        <w:rPr>
          <w:rFonts w:cs="Arial"/>
          <w:color w:val="000000" w:themeColor="text1"/>
          <w:sz w:val="20"/>
        </w:rPr>
        <w:t xml:space="preserve"> </w:t>
      </w:r>
      <w:r w:rsidR="002C6BEF">
        <w:rPr>
          <w:rFonts w:cs="Arial"/>
          <w:i/>
          <w:iCs/>
          <w:color w:val="000000" w:themeColor="text1"/>
          <w:sz w:val="20"/>
        </w:rPr>
        <w:t>Privacy</w:t>
      </w:r>
      <w:r w:rsidR="009C575C">
        <w:rPr>
          <w:rFonts w:cs="Arial"/>
          <w:i/>
          <w:iCs/>
          <w:color w:val="000000" w:themeColor="text1"/>
          <w:sz w:val="20"/>
        </w:rPr>
        <w:t xml:space="preserve"> Act </w:t>
      </w:r>
      <w:r w:rsidR="00E70AC0">
        <w:rPr>
          <w:rFonts w:cs="Arial"/>
          <w:color w:val="000000" w:themeColor="text1"/>
          <w:sz w:val="20"/>
        </w:rPr>
        <w:t>s</w:t>
      </w:r>
      <w:r w:rsidRPr="001F47B8">
        <w:rPr>
          <w:rFonts w:cs="Arial"/>
          <w:color w:val="000000" w:themeColor="text1"/>
          <w:sz w:val="20"/>
        </w:rPr>
        <w:t>16B(2).</w:t>
      </w:r>
    </w:p>
  </w:footnote>
  <w:footnote w:id="48">
    <w:p w14:paraId="5335511B" w14:textId="4C9D6C93"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E70AC0">
        <w:rPr>
          <w:rFonts w:cs="Arial"/>
          <w:i/>
          <w:iCs/>
          <w:color w:val="000000" w:themeColor="text1"/>
          <w:sz w:val="20"/>
        </w:rPr>
        <w:t xml:space="preserve">Privacy Act </w:t>
      </w:r>
      <w:r w:rsidR="00E70AC0">
        <w:rPr>
          <w:rFonts w:cs="Arial"/>
          <w:color w:val="000000" w:themeColor="text1"/>
          <w:sz w:val="20"/>
        </w:rPr>
        <w:t>s</w:t>
      </w:r>
      <w:r w:rsidR="00E70AC0" w:rsidRPr="001F47B8">
        <w:rPr>
          <w:rFonts w:cs="Arial"/>
          <w:color w:val="000000" w:themeColor="text1"/>
          <w:sz w:val="20"/>
        </w:rPr>
        <w:t>16B</w:t>
      </w:r>
      <w:r w:rsidRPr="001F47B8">
        <w:rPr>
          <w:rFonts w:cs="Arial"/>
          <w:color w:val="000000" w:themeColor="text1"/>
          <w:sz w:val="20"/>
        </w:rPr>
        <w:t>(3).</w:t>
      </w:r>
    </w:p>
  </w:footnote>
  <w:footnote w:id="49">
    <w:p w14:paraId="3F755831" w14:textId="67E1373A"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17400">
        <w:rPr>
          <w:rFonts w:cs="Arial"/>
          <w:color w:val="000000" w:themeColor="text1"/>
          <w:sz w:val="20"/>
        </w:rPr>
        <w:t>Ibid</w:t>
      </w:r>
      <w:r w:rsidR="00D2307B">
        <w:rPr>
          <w:rFonts w:cs="Arial"/>
          <w:color w:val="000000" w:themeColor="text1"/>
          <w:sz w:val="20"/>
        </w:rPr>
        <w:t xml:space="preserve">, </w:t>
      </w:r>
      <w:r w:rsidR="00BD59A7">
        <w:rPr>
          <w:rFonts w:cs="Arial"/>
          <w:color w:val="000000" w:themeColor="text1"/>
          <w:sz w:val="20"/>
        </w:rPr>
        <w:t>s16B</w:t>
      </w:r>
      <w:r w:rsidRPr="001F47B8">
        <w:rPr>
          <w:rFonts w:cs="Arial"/>
          <w:color w:val="000000" w:themeColor="text1"/>
          <w:sz w:val="20"/>
        </w:rPr>
        <w:t>(4).</w:t>
      </w:r>
    </w:p>
  </w:footnote>
  <w:footnote w:id="50">
    <w:p w14:paraId="13C53269" w14:textId="143F6E67"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9C575C">
        <w:rPr>
          <w:rFonts w:cs="Arial"/>
          <w:color w:val="000000" w:themeColor="text1"/>
          <w:sz w:val="20"/>
        </w:rPr>
        <w:t>Australian Privacy Principle Guidelines (n 35)</w:t>
      </w:r>
      <w:r w:rsidR="009C575C" w:rsidRPr="001F47B8">
        <w:rPr>
          <w:rFonts w:cs="Arial"/>
          <w:color w:val="000000" w:themeColor="text1"/>
          <w:sz w:val="20"/>
        </w:rPr>
        <w:t xml:space="preserve"> Ch</w:t>
      </w:r>
      <w:r w:rsidR="009C575C">
        <w:rPr>
          <w:rFonts w:cs="Arial"/>
          <w:color w:val="000000" w:themeColor="text1"/>
          <w:sz w:val="20"/>
        </w:rPr>
        <w:t>pt</w:t>
      </w:r>
      <w:r w:rsidR="009C575C" w:rsidRPr="001F47B8">
        <w:rPr>
          <w:rFonts w:cs="Arial"/>
          <w:color w:val="000000" w:themeColor="text1"/>
          <w:sz w:val="20"/>
        </w:rPr>
        <w:t xml:space="preserve"> D, Para 2</w:t>
      </w:r>
      <w:r w:rsidR="00357398">
        <w:rPr>
          <w:rFonts w:cs="Arial"/>
          <w:color w:val="000000" w:themeColor="text1"/>
          <w:sz w:val="20"/>
        </w:rPr>
        <w:t>;</w:t>
      </w:r>
      <w:r w:rsidR="009C575C">
        <w:rPr>
          <w:rFonts w:cs="Arial"/>
          <w:color w:val="000000" w:themeColor="text1"/>
          <w:sz w:val="20"/>
        </w:rPr>
        <w:t xml:space="preserve"> </w:t>
      </w:r>
      <w:r w:rsidR="009C575C">
        <w:rPr>
          <w:rFonts w:cs="Arial"/>
          <w:i/>
          <w:iCs/>
          <w:color w:val="000000" w:themeColor="text1"/>
          <w:sz w:val="20"/>
        </w:rPr>
        <w:t xml:space="preserve">Privacy Act </w:t>
      </w:r>
      <w:r w:rsidR="00357398">
        <w:rPr>
          <w:rFonts w:cs="Arial"/>
          <w:i/>
          <w:iCs/>
          <w:color w:val="000000" w:themeColor="text1"/>
          <w:sz w:val="20"/>
        </w:rPr>
        <w:t xml:space="preserve">1988 </w:t>
      </w:r>
      <w:r w:rsidR="00357398">
        <w:rPr>
          <w:rFonts w:cs="Arial"/>
          <w:color w:val="000000" w:themeColor="text1"/>
          <w:sz w:val="20"/>
        </w:rPr>
        <w:t>(Cth)</w:t>
      </w:r>
      <w:r w:rsidR="00E70AC0">
        <w:rPr>
          <w:rFonts w:cs="Arial"/>
          <w:color w:val="000000" w:themeColor="text1"/>
          <w:sz w:val="20"/>
        </w:rPr>
        <w:t xml:space="preserve"> s</w:t>
      </w:r>
      <w:r w:rsidRPr="001F47B8">
        <w:rPr>
          <w:rFonts w:cs="Arial"/>
          <w:color w:val="000000" w:themeColor="text1"/>
          <w:sz w:val="20"/>
        </w:rPr>
        <w:t>16B(5).</w:t>
      </w:r>
    </w:p>
  </w:footnote>
  <w:footnote w:id="51">
    <w:p w14:paraId="0F2B9B1F" w14:textId="54B1F846"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015127">
        <w:rPr>
          <w:rFonts w:cs="Arial"/>
          <w:i/>
          <w:iCs/>
          <w:color w:val="000000" w:themeColor="text1"/>
          <w:sz w:val="20"/>
        </w:rPr>
        <w:t>Privacy Act 1988</w:t>
      </w:r>
      <w:r w:rsidRPr="00357398">
        <w:rPr>
          <w:rFonts w:cs="Arial"/>
          <w:color w:val="000000" w:themeColor="text1"/>
          <w:sz w:val="20"/>
        </w:rPr>
        <w:t xml:space="preserve"> </w:t>
      </w:r>
      <w:r w:rsidRPr="001F47B8">
        <w:rPr>
          <w:rFonts w:cs="Arial"/>
          <w:color w:val="000000" w:themeColor="text1"/>
          <w:sz w:val="20"/>
        </w:rPr>
        <w:t xml:space="preserve">(Cth) </w:t>
      </w:r>
      <w:r w:rsidR="00015127">
        <w:rPr>
          <w:rFonts w:cs="Arial"/>
          <w:color w:val="000000" w:themeColor="text1"/>
          <w:sz w:val="20"/>
        </w:rPr>
        <w:t>s</w:t>
      </w:r>
      <w:r w:rsidRPr="001F47B8">
        <w:rPr>
          <w:rFonts w:cs="Arial"/>
          <w:color w:val="000000" w:themeColor="text1"/>
          <w:sz w:val="20"/>
        </w:rPr>
        <w:t>16B(1).</w:t>
      </w:r>
    </w:p>
  </w:footnote>
  <w:footnote w:id="52">
    <w:p w14:paraId="16EAB7DA" w14:textId="2EFDF6D0"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57398" w:rsidRPr="00357398">
        <w:rPr>
          <w:rFonts w:cs="Arial"/>
          <w:color w:val="000000" w:themeColor="text1"/>
          <w:sz w:val="20"/>
        </w:rPr>
        <w:t>Ibid</w:t>
      </w:r>
      <w:r w:rsidR="00357398">
        <w:rPr>
          <w:rFonts w:cs="Arial"/>
          <w:color w:val="000000" w:themeColor="text1"/>
          <w:sz w:val="20"/>
        </w:rPr>
        <w:t xml:space="preserve"> </w:t>
      </w:r>
      <w:r w:rsidR="00F800ED">
        <w:rPr>
          <w:rFonts w:cs="Arial"/>
          <w:color w:val="000000" w:themeColor="text1"/>
          <w:sz w:val="20"/>
        </w:rPr>
        <w:t>s16B</w:t>
      </w:r>
      <w:r w:rsidRPr="001F47B8">
        <w:rPr>
          <w:rFonts w:cs="Arial"/>
          <w:color w:val="000000" w:themeColor="text1"/>
          <w:sz w:val="20"/>
        </w:rPr>
        <w:t>(2).</w:t>
      </w:r>
    </w:p>
  </w:footnote>
  <w:footnote w:id="53">
    <w:p w14:paraId="459BD387" w14:textId="36C7E366"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57398" w:rsidRPr="00357398">
        <w:rPr>
          <w:rFonts w:cs="Arial"/>
          <w:color w:val="000000" w:themeColor="text1"/>
          <w:sz w:val="20"/>
        </w:rPr>
        <w:t>Ibid</w:t>
      </w:r>
      <w:r w:rsidR="00357398">
        <w:rPr>
          <w:rFonts w:cs="Arial"/>
          <w:i/>
          <w:iCs/>
          <w:color w:val="000000" w:themeColor="text1"/>
          <w:sz w:val="20"/>
        </w:rPr>
        <w:t xml:space="preserve"> </w:t>
      </w:r>
      <w:r w:rsidR="00F800ED">
        <w:rPr>
          <w:rFonts w:cs="Arial"/>
          <w:color w:val="000000" w:themeColor="text1"/>
          <w:sz w:val="20"/>
        </w:rPr>
        <w:t>s16B</w:t>
      </w:r>
      <w:r w:rsidRPr="001F47B8">
        <w:rPr>
          <w:rFonts w:cs="Arial"/>
          <w:color w:val="000000" w:themeColor="text1"/>
          <w:sz w:val="20"/>
        </w:rPr>
        <w:t>(2).</w:t>
      </w:r>
    </w:p>
  </w:footnote>
  <w:footnote w:id="54">
    <w:p w14:paraId="5E992B55" w14:textId="36FB6A45"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Privacy Act</w:t>
      </w:r>
      <w:r w:rsidRPr="001F47B8">
        <w:rPr>
          <w:rFonts w:cs="Arial"/>
          <w:i/>
          <w:iCs/>
          <w:color w:val="000000" w:themeColor="text1"/>
          <w:sz w:val="20"/>
        </w:rPr>
        <w:t xml:space="preserve"> 1988 </w:t>
      </w:r>
      <w:r w:rsidRPr="001F47B8">
        <w:rPr>
          <w:rFonts w:cs="Arial"/>
          <w:color w:val="000000" w:themeColor="text1"/>
          <w:sz w:val="20"/>
        </w:rPr>
        <w:t>(Cth) s16B(4).</w:t>
      </w:r>
    </w:p>
  </w:footnote>
  <w:footnote w:id="55">
    <w:p w14:paraId="4117CB87" w14:textId="13491716" w:rsidR="00240A63" w:rsidRPr="002B5F46" w:rsidRDefault="00240A63">
      <w:pPr>
        <w:pStyle w:val="FootnoteText"/>
        <w:rPr>
          <w:rFonts w:cs="Arial"/>
          <w:sz w:val="20"/>
          <w:lang w:val="en-US"/>
        </w:rPr>
      </w:pPr>
      <w:r w:rsidRPr="001F47B8">
        <w:rPr>
          <w:rStyle w:val="FootnoteReference"/>
          <w:rFonts w:cs="Arial"/>
          <w:sz w:val="20"/>
        </w:rPr>
        <w:footnoteRef/>
      </w:r>
      <w:r w:rsidRPr="001F47B8">
        <w:rPr>
          <w:rFonts w:cs="Arial"/>
          <w:sz w:val="20"/>
        </w:rPr>
        <w:t xml:space="preserve"> </w:t>
      </w:r>
      <w:r w:rsidR="00357398">
        <w:rPr>
          <w:rFonts w:cs="Arial"/>
          <w:iCs/>
          <w:color w:val="000000" w:themeColor="text1"/>
          <w:sz w:val="20"/>
        </w:rPr>
        <w:t xml:space="preserve">Ibid </w:t>
      </w:r>
      <w:r w:rsidRPr="001F47B8">
        <w:rPr>
          <w:rFonts w:cs="Arial"/>
          <w:color w:val="000000" w:themeColor="text1"/>
          <w:sz w:val="20"/>
        </w:rPr>
        <w:t>s16</w:t>
      </w:r>
      <w:r w:rsidR="00EF71D8" w:rsidRPr="001F47B8">
        <w:rPr>
          <w:rFonts w:cs="Arial"/>
          <w:color w:val="000000" w:themeColor="text1"/>
          <w:sz w:val="20"/>
        </w:rPr>
        <w:t>AA(1</w:t>
      </w:r>
      <w:r w:rsidRPr="001F47B8">
        <w:rPr>
          <w:rFonts w:cs="Arial"/>
          <w:color w:val="000000" w:themeColor="text1"/>
          <w:sz w:val="20"/>
        </w:rPr>
        <w:t>).</w:t>
      </w:r>
    </w:p>
  </w:footnote>
  <w:footnote w:id="56">
    <w:p w14:paraId="7960D6F6" w14:textId="270F5BFF" w:rsidR="00304B39" w:rsidRPr="002B5F46" w:rsidRDefault="00304B39">
      <w:pPr>
        <w:pStyle w:val="FootnoteText"/>
        <w:rPr>
          <w:rFonts w:cs="Arial"/>
          <w:sz w:val="20"/>
          <w:lang w:val="en-US"/>
        </w:rPr>
      </w:pPr>
      <w:r w:rsidRPr="001F47B8">
        <w:rPr>
          <w:rStyle w:val="FootnoteReference"/>
          <w:rFonts w:cs="Arial"/>
          <w:sz w:val="20"/>
        </w:rPr>
        <w:footnoteRef/>
      </w:r>
      <w:r w:rsidRPr="001F47B8">
        <w:rPr>
          <w:rFonts w:cs="Arial"/>
          <w:sz w:val="20"/>
        </w:rPr>
        <w:t xml:space="preserve"> </w:t>
      </w:r>
      <w:r w:rsidR="00357398">
        <w:rPr>
          <w:rFonts w:cs="Arial"/>
          <w:iCs/>
          <w:color w:val="000000" w:themeColor="text1"/>
          <w:sz w:val="20"/>
        </w:rPr>
        <w:t>I</w:t>
      </w:r>
      <w:r w:rsidR="00F800ED">
        <w:rPr>
          <w:rFonts w:cs="Arial"/>
          <w:iCs/>
          <w:color w:val="000000" w:themeColor="text1"/>
          <w:sz w:val="20"/>
        </w:rPr>
        <w:t>b</w:t>
      </w:r>
      <w:r w:rsidR="00357398">
        <w:rPr>
          <w:rFonts w:cs="Arial"/>
          <w:iCs/>
          <w:color w:val="000000" w:themeColor="text1"/>
          <w:sz w:val="20"/>
        </w:rPr>
        <w:t>id</w:t>
      </w:r>
      <w:r w:rsidRPr="001F47B8">
        <w:rPr>
          <w:rFonts w:cs="Arial"/>
          <w:color w:val="000000" w:themeColor="text1"/>
          <w:sz w:val="20"/>
        </w:rPr>
        <w:t xml:space="preserve"> s16B(5).</w:t>
      </w:r>
    </w:p>
  </w:footnote>
  <w:footnote w:id="57">
    <w:p w14:paraId="35203C03" w14:textId="7943548B"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57398">
        <w:rPr>
          <w:rFonts w:cs="Arial"/>
          <w:iCs/>
          <w:color w:val="000000" w:themeColor="text1"/>
          <w:sz w:val="20"/>
        </w:rPr>
        <w:t>Ibid</w:t>
      </w:r>
      <w:r w:rsidRPr="001F47B8">
        <w:rPr>
          <w:rFonts w:cs="Arial"/>
          <w:color w:val="000000" w:themeColor="text1"/>
          <w:sz w:val="20"/>
        </w:rPr>
        <w:t xml:space="preserve"> s6(1).</w:t>
      </w:r>
    </w:p>
  </w:footnote>
  <w:footnote w:id="58">
    <w:p w14:paraId="30AB1AA7" w14:textId="1F82CC49"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57398">
        <w:rPr>
          <w:rFonts w:cs="Arial"/>
          <w:iCs/>
          <w:color w:val="000000" w:themeColor="text1"/>
          <w:sz w:val="20"/>
        </w:rPr>
        <w:t>Ibid</w:t>
      </w:r>
      <w:r w:rsidRPr="001F47B8">
        <w:rPr>
          <w:rFonts w:cs="Arial"/>
          <w:color w:val="000000" w:themeColor="text1"/>
          <w:sz w:val="20"/>
        </w:rPr>
        <w:t xml:space="preserve"> s5B (1)-(2).</w:t>
      </w:r>
    </w:p>
  </w:footnote>
  <w:footnote w:id="59">
    <w:p w14:paraId="2F2A5129" w14:textId="77E3CD2E"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357398">
        <w:rPr>
          <w:rFonts w:cs="Arial"/>
          <w:iCs/>
          <w:color w:val="000000" w:themeColor="text1"/>
          <w:sz w:val="20"/>
        </w:rPr>
        <w:t>Ibid</w:t>
      </w:r>
      <w:r w:rsidRPr="001F47B8">
        <w:rPr>
          <w:rFonts w:cs="Arial"/>
          <w:color w:val="000000" w:themeColor="text1"/>
          <w:sz w:val="20"/>
        </w:rPr>
        <w:t xml:space="preserve"> s16C</w:t>
      </w:r>
      <w:r w:rsidR="00596E1D">
        <w:rPr>
          <w:rFonts w:cs="Arial"/>
          <w:color w:val="000000" w:themeColor="text1"/>
          <w:sz w:val="20"/>
        </w:rPr>
        <w:t>;</w:t>
      </w:r>
      <w:r w:rsidRPr="001F47B8">
        <w:rPr>
          <w:rFonts w:cs="Arial"/>
          <w:color w:val="000000" w:themeColor="text1"/>
          <w:sz w:val="20"/>
        </w:rPr>
        <w:t xml:space="preserve"> Australian Privacy Principle </w:t>
      </w:r>
      <w:r w:rsidR="008B2D01">
        <w:rPr>
          <w:rFonts w:cs="Arial"/>
          <w:color w:val="000000" w:themeColor="text1"/>
          <w:sz w:val="20"/>
        </w:rPr>
        <w:t>Guidelines (n 35)</w:t>
      </w:r>
      <w:r w:rsidR="008B2D01" w:rsidRPr="001F47B8">
        <w:rPr>
          <w:rFonts w:cs="Arial"/>
          <w:color w:val="000000" w:themeColor="text1"/>
          <w:sz w:val="20"/>
        </w:rPr>
        <w:t xml:space="preserve"> </w:t>
      </w:r>
      <w:r w:rsidR="008B2D01">
        <w:rPr>
          <w:rFonts w:cs="Arial"/>
          <w:color w:val="000000" w:themeColor="text1"/>
          <w:sz w:val="20"/>
        </w:rPr>
        <w:t xml:space="preserve">Principle </w:t>
      </w:r>
      <w:r w:rsidRPr="001F47B8">
        <w:rPr>
          <w:rFonts w:cs="Arial"/>
          <w:color w:val="000000" w:themeColor="text1"/>
          <w:sz w:val="20"/>
        </w:rPr>
        <w:t>8.</w:t>
      </w:r>
    </w:p>
  </w:footnote>
  <w:footnote w:id="60">
    <w:p w14:paraId="0578593B" w14:textId="70754825"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2D3BE8">
        <w:rPr>
          <w:rFonts w:cs="Arial"/>
          <w:color w:val="000000" w:themeColor="text1"/>
          <w:sz w:val="20"/>
        </w:rPr>
        <w:t xml:space="preserve"> </w:t>
      </w:r>
      <w:r w:rsidR="00056EBA">
        <w:rPr>
          <w:rFonts w:cs="Arial"/>
          <w:i/>
          <w:iCs/>
          <w:color w:val="000000" w:themeColor="text1"/>
          <w:sz w:val="20"/>
        </w:rPr>
        <w:t xml:space="preserve">Privacy Act 1988 </w:t>
      </w:r>
      <w:r w:rsidR="00056EBA">
        <w:rPr>
          <w:rFonts w:cs="Arial"/>
          <w:color w:val="000000" w:themeColor="text1"/>
          <w:sz w:val="20"/>
        </w:rPr>
        <w:t>(</w:t>
      </w:r>
      <w:r w:rsidR="00436B73" w:rsidRPr="001513E7">
        <w:rPr>
          <w:rFonts w:cs="Arial"/>
          <w:color w:val="000000" w:themeColor="text1"/>
          <w:sz w:val="20"/>
        </w:rPr>
        <w:t>Cth</w:t>
      </w:r>
      <w:r w:rsidR="00056EBA">
        <w:rPr>
          <w:rFonts w:cs="Arial"/>
          <w:color w:val="000000" w:themeColor="text1"/>
          <w:sz w:val="20"/>
        </w:rPr>
        <w:t xml:space="preserve">) </w:t>
      </w:r>
      <w:r w:rsidRPr="002D3BE8">
        <w:rPr>
          <w:rFonts w:cs="Arial"/>
          <w:color w:val="000000" w:themeColor="text1"/>
          <w:sz w:val="20"/>
        </w:rPr>
        <w:t>Sch 1</w:t>
      </w:r>
      <w:r w:rsidR="00596E1D" w:rsidRPr="002D3BE8">
        <w:rPr>
          <w:rFonts w:cs="Arial"/>
          <w:color w:val="000000" w:themeColor="text1"/>
          <w:sz w:val="20"/>
        </w:rPr>
        <w:t>;</w:t>
      </w:r>
      <w:r w:rsidRPr="002D3BE8">
        <w:rPr>
          <w:rFonts w:cs="Arial"/>
          <w:color w:val="000000" w:themeColor="text1"/>
          <w:sz w:val="20"/>
        </w:rPr>
        <w:t xml:space="preserve"> </w:t>
      </w:r>
      <w:r w:rsidR="00056EBA" w:rsidRPr="002D3BE8">
        <w:rPr>
          <w:rFonts w:cs="Arial"/>
          <w:color w:val="000000" w:themeColor="text1"/>
          <w:sz w:val="20"/>
        </w:rPr>
        <w:t xml:space="preserve">Australian Privacy Principle Guidelines (n 35) </w:t>
      </w:r>
      <w:r w:rsidRPr="002D3BE8">
        <w:rPr>
          <w:rFonts w:cs="Arial"/>
          <w:color w:val="000000" w:themeColor="text1"/>
          <w:sz w:val="20"/>
        </w:rPr>
        <w:t>Part 3, s6.</w:t>
      </w:r>
    </w:p>
  </w:footnote>
  <w:footnote w:id="61">
    <w:p w14:paraId="09012557" w14:textId="28A60AFC"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These rights are analogous to those in the Australian Charter of Healthcare Rights developed by the Australian Commission on Safety and Quality in Health Care. </w:t>
      </w:r>
    </w:p>
  </w:footnote>
  <w:footnote w:id="62">
    <w:p w14:paraId="0C023E32" w14:textId="2068FB68" w:rsidR="00FB2047" w:rsidRPr="001F47B8" w:rsidRDefault="00FB2047" w:rsidP="00A97230">
      <w:pPr>
        <w:pStyle w:val="FootnoteText"/>
        <w:rPr>
          <w:rFonts w:cs="Arial"/>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Federal Court of Australia Act 1976 </w:t>
      </w:r>
      <w:r w:rsidRPr="001F47B8">
        <w:rPr>
          <w:rFonts w:cs="Arial"/>
          <w:color w:val="000000" w:themeColor="text1"/>
          <w:sz w:val="20"/>
        </w:rPr>
        <w:t xml:space="preserve">(Cth) 33C. </w:t>
      </w:r>
      <w:r w:rsidRPr="001F47B8">
        <w:rPr>
          <w:rFonts w:cs="Arial"/>
          <w:b/>
          <w:color w:val="000000" w:themeColor="text1"/>
          <w:sz w:val="20"/>
        </w:rPr>
        <w:t xml:space="preserve">Note: </w:t>
      </w:r>
      <w:r w:rsidRPr="001F47B8">
        <w:rPr>
          <w:rFonts w:cs="Arial"/>
          <w:color w:val="000000" w:themeColor="text1"/>
          <w:sz w:val="20"/>
        </w:rPr>
        <w:t xml:space="preserve">A class action is a means by which a large group of persons can bring a claim in Australia. These </w:t>
      </w:r>
      <w:r w:rsidRPr="001F47B8">
        <w:rPr>
          <w:rFonts w:cs="Arial"/>
          <w:sz w:val="20"/>
        </w:rPr>
        <w:t>claims are often complex with high costs and result in significant publicity. A plaintiff refers to someone who brings a claim against another.</w:t>
      </w:r>
    </w:p>
  </w:footnote>
  <w:footnote w:id="63">
    <w:p w14:paraId="7FC4FF2E" w14:textId="60ED3273" w:rsidR="00952D1A" w:rsidRPr="001F47B8" w:rsidRDefault="00952D1A">
      <w:pPr>
        <w:pStyle w:val="FootnoteText"/>
        <w:rPr>
          <w:rFonts w:cs="Arial"/>
          <w:sz w:val="20"/>
        </w:rPr>
      </w:pPr>
      <w:r w:rsidRPr="001F47B8">
        <w:rPr>
          <w:rStyle w:val="FootnoteReference"/>
          <w:rFonts w:cs="Arial"/>
          <w:sz w:val="20"/>
        </w:rPr>
        <w:footnoteRef/>
      </w:r>
      <w:r w:rsidRPr="001F47B8">
        <w:rPr>
          <w:rFonts w:cs="Arial"/>
          <w:sz w:val="20"/>
        </w:rPr>
        <w:t xml:space="preserve"> </w:t>
      </w:r>
      <w:r w:rsidR="00366324" w:rsidRPr="001F47B8">
        <w:rPr>
          <w:rFonts w:cs="Arial"/>
          <w:sz w:val="20"/>
        </w:rPr>
        <w:t>Dignitary</w:t>
      </w:r>
      <w:r w:rsidR="002A0450" w:rsidRPr="001F47B8">
        <w:rPr>
          <w:rFonts w:cs="Arial"/>
          <w:sz w:val="20"/>
        </w:rPr>
        <w:t xml:space="preserve"> harms </w:t>
      </w:r>
      <w:r w:rsidR="00275AD1" w:rsidRPr="001F47B8">
        <w:rPr>
          <w:rFonts w:cs="Arial"/>
          <w:sz w:val="20"/>
        </w:rPr>
        <w:t xml:space="preserve">are harms that </w:t>
      </w:r>
      <w:r w:rsidR="00611DAE" w:rsidRPr="001F47B8">
        <w:rPr>
          <w:rFonts w:cs="Arial"/>
          <w:sz w:val="20"/>
        </w:rPr>
        <w:t>do not require a physical injury</w:t>
      </w:r>
      <w:r w:rsidR="00366324" w:rsidRPr="001F47B8">
        <w:rPr>
          <w:rFonts w:cs="Arial"/>
          <w:sz w:val="20"/>
        </w:rPr>
        <w:t xml:space="preserve"> or manifestation</w:t>
      </w:r>
      <w:r w:rsidR="00611DAE" w:rsidRPr="001F47B8">
        <w:rPr>
          <w:rFonts w:cs="Arial"/>
          <w:sz w:val="20"/>
        </w:rPr>
        <w:t xml:space="preserve">, but are </w:t>
      </w:r>
      <w:r w:rsidR="00366324" w:rsidRPr="001F47B8">
        <w:rPr>
          <w:rFonts w:cs="Arial"/>
          <w:sz w:val="20"/>
        </w:rPr>
        <w:t>harms to the plaintiffs interest in privacy</w:t>
      </w:r>
      <w:r w:rsidR="00CD553B" w:rsidRPr="001F47B8">
        <w:rPr>
          <w:rFonts w:cs="Arial"/>
          <w:sz w:val="20"/>
        </w:rPr>
        <w:t xml:space="preserve">. These invasion </w:t>
      </w:r>
      <w:r w:rsidR="001363C4" w:rsidRPr="001F47B8">
        <w:rPr>
          <w:rFonts w:cs="Arial"/>
          <w:sz w:val="20"/>
        </w:rPr>
        <w:t>of</w:t>
      </w:r>
      <w:r w:rsidR="00CD553B" w:rsidRPr="001F47B8">
        <w:rPr>
          <w:rFonts w:cs="Arial"/>
          <w:sz w:val="20"/>
        </w:rPr>
        <w:t xml:space="preserve"> privacy give rise to deeply personal and subjective injury. </w:t>
      </w:r>
      <w:r w:rsidR="00D6209E" w:rsidRPr="001F47B8">
        <w:rPr>
          <w:rFonts w:cs="Arial"/>
          <w:i/>
          <w:iCs/>
          <w:sz w:val="20"/>
        </w:rPr>
        <w:t xml:space="preserve">See </w:t>
      </w:r>
      <w:r w:rsidR="00D6209E" w:rsidRPr="001F47B8">
        <w:rPr>
          <w:rFonts w:cs="Arial"/>
          <w:i/>
          <w:sz w:val="20"/>
        </w:rPr>
        <w:t>Havasupai Tribe v Arizona Board of Regents</w:t>
      </w:r>
      <w:r w:rsidR="00D6209E" w:rsidRPr="001F47B8">
        <w:rPr>
          <w:rFonts w:cs="Arial"/>
          <w:sz w:val="20"/>
        </w:rPr>
        <w:t>, 204 P.3d, 1063, 48-49 (Ariz, Ct App 2008).</w:t>
      </w:r>
    </w:p>
  </w:footnote>
  <w:footnote w:id="64">
    <w:p w14:paraId="475E2ADB" w14:textId="721B3091" w:rsidR="00FB2047" w:rsidRPr="001F47B8" w:rsidRDefault="00FB2047" w:rsidP="00A97230">
      <w:pPr>
        <w:pStyle w:val="FootnoteText"/>
        <w:rPr>
          <w:rFonts w:cs="Arial"/>
          <w:i/>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DB48C2" w:rsidRPr="00DB48C2">
        <w:rPr>
          <w:rFonts w:cs="Arial"/>
          <w:i/>
          <w:iCs/>
          <w:color w:val="000000" w:themeColor="text1"/>
          <w:sz w:val="20"/>
        </w:rPr>
        <w:t>ALRC Essentially Yours</w:t>
      </w:r>
      <w:r w:rsidR="00DB48C2">
        <w:rPr>
          <w:rFonts w:cs="Arial"/>
          <w:color w:val="000000" w:themeColor="text1"/>
          <w:sz w:val="20"/>
        </w:rPr>
        <w:t xml:space="preserve"> (n 40) </w:t>
      </w:r>
      <w:r w:rsidRPr="001F47B8">
        <w:rPr>
          <w:rFonts w:cs="Arial"/>
          <w:color w:val="000000" w:themeColor="text1"/>
          <w:sz w:val="20"/>
        </w:rPr>
        <w:t>290.</w:t>
      </w:r>
    </w:p>
  </w:footnote>
  <w:footnote w:id="65">
    <w:p w14:paraId="029EE59C" w14:textId="64156BA2"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Racial Discrimination Act 1975 </w:t>
      </w:r>
      <w:r w:rsidRPr="001F47B8">
        <w:rPr>
          <w:rFonts w:cs="Arial"/>
          <w:color w:val="000000" w:themeColor="text1"/>
          <w:sz w:val="20"/>
        </w:rPr>
        <w:t xml:space="preserve">(Cth) s 13, Part VII, Schedule 1, </w:t>
      </w:r>
      <w:r w:rsidRPr="001F47B8">
        <w:rPr>
          <w:rFonts w:cs="Arial"/>
          <w:i/>
          <w:color w:val="000000" w:themeColor="text1"/>
          <w:sz w:val="20"/>
        </w:rPr>
        <w:t xml:space="preserve">International Convention on the elimination of all forms of racial discrimination </w:t>
      </w:r>
      <w:r w:rsidRPr="001F47B8">
        <w:rPr>
          <w:rFonts w:cs="Arial"/>
          <w:color w:val="000000" w:themeColor="text1"/>
          <w:sz w:val="20"/>
        </w:rPr>
        <w:t xml:space="preserve">Art 5, s (3), </w:t>
      </w:r>
      <w:r w:rsidRPr="001F47B8">
        <w:rPr>
          <w:rFonts w:cs="Arial"/>
          <w:i/>
          <w:color w:val="000000" w:themeColor="text1"/>
          <w:sz w:val="20"/>
        </w:rPr>
        <w:t xml:space="preserve">Anti-Discrimination Act 1977 </w:t>
      </w:r>
      <w:r w:rsidRPr="001F47B8">
        <w:rPr>
          <w:rFonts w:cs="Arial"/>
          <w:color w:val="000000" w:themeColor="text1"/>
          <w:sz w:val="20"/>
        </w:rPr>
        <w:t xml:space="preserve">(NSW) ss 4,33; </w:t>
      </w:r>
      <w:r w:rsidRPr="001F47B8">
        <w:rPr>
          <w:rFonts w:cs="Arial"/>
          <w:i/>
          <w:color w:val="000000" w:themeColor="text1"/>
          <w:sz w:val="20"/>
        </w:rPr>
        <w:t xml:space="preserve">Equal Opportunity Act 2010 </w:t>
      </w:r>
      <w:r w:rsidRPr="001F47B8">
        <w:rPr>
          <w:rFonts w:cs="Arial"/>
          <w:color w:val="000000" w:themeColor="text1"/>
          <w:sz w:val="20"/>
        </w:rPr>
        <w:t xml:space="preserve">(Vic) ss 4,44; </w:t>
      </w:r>
      <w:r w:rsidRPr="001F47B8">
        <w:rPr>
          <w:rFonts w:cs="Arial"/>
          <w:i/>
          <w:color w:val="000000" w:themeColor="text1"/>
          <w:sz w:val="20"/>
        </w:rPr>
        <w:t xml:space="preserve">Anti-Discrimination Act 1991 </w:t>
      </w:r>
      <w:r w:rsidRPr="001F47B8">
        <w:rPr>
          <w:rFonts w:cs="Arial"/>
          <w:color w:val="000000" w:themeColor="text1"/>
          <w:sz w:val="20"/>
        </w:rPr>
        <w:t xml:space="preserve">(Qld) ss 4,46; </w:t>
      </w:r>
      <w:r w:rsidRPr="001F47B8">
        <w:rPr>
          <w:rFonts w:cs="Arial"/>
          <w:i/>
          <w:color w:val="000000" w:themeColor="text1"/>
          <w:sz w:val="20"/>
        </w:rPr>
        <w:t xml:space="preserve">Discrimination Act 1991 </w:t>
      </w:r>
      <w:r w:rsidRPr="001F47B8">
        <w:rPr>
          <w:rFonts w:cs="Arial"/>
          <w:color w:val="000000" w:themeColor="text1"/>
          <w:sz w:val="20"/>
        </w:rPr>
        <w:t xml:space="preserve">(ACT) ss 2,20; </w:t>
      </w:r>
      <w:r w:rsidRPr="001F47B8">
        <w:rPr>
          <w:rFonts w:cs="Arial"/>
          <w:i/>
          <w:color w:val="000000" w:themeColor="text1"/>
          <w:sz w:val="20"/>
        </w:rPr>
        <w:t xml:space="preserve">Equal Opportunity Act 1984 </w:t>
      </w:r>
      <w:r w:rsidRPr="001F47B8">
        <w:rPr>
          <w:rFonts w:cs="Arial"/>
          <w:color w:val="000000" w:themeColor="text1"/>
          <w:sz w:val="20"/>
        </w:rPr>
        <w:t xml:space="preserve">(SA) ss 5, 39;  </w:t>
      </w:r>
      <w:r w:rsidRPr="001F47B8">
        <w:rPr>
          <w:rFonts w:cs="Arial"/>
          <w:i/>
          <w:color w:val="000000" w:themeColor="text1"/>
          <w:sz w:val="20"/>
        </w:rPr>
        <w:t xml:space="preserve">Anti-Discrimination Act 1998 </w:t>
      </w:r>
      <w:r w:rsidRPr="001F47B8">
        <w:rPr>
          <w:rFonts w:cs="Arial"/>
          <w:color w:val="000000" w:themeColor="text1"/>
          <w:sz w:val="20"/>
        </w:rPr>
        <w:t xml:space="preserve">(Tas) ss 3, 22; </w:t>
      </w:r>
      <w:r w:rsidRPr="001F47B8">
        <w:rPr>
          <w:rFonts w:cs="Arial"/>
          <w:i/>
          <w:color w:val="000000" w:themeColor="text1"/>
          <w:sz w:val="20"/>
        </w:rPr>
        <w:t xml:space="preserve">Equal opportunity Act 1984 </w:t>
      </w:r>
      <w:r w:rsidRPr="001F47B8">
        <w:rPr>
          <w:rFonts w:cs="Arial"/>
          <w:color w:val="000000" w:themeColor="text1"/>
          <w:sz w:val="20"/>
        </w:rPr>
        <w:t xml:space="preserve">(WA) ss 4, 46, </w:t>
      </w:r>
      <w:r w:rsidRPr="001F47B8">
        <w:rPr>
          <w:rFonts w:cs="Arial"/>
          <w:i/>
          <w:color w:val="000000" w:themeColor="text1"/>
          <w:sz w:val="20"/>
        </w:rPr>
        <w:t xml:space="preserve">Anti-Discrimination Act 1992 </w:t>
      </w:r>
      <w:r w:rsidRPr="001F47B8">
        <w:rPr>
          <w:rFonts w:cs="Arial"/>
          <w:color w:val="000000" w:themeColor="text1"/>
          <w:sz w:val="20"/>
        </w:rPr>
        <w:t>(NT) ss 4, 41.</w:t>
      </w:r>
    </w:p>
  </w:footnote>
  <w:footnote w:id="66">
    <w:p w14:paraId="24DB412E" w14:textId="0CFF56AD" w:rsidR="00FB2047" w:rsidRPr="001F47B8" w:rsidRDefault="00FB2047" w:rsidP="00D6490D">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QFG &amp; Anor v JM </w:t>
      </w:r>
      <w:r w:rsidRPr="001F47B8">
        <w:rPr>
          <w:rFonts w:cs="Arial"/>
          <w:color w:val="000000" w:themeColor="text1"/>
          <w:sz w:val="20"/>
        </w:rPr>
        <w:t xml:space="preserve">[2001] 1 Qd R 373, [1998] QCA 228, </w:t>
      </w:r>
      <w:r w:rsidR="00D6490D" w:rsidRPr="00D6490D">
        <w:rPr>
          <w:rFonts w:cs="Arial"/>
          <w:i/>
          <w:color w:val="000000" w:themeColor="text1"/>
          <w:sz w:val="20"/>
          <w:shd w:val="clear" w:color="auto" w:fill="FFFFFF"/>
        </w:rPr>
        <w:t>Commonwealth of Australia</w:t>
      </w:r>
      <w:r w:rsidR="00D6490D" w:rsidRPr="00D6490D">
        <w:rPr>
          <w:rFonts w:cs="Arial"/>
          <w:color w:val="000000" w:themeColor="text1"/>
          <w:sz w:val="20"/>
          <w:shd w:val="clear" w:color="auto" w:fill="FFFFFF"/>
        </w:rPr>
        <w:t> &amp; </w:t>
      </w:r>
      <w:r w:rsidR="00D6490D" w:rsidRPr="00D6490D">
        <w:rPr>
          <w:rFonts w:cs="Arial"/>
          <w:i/>
          <w:color w:val="000000" w:themeColor="text1"/>
          <w:sz w:val="20"/>
          <w:shd w:val="clear" w:color="auto" w:fill="FFFFFF"/>
        </w:rPr>
        <w:t>Anor</w:t>
      </w:r>
      <w:r w:rsidR="00D6490D" w:rsidRPr="00D6490D">
        <w:rPr>
          <w:rFonts w:cs="Arial"/>
          <w:color w:val="000000" w:themeColor="text1"/>
          <w:sz w:val="20"/>
          <w:shd w:val="clear" w:color="auto" w:fill="FFFFFF"/>
        </w:rPr>
        <w:t> v </w:t>
      </w:r>
      <w:r w:rsidR="00D6490D" w:rsidRPr="00D6490D">
        <w:rPr>
          <w:rFonts w:cs="Arial"/>
          <w:i/>
          <w:color w:val="000000" w:themeColor="text1"/>
          <w:sz w:val="20"/>
          <w:shd w:val="clear" w:color="auto" w:fill="FFFFFF"/>
        </w:rPr>
        <w:t xml:space="preserve">Human Rights and Equal Opportunity Commission </w:t>
      </w:r>
      <w:r w:rsidR="00D6490D" w:rsidRPr="00D6490D">
        <w:rPr>
          <w:rFonts w:cs="Arial"/>
          <w:color w:val="000000" w:themeColor="text1"/>
          <w:sz w:val="20"/>
          <w:shd w:val="clear" w:color="auto" w:fill="FFFFFF"/>
        </w:rPr>
        <w:t>[1997] FCA 664</w:t>
      </w:r>
      <w:r w:rsidR="00D6490D" w:rsidRPr="00D6490D">
        <w:rPr>
          <w:rFonts w:cs="Arial"/>
          <w:color w:val="000000" w:themeColor="text1"/>
          <w:sz w:val="20"/>
          <w:lang w:val="en-US"/>
        </w:rPr>
        <w:t xml:space="preserve"> (18 July 2007)</w:t>
      </w:r>
      <w:r w:rsidRPr="00D6490D">
        <w:rPr>
          <w:rFonts w:cs="Arial"/>
          <w:color w:val="000000" w:themeColor="text1"/>
          <w:sz w:val="20"/>
          <w:lang w:val="en-US"/>
        </w:rPr>
        <w:t>.</w:t>
      </w:r>
    </w:p>
  </w:footnote>
  <w:footnote w:id="67">
    <w:p w14:paraId="1934950D" w14:textId="11CF430C" w:rsidR="00FB2047" w:rsidRPr="001F47B8" w:rsidRDefault="00FB2047">
      <w:pPr>
        <w:pStyle w:val="FootnoteText"/>
        <w:rPr>
          <w:rFonts w:cs="Arial"/>
          <w:i/>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Medical Board of Australia, </w:t>
      </w:r>
      <w:r w:rsidRPr="001F47B8">
        <w:rPr>
          <w:rFonts w:cs="Arial"/>
          <w:i/>
          <w:iCs/>
          <w:color w:val="000000" w:themeColor="text1"/>
          <w:sz w:val="20"/>
        </w:rPr>
        <w:t>Good Medical Practice: A Code of Conduct for Doctors in Australia</w:t>
      </w:r>
      <w:r w:rsidRPr="001F47B8">
        <w:rPr>
          <w:rFonts w:cs="Arial"/>
          <w:color w:val="000000" w:themeColor="text1"/>
          <w:sz w:val="20"/>
        </w:rPr>
        <w:t>, (2014) March, Chapter 2.21-2.2.4 available at &lt;</w:t>
      </w:r>
      <w:hyperlink r:id="rId8" w:history="1">
        <w:r w:rsidRPr="001F47B8">
          <w:rPr>
            <w:rStyle w:val="Hyperlink"/>
            <w:rFonts w:cs="Arial"/>
            <w:color w:val="000000" w:themeColor="text1"/>
            <w:sz w:val="20"/>
          </w:rPr>
          <w:t>https://www.medicalboard.gov.au/documents/default.aspx?record=WD10%2F1277&amp;dbid=AP&amp;chksum=eNjZ0Z%2FajN7oxjvHXDRQnQ%3D%3D</w:t>
        </w:r>
      </w:hyperlink>
      <w:r w:rsidRPr="001F47B8">
        <w:rPr>
          <w:rFonts w:cs="Arial"/>
          <w:color w:val="000000" w:themeColor="text1"/>
          <w:sz w:val="20"/>
        </w:rPr>
        <w:t xml:space="preserve">&gt; accessed 21 April 2020. </w:t>
      </w:r>
    </w:p>
  </w:footnote>
  <w:footnote w:id="68">
    <w:p w14:paraId="170E729A" w14:textId="4A825BC6"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bdr w:val="none" w:sz="0" w:space="0" w:color="auto" w:frame="1"/>
          <w:shd w:val="clear" w:color="auto" w:fill="FFFFFF"/>
        </w:rPr>
        <w:t>Rogers v Whitaker</w:t>
      </w:r>
      <w:r w:rsidRPr="001F47B8">
        <w:rPr>
          <w:rFonts w:cs="Arial"/>
          <w:color w:val="000000" w:themeColor="text1"/>
          <w:sz w:val="20"/>
          <w:shd w:val="clear" w:color="auto" w:fill="FFFFFF"/>
        </w:rPr>
        <w:t> </w:t>
      </w:r>
      <w:r w:rsidRPr="001F47B8">
        <w:rPr>
          <w:rFonts w:cs="Arial"/>
          <w:color w:val="000000" w:themeColor="text1"/>
          <w:sz w:val="20"/>
          <w:bdr w:val="none" w:sz="0" w:space="0" w:color="auto" w:frame="1"/>
          <w:shd w:val="clear" w:color="auto" w:fill="FFFFFF"/>
        </w:rPr>
        <w:t xml:space="preserve">(1992) 175 CLR 479, </w:t>
      </w:r>
      <w:r w:rsidRPr="001F47B8">
        <w:rPr>
          <w:rFonts w:cs="Arial"/>
          <w:color w:val="000000" w:themeColor="text1"/>
          <w:sz w:val="20"/>
        </w:rPr>
        <w:t>Exceptions include emergency treatment and some psychiatric treatment.</w:t>
      </w:r>
      <w:r w:rsidRPr="001F47B8">
        <w:rPr>
          <w:rFonts w:cs="Arial"/>
          <w:i/>
          <w:color w:val="000000" w:themeColor="text1"/>
          <w:sz w:val="20"/>
        </w:rPr>
        <w:t xml:space="preserve"> Secretary of the Department of Health and Community Services v JWB (Marion’s Case)</w:t>
      </w:r>
      <w:r w:rsidRPr="001F47B8">
        <w:rPr>
          <w:rFonts w:cs="Arial"/>
          <w:color w:val="000000" w:themeColor="text1"/>
          <w:sz w:val="20"/>
        </w:rPr>
        <w:t xml:space="preserve"> (1992) 175 CLR 218 at 234.</w:t>
      </w:r>
    </w:p>
  </w:footnote>
  <w:footnote w:id="69">
    <w:p w14:paraId="19C306ED" w14:textId="574BDC6B"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Medical Board of Australia, </w:t>
      </w:r>
      <w:r w:rsidRPr="001F47B8">
        <w:rPr>
          <w:rFonts w:cs="Arial"/>
          <w:i/>
          <w:iCs/>
          <w:color w:val="000000" w:themeColor="text1"/>
          <w:sz w:val="20"/>
        </w:rPr>
        <w:t>Good Medical Practice: A Code of Conduct for Doctors in Australia</w:t>
      </w:r>
      <w:r w:rsidRPr="001F47B8">
        <w:rPr>
          <w:rFonts w:cs="Arial"/>
          <w:color w:val="000000" w:themeColor="text1"/>
          <w:sz w:val="20"/>
        </w:rPr>
        <w:t>, (2014) March, Chapter 3.5, available at &lt;</w:t>
      </w:r>
      <w:hyperlink r:id="rId9" w:history="1">
        <w:r w:rsidRPr="001F47B8">
          <w:rPr>
            <w:rStyle w:val="Hyperlink"/>
            <w:rFonts w:cs="Arial"/>
            <w:color w:val="000000" w:themeColor="text1"/>
            <w:sz w:val="20"/>
          </w:rPr>
          <w:t>https://www.medicalboard.gov.au/documents/default.aspx?record=WD10%2F1277&amp;dbid=AP&amp;chksum=eNjZ0Z%2FajN7oxjvHXDRQnQ%3D%3D</w:t>
        </w:r>
      </w:hyperlink>
      <w:r w:rsidRPr="001F47B8">
        <w:rPr>
          <w:rFonts w:cs="Arial"/>
          <w:color w:val="000000" w:themeColor="text1"/>
          <w:sz w:val="20"/>
        </w:rPr>
        <w:t>&gt; accessed 21 April 2020.</w:t>
      </w:r>
    </w:p>
  </w:footnote>
  <w:footnote w:id="70">
    <w:p w14:paraId="69ED6CC4" w14:textId="465D8EE4"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B232FF" w:rsidRPr="00B0028D">
        <w:rPr>
          <w:rFonts w:cs="Arial"/>
          <w:i/>
          <w:iCs/>
          <w:color w:val="000000" w:themeColor="text1"/>
          <w:sz w:val="20"/>
        </w:rPr>
        <w:t xml:space="preserve">The National Statement </w:t>
      </w:r>
      <w:r w:rsidR="00B232FF" w:rsidRPr="00B0028D">
        <w:rPr>
          <w:rFonts w:cs="Arial"/>
          <w:color w:val="000000" w:themeColor="text1"/>
          <w:sz w:val="20"/>
        </w:rPr>
        <w:t>(no 44)</w:t>
      </w:r>
      <w:r w:rsidR="00B232FF" w:rsidRPr="001F47B8">
        <w:rPr>
          <w:rFonts w:cs="Arial"/>
          <w:color w:val="000000" w:themeColor="text1"/>
          <w:sz w:val="20"/>
        </w:rPr>
        <w:t xml:space="preserve"> </w:t>
      </w:r>
      <w:r w:rsidRPr="001F47B8">
        <w:rPr>
          <w:rFonts w:cs="Arial"/>
          <w:color w:val="000000" w:themeColor="text1"/>
          <w:sz w:val="20"/>
        </w:rPr>
        <w:t xml:space="preserve">2.2.1 </w:t>
      </w:r>
    </w:p>
  </w:footnote>
  <w:footnote w:id="71">
    <w:p w14:paraId="54727DA8" w14:textId="1453C7C8"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Medical Board of Australia, </w:t>
      </w:r>
      <w:r w:rsidRPr="001F47B8">
        <w:rPr>
          <w:rFonts w:cs="Arial"/>
          <w:i/>
          <w:iCs/>
          <w:color w:val="000000" w:themeColor="text1"/>
          <w:sz w:val="20"/>
        </w:rPr>
        <w:t>Good Medical Practice: A Code of Conduct for Doctors in Australia</w:t>
      </w:r>
      <w:r w:rsidRPr="001F47B8">
        <w:rPr>
          <w:rFonts w:cs="Arial"/>
          <w:color w:val="000000" w:themeColor="text1"/>
          <w:sz w:val="20"/>
        </w:rPr>
        <w:t>, (2014) March, Chapter 3.5,1-3.5.4, available at &lt;</w:t>
      </w:r>
      <w:hyperlink r:id="rId10" w:history="1">
        <w:r w:rsidRPr="001F47B8">
          <w:rPr>
            <w:rStyle w:val="Hyperlink"/>
            <w:rFonts w:cs="Arial"/>
            <w:color w:val="000000" w:themeColor="text1"/>
            <w:sz w:val="20"/>
          </w:rPr>
          <w:t>https://www.medicalboard.gov.au/documents/default.aspx?record=WD10%2F1277&amp;dbid=AP&amp;chksum=eNjZ0Z%2FajN7oxjvHXDRQnQ%3D%3D</w:t>
        </w:r>
      </w:hyperlink>
      <w:r w:rsidRPr="001F47B8">
        <w:rPr>
          <w:rFonts w:cs="Arial"/>
          <w:color w:val="000000" w:themeColor="text1"/>
          <w:sz w:val="20"/>
        </w:rPr>
        <w:t xml:space="preserve">&gt; accessed 21 April 2020. </w:t>
      </w:r>
    </w:p>
  </w:footnote>
  <w:footnote w:id="72">
    <w:p w14:paraId="474B89CC" w14:textId="6E4789C3" w:rsidR="00FB2047" w:rsidRPr="001F47B8" w:rsidRDefault="00FB2047" w:rsidP="00A97230">
      <w:pPr>
        <w:pStyle w:val="FootnoteText"/>
        <w:rPr>
          <w:rFonts w:cs="Arial"/>
          <w:i/>
          <w:color w:val="000000" w:themeColor="text1"/>
          <w:sz w:val="20"/>
          <w:highlight w:val="magenta"/>
        </w:rPr>
      </w:pPr>
      <w:r w:rsidRPr="001F47B8">
        <w:rPr>
          <w:rStyle w:val="FootnoteReference"/>
          <w:rFonts w:cs="Arial"/>
          <w:color w:val="000000" w:themeColor="text1"/>
          <w:sz w:val="20"/>
        </w:rPr>
        <w:footnoteRef/>
      </w:r>
      <w:r w:rsidRPr="001F47B8">
        <w:rPr>
          <w:rFonts w:cs="Arial"/>
          <w:color w:val="000000" w:themeColor="text1"/>
          <w:sz w:val="20"/>
        </w:rPr>
        <w:t xml:space="preserve"> CCH Australia, </w:t>
      </w:r>
      <w:r w:rsidRPr="001F47B8">
        <w:rPr>
          <w:rFonts w:cs="Arial"/>
          <w:i/>
          <w:color w:val="000000" w:themeColor="text1"/>
          <w:sz w:val="20"/>
        </w:rPr>
        <w:t xml:space="preserve">Australian Health &amp; Medical Law Report (online at 22 April 2020) </w:t>
      </w:r>
      <w:r w:rsidRPr="001F47B8">
        <w:rPr>
          <w:rFonts w:cs="Arial"/>
          <w:color w:val="000000" w:themeColor="text1"/>
          <w:sz w:val="20"/>
        </w:rPr>
        <w:t>[</w:t>
      </w:r>
      <w:r w:rsidRPr="001F47B8">
        <w:rPr>
          <w:rFonts w:cs="Arial"/>
          <w:i/>
          <w:color w:val="000000" w:themeColor="text1"/>
          <w:sz w:val="20"/>
        </w:rPr>
        <w:t xml:space="preserve">¶ </w:t>
      </w:r>
      <w:r w:rsidRPr="001F47B8">
        <w:rPr>
          <w:rFonts w:cs="Arial"/>
          <w:color w:val="000000" w:themeColor="text1"/>
          <w:sz w:val="20"/>
        </w:rPr>
        <w:t>27-130].</w:t>
      </w:r>
    </w:p>
  </w:footnote>
  <w:footnote w:id="73">
    <w:p w14:paraId="37F222F0" w14:textId="28DA77C5" w:rsidR="00FB2047" w:rsidRPr="001F47B8" w:rsidRDefault="00FB2047" w:rsidP="00A97230">
      <w:pPr>
        <w:pStyle w:val="FootnoteText"/>
        <w:rPr>
          <w:rFonts w:cs="Arial"/>
          <w:i/>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064A10">
        <w:rPr>
          <w:rFonts w:cs="Arial"/>
          <w:color w:val="000000" w:themeColor="text1"/>
          <w:sz w:val="20"/>
        </w:rPr>
        <w:t>Ibid.</w:t>
      </w:r>
    </w:p>
  </w:footnote>
  <w:footnote w:id="74">
    <w:p w14:paraId="47FE091D" w14:textId="39A0FCE1"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A0A41">
        <w:rPr>
          <w:rFonts w:cs="Arial"/>
          <w:color w:val="000000" w:themeColor="text1"/>
          <w:sz w:val="20"/>
        </w:rPr>
        <w:t>Ibid</w:t>
      </w:r>
      <w:r w:rsidRPr="001F47B8">
        <w:rPr>
          <w:rFonts w:cs="Arial"/>
          <w:color w:val="000000" w:themeColor="text1"/>
          <w:sz w:val="20"/>
        </w:rPr>
        <w:t>.</w:t>
      </w:r>
    </w:p>
  </w:footnote>
  <w:footnote w:id="75">
    <w:p w14:paraId="26CF80AB" w14:textId="70120FF0" w:rsidR="00FB2047" w:rsidRPr="001F47B8" w:rsidRDefault="00FB2047" w:rsidP="002E4F7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rPr>
        <w:t>Rogers v Whitaker</w:t>
      </w:r>
      <w:r w:rsidRPr="001F47B8">
        <w:rPr>
          <w:rFonts w:cs="Arial"/>
          <w:color w:val="000000" w:themeColor="text1"/>
          <w:sz w:val="20"/>
        </w:rPr>
        <w:t xml:space="preserve"> (1992)</w:t>
      </w:r>
      <w:r w:rsidR="00CA0A41">
        <w:rPr>
          <w:rFonts w:cs="Arial"/>
          <w:color w:val="000000" w:themeColor="text1"/>
          <w:sz w:val="20"/>
        </w:rPr>
        <w:t xml:space="preserve"> </w:t>
      </w:r>
      <w:r w:rsidRPr="001F47B8">
        <w:rPr>
          <w:rFonts w:cs="Arial"/>
          <w:color w:val="000000" w:themeColor="text1"/>
          <w:sz w:val="20"/>
        </w:rPr>
        <w:t>175 CLR 479, 488.</w:t>
      </w:r>
    </w:p>
  </w:footnote>
  <w:footnote w:id="76">
    <w:p w14:paraId="4722B815" w14:textId="66029D6F"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Rosenberg v Percival </w:t>
      </w:r>
      <w:r w:rsidRPr="001F47B8">
        <w:rPr>
          <w:rFonts w:cs="Arial"/>
          <w:color w:val="000000" w:themeColor="text1"/>
          <w:sz w:val="20"/>
        </w:rPr>
        <w:t>[2001] HCA 18, [63].</w:t>
      </w:r>
    </w:p>
  </w:footnote>
  <w:footnote w:id="77">
    <w:p w14:paraId="19FCDA78" w14:textId="6429F101"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Dr Terri Janke, </w:t>
      </w:r>
      <w:r w:rsidRPr="001F47B8">
        <w:rPr>
          <w:rFonts w:cs="Arial"/>
          <w:i/>
          <w:iCs/>
          <w:color w:val="000000" w:themeColor="text1"/>
          <w:sz w:val="20"/>
        </w:rPr>
        <w:t xml:space="preserve">True Tracks: Indigenous Cultural and Intellectual Property Principles for putting Self-Determination into practice </w:t>
      </w:r>
      <w:r w:rsidR="00CA0A41" w:rsidRPr="000F22E5">
        <w:rPr>
          <w:rFonts w:cs="Arial"/>
          <w:color w:val="000000" w:themeColor="text1"/>
          <w:sz w:val="20"/>
        </w:rPr>
        <w:t>(</w:t>
      </w:r>
      <w:r w:rsidR="0091704C">
        <w:rPr>
          <w:rFonts w:cs="Arial"/>
          <w:color w:val="000000" w:themeColor="text1"/>
          <w:sz w:val="20"/>
        </w:rPr>
        <w:t>PhD Thesis, Australian National University</w:t>
      </w:r>
      <w:r w:rsidR="000F22E5">
        <w:rPr>
          <w:rFonts w:cs="Arial"/>
          <w:color w:val="000000" w:themeColor="text1"/>
          <w:sz w:val="20"/>
        </w:rPr>
        <w:t xml:space="preserve">, </w:t>
      </w:r>
      <w:r w:rsidRPr="001F47B8">
        <w:rPr>
          <w:rFonts w:cs="Arial"/>
          <w:color w:val="000000" w:themeColor="text1"/>
          <w:sz w:val="20"/>
        </w:rPr>
        <w:t>2019)</w:t>
      </w:r>
      <w:r w:rsidR="000F22E5">
        <w:rPr>
          <w:rFonts w:cs="Arial"/>
          <w:i/>
          <w:iCs/>
          <w:color w:val="000000" w:themeColor="text1"/>
          <w:sz w:val="20"/>
        </w:rPr>
        <w:t xml:space="preserve"> </w:t>
      </w:r>
      <w:r w:rsidR="000F22E5" w:rsidRPr="000F22E5">
        <w:rPr>
          <w:rFonts w:cs="Arial"/>
          <w:color w:val="000000" w:themeColor="text1"/>
          <w:sz w:val="20"/>
        </w:rPr>
        <w:t>333</w:t>
      </w:r>
      <w:r w:rsidR="000F22E5">
        <w:rPr>
          <w:rFonts w:cs="Arial"/>
          <w:color w:val="000000" w:themeColor="text1"/>
          <w:sz w:val="20"/>
        </w:rPr>
        <w:t>.</w:t>
      </w:r>
    </w:p>
  </w:footnote>
  <w:footnote w:id="78">
    <w:p w14:paraId="3DF5DDB8" w14:textId="7EDC3591"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Rogers v Whitaker </w:t>
      </w:r>
      <w:r w:rsidRPr="001F47B8">
        <w:rPr>
          <w:rFonts w:cs="Arial"/>
          <w:color w:val="000000" w:themeColor="text1"/>
          <w:sz w:val="20"/>
        </w:rPr>
        <w:t xml:space="preserve">(1992) 175 CLR 479 and </w:t>
      </w:r>
      <w:r w:rsidRPr="001F47B8">
        <w:rPr>
          <w:rFonts w:cs="Arial"/>
          <w:i/>
          <w:color w:val="000000" w:themeColor="text1"/>
          <w:sz w:val="20"/>
        </w:rPr>
        <w:t xml:space="preserve">Wallace v Kam </w:t>
      </w:r>
      <w:r w:rsidRPr="001F47B8">
        <w:rPr>
          <w:rFonts w:cs="Arial"/>
          <w:color w:val="000000" w:themeColor="text1"/>
          <w:sz w:val="20"/>
        </w:rPr>
        <w:t>2013) 250 CLR 375.</w:t>
      </w:r>
    </w:p>
  </w:footnote>
  <w:footnote w:id="79">
    <w:p w14:paraId="1C47B90F" w14:textId="25E62789"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bdr w:val="none" w:sz="0" w:space="0" w:color="auto" w:frame="1"/>
          <w:shd w:val="clear" w:color="auto" w:fill="FFFFFF"/>
        </w:rPr>
        <w:t>White v Johnston</w:t>
      </w:r>
      <w:r w:rsidRPr="001F47B8">
        <w:rPr>
          <w:rFonts w:cs="Arial"/>
          <w:color w:val="000000" w:themeColor="text1"/>
          <w:sz w:val="20"/>
          <w:shd w:val="clear" w:color="auto" w:fill="FFFFFF"/>
        </w:rPr>
        <w:t> </w:t>
      </w:r>
      <w:r w:rsidRPr="001F47B8">
        <w:rPr>
          <w:rFonts w:cs="Arial"/>
          <w:color w:val="000000" w:themeColor="text1"/>
          <w:sz w:val="20"/>
          <w:bdr w:val="none" w:sz="0" w:space="0" w:color="auto" w:frame="1"/>
          <w:shd w:val="clear" w:color="auto" w:fill="FFFFFF"/>
        </w:rPr>
        <w:t>(2015) 87 NSWLR 779.</w:t>
      </w:r>
    </w:p>
  </w:footnote>
  <w:footnote w:id="80">
    <w:p w14:paraId="0693266E" w14:textId="0E40A64A" w:rsidR="00FB2047" w:rsidRPr="001F47B8" w:rsidRDefault="00FB2047" w:rsidP="00A97230">
      <w:pPr>
        <w:pStyle w:val="FootnoteText"/>
        <w:rPr>
          <w:rFonts w:cs="Arial"/>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417D41" w:rsidRPr="00417D41">
        <w:rPr>
          <w:rFonts w:cs="Arial"/>
          <w:iCs/>
          <w:color w:val="000000" w:themeColor="text1"/>
          <w:sz w:val="20"/>
          <w:bdr w:val="none" w:sz="0" w:space="0" w:color="auto" w:frame="1"/>
          <w:shd w:val="clear" w:color="auto" w:fill="FFFFFF"/>
        </w:rPr>
        <w:t>Ibid</w:t>
      </w:r>
      <w:r w:rsidRPr="001F47B8">
        <w:rPr>
          <w:rFonts w:cs="Arial"/>
          <w:sz w:val="20"/>
          <w:bdr w:val="none" w:sz="0" w:space="0" w:color="auto" w:frame="1"/>
          <w:shd w:val="clear" w:color="auto" w:fill="FFFFFF"/>
        </w:rPr>
        <w:t xml:space="preserve"> 73.</w:t>
      </w:r>
    </w:p>
  </w:footnote>
  <w:footnote w:id="81">
    <w:p w14:paraId="5636035B" w14:textId="6E2F6A5F" w:rsidR="00FB2047" w:rsidRPr="001F47B8" w:rsidRDefault="00FB2047" w:rsidP="00A97230">
      <w:pPr>
        <w:pStyle w:val="FootnoteText"/>
        <w:rPr>
          <w:rFonts w:cs="Arial"/>
          <w:sz w:val="20"/>
        </w:rPr>
      </w:pPr>
      <w:r w:rsidRPr="001F47B8">
        <w:rPr>
          <w:rStyle w:val="FootnoteReference"/>
          <w:rFonts w:cs="Arial"/>
          <w:sz w:val="20"/>
        </w:rPr>
        <w:footnoteRef/>
      </w:r>
      <w:r w:rsidRPr="001F47B8">
        <w:rPr>
          <w:rFonts w:cs="Arial"/>
          <w:sz w:val="20"/>
        </w:rPr>
        <w:t xml:space="preserve"> </w:t>
      </w:r>
      <w:r w:rsidR="00417D41">
        <w:rPr>
          <w:rFonts w:cs="Arial"/>
          <w:iCs/>
          <w:sz w:val="20"/>
          <w:bdr w:val="none" w:sz="0" w:space="0" w:color="auto" w:frame="1"/>
          <w:shd w:val="clear" w:color="auto" w:fill="FFFFFF"/>
        </w:rPr>
        <w:t>I</w:t>
      </w:r>
      <w:r w:rsidR="00D05A07">
        <w:rPr>
          <w:rFonts w:cs="Arial"/>
          <w:iCs/>
          <w:sz w:val="20"/>
          <w:bdr w:val="none" w:sz="0" w:space="0" w:color="auto" w:frame="1"/>
          <w:shd w:val="clear" w:color="auto" w:fill="FFFFFF"/>
        </w:rPr>
        <w:t>b</w:t>
      </w:r>
      <w:r w:rsidR="00417D41">
        <w:rPr>
          <w:rFonts w:cs="Arial"/>
          <w:iCs/>
          <w:sz w:val="20"/>
          <w:bdr w:val="none" w:sz="0" w:space="0" w:color="auto" w:frame="1"/>
          <w:shd w:val="clear" w:color="auto" w:fill="FFFFFF"/>
        </w:rPr>
        <w:t>id</w:t>
      </w:r>
      <w:r w:rsidRPr="001F47B8">
        <w:rPr>
          <w:rFonts w:cs="Arial"/>
          <w:sz w:val="20"/>
          <w:bdr w:val="none" w:sz="0" w:space="0" w:color="auto" w:frame="1"/>
          <w:shd w:val="clear" w:color="auto" w:fill="FFFFFF"/>
        </w:rPr>
        <w:t xml:space="preserve"> 73.</w:t>
      </w:r>
    </w:p>
  </w:footnote>
  <w:footnote w:id="82">
    <w:p w14:paraId="712B9924" w14:textId="2F8B7F5B" w:rsidR="00FB2047" w:rsidRPr="001F47B8" w:rsidRDefault="00FB2047" w:rsidP="00A97230">
      <w:pPr>
        <w:pStyle w:val="FootnoteText"/>
        <w:rPr>
          <w:rFonts w:cs="Arial"/>
          <w:sz w:val="20"/>
        </w:rPr>
      </w:pPr>
      <w:r w:rsidRPr="001F47B8">
        <w:rPr>
          <w:rStyle w:val="FootnoteReference"/>
          <w:rFonts w:cs="Arial"/>
          <w:sz w:val="20"/>
        </w:rPr>
        <w:footnoteRef/>
      </w:r>
      <w:r w:rsidRPr="001F47B8">
        <w:rPr>
          <w:rFonts w:cs="Arial"/>
          <w:sz w:val="20"/>
        </w:rPr>
        <w:t xml:space="preserve"> </w:t>
      </w:r>
      <w:r w:rsidRPr="001F47B8">
        <w:rPr>
          <w:rFonts w:cs="Arial"/>
          <w:i/>
          <w:sz w:val="20"/>
        </w:rPr>
        <w:t>Breen v Williams</w:t>
      </w:r>
      <w:r w:rsidRPr="001F47B8">
        <w:rPr>
          <w:rFonts w:cs="Arial"/>
          <w:sz w:val="20"/>
        </w:rPr>
        <w:t xml:space="preserve"> (1996) 186 CLR 71.</w:t>
      </w:r>
    </w:p>
  </w:footnote>
  <w:footnote w:id="83">
    <w:p w14:paraId="06FEAD1D" w14:textId="389EE055" w:rsidR="008D3730" w:rsidRPr="001F47B8" w:rsidRDefault="008D3730">
      <w:pPr>
        <w:pStyle w:val="FootnoteText"/>
        <w:rPr>
          <w:rFonts w:cs="Arial"/>
          <w:i/>
          <w:iCs/>
          <w:sz w:val="20"/>
        </w:rPr>
      </w:pPr>
      <w:r w:rsidRPr="001F47B8">
        <w:rPr>
          <w:rStyle w:val="FootnoteReference"/>
          <w:rFonts w:cs="Arial"/>
          <w:sz w:val="20"/>
        </w:rPr>
        <w:footnoteRef/>
      </w:r>
      <w:r w:rsidRPr="001F47B8">
        <w:rPr>
          <w:rFonts w:cs="Arial"/>
          <w:sz w:val="20"/>
        </w:rPr>
        <w:t xml:space="preserve"> </w:t>
      </w:r>
      <w:r w:rsidR="00654569" w:rsidRPr="001F47B8">
        <w:rPr>
          <w:rStyle w:val="EndnoteTextChar"/>
          <w:rFonts w:cs="Arial"/>
        </w:rPr>
        <w:t>International Covenant on Civil and Political Rights,</w:t>
      </w:r>
      <w:r w:rsidR="00654569" w:rsidRPr="001F47B8">
        <w:rPr>
          <w:rFonts w:cs="Arial"/>
          <w:sz w:val="20"/>
          <w:shd w:val="clear" w:color="auto" w:fill="FFFFFF"/>
        </w:rPr>
        <w:t xml:space="preserve"> opened for signature 16 December 1966, 999 UNTS 171 (entered into force 23 March 1976).</w:t>
      </w:r>
    </w:p>
  </w:footnote>
  <w:footnote w:id="84">
    <w:p w14:paraId="58854B13" w14:textId="6C597A39" w:rsidR="005533C1" w:rsidRPr="001F47B8" w:rsidRDefault="005533C1">
      <w:pPr>
        <w:pStyle w:val="FootnoteText"/>
        <w:rPr>
          <w:rFonts w:cs="Arial"/>
          <w:sz w:val="20"/>
        </w:rPr>
      </w:pPr>
      <w:r w:rsidRPr="001F47B8">
        <w:rPr>
          <w:rStyle w:val="FootnoteReference"/>
          <w:rFonts w:cs="Arial"/>
          <w:sz w:val="20"/>
        </w:rPr>
        <w:footnoteRef/>
      </w:r>
      <w:r w:rsidRPr="001F47B8">
        <w:rPr>
          <w:rFonts w:cs="Arial"/>
          <w:sz w:val="20"/>
        </w:rPr>
        <w:t xml:space="preserve"> </w:t>
      </w:r>
      <w:r w:rsidRPr="001F47B8">
        <w:rPr>
          <w:rFonts w:cs="Arial"/>
          <w:i/>
          <w:iCs/>
          <w:sz w:val="20"/>
        </w:rPr>
        <w:t xml:space="preserve">Hunter and New England Area Health Service v A </w:t>
      </w:r>
      <w:r w:rsidRPr="001F47B8">
        <w:rPr>
          <w:rFonts w:cs="Arial"/>
          <w:sz w:val="20"/>
        </w:rPr>
        <w:t>[2009] NSWSC 761.</w:t>
      </w:r>
    </w:p>
  </w:footnote>
  <w:footnote w:id="85">
    <w:p w14:paraId="549D3DB6" w14:textId="45E69AC5" w:rsidR="00A0472B" w:rsidRPr="001F47B8" w:rsidRDefault="00A0472B">
      <w:pPr>
        <w:pStyle w:val="FootnoteText"/>
        <w:rPr>
          <w:rFonts w:cs="Arial"/>
          <w:sz w:val="20"/>
        </w:rPr>
      </w:pPr>
      <w:r w:rsidRPr="001F47B8">
        <w:rPr>
          <w:rStyle w:val="FootnoteReference"/>
          <w:rFonts w:cs="Arial"/>
          <w:sz w:val="20"/>
        </w:rPr>
        <w:footnoteRef/>
      </w:r>
      <w:r w:rsidRPr="001F47B8">
        <w:rPr>
          <w:rFonts w:cs="Arial"/>
          <w:sz w:val="20"/>
        </w:rPr>
        <w:t xml:space="preserve"> </w:t>
      </w:r>
      <w:r w:rsidR="00417D41" w:rsidRPr="00417D41">
        <w:rPr>
          <w:rFonts w:cs="Arial"/>
          <w:sz w:val="20"/>
        </w:rPr>
        <w:t>Ibid</w:t>
      </w:r>
      <w:r w:rsidR="0001711B" w:rsidRPr="001F47B8">
        <w:rPr>
          <w:rFonts w:cs="Arial"/>
          <w:sz w:val="20"/>
        </w:rPr>
        <w:t xml:space="preserve"> 21.</w:t>
      </w:r>
    </w:p>
  </w:footnote>
  <w:footnote w:id="86">
    <w:p w14:paraId="5A242C36" w14:textId="629CCBD7" w:rsidR="00A75A23" w:rsidRPr="001F47B8" w:rsidRDefault="00A75A23">
      <w:pPr>
        <w:pStyle w:val="FootnoteText"/>
        <w:rPr>
          <w:rFonts w:cs="Arial"/>
          <w:sz w:val="20"/>
        </w:rPr>
      </w:pPr>
      <w:r w:rsidRPr="001F47B8">
        <w:rPr>
          <w:rStyle w:val="FootnoteReference"/>
          <w:rFonts w:cs="Arial"/>
          <w:sz w:val="20"/>
        </w:rPr>
        <w:footnoteRef/>
      </w:r>
      <w:r w:rsidRPr="001F47B8">
        <w:rPr>
          <w:rFonts w:cs="Arial"/>
          <w:sz w:val="20"/>
        </w:rPr>
        <w:t xml:space="preserve"> </w:t>
      </w:r>
      <w:r w:rsidR="00417D41">
        <w:rPr>
          <w:rFonts w:cs="Arial"/>
          <w:sz w:val="20"/>
        </w:rPr>
        <w:t>Ibid</w:t>
      </w:r>
      <w:r w:rsidRPr="001F47B8">
        <w:rPr>
          <w:rFonts w:cs="Arial"/>
          <w:sz w:val="20"/>
        </w:rPr>
        <w:t xml:space="preserve"> 23 citing </w:t>
      </w:r>
      <w:r w:rsidR="00096157" w:rsidRPr="001F47B8">
        <w:rPr>
          <w:rFonts w:cs="Arial"/>
          <w:sz w:val="20"/>
          <w:shd w:val="clear" w:color="auto" w:fill="FFFFFF"/>
        </w:rPr>
        <w:t>Butler-Sloss LJ in </w:t>
      </w:r>
      <w:r w:rsidR="00096157" w:rsidRPr="001F47B8">
        <w:rPr>
          <w:rFonts w:cs="Arial"/>
          <w:i/>
          <w:iCs/>
          <w:sz w:val="20"/>
          <w:bdr w:val="none" w:sz="0" w:space="0" w:color="auto" w:frame="1"/>
          <w:shd w:val="clear" w:color="auto" w:fill="FFFFFF"/>
        </w:rPr>
        <w:t>Re MB</w:t>
      </w:r>
      <w:r w:rsidR="00096157" w:rsidRPr="001F47B8">
        <w:rPr>
          <w:rFonts w:cs="Arial"/>
          <w:sz w:val="20"/>
          <w:shd w:val="clear" w:color="auto" w:fill="FFFFFF"/>
        </w:rPr>
        <w:t> [1997] </w:t>
      </w:r>
      <w:r w:rsidR="00096157" w:rsidRPr="001F47B8">
        <w:rPr>
          <w:rFonts w:cs="Arial"/>
          <w:sz w:val="20"/>
          <w:bdr w:val="none" w:sz="0" w:space="0" w:color="auto" w:frame="1"/>
          <w:shd w:val="clear" w:color="auto" w:fill="FFFFFF"/>
        </w:rPr>
        <w:t>2 FCR 514</w:t>
      </w:r>
      <w:r w:rsidR="00096157" w:rsidRPr="001F47B8">
        <w:rPr>
          <w:rFonts w:cs="Arial"/>
          <w:sz w:val="20"/>
          <w:shd w:val="clear" w:color="auto" w:fill="FFFFFF"/>
        </w:rPr>
        <w:t> at </w:t>
      </w:r>
      <w:r w:rsidR="00096157" w:rsidRPr="001F47B8">
        <w:rPr>
          <w:rFonts w:cs="Arial"/>
          <w:sz w:val="20"/>
          <w:bdr w:val="none" w:sz="0" w:space="0" w:color="auto" w:frame="1"/>
          <w:shd w:val="clear" w:color="auto" w:fill="FFFFFF"/>
        </w:rPr>
        <w:t>553</w:t>
      </w:r>
      <w:r w:rsidRPr="001F47B8">
        <w:rPr>
          <w:rFonts w:cs="Arial"/>
          <w:sz w:val="20"/>
        </w:rPr>
        <w:t>.</w:t>
      </w:r>
    </w:p>
  </w:footnote>
  <w:footnote w:id="87">
    <w:p w14:paraId="10DBA0A6" w14:textId="5EF5B3E6" w:rsidR="00251768" w:rsidRPr="001F47B8" w:rsidRDefault="00251768" w:rsidP="00251768">
      <w:pPr>
        <w:pStyle w:val="FootnoteText"/>
        <w:rPr>
          <w:rFonts w:cs="Arial"/>
          <w:sz w:val="20"/>
        </w:rPr>
      </w:pPr>
      <w:r w:rsidRPr="001F47B8">
        <w:rPr>
          <w:rStyle w:val="FootnoteReference"/>
          <w:rFonts w:cs="Arial"/>
          <w:sz w:val="20"/>
        </w:rPr>
        <w:footnoteRef/>
      </w:r>
      <w:r w:rsidRPr="001F47B8">
        <w:rPr>
          <w:rFonts w:cs="Arial"/>
          <w:sz w:val="20"/>
        </w:rPr>
        <w:t xml:space="preserve"> </w:t>
      </w:r>
      <w:r w:rsidR="00417D41">
        <w:rPr>
          <w:rFonts w:cs="Arial"/>
          <w:sz w:val="20"/>
        </w:rPr>
        <w:t>Ibid.</w:t>
      </w:r>
    </w:p>
  </w:footnote>
  <w:footnote w:id="88">
    <w:p w14:paraId="372F6A48" w14:textId="69B48734" w:rsidR="00F07D69" w:rsidRPr="001F47B8" w:rsidRDefault="00F07D69" w:rsidP="00F07D69">
      <w:pPr>
        <w:pStyle w:val="FootnoteText"/>
        <w:rPr>
          <w:rFonts w:cs="Arial"/>
          <w:sz w:val="20"/>
        </w:rPr>
      </w:pPr>
      <w:r w:rsidRPr="001F47B8">
        <w:rPr>
          <w:rStyle w:val="FootnoteReference"/>
          <w:rFonts w:cs="Arial"/>
          <w:sz w:val="20"/>
        </w:rPr>
        <w:footnoteRef/>
      </w:r>
      <w:r w:rsidRPr="001F47B8">
        <w:rPr>
          <w:rFonts w:cs="Arial"/>
          <w:sz w:val="20"/>
        </w:rPr>
        <w:t xml:space="preserve"> </w:t>
      </w:r>
      <w:r w:rsidR="00B86E3D">
        <w:rPr>
          <w:rFonts w:cs="Arial"/>
          <w:sz w:val="20"/>
        </w:rPr>
        <w:t>Ibid</w:t>
      </w:r>
      <w:r w:rsidRPr="001F47B8">
        <w:rPr>
          <w:rFonts w:cs="Arial"/>
          <w:sz w:val="20"/>
        </w:rPr>
        <w:t xml:space="preserve"> 40, See</w:t>
      </w:r>
      <w:r w:rsidRPr="001F47B8">
        <w:rPr>
          <w:rFonts w:cs="Arial"/>
          <w:i/>
          <w:iCs/>
          <w:sz w:val="20"/>
        </w:rPr>
        <w:t xml:space="preserve"> Mental Health Act 2007 </w:t>
      </w:r>
      <w:r w:rsidRPr="001F47B8">
        <w:rPr>
          <w:rFonts w:cs="Arial"/>
          <w:sz w:val="20"/>
        </w:rPr>
        <w:t>(NSW</w:t>
      </w:r>
      <w:r w:rsidRPr="001F47B8">
        <w:rPr>
          <w:rFonts w:cs="Arial"/>
          <w:i/>
          <w:iCs/>
          <w:sz w:val="20"/>
        </w:rPr>
        <w:t>) ss 14-15.</w:t>
      </w:r>
    </w:p>
  </w:footnote>
  <w:footnote w:id="89">
    <w:p w14:paraId="309EE72D" w14:textId="5A4176A4" w:rsidR="00FB2047" w:rsidRPr="001F47B8" w:rsidRDefault="00FB2047" w:rsidP="001513E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bdr w:val="none" w:sz="0" w:space="0" w:color="auto" w:frame="1"/>
        </w:rPr>
        <w:t>Health Practitioner Regulation National Law Act 2010</w:t>
      </w:r>
      <w:r w:rsidRPr="001F47B8">
        <w:rPr>
          <w:rFonts w:cs="Arial"/>
          <w:i/>
          <w:color w:val="000000" w:themeColor="text1"/>
          <w:sz w:val="20"/>
        </w:rPr>
        <w:t xml:space="preserve"> </w:t>
      </w:r>
      <w:r w:rsidRPr="001F47B8">
        <w:rPr>
          <w:rFonts w:cs="Arial"/>
          <w:color w:val="000000" w:themeColor="text1"/>
          <w:sz w:val="20"/>
        </w:rPr>
        <w:t>(ACT) s </w:t>
      </w:r>
      <w:r w:rsidRPr="001F47B8">
        <w:rPr>
          <w:rFonts w:cs="Arial"/>
          <w:color w:val="000000" w:themeColor="text1"/>
          <w:sz w:val="20"/>
          <w:bdr w:val="none" w:sz="0" w:space="0" w:color="auto" w:frame="1"/>
        </w:rPr>
        <w:t>5</w:t>
      </w:r>
      <w:r w:rsidRPr="001F47B8">
        <w:rPr>
          <w:rFonts w:cs="Arial"/>
          <w:color w:val="000000" w:themeColor="text1"/>
          <w:sz w:val="20"/>
        </w:rPr>
        <w:t xml:space="preserve">, 182, </w:t>
      </w:r>
      <w:r w:rsidRPr="001F47B8">
        <w:rPr>
          <w:rFonts w:cs="Arial"/>
          <w:i/>
          <w:color w:val="000000" w:themeColor="text1"/>
          <w:sz w:val="20"/>
        </w:rPr>
        <w:t>Health Practitioner Regulation National Law</w:t>
      </w:r>
      <w:r w:rsidRPr="001F47B8">
        <w:rPr>
          <w:rFonts w:cs="Arial"/>
          <w:color w:val="000000" w:themeColor="text1"/>
          <w:sz w:val="20"/>
        </w:rPr>
        <w:t xml:space="preserve"> (NT) s 5, 182; </w:t>
      </w:r>
      <w:r w:rsidRPr="001F47B8">
        <w:rPr>
          <w:rFonts w:cs="Arial"/>
          <w:i/>
          <w:color w:val="000000" w:themeColor="text1"/>
          <w:sz w:val="20"/>
        </w:rPr>
        <w:t>Health Practitioner Regulation National Law 2009</w:t>
      </w:r>
      <w:r w:rsidRPr="001F47B8">
        <w:rPr>
          <w:rFonts w:cs="Arial"/>
          <w:color w:val="000000" w:themeColor="text1"/>
          <w:sz w:val="20"/>
        </w:rPr>
        <w:t xml:space="preserve"> (Qld) s 5, 182; </w:t>
      </w:r>
      <w:r w:rsidRPr="001F47B8">
        <w:rPr>
          <w:rFonts w:cs="Arial"/>
          <w:i/>
          <w:color w:val="000000" w:themeColor="text1"/>
          <w:sz w:val="20"/>
          <w:bdr w:val="none" w:sz="0" w:space="0" w:color="auto" w:frame="1"/>
        </w:rPr>
        <w:t>Health Practitioner Regulation National Law Act 2010</w:t>
      </w:r>
      <w:r w:rsidRPr="001F47B8">
        <w:rPr>
          <w:rFonts w:cs="Arial"/>
          <w:color w:val="000000" w:themeColor="text1"/>
          <w:sz w:val="20"/>
        </w:rPr>
        <w:t> (SA) Sch 2 s 5, 182;</w:t>
      </w:r>
      <w:r w:rsidRPr="001F47B8">
        <w:rPr>
          <w:rFonts w:cs="Arial"/>
          <w:i/>
          <w:color w:val="000000" w:themeColor="text1"/>
          <w:sz w:val="20"/>
        </w:rPr>
        <w:t xml:space="preserve"> Health Practitioner Regulation National Law (Tas)</w:t>
      </w:r>
      <w:r w:rsidRPr="001F47B8">
        <w:rPr>
          <w:rFonts w:cs="Arial"/>
          <w:color w:val="000000" w:themeColor="text1"/>
          <w:sz w:val="20"/>
        </w:rPr>
        <w:t xml:space="preserve"> 2010  s 5, 182; </w:t>
      </w:r>
      <w:r w:rsidRPr="001F47B8">
        <w:rPr>
          <w:rFonts w:cs="Arial"/>
          <w:i/>
          <w:color w:val="000000" w:themeColor="text1"/>
          <w:sz w:val="20"/>
        </w:rPr>
        <w:t xml:space="preserve">Health Practitioner Regulation National Law </w:t>
      </w:r>
      <w:r w:rsidRPr="001F47B8">
        <w:rPr>
          <w:rFonts w:cs="Arial"/>
          <w:color w:val="000000" w:themeColor="text1"/>
          <w:sz w:val="20"/>
        </w:rPr>
        <w:t xml:space="preserve">(Vic) 2009 s5, 182; </w:t>
      </w:r>
      <w:r w:rsidRPr="001F47B8">
        <w:rPr>
          <w:rFonts w:cs="Arial"/>
          <w:i/>
          <w:color w:val="000000" w:themeColor="text1"/>
          <w:sz w:val="20"/>
          <w:bdr w:val="none" w:sz="0" w:space="0" w:color="auto" w:frame="1"/>
        </w:rPr>
        <w:t>Health Practitioner Regulation National Law Act 2010</w:t>
      </w:r>
      <w:r w:rsidRPr="001F47B8">
        <w:rPr>
          <w:rFonts w:cs="Arial"/>
          <w:i/>
          <w:color w:val="000000" w:themeColor="text1"/>
          <w:sz w:val="20"/>
        </w:rPr>
        <w:t> </w:t>
      </w:r>
      <w:r w:rsidRPr="001F47B8">
        <w:rPr>
          <w:rFonts w:cs="Arial"/>
          <w:color w:val="000000" w:themeColor="text1"/>
          <w:sz w:val="20"/>
        </w:rPr>
        <w:t>(WA) Sch s 5, 182;</w:t>
      </w:r>
      <w:r w:rsidRPr="001F47B8">
        <w:rPr>
          <w:rFonts w:cs="Arial"/>
          <w:i/>
          <w:color w:val="000000" w:themeColor="text1"/>
          <w:sz w:val="20"/>
        </w:rPr>
        <w:t xml:space="preserve"> </w:t>
      </w:r>
      <w:r w:rsidR="00675313" w:rsidRPr="001F47B8">
        <w:rPr>
          <w:rFonts w:cs="Arial"/>
          <w:i/>
          <w:color w:val="000000" w:themeColor="text1"/>
          <w:sz w:val="20"/>
        </w:rPr>
        <w:t>Health Care Complaints Act 1993</w:t>
      </w:r>
      <w:r w:rsidR="00675313" w:rsidRPr="001F47B8">
        <w:rPr>
          <w:rFonts w:cs="Arial"/>
          <w:color w:val="000000" w:themeColor="text1"/>
          <w:sz w:val="20"/>
        </w:rPr>
        <w:t xml:space="preserve"> </w:t>
      </w:r>
      <w:r w:rsidR="00675313" w:rsidRPr="00675313">
        <w:rPr>
          <w:rFonts w:cs="Arial"/>
          <w:color w:val="000000" w:themeColor="text1"/>
          <w:sz w:val="20"/>
        </w:rPr>
        <w:t>(NSW)</w:t>
      </w:r>
      <w:r w:rsidR="00675313">
        <w:rPr>
          <w:rFonts w:cs="Arial"/>
          <w:color w:val="000000" w:themeColor="text1"/>
          <w:sz w:val="20"/>
        </w:rPr>
        <w:t xml:space="preserve"> </w:t>
      </w:r>
      <w:r w:rsidRPr="001F47B8">
        <w:rPr>
          <w:rFonts w:cs="Arial"/>
          <w:color w:val="000000" w:themeColor="text1"/>
          <w:sz w:val="20"/>
        </w:rPr>
        <w:t xml:space="preserve">s 3, 8(2), </w:t>
      </w:r>
      <w:r w:rsidRPr="001F47B8">
        <w:rPr>
          <w:rFonts w:cs="Arial"/>
          <w:i/>
          <w:color w:val="000000" w:themeColor="text1"/>
          <w:sz w:val="20"/>
        </w:rPr>
        <w:t xml:space="preserve">Public Health Act 2010 </w:t>
      </w:r>
      <w:r w:rsidRPr="001F47B8">
        <w:rPr>
          <w:rFonts w:cs="Arial"/>
          <w:color w:val="000000" w:themeColor="text1"/>
          <w:sz w:val="20"/>
        </w:rPr>
        <w:t xml:space="preserve">(NSW) Part 7,Division (1),(3). </w:t>
      </w:r>
    </w:p>
  </w:footnote>
  <w:footnote w:id="90">
    <w:p w14:paraId="5B176ECE" w14:textId="39AE33E5" w:rsidR="00FB2047" w:rsidRPr="001F47B8" w:rsidRDefault="00FB2047" w:rsidP="001513E7">
      <w:pPr>
        <w:pStyle w:val="UnresolvedMention"/>
        <w:shd w:val="clear" w:color="auto" w:fill="FFFFFF"/>
        <w:spacing w:before="0" w:after="0"/>
        <w:textAlignment w:val="baseline"/>
        <w:rPr>
          <w:rFonts w:cs="Arial"/>
          <w:color w:val="000000" w:themeColor="text1"/>
          <w:sz w:val="20"/>
          <w:szCs w:val="20"/>
        </w:rPr>
      </w:pPr>
      <w:r w:rsidRPr="001F47B8">
        <w:rPr>
          <w:rStyle w:val="FootnoteReference"/>
          <w:rFonts w:eastAsiaTheme="majorEastAsia" w:cs="Arial"/>
          <w:color w:val="000000" w:themeColor="text1"/>
          <w:sz w:val="20"/>
          <w:szCs w:val="20"/>
        </w:rPr>
        <w:footnoteRef/>
      </w:r>
      <w:r w:rsidRPr="001F47B8">
        <w:rPr>
          <w:rFonts w:cs="Arial"/>
          <w:color w:val="000000" w:themeColor="text1"/>
          <w:sz w:val="20"/>
          <w:szCs w:val="20"/>
        </w:rPr>
        <w:t xml:space="preserve"> </w:t>
      </w:r>
      <w:r w:rsidRPr="001F47B8">
        <w:rPr>
          <w:rFonts w:cs="Arial"/>
          <w:i/>
          <w:color w:val="000000" w:themeColor="text1"/>
          <w:sz w:val="20"/>
          <w:szCs w:val="20"/>
        </w:rPr>
        <w:t>Health Practitioner Regulation National Law 2010</w:t>
      </w:r>
      <w:r w:rsidRPr="001F47B8">
        <w:rPr>
          <w:rFonts w:cs="Arial"/>
          <w:color w:val="000000" w:themeColor="text1"/>
          <w:sz w:val="20"/>
          <w:szCs w:val="20"/>
        </w:rPr>
        <w:t xml:space="preserve"> (ACT) Pt 8, </w:t>
      </w:r>
      <w:r w:rsidRPr="001F47B8">
        <w:rPr>
          <w:rFonts w:cs="Arial"/>
          <w:i/>
          <w:color w:val="000000" w:themeColor="text1"/>
          <w:sz w:val="20"/>
          <w:szCs w:val="20"/>
        </w:rPr>
        <w:t xml:space="preserve">Health Practitioner Regulation National Law 2010 </w:t>
      </w:r>
      <w:r w:rsidRPr="001F47B8">
        <w:rPr>
          <w:rFonts w:cs="Arial"/>
          <w:color w:val="000000" w:themeColor="text1"/>
          <w:sz w:val="20"/>
          <w:szCs w:val="20"/>
        </w:rPr>
        <w:t>(NT) Pt 8 ,  </w:t>
      </w:r>
      <w:r w:rsidRPr="001F47B8">
        <w:rPr>
          <w:rFonts w:cs="Arial"/>
          <w:i/>
          <w:color w:val="000000" w:themeColor="text1"/>
          <w:sz w:val="20"/>
          <w:szCs w:val="20"/>
          <w:bdr w:val="none" w:sz="0" w:space="0" w:color="auto" w:frame="1"/>
        </w:rPr>
        <w:t>Health Practitioner Regulation National Law Act 2010</w:t>
      </w:r>
      <w:r w:rsidRPr="001F47B8">
        <w:rPr>
          <w:rFonts w:cs="Arial"/>
          <w:color w:val="000000" w:themeColor="text1"/>
          <w:sz w:val="20"/>
          <w:szCs w:val="20"/>
          <w:bdr w:val="none" w:sz="0" w:space="0" w:color="auto" w:frame="1"/>
        </w:rPr>
        <w:t xml:space="preserve"> (SA)</w:t>
      </w:r>
      <w:r w:rsidRPr="001F47B8">
        <w:rPr>
          <w:rFonts w:cs="Arial"/>
          <w:color w:val="000000" w:themeColor="text1"/>
          <w:sz w:val="20"/>
          <w:szCs w:val="20"/>
        </w:rPr>
        <w:t xml:space="preserve"> Sch 2 Pt 8, </w:t>
      </w:r>
      <w:r w:rsidRPr="001F47B8">
        <w:rPr>
          <w:rFonts w:cs="Arial"/>
          <w:i/>
          <w:color w:val="000000" w:themeColor="text1"/>
          <w:sz w:val="20"/>
          <w:szCs w:val="20"/>
        </w:rPr>
        <w:t xml:space="preserve">Health Practitioner Regulation National Law 2010 </w:t>
      </w:r>
      <w:r w:rsidRPr="001F47B8">
        <w:rPr>
          <w:rFonts w:cs="Arial"/>
          <w:color w:val="000000" w:themeColor="text1"/>
          <w:sz w:val="20"/>
          <w:szCs w:val="20"/>
        </w:rPr>
        <w:t xml:space="preserve">(Tas) Pt 8, </w:t>
      </w:r>
      <w:r w:rsidRPr="001F47B8">
        <w:rPr>
          <w:rFonts w:cs="Arial"/>
          <w:i/>
          <w:color w:val="000000" w:themeColor="text1"/>
          <w:sz w:val="20"/>
          <w:szCs w:val="20"/>
        </w:rPr>
        <w:t>Health Practitioner Regulation National Law</w:t>
      </w:r>
      <w:r w:rsidRPr="001F47B8">
        <w:rPr>
          <w:rFonts w:cs="Arial"/>
          <w:color w:val="000000" w:themeColor="text1"/>
          <w:sz w:val="20"/>
          <w:szCs w:val="20"/>
        </w:rPr>
        <w:t xml:space="preserve"> </w:t>
      </w:r>
      <w:r w:rsidRPr="001F47B8">
        <w:rPr>
          <w:rFonts w:cs="Arial"/>
          <w:i/>
          <w:color w:val="000000" w:themeColor="text1"/>
          <w:sz w:val="20"/>
          <w:szCs w:val="20"/>
        </w:rPr>
        <w:t>2009</w:t>
      </w:r>
      <w:r w:rsidRPr="001F47B8">
        <w:rPr>
          <w:rFonts w:cs="Arial"/>
          <w:color w:val="000000" w:themeColor="text1"/>
          <w:sz w:val="20"/>
          <w:szCs w:val="20"/>
        </w:rPr>
        <w:t xml:space="preserve"> (Vic) Pt 8, </w:t>
      </w:r>
      <w:r w:rsidRPr="001F47B8">
        <w:rPr>
          <w:rFonts w:cs="Arial"/>
          <w:i/>
          <w:color w:val="000000" w:themeColor="text1"/>
          <w:sz w:val="20"/>
          <w:szCs w:val="20"/>
          <w:bdr w:val="none" w:sz="0" w:space="0" w:color="auto" w:frame="1"/>
        </w:rPr>
        <w:t xml:space="preserve">Health Practitioner Regulation National Law </w:t>
      </w:r>
      <w:r w:rsidRPr="001F47B8">
        <w:rPr>
          <w:rFonts w:cs="Arial"/>
          <w:color w:val="000000" w:themeColor="text1"/>
          <w:sz w:val="20"/>
          <w:szCs w:val="20"/>
          <w:bdr w:val="none" w:sz="0" w:space="0" w:color="auto" w:frame="1"/>
        </w:rPr>
        <w:t xml:space="preserve">Act </w:t>
      </w:r>
      <w:r w:rsidRPr="001F47B8">
        <w:rPr>
          <w:rFonts w:cs="Arial"/>
          <w:i/>
          <w:color w:val="000000" w:themeColor="text1"/>
          <w:sz w:val="20"/>
          <w:szCs w:val="20"/>
          <w:bdr w:val="none" w:sz="0" w:space="0" w:color="auto" w:frame="1"/>
        </w:rPr>
        <w:t>2010</w:t>
      </w:r>
      <w:r w:rsidRPr="001F47B8">
        <w:rPr>
          <w:rFonts w:cs="Arial"/>
          <w:color w:val="000000" w:themeColor="text1"/>
          <w:sz w:val="20"/>
          <w:szCs w:val="20"/>
        </w:rPr>
        <w:t xml:space="preserve"> (WA)  Sch Pt 8.</w:t>
      </w:r>
    </w:p>
  </w:footnote>
  <w:footnote w:id="91">
    <w:p w14:paraId="2D02BD4A" w14:textId="190F2398" w:rsidR="00FB2047" w:rsidRPr="001F47B8" w:rsidRDefault="00FB2047" w:rsidP="003E3A9E">
      <w:pPr>
        <w:pStyle w:val="FootnoteText"/>
        <w:rPr>
          <w:rFonts w:cs="Arial"/>
          <w:color w:val="000000" w:themeColor="text1"/>
          <w:sz w:val="20"/>
        </w:rPr>
      </w:pPr>
      <w:r w:rsidRPr="001F47B8">
        <w:rPr>
          <w:rStyle w:val="FootnoteReference"/>
          <w:rFonts w:eastAsiaTheme="majorEastAsia" w:cs="Arial"/>
          <w:color w:val="000000" w:themeColor="text1"/>
          <w:sz w:val="20"/>
        </w:rPr>
        <w:footnoteRef/>
      </w:r>
      <w:r w:rsidRPr="001F47B8">
        <w:rPr>
          <w:rFonts w:cs="Arial"/>
          <w:color w:val="000000" w:themeColor="text1"/>
          <w:sz w:val="20"/>
        </w:rPr>
        <w:t xml:space="preserve"> </w:t>
      </w:r>
      <w:r w:rsidR="003E3A9E" w:rsidRPr="001F47B8">
        <w:rPr>
          <w:rFonts w:cs="Arial"/>
          <w:i/>
          <w:color w:val="000000" w:themeColor="text1"/>
          <w:sz w:val="20"/>
        </w:rPr>
        <w:t xml:space="preserve">Health Practitioner Regulation (Adoption of National Law) </w:t>
      </w:r>
      <w:r w:rsidR="003E3A9E" w:rsidRPr="003E3A9E">
        <w:rPr>
          <w:rFonts w:cs="Arial"/>
          <w:i/>
          <w:color w:val="000000" w:themeColor="text1"/>
          <w:sz w:val="20"/>
        </w:rPr>
        <w:t>Act 2009</w:t>
      </w:r>
      <w:r w:rsidR="003E3A9E" w:rsidRPr="003E3A9E">
        <w:rPr>
          <w:rFonts w:cs="Arial"/>
          <w:color w:val="000000" w:themeColor="text1"/>
          <w:sz w:val="20"/>
        </w:rPr>
        <w:t xml:space="preserve"> (NSW)</w:t>
      </w:r>
      <w:r w:rsidR="003E3A9E" w:rsidRPr="001F47B8">
        <w:rPr>
          <w:rFonts w:cs="Arial"/>
          <w:color w:val="000000" w:themeColor="text1"/>
          <w:sz w:val="20"/>
        </w:rPr>
        <w:t xml:space="preserve"> </w:t>
      </w:r>
      <w:r w:rsidRPr="001F47B8">
        <w:rPr>
          <w:rFonts w:cs="Arial"/>
          <w:color w:val="000000" w:themeColor="text1"/>
          <w:sz w:val="20"/>
        </w:rPr>
        <w:t xml:space="preserve">ss 6, 7A-7C, Pt 8; </w:t>
      </w:r>
      <w:r w:rsidRPr="001F47B8">
        <w:rPr>
          <w:rFonts w:cs="Arial"/>
          <w:i/>
          <w:color w:val="000000" w:themeColor="text1"/>
          <w:sz w:val="20"/>
        </w:rPr>
        <w:t>Health Practitioner Regulation National Law (</w:t>
      </w:r>
      <w:r w:rsidR="00092D7F">
        <w:rPr>
          <w:rFonts w:cs="Arial"/>
          <w:i/>
          <w:color w:val="000000" w:themeColor="text1"/>
          <w:sz w:val="20"/>
        </w:rPr>
        <w:t>Qld</w:t>
      </w:r>
      <w:r w:rsidRPr="001F47B8">
        <w:rPr>
          <w:rFonts w:cs="Arial"/>
          <w:i/>
          <w:color w:val="000000" w:themeColor="text1"/>
          <w:sz w:val="20"/>
        </w:rPr>
        <w:t>)</w:t>
      </w:r>
      <w:r w:rsidRPr="001F47B8">
        <w:rPr>
          <w:rFonts w:cs="Arial"/>
          <w:color w:val="000000" w:themeColor="text1"/>
          <w:sz w:val="20"/>
        </w:rPr>
        <w:t xml:space="preserve"> Pt 8.</w:t>
      </w:r>
    </w:p>
  </w:footnote>
  <w:footnote w:id="92">
    <w:p w14:paraId="5D247B4D" w14:textId="1267ED8C" w:rsidR="00FB2047" w:rsidRPr="001F47B8" w:rsidRDefault="00FB2047" w:rsidP="00A97230">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Halsbury Laws of Australia, [28-]222] (c) Disciplinary Matters and Offences – Registration of Medical Practitioners, </w:t>
      </w:r>
      <w:r w:rsidRPr="001F47B8">
        <w:rPr>
          <w:rFonts w:cs="Arial"/>
          <w:color w:val="000000" w:themeColor="text1"/>
          <w:sz w:val="20"/>
        </w:rPr>
        <w:t>(updated 6 April 2016), accessed 24, April 2020).</w:t>
      </w:r>
    </w:p>
  </w:footnote>
  <w:footnote w:id="93">
    <w:p w14:paraId="6AE64815" w14:textId="3AFF899D"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Patents Act 1990 </w:t>
      </w:r>
      <w:r w:rsidRPr="001F47B8">
        <w:rPr>
          <w:rFonts w:cs="Arial"/>
          <w:color w:val="000000" w:themeColor="text1"/>
          <w:sz w:val="20"/>
        </w:rPr>
        <w:t>(Cth) s 13.</w:t>
      </w:r>
    </w:p>
  </w:footnote>
  <w:footnote w:id="94">
    <w:p w14:paraId="1F682F43" w14:textId="6D2409C9"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Debra Harry, ‘Bio colonialism and Indigenous knowledge in United nations Discourse’</w:t>
      </w:r>
      <w:r w:rsidRPr="001F47B8">
        <w:rPr>
          <w:rFonts w:cs="Arial"/>
          <w:i/>
          <w:color w:val="000000" w:themeColor="text1"/>
          <w:sz w:val="20"/>
        </w:rPr>
        <w:t xml:space="preserve"> </w:t>
      </w:r>
      <w:r w:rsidRPr="001F47B8">
        <w:rPr>
          <w:rFonts w:cs="Arial"/>
          <w:color w:val="000000" w:themeColor="text1"/>
          <w:sz w:val="20"/>
        </w:rPr>
        <w:t xml:space="preserve">(2011), </w:t>
      </w:r>
      <w:r w:rsidRPr="001F47B8">
        <w:rPr>
          <w:rFonts w:cs="Arial"/>
          <w:i/>
          <w:color w:val="000000" w:themeColor="text1"/>
          <w:sz w:val="20"/>
        </w:rPr>
        <w:t>Griffith Law Review</w:t>
      </w:r>
      <w:r w:rsidRPr="001F47B8">
        <w:rPr>
          <w:rFonts w:cs="Arial"/>
          <w:color w:val="000000" w:themeColor="text1"/>
          <w:sz w:val="20"/>
        </w:rPr>
        <w:t>, 20(1), 702,702, see also International Center for Technology Assessment, the Indigenous Peoples Council on Biocolonialism, Greenpeace and the Council for Responsible Genetics, ‘Brief for Amici Curiae in Support of the Plaintiffs’, Submission in Association for Molecular Pathology, et al. v. Myriad Genetics, 569 </w:t>
      </w:r>
      <w:hyperlink r:id="rId11" w:tooltip="United States Reports" w:history="1">
        <w:r w:rsidRPr="001F47B8">
          <w:rPr>
            <w:rFonts w:cs="Arial"/>
            <w:color w:val="000000" w:themeColor="text1"/>
            <w:sz w:val="20"/>
          </w:rPr>
          <w:t>U.S.</w:t>
        </w:r>
      </w:hyperlink>
      <w:r w:rsidRPr="001F47B8">
        <w:rPr>
          <w:rFonts w:cs="Arial"/>
          <w:color w:val="000000" w:themeColor="text1"/>
          <w:sz w:val="20"/>
        </w:rPr>
        <w:t> 576,12,15, (2013),10 September 2009,19.</w:t>
      </w:r>
    </w:p>
  </w:footnote>
  <w:footnote w:id="95">
    <w:p w14:paraId="3F3AC013" w14:textId="1F44681B"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rPr>
        <w:t xml:space="preserve">Patents Act 1990 </w:t>
      </w:r>
      <w:r w:rsidRPr="001F47B8">
        <w:rPr>
          <w:rFonts w:cs="Arial"/>
          <w:color w:val="000000" w:themeColor="text1"/>
          <w:sz w:val="20"/>
        </w:rPr>
        <w:t>(Cth) s 18(1A)(b).</w:t>
      </w:r>
    </w:p>
  </w:footnote>
  <w:footnote w:id="96">
    <w:p w14:paraId="4BE75E10" w14:textId="1A9864D3"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IP Australia</w:t>
      </w:r>
      <w:r w:rsidRPr="001F47B8">
        <w:rPr>
          <w:rFonts w:cs="Arial"/>
          <w:i/>
          <w:color w:val="000000" w:themeColor="text1"/>
          <w:sz w:val="20"/>
        </w:rPr>
        <w:t xml:space="preserve">, </w:t>
      </w:r>
      <w:r w:rsidRPr="001F47B8">
        <w:rPr>
          <w:rFonts w:cs="Arial"/>
          <w:color w:val="000000" w:themeColor="text1"/>
          <w:sz w:val="20"/>
        </w:rPr>
        <w:t xml:space="preserve">‘Types of Patents’, </w:t>
      </w:r>
      <w:r w:rsidRPr="001F47B8">
        <w:rPr>
          <w:rFonts w:cs="Arial"/>
          <w:i/>
          <w:color w:val="000000" w:themeColor="text1"/>
          <w:sz w:val="20"/>
        </w:rPr>
        <w:t xml:space="preserve">Understanding </w:t>
      </w:r>
      <w:r w:rsidRPr="001F47B8">
        <w:rPr>
          <w:rFonts w:cs="Arial"/>
          <w:i/>
          <w:iCs/>
          <w:color w:val="000000" w:themeColor="text1"/>
          <w:sz w:val="20"/>
        </w:rPr>
        <w:t>Patents</w:t>
      </w:r>
      <w:r w:rsidRPr="001F47B8">
        <w:rPr>
          <w:rFonts w:cs="Arial"/>
          <w:color w:val="000000" w:themeColor="text1"/>
          <w:sz w:val="20"/>
        </w:rPr>
        <w:t xml:space="preserve"> (Website, 26 April 2020) &lt;</w:t>
      </w:r>
      <w:hyperlink r:id="rId12" w:history="1">
        <w:r w:rsidRPr="001F47B8">
          <w:rPr>
            <w:rStyle w:val="Hyperlink"/>
            <w:rFonts w:cs="Arial"/>
            <w:color w:val="000000" w:themeColor="text1"/>
            <w:sz w:val="20"/>
          </w:rPr>
          <w:t>https://www.ipaustralia.gov.au/patents/understanding-p</w:t>
        </w:r>
        <w:bookmarkStart w:id="86" w:name="_Hlt39157138"/>
        <w:r w:rsidRPr="001F47B8">
          <w:rPr>
            <w:rStyle w:val="Hyperlink"/>
            <w:rFonts w:cs="Arial"/>
            <w:color w:val="000000" w:themeColor="text1"/>
            <w:sz w:val="20"/>
          </w:rPr>
          <w:t>a</w:t>
        </w:r>
        <w:bookmarkEnd w:id="86"/>
        <w:r w:rsidRPr="001F47B8">
          <w:rPr>
            <w:rStyle w:val="Hyperlink"/>
            <w:rFonts w:cs="Arial"/>
            <w:color w:val="000000" w:themeColor="text1"/>
            <w:sz w:val="20"/>
          </w:rPr>
          <w:t>tents/types-patents</w:t>
        </w:r>
      </w:hyperlink>
      <w:r w:rsidRPr="001F47B8">
        <w:rPr>
          <w:rFonts w:cs="Arial"/>
          <w:color w:val="000000" w:themeColor="text1"/>
          <w:sz w:val="20"/>
        </w:rPr>
        <w:t>&gt;</w:t>
      </w:r>
      <w:r w:rsidR="00DD4923">
        <w:rPr>
          <w:rFonts w:cs="Arial"/>
          <w:color w:val="000000" w:themeColor="text1"/>
          <w:sz w:val="20"/>
        </w:rPr>
        <w:t>.</w:t>
      </w:r>
      <w:r w:rsidRPr="001F47B8">
        <w:rPr>
          <w:rFonts w:cs="Arial"/>
          <w:color w:val="000000" w:themeColor="text1"/>
          <w:sz w:val="20"/>
        </w:rPr>
        <w:t xml:space="preserve"> </w:t>
      </w:r>
    </w:p>
  </w:footnote>
  <w:footnote w:id="97">
    <w:p w14:paraId="3678CCE4" w14:textId="5D35FB5F" w:rsidR="00FB2047" w:rsidRPr="001F47B8" w:rsidRDefault="00FB2047" w:rsidP="003055EC">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National Research Development Corporation v Commissioner of Patents </w:t>
      </w:r>
      <w:r w:rsidRPr="001F47B8">
        <w:rPr>
          <w:rFonts w:cs="Arial"/>
          <w:color w:val="000000" w:themeColor="text1"/>
          <w:sz w:val="20"/>
        </w:rPr>
        <w:t>(1959) 102 CLR 252.</w:t>
      </w:r>
    </w:p>
  </w:footnote>
  <w:footnote w:id="98">
    <w:p w14:paraId="535904DE" w14:textId="689C7641" w:rsidR="00FB2047" w:rsidRPr="001F47B8" w:rsidRDefault="00FB2047" w:rsidP="003055EC">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53BBA" w:rsidRPr="00F53BBA">
        <w:rPr>
          <w:rFonts w:cs="Arial"/>
          <w:color w:val="000000" w:themeColor="text1"/>
          <w:sz w:val="20"/>
        </w:rPr>
        <w:t>Ibid</w:t>
      </w:r>
      <w:r w:rsidRPr="001F47B8">
        <w:rPr>
          <w:rFonts w:cs="Arial"/>
          <w:color w:val="000000" w:themeColor="text1"/>
          <w:sz w:val="20"/>
        </w:rPr>
        <w:t xml:space="preserve">; </w:t>
      </w:r>
      <w:r w:rsidR="00A53C79">
        <w:rPr>
          <w:rFonts w:cs="Arial"/>
          <w:color w:val="000000" w:themeColor="text1"/>
          <w:sz w:val="20"/>
        </w:rPr>
        <w:t xml:space="preserve">ALRC, </w:t>
      </w:r>
      <w:r w:rsidR="00A53C79">
        <w:rPr>
          <w:rFonts w:cs="Arial"/>
          <w:i/>
          <w:iCs/>
          <w:color w:val="000000" w:themeColor="text1"/>
          <w:sz w:val="20"/>
        </w:rPr>
        <w:t xml:space="preserve">Genes and Ingenuity, </w:t>
      </w:r>
      <w:r w:rsidR="00A53C79">
        <w:rPr>
          <w:rFonts w:cs="Arial"/>
          <w:color w:val="000000" w:themeColor="text1"/>
          <w:sz w:val="20"/>
        </w:rPr>
        <w:t>(n 25)</w:t>
      </w:r>
      <w:r w:rsidRPr="001F47B8">
        <w:rPr>
          <w:rFonts w:cs="Arial"/>
          <w:i/>
          <w:iCs/>
          <w:color w:val="000000" w:themeColor="text1"/>
          <w:sz w:val="20"/>
        </w:rPr>
        <w:t xml:space="preserve">, </w:t>
      </w:r>
      <w:r w:rsidRPr="001F47B8">
        <w:rPr>
          <w:rFonts w:cs="Arial"/>
          <w:color w:val="000000" w:themeColor="text1"/>
          <w:sz w:val="20"/>
        </w:rPr>
        <w:t>6.23.</w:t>
      </w:r>
    </w:p>
  </w:footnote>
  <w:footnote w:id="99">
    <w:p w14:paraId="191CA1C7" w14:textId="70515C76" w:rsidR="00FB2047" w:rsidRPr="001513E7" w:rsidRDefault="00FB2047" w:rsidP="00512AD3">
      <w:pPr>
        <w:tabs>
          <w:tab w:val="left" w:pos="2355"/>
        </w:tabs>
        <w:spacing w:after="0" w:line="240" w:lineRule="auto"/>
        <w:rPr>
          <w:rFonts w:cs="Arial"/>
          <w:color w:val="000000" w:themeColor="text1"/>
          <w:sz w:val="20"/>
          <w:szCs w:val="20"/>
        </w:rPr>
      </w:pPr>
      <w:r w:rsidRPr="001513E7">
        <w:rPr>
          <w:rStyle w:val="FootnoteReference"/>
          <w:rFonts w:cs="Arial"/>
          <w:color w:val="000000" w:themeColor="text1"/>
          <w:sz w:val="20"/>
          <w:szCs w:val="20"/>
        </w:rPr>
        <w:footnoteRef/>
      </w:r>
      <w:r w:rsidRPr="001513E7">
        <w:rPr>
          <w:rFonts w:cs="Arial"/>
          <w:color w:val="000000" w:themeColor="text1"/>
          <w:sz w:val="20"/>
          <w:szCs w:val="20"/>
        </w:rPr>
        <w:t xml:space="preserve"> </w:t>
      </w:r>
      <w:r w:rsidR="00512AD3" w:rsidRPr="001513E7">
        <w:rPr>
          <w:rFonts w:cs="Arial"/>
          <w:i/>
          <w:color w:val="000000" w:themeColor="text1"/>
          <w:sz w:val="20"/>
          <w:szCs w:val="20"/>
        </w:rPr>
        <w:t xml:space="preserve">Bernhard Joos v Commissioner of Patents </w:t>
      </w:r>
      <w:r w:rsidR="00940A74" w:rsidRPr="001513E7">
        <w:rPr>
          <w:rFonts w:cs="Arial"/>
          <w:color w:val="000000" w:themeColor="text1"/>
          <w:sz w:val="20"/>
          <w:szCs w:val="20"/>
        </w:rPr>
        <w:t>(1972)</w:t>
      </w:r>
      <w:r w:rsidRPr="001513E7">
        <w:rPr>
          <w:rFonts w:cs="Arial"/>
          <w:i/>
          <w:color w:val="000000" w:themeColor="text1"/>
          <w:sz w:val="20"/>
          <w:szCs w:val="20"/>
        </w:rPr>
        <w:t xml:space="preserve"> </w:t>
      </w:r>
      <w:r w:rsidR="00512AD3" w:rsidRPr="001513E7">
        <w:rPr>
          <w:rFonts w:cs="Arial"/>
          <w:color w:val="000000" w:themeColor="text1"/>
          <w:sz w:val="20"/>
          <w:szCs w:val="20"/>
        </w:rPr>
        <w:t xml:space="preserve">126 CLR 611. </w:t>
      </w:r>
    </w:p>
  </w:footnote>
  <w:footnote w:id="100">
    <w:p w14:paraId="58609E0A" w14:textId="09C00829" w:rsidR="00FB2047" w:rsidRPr="001F47B8" w:rsidRDefault="00FB2047" w:rsidP="0082024A">
      <w:pPr>
        <w:pStyle w:val="FootnoteText"/>
        <w:rPr>
          <w:rFonts w:cs="Arial"/>
          <w:sz w:val="20"/>
        </w:rPr>
      </w:pPr>
      <w:r w:rsidRPr="001F47B8">
        <w:rPr>
          <w:rStyle w:val="FootnoteReference"/>
          <w:rFonts w:cs="Arial"/>
          <w:sz w:val="20"/>
        </w:rPr>
        <w:footnoteRef/>
      </w:r>
      <w:r w:rsidRPr="001F47B8">
        <w:rPr>
          <w:rFonts w:cs="Arial"/>
          <w:sz w:val="20"/>
        </w:rPr>
        <w:t xml:space="preserve"> </w:t>
      </w:r>
      <w:r w:rsidR="00730EE4">
        <w:rPr>
          <w:rFonts w:cs="Arial"/>
          <w:color w:val="000000" w:themeColor="text1"/>
          <w:sz w:val="20"/>
        </w:rPr>
        <w:t xml:space="preserve">ALRC, </w:t>
      </w:r>
      <w:r w:rsidR="00730EE4">
        <w:rPr>
          <w:rFonts w:cs="Arial"/>
          <w:i/>
          <w:iCs/>
          <w:color w:val="000000" w:themeColor="text1"/>
          <w:sz w:val="20"/>
        </w:rPr>
        <w:t xml:space="preserve">Genes and Ingenuity, </w:t>
      </w:r>
      <w:r w:rsidR="00730EE4">
        <w:rPr>
          <w:rFonts w:cs="Arial"/>
          <w:color w:val="000000" w:themeColor="text1"/>
          <w:sz w:val="20"/>
        </w:rPr>
        <w:t>(n 25)</w:t>
      </w:r>
      <w:r w:rsidRPr="001F47B8">
        <w:rPr>
          <w:rFonts w:cs="Arial"/>
          <w:sz w:val="20"/>
          <w:shd w:val="clear" w:color="auto" w:fill="FFFFFF"/>
        </w:rPr>
        <w:t>, [7.31].</w:t>
      </w:r>
    </w:p>
  </w:footnote>
  <w:footnote w:id="101">
    <w:p w14:paraId="0D9BD55B" w14:textId="10714418" w:rsidR="00FB2047" w:rsidRPr="001F47B8" w:rsidRDefault="00FB2047" w:rsidP="0082024A">
      <w:pPr>
        <w:pStyle w:val="FootnoteText"/>
        <w:rPr>
          <w:rFonts w:cs="Arial"/>
          <w:sz w:val="20"/>
        </w:rPr>
      </w:pPr>
      <w:r w:rsidRPr="001F47B8">
        <w:rPr>
          <w:rStyle w:val="FootnoteReference"/>
          <w:rFonts w:cs="Arial"/>
          <w:sz w:val="20"/>
        </w:rPr>
        <w:footnoteRef/>
      </w:r>
      <w:r w:rsidRPr="001F47B8">
        <w:rPr>
          <w:rFonts w:cs="Arial"/>
          <w:sz w:val="20"/>
        </w:rPr>
        <w:t xml:space="preserve"> </w:t>
      </w:r>
      <w:r w:rsidR="00730EE4">
        <w:rPr>
          <w:rFonts w:cs="Arial"/>
          <w:color w:val="000000" w:themeColor="text1"/>
          <w:sz w:val="20"/>
        </w:rPr>
        <w:t xml:space="preserve">ALRC, </w:t>
      </w:r>
      <w:r w:rsidR="00730EE4">
        <w:rPr>
          <w:rFonts w:cs="Arial"/>
          <w:i/>
          <w:iCs/>
          <w:color w:val="000000" w:themeColor="text1"/>
          <w:sz w:val="20"/>
        </w:rPr>
        <w:t xml:space="preserve">Genes and Ingenuity, </w:t>
      </w:r>
      <w:r w:rsidR="00730EE4">
        <w:rPr>
          <w:rFonts w:cs="Arial"/>
          <w:color w:val="000000" w:themeColor="text1"/>
          <w:sz w:val="20"/>
        </w:rPr>
        <w:t>(n 25)</w:t>
      </w:r>
      <w:r w:rsidRPr="001F47B8">
        <w:rPr>
          <w:rFonts w:cs="Arial"/>
          <w:sz w:val="20"/>
          <w:shd w:val="clear" w:color="auto" w:fill="FFFFFF"/>
        </w:rPr>
        <w:t xml:space="preserve">, [7.31]; </w:t>
      </w:r>
      <w:r w:rsidRPr="001F47B8">
        <w:rPr>
          <w:rStyle w:val="EndnoteTextChar"/>
          <w:rFonts w:cs="Arial"/>
          <w:color w:val="000000"/>
          <w:spacing w:val="2"/>
        </w:rPr>
        <w:t>Anaesthetic Supplies Pty Ltd v Rescare Ltd</w:t>
      </w:r>
      <w:r w:rsidRPr="001F47B8">
        <w:rPr>
          <w:rFonts w:cs="Arial"/>
          <w:color w:val="000000"/>
          <w:spacing w:val="2"/>
          <w:sz w:val="20"/>
        </w:rPr>
        <w:t> (1994) 50 FCR 1, 19.</w:t>
      </w:r>
    </w:p>
  </w:footnote>
  <w:footnote w:id="102">
    <w:p w14:paraId="7A76FCB2" w14:textId="67A92BC2" w:rsidR="00FB2047" w:rsidRPr="001F47B8" w:rsidRDefault="00FB2047" w:rsidP="003055EC">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Diamond v. Chakrabarty</w:t>
      </w:r>
      <w:r w:rsidRPr="001F47B8">
        <w:rPr>
          <w:rFonts w:cs="Arial"/>
          <w:color w:val="000000" w:themeColor="text1"/>
          <w:sz w:val="20"/>
        </w:rPr>
        <w:t>, 447 U.S. 303 (1980).</w:t>
      </w:r>
    </w:p>
  </w:footnote>
  <w:footnote w:id="103">
    <w:p w14:paraId="41C93BB7" w14:textId="65CC55D1" w:rsidR="00FB2047" w:rsidRPr="001F47B8" w:rsidRDefault="00FB2047" w:rsidP="003055EC">
      <w:pPr>
        <w:pStyle w:val="FootnoteText"/>
        <w:rPr>
          <w:rFonts w:cs="Arial"/>
          <w:i/>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Matthew Rimmer, ‘The Empire of Cancer: Gene Patents and Cancer Voices’ [2013] 22(2) </w:t>
      </w:r>
      <w:r w:rsidRPr="001F47B8">
        <w:rPr>
          <w:rFonts w:cs="Arial"/>
          <w:i/>
          <w:color w:val="000000" w:themeColor="text1"/>
          <w:sz w:val="20"/>
        </w:rPr>
        <w:t xml:space="preserve">Journal of Law, Information and Science, </w:t>
      </w:r>
      <w:r w:rsidRPr="001F47B8">
        <w:rPr>
          <w:rFonts w:cs="Arial"/>
          <w:color w:val="000000" w:themeColor="text1"/>
          <w:sz w:val="20"/>
        </w:rPr>
        <w:t xml:space="preserve">18, 3.2, </w:t>
      </w:r>
      <w:r w:rsidRPr="001F47B8">
        <w:rPr>
          <w:rFonts w:cs="Arial"/>
          <w:i/>
          <w:color w:val="000000" w:themeColor="text1"/>
          <w:sz w:val="20"/>
          <w:shd w:val="clear" w:color="auto" w:fill="FFFFFF"/>
        </w:rPr>
        <w:t>Grain Pool of Western Australia v Commonwealth of Australia </w:t>
      </w:r>
      <w:r w:rsidRPr="001F47B8">
        <w:rPr>
          <w:rFonts w:cs="Arial"/>
          <w:color w:val="000000" w:themeColor="text1"/>
          <w:sz w:val="20"/>
          <w:shd w:val="clear" w:color="auto" w:fill="FFFFFF"/>
        </w:rPr>
        <w:t>(2000) 202 CLR 479, [28]-[32]</w:t>
      </w:r>
      <w:r w:rsidR="00335AA7">
        <w:rPr>
          <w:rFonts w:cs="Arial"/>
          <w:color w:val="000000" w:themeColor="text1"/>
          <w:sz w:val="20"/>
          <w:shd w:val="clear" w:color="auto" w:fill="FFFFFF"/>
        </w:rPr>
        <w:t>.</w:t>
      </w:r>
    </w:p>
  </w:footnote>
  <w:footnote w:id="104">
    <w:p w14:paraId="6004A97B" w14:textId="62D43E71" w:rsidR="00FB2047" w:rsidRPr="001F47B8" w:rsidRDefault="00FB2047" w:rsidP="003055EC">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shd w:val="clear" w:color="auto" w:fill="FFFFFF"/>
        </w:rPr>
        <w:t>D’Arcy v Myriad Genetics Inc</w:t>
      </w:r>
      <w:r w:rsidRPr="001F47B8">
        <w:rPr>
          <w:rFonts w:cs="Arial"/>
          <w:color w:val="000000" w:themeColor="text1"/>
          <w:sz w:val="20"/>
          <w:shd w:val="clear" w:color="auto" w:fill="FFFFFF"/>
        </w:rPr>
        <w:t> [2015] HCA 35, Matthew Rimmer, ‘</w:t>
      </w:r>
      <w:r w:rsidRPr="001F47B8">
        <w:rPr>
          <w:rFonts w:cs="Arial"/>
          <w:i/>
          <w:color w:val="000000" w:themeColor="text1"/>
          <w:sz w:val="20"/>
          <w:shd w:val="clear" w:color="auto" w:fill="FFFFFF"/>
        </w:rPr>
        <w:t>Gene Genie: The Judicial Revolution in Biotech IP</w:t>
      </w:r>
      <w:r w:rsidRPr="001F47B8">
        <w:rPr>
          <w:rFonts w:cs="Arial"/>
          <w:color w:val="000000" w:themeColor="text1"/>
          <w:sz w:val="20"/>
          <w:shd w:val="clear" w:color="auto" w:fill="FFFFFF"/>
        </w:rPr>
        <w:t xml:space="preserve">’, (2016) 26(2), </w:t>
      </w:r>
      <w:r w:rsidRPr="001F47B8">
        <w:rPr>
          <w:rFonts w:cs="Arial"/>
          <w:i/>
          <w:color w:val="000000" w:themeColor="text1"/>
          <w:sz w:val="20"/>
          <w:shd w:val="clear" w:color="auto" w:fill="FFFFFF"/>
        </w:rPr>
        <w:t>Australasian Biotechnology</w:t>
      </w:r>
      <w:r w:rsidRPr="001F47B8">
        <w:rPr>
          <w:rFonts w:cs="Arial"/>
          <w:color w:val="000000" w:themeColor="text1"/>
          <w:sz w:val="20"/>
          <w:shd w:val="clear" w:color="auto" w:fill="FFFFFF"/>
        </w:rPr>
        <w:t>, 60.</w:t>
      </w:r>
    </w:p>
  </w:footnote>
  <w:footnote w:id="105">
    <w:p w14:paraId="06105865" w14:textId="6B050E90"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rPr>
        <w:t>Patents Act 1990</w:t>
      </w:r>
      <w:r w:rsidRPr="001F47B8">
        <w:rPr>
          <w:rFonts w:cs="Arial"/>
          <w:color w:val="000000" w:themeColor="text1"/>
          <w:sz w:val="20"/>
        </w:rPr>
        <w:t xml:space="preserve"> (Cth) s 18(2)</w:t>
      </w:r>
      <w:r w:rsidR="00335AA7">
        <w:rPr>
          <w:rFonts w:cs="Arial"/>
          <w:color w:val="000000" w:themeColor="text1"/>
          <w:sz w:val="20"/>
        </w:rPr>
        <w:t>.</w:t>
      </w:r>
    </w:p>
  </w:footnote>
  <w:footnote w:id="106">
    <w:p w14:paraId="229A8D80" w14:textId="6541E74D" w:rsidR="005359C1" w:rsidRPr="002B5F46" w:rsidRDefault="005359C1">
      <w:pPr>
        <w:pStyle w:val="FootnoteText"/>
        <w:rPr>
          <w:rFonts w:cs="Arial"/>
          <w:sz w:val="20"/>
          <w:lang w:val="en-US"/>
        </w:rPr>
      </w:pPr>
      <w:r w:rsidRPr="003150CE">
        <w:rPr>
          <w:rStyle w:val="FootnoteReference"/>
          <w:rFonts w:cs="Arial"/>
          <w:sz w:val="20"/>
        </w:rPr>
        <w:footnoteRef/>
      </w:r>
      <w:r w:rsidRPr="003150CE">
        <w:rPr>
          <w:rFonts w:cs="Arial"/>
          <w:sz w:val="20"/>
        </w:rPr>
        <w:t xml:space="preserve"> </w:t>
      </w:r>
      <w:r w:rsidRPr="001F47B8">
        <w:rPr>
          <w:rFonts w:cs="Arial"/>
          <w:color w:val="000000" w:themeColor="text1"/>
          <w:sz w:val="20"/>
        </w:rPr>
        <w:t xml:space="preserve">IP Australia, </w:t>
      </w:r>
      <w:r w:rsidRPr="001F47B8">
        <w:rPr>
          <w:rFonts w:cs="Arial"/>
          <w:i/>
          <w:color w:val="000000" w:themeColor="text1"/>
          <w:sz w:val="20"/>
        </w:rPr>
        <w:t>Australian Patent Office Manual of Practice and Procedure</w:t>
      </w:r>
      <w:r w:rsidRPr="001F47B8">
        <w:rPr>
          <w:rFonts w:cs="Arial"/>
          <w:color w:val="000000" w:themeColor="text1"/>
          <w:sz w:val="20"/>
        </w:rPr>
        <w:t xml:space="preserve"> (01 August 2017) [2.9.2.6].</w:t>
      </w:r>
    </w:p>
  </w:footnote>
  <w:footnote w:id="107">
    <w:p w14:paraId="0B81F740" w14:textId="1430E3F6"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Matthew Rimmer, ‘The Empire of Cancer: Gene Patents and Cancer Voices’ (2013), 22(2) </w:t>
      </w:r>
      <w:r w:rsidRPr="001F47B8">
        <w:rPr>
          <w:rFonts w:cs="Arial"/>
          <w:i/>
          <w:color w:val="000000" w:themeColor="text1"/>
          <w:sz w:val="20"/>
        </w:rPr>
        <w:t xml:space="preserve">Journal of Law, Information and Science, </w:t>
      </w:r>
      <w:r w:rsidRPr="001F47B8">
        <w:rPr>
          <w:rFonts w:cs="Arial"/>
          <w:color w:val="000000" w:themeColor="text1"/>
          <w:sz w:val="20"/>
        </w:rPr>
        <w:t>18,18; “</w:t>
      </w:r>
      <w:r w:rsidRPr="001F47B8">
        <w:rPr>
          <w:rFonts w:cs="Arial"/>
          <w:color w:val="000000" w:themeColor="text1"/>
          <w:sz w:val="20"/>
          <w:shd w:val="clear" w:color="auto" w:fill="FFFFFF"/>
        </w:rPr>
        <w:t>William Bartlett,</w:t>
      </w:r>
      <w:r w:rsidRPr="001F47B8">
        <w:rPr>
          <w:rFonts w:cs="Arial"/>
          <w:i/>
          <w:color w:val="000000" w:themeColor="text1"/>
          <w:sz w:val="20"/>
          <w:shd w:val="clear" w:color="auto" w:fill="FFFFFF"/>
        </w:rPr>
        <w:t xml:space="preserve"> ‘D’Arcy v Myriad Genetics Inc</w:t>
      </w:r>
      <w:r w:rsidRPr="001F47B8">
        <w:rPr>
          <w:rFonts w:cs="Arial"/>
          <w:color w:val="000000" w:themeColor="text1"/>
          <w:sz w:val="20"/>
          <w:shd w:val="clear" w:color="auto" w:fill="FFFFFF"/>
        </w:rPr>
        <w:t> [2015] HCA 35: The plurality’s new factorial approach to patentability rearticulates the question asked in </w:t>
      </w:r>
      <w:r w:rsidRPr="001F47B8">
        <w:rPr>
          <w:rFonts w:cs="Arial"/>
          <w:i/>
          <w:color w:val="000000" w:themeColor="text1"/>
          <w:sz w:val="20"/>
          <w:shd w:val="clear" w:color="auto" w:fill="FFFFFF"/>
        </w:rPr>
        <w:t xml:space="preserve">NRDC’ </w:t>
      </w:r>
      <w:r w:rsidRPr="001F47B8">
        <w:rPr>
          <w:rFonts w:cs="Arial"/>
          <w:color w:val="000000" w:themeColor="text1"/>
          <w:sz w:val="20"/>
          <w:shd w:val="clear" w:color="auto" w:fill="FFFFFF"/>
        </w:rPr>
        <w:t>(2015)</w:t>
      </w:r>
      <w:r w:rsidRPr="001F47B8">
        <w:rPr>
          <w:rFonts w:cs="Arial"/>
          <w:i/>
          <w:color w:val="000000" w:themeColor="text1"/>
          <w:sz w:val="20"/>
          <w:shd w:val="clear" w:color="auto" w:fill="FFFFFF"/>
        </w:rPr>
        <w:t xml:space="preserve">, </w:t>
      </w:r>
      <w:r w:rsidRPr="001F47B8">
        <w:rPr>
          <w:rFonts w:cs="Arial"/>
          <w:color w:val="000000" w:themeColor="text1"/>
          <w:sz w:val="20"/>
          <w:shd w:val="clear" w:color="auto" w:fill="FFFFFF"/>
        </w:rPr>
        <w:t>25(1)</w:t>
      </w:r>
      <w:r w:rsidRPr="001F47B8">
        <w:rPr>
          <w:rFonts w:cs="Arial"/>
          <w:i/>
          <w:color w:val="000000" w:themeColor="text1"/>
          <w:sz w:val="20"/>
          <w:shd w:val="clear" w:color="auto" w:fill="FFFFFF"/>
        </w:rPr>
        <w:t xml:space="preserve">, Journal of Law, Information and Science, </w:t>
      </w:r>
      <w:r w:rsidRPr="001F47B8">
        <w:rPr>
          <w:rFonts w:cs="Arial"/>
          <w:color w:val="000000" w:themeColor="text1"/>
          <w:sz w:val="20"/>
          <w:shd w:val="clear" w:color="auto" w:fill="FFFFFF"/>
        </w:rPr>
        <w:t>120,121</w:t>
      </w:r>
      <w:r w:rsidRPr="001F47B8">
        <w:rPr>
          <w:rFonts w:cs="Arial"/>
          <w:i/>
          <w:color w:val="000000" w:themeColor="text1"/>
          <w:sz w:val="20"/>
          <w:shd w:val="clear" w:color="auto" w:fill="FFFFFF"/>
        </w:rPr>
        <w:t>.</w:t>
      </w:r>
    </w:p>
  </w:footnote>
  <w:footnote w:id="108">
    <w:p w14:paraId="13F70055" w14:textId="3C0C89C6"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shd w:val="clear" w:color="auto" w:fill="FFFFFF"/>
        </w:rPr>
        <w:t>D’Arcy v Myriad Genetics Inc</w:t>
      </w:r>
      <w:r w:rsidRPr="001F47B8">
        <w:rPr>
          <w:rFonts w:cs="Arial"/>
          <w:color w:val="000000" w:themeColor="text1"/>
          <w:sz w:val="20"/>
          <w:shd w:val="clear" w:color="auto" w:fill="FFFFFF"/>
        </w:rPr>
        <w:t xml:space="preserve"> [2015] HCA 35, </w:t>
      </w:r>
      <w:r w:rsidRPr="001F47B8">
        <w:rPr>
          <w:rFonts w:cs="Arial"/>
          <w:color w:val="000000" w:themeColor="text1"/>
          <w:sz w:val="20"/>
        </w:rPr>
        <w:t>168</w:t>
      </w:r>
      <w:r w:rsidR="00335AA7">
        <w:rPr>
          <w:rFonts w:cs="Arial"/>
          <w:color w:val="000000" w:themeColor="text1"/>
          <w:sz w:val="20"/>
        </w:rPr>
        <w:t>.</w:t>
      </w:r>
    </w:p>
  </w:footnote>
  <w:footnote w:id="109">
    <w:p w14:paraId="05D48B8F" w14:textId="5DB79B59"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092D7F">
        <w:rPr>
          <w:rFonts w:cs="Arial"/>
          <w:iCs/>
          <w:color w:val="000000" w:themeColor="text1"/>
          <w:sz w:val="20"/>
          <w:shd w:val="clear" w:color="auto" w:fill="FFFFFF"/>
        </w:rPr>
        <w:t>Ibid</w:t>
      </w:r>
      <w:r w:rsidR="00335AA7">
        <w:rPr>
          <w:rFonts w:cs="Arial"/>
          <w:iCs/>
          <w:color w:val="000000" w:themeColor="text1"/>
          <w:sz w:val="20"/>
          <w:shd w:val="clear" w:color="auto" w:fill="FFFFFF"/>
        </w:rPr>
        <w:t>,</w:t>
      </w:r>
      <w:r w:rsidRPr="001F47B8">
        <w:rPr>
          <w:rFonts w:cs="Arial"/>
          <w:color w:val="000000" w:themeColor="text1"/>
          <w:sz w:val="20"/>
          <w:shd w:val="clear" w:color="auto" w:fill="FFFFFF"/>
        </w:rPr>
        <w:t xml:space="preserve"> 178</w:t>
      </w:r>
      <w:r w:rsidR="00335AA7">
        <w:rPr>
          <w:rFonts w:cs="Arial"/>
          <w:color w:val="000000" w:themeColor="text1"/>
          <w:sz w:val="20"/>
          <w:shd w:val="clear" w:color="auto" w:fill="FFFFFF"/>
        </w:rPr>
        <w:t>.</w:t>
      </w:r>
    </w:p>
  </w:footnote>
  <w:footnote w:id="110">
    <w:p w14:paraId="77513EFB" w14:textId="7F7DAF65"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IP Australia, </w:t>
      </w:r>
      <w:r w:rsidRPr="001F47B8">
        <w:rPr>
          <w:rFonts w:cs="Arial"/>
          <w:i/>
          <w:color w:val="000000" w:themeColor="text1"/>
          <w:sz w:val="20"/>
        </w:rPr>
        <w:t>Australian Patent Office Manual of Practice and Procedure</w:t>
      </w:r>
      <w:r w:rsidRPr="001F47B8">
        <w:rPr>
          <w:rFonts w:cs="Arial"/>
          <w:color w:val="000000" w:themeColor="text1"/>
          <w:sz w:val="20"/>
        </w:rPr>
        <w:t xml:space="preserve"> (01 August 2017) [2.9.2.6].</w:t>
      </w:r>
    </w:p>
  </w:footnote>
  <w:footnote w:id="111">
    <w:p w14:paraId="02EA08F1" w14:textId="13DC0587"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Meat &amp; Livestock Australia Limited v Cargill, Inc</w:t>
      </w:r>
      <w:r w:rsidRPr="001F47B8">
        <w:rPr>
          <w:rFonts w:cs="Arial"/>
          <w:color w:val="000000" w:themeColor="text1"/>
          <w:sz w:val="20"/>
        </w:rPr>
        <w:t xml:space="preserve"> [2018] FCA 51.</w:t>
      </w:r>
    </w:p>
  </w:footnote>
  <w:footnote w:id="112">
    <w:p w14:paraId="6765AC70" w14:textId="6360AF6B"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‘Australia remains a gene-patent friendly jurisdiction’, </w:t>
      </w:r>
      <w:r w:rsidRPr="001F47B8">
        <w:rPr>
          <w:rFonts w:cs="Arial"/>
          <w:i/>
          <w:color w:val="000000" w:themeColor="text1"/>
          <w:sz w:val="20"/>
        </w:rPr>
        <w:t xml:space="preserve">Shelston IP </w:t>
      </w:r>
      <w:r w:rsidRPr="001F47B8">
        <w:rPr>
          <w:rFonts w:cs="Arial"/>
          <w:color w:val="000000" w:themeColor="text1"/>
          <w:sz w:val="20"/>
        </w:rPr>
        <w:t>(Blog Post, 18 February 2018) &lt;</w:t>
      </w:r>
      <w:hyperlink r:id="rId13" w:history="1">
        <w:r w:rsidRPr="001F47B8">
          <w:rPr>
            <w:rStyle w:val="Hyperlink"/>
            <w:rFonts w:cs="Arial"/>
            <w:color w:val="000000" w:themeColor="text1"/>
            <w:sz w:val="20"/>
          </w:rPr>
          <w:t>http://www.shelstonip.com/news/australia-remains-gene-patent-friendly-jurisdiction/</w:t>
        </w:r>
      </w:hyperlink>
      <w:r w:rsidRPr="001F47B8">
        <w:rPr>
          <w:rFonts w:cs="Arial"/>
          <w:color w:val="000000" w:themeColor="text1"/>
          <w:sz w:val="20"/>
        </w:rPr>
        <w:t>&gt;.</w:t>
      </w:r>
    </w:p>
  </w:footnote>
  <w:footnote w:id="113">
    <w:p w14:paraId="429528F2" w14:textId="7471996C"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IP Australia, </w:t>
      </w:r>
      <w:r w:rsidRPr="001F47B8">
        <w:rPr>
          <w:rFonts w:cs="Arial"/>
          <w:i/>
          <w:color w:val="000000" w:themeColor="text1"/>
          <w:sz w:val="20"/>
        </w:rPr>
        <w:t>Australian Patent Office Manual of Practice and Procedure</w:t>
      </w:r>
      <w:r w:rsidRPr="001F47B8">
        <w:rPr>
          <w:rFonts w:cs="Arial"/>
          <w:color w:val="000000" w:themeColor="text1"/>
          <w:sz w:val="20"/>
        </w:rPr>
        <w:t xml:space="preserve"> (01 August 2017) [2.9.2.6].</w:t>
      </w:r>
    </w:p>
  </w:footnote>
  <w:footnote w:id="114">
    <w:p w14:paraId="6F5097BD" w14:textId="63F8E009" w:rsidR="00FB2047" w:rsidRPr="000207C5" w:rsidRDefault="00FB2047" w:rsidP="00856C9B">
      <w:pPr>
        <w:pStyle w:val="FootnoteText"/>
        <w:rPr>
          <w:rFonts w:cs="Arial"/>
          <w:color w:val="000000" w:themeColor="text1"/>
          <w:sz w:val="20"/>
          <w:lang w:val="es-ES"/>
        </w:rPr>
      </w:pPr>
      <w:r w:rsidRPr="001F47B8">
        <w:rPr>
          <w:rStyle w:val="FootnoteReference"/>
          <w:rFonts w:cs="Arial"/>
          <w:color w:val="000000" w:themeColor="text1"/>
          <w:sz w:val="20"/>
        </w:rPr>
        <w:footnoteRef/>
      </w:r>
      <w:r w:rsidRPr="000207C5">
        <w:rPr>
          <w:rFonts w:cs="Arial"/>
          <w:color w:val="000000" w:themeColor="text1"/>
          <w:sz w:val="20"/>
          <w:lang w:val="es-ES"/>
        </w:rPr>
        <w:t xml:space="preserve"> </w:t>
      </w:r>
      <w:r w:rsidR="0098565D" w:rsidRPr="000207C5">
        <w:rPr>
          <w:rFonts w:cs="Arial"/>
          <w:color w:val="000000" w:themeColor="text1"/>
          <w:sz w:val="20"/>
          <w:lang w:val="es-ES"/>
        </w:rPr>
        <w:t>Ibid.</w:t>
      </w:r>
    </w:p>
  </w:footnote>
  <w:footnote w:id="115">
    <w:p w14:paraId="6192B5AD" w14:textId="5779564E" w:rsidR="00FB2047" w:rsidRPr="000207C5" w:rsidRDefault="00FB2047" w:rsidP="00FF177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lang w:val="es-ES"/>
        </w:rPr>
        <w:t xml:space="preserve"> </w:t>
      </w:r>
      <w:r w:rsidRPr="001F47B8">
        <w:rPr>
          <w:rStyle w:val="EndnoteTextChar"/>
          <w:rFonts w:cs="Arial"/>
          <w:color w:val="000000" w:themeColor="text1"/>
          <w:shd w:val="clear" w:color="auto" w:fill="FFFFFF"/>
          <w:lang w:val="es-ES"/>
        </w:rPr>
        <w:t>Sequenom, Inc. v Ariosa Diagnostics, Inc.</w:t>
      </w:r>
      <w:r w:rsidRPr="001F47B8">
        <w:rPr>
          <w:rFonts w:cs="Arial"/>
          <w:color w:val="000000" w:themeColor="text1"/>
          <w:sz w:val="20"/>
          <w:shd w:val="clear" w:color="auto" w:fill="FFFFFF"/>
          <w:lang w:val="es-ES"/>
        </w:rPr>
        <w:t> </w:t>
      </w:r>
      <w:r w:rsidRPr="000207C5">
        <w:rPr>
          <w:rFonts w:cs="Arial"/>
          <w:color w:val="000000" w:themeColor="text1"/>
          <w:sz w:val="20"/>
          <w:shd w:val="clear" w:color="auto" w:fill="FFFFFF"/>
        </w:rPr>
        <w:t>[2019] FCA  1011, 294.</w:t>
      </w:r>
    </w:p>
  </w:footnote>
  <w:footnote w:id="116">
    <w:p w14:paraId="2915D4EE" w14:textId="5573FFF6"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0207C5">
        <w:rPr>
          <w:rFonts w:cs="Arial"/>
          <w:color w:val="000000" w:themeColor="text1"/>
          <w:sz w:val="20"/>
        </w:rPr>
        <w:t xml:space="preserve"> </w:t>
      </w:r>
      <w:r w:rsidR="008D04A4" w:rsidRPr="000207C5">
        <w:rPr>
          <w:rStyle w:val="EndnoteTextChar"/>
          <w:rFonts w:cs="Arial"/>
          <w:color w:val="000000" w:themeColor="text1"/>
          <w:shd w:val="clear" w:color="auto" w:fill="FFFFFF"/>
        </w:rPr>
        <w:t>Ibid</w:t>
      </w:r>
      <w:r w:rsidRPr="001F47B8">
        <w:rPr>
          <w:rFonts w:cs="Arial"/>
          <w:color w:val="000000" w:themeColor="text1"/>
          <w:sz w:val="20"/>
          <w:shd w:val="clear" w:color="auto" w:fill="FFFFFF"/>
        </w:rPr>
        <w:t xml:space="preserve"> 485.</w:t>
      </w:r>
    </w:p>
  </w:footnote>
  <w:footnote w:id="117">
    <w:p w14:paraId="45968A53" w14:textId="0F3681A1"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International Center for Technology Assessment, the Indigenous Peoples Council on Biocolonialism, Greenpeace and the Council for Responsible Genetics, ‘Brief for Amici Curiae in Support of the Plaintiffs’, Submission in Association for Molecular Pathology, et al. v. Myriad Genetics, 569 </w:t>
      </w:r>
      <w:hyperlink r:id="rId14" w:tooltip="United States Reports" w:history="1">
        <w:r w:rsidRPr="001F47B8">
          <w:rPr>
            <w:rFonts w:cs="Arial"/>
            <w:color w:val="000000" w:themeColor="text1"/>
            <w:sz w:val="20"/>
          </w:rPr>
          <w:t>U.S.</w:t>
        </w:r>
      </w:hyperlink>
      <w:r w:rsidRPr="001F47B8">
        <w:rPr>
          <w:rFonts w:cs="Arial"/>
          <w:color w:val="000000" w:themeColor="text1"/>
          <w:sz w:val="20"/>
        </w:rPr>
        <w:t> 576,12,15, (2013),10 September 2009,5.</w:t>
      </w:r>
    </w:p>
  </w:footnote>
  <w:footnote w:id="118">
    <w:p w14:paraId="3B457728" w14:textId="4259F02C"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color w:val="000000" w:themeColor="text1"/>
          <w:sz w:val="20"/>
        </w:rPr>
        <w:t xml:space="preserve">Ibid </w:t>
      </w:r>
      <w:r w:rsidRPr="001F47B8">
        <w:rPr>
          <w:rFonts w:cs="Arial"/>
          <w:color w:val="000000" w:themeColor="text1"/>
          <w:sz w:val="20"/>
        </w:rPr>
        <w:t>11.</w:t>
      </w:r>
    </w:p>
  </w:footnote>
  <w:footnote w:id="119">
    <w:p w14:paraId="4B93E1E8" w14:textId="4CB9D419"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98565D">
        <w:rPr>
          <w:rFonts w:cs="Arial"/>
          <w:color w:val="000000" w:themeColor="text1"/>
          <w:sz w:val="20"/>
        </w:rPr>
        <w:t>Ibid</w:t>
      </w:r>
      <w:r w:rsidRPr="001F47B8">
        <w:rPr>
          <w:rFonts w:cs="Arial"/>
          <w:color w:val="000000" w:themeColor="text1"/>
          <w:sz w:val="20"/>
        </w:rPr>
        <w:t xml:space="preserve"> 24-25.</w:t>
      </w:r>
    </w:p>
  </w:footnote>
  <w:footnote w:id="120">
    <w:p w14:paraId="2970D7C7" w14:textId="226C3145"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Patents Act 2013 </w:t>
      </w:r>
      <w:r w:rsidRPr="001F47B8">
        <w:rPr>
          <w:rFonts w:cs="Arial"/>
          <w:color w:val="000000" w:themeColor="text1"/>
          <w:sz w:val="20"/>
        </w:rPr>
        <w:t>(NZ) s 15(1).</w:t>
      </w:r>
    </w:p>
  </w:footnote>
  <w:footnote w:id="121">
    <w:p w14:paraId="6912C8EE" w14:textId="16DAFE8B"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16AA6" w:rsidRPr="00216AA6">
        <w:rPr>
          <w:rFonts w:cs="Arial"/>
          <w:iCs/>
          <w:color w:val="000000" w:themeColor="text1"/>
          <w:sz w:val="20"/>
        </w:rPr>
        <w:t>Ibid</w:t>
      </w:r>
      <w:r w:rsidR="00500701">
        <w:rPr>
          <w:rFonts w:cs="Arial"/>
          <w:iCs/>
          <w:color w:val="000000" w:themeColor="text1"/>
          <w:sz w:val="20"/>
        </w:rPr>
        <w:t>,</w:t>
      </w:r>
      <w:r w:rsidRPr="00216AA6">
        <w:rPr>
          <w:rFonts w:cs="Arial"/>
          <w:iCs/>
          <w:color w:val="000000" w:themeColor="text1"/>
          <w:sz w:val="20"/>
        </w:rPr>
        <w:t xml:space="preserve"> s15((3).</w:t>
      </w:r>
    </w:p>
  </w:footnote>
  <w:footnote w:id="122">
    <w:p w14:paraId="10B331EC" w14:textId="154E53B0" w:rsidR="00FB2047" w:rsidRPr="001F47B8" w:rsidRDefault="00FB2047" w:rsidP="00856C9B">
      <w:pPr>
        <w:pStyle w:val="FootnoteText"/>
        <w:rPr>
          <w:rFonts w:cs="Arial"/>
          <w:color w:val="000000" w:themeColor="text1"/>
          <w:sz w:val="20"/>
        </w:rPr>
      </w:pPr>
      <w:r w:rsidRPr="001F47B8">
        <w:rPr>
          <w:rStyle w:val="FootnoteReference"/>
          <w:rFonts w:cs="Arial"/>
          <w:color w:val="000000" w:themeColor="text1"/>
          <w:sz w:val="20"/>
        </w:rPr>
        <w:footnoteRef/>
      </w:r>
      <w:r w:rsidRPr="00216AA6">
        <w:rPr>
          <w:rFonts w:cs="Arial"/>
          <w:iCs/>
          <w:color w:val="000000" w:themeColor="text1"/>
          <w:sz w:val="20"/>
        </w:rPr>
        <w:t xml:space="preserve"> </w:t>
      </w:r>
      <w:r w:rsidR="00216AA6" w:rsidRPr="00216AA6">
        <w:rPr>
          <w:rFonts w:cs="Arial"/>
          <w:iCs/>
          <w:color w:val="000000" w:themeColor="text1"/>
          <w:sz w:val="20"/>
        </w:rPr>
        <w:t>Ibid</w:t>
      </w:r>
      <w:r w:rsidR="00500701">
        <w:rPr>
          <w:rFonts w:cs="Arial"/>
          <w:iCs/>
          <w:color w:val="000000" w:themeColor="text1"/>
          <w:sz w:val="20"/>
        </w:rPr>
        <w:t>,</w:t>
      </w:r>
      <w:r w:rsidRPr="001F47B8">
        <w:rPr>
          <w:rFonts w:cs="Arial"/>
          <w:color w:val="000000" w:themeColor="text1"/>
          <w:sz w:val="20"/>
        </w:rPr>
        <w:t xml:space="preserve"> s16.</w:t>
      </w:r>
    </w:p>
  </w:footnote>
  <w:footnote w:id="123">
    <w:p w14:paraId="08B28B0B" w14:textId="5B542A91"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rPr>
        <w:t>Competition and Consumer Act 2010</w:t>
      </w:r>
      <w:r w:rsidRPr="001F47B8">
        <w:rPr>
          <w:rFonts w:cs="Arial"/>
          <w:color w:val="000000" w:themeColor="text1"/>
          <w:sz w:val="20"/>
        </w:rPr>
        <w:t xml:space="preserve"> (Cth), Schedule 2 The Australian Consumer Law, </w:t>
      </w:r>
      <w:r w:rsidRPr="001F47B8">
        <w:rPr>
          <w:rFonts w:cs="Arial"/>
          <w:color w:val="000000" w:themeColor="text1"/>
          <w:sz w:val="20"/>
          <w:lang w:val="en-US"/>
        </w:rPr>
        <w:t xml:space="preserve">s29. </w:t>
      </w:r>
    </w:p>
  </w:footnote>
  <w:footnote w:id="124">
    <w:p w14:paraId="3B07F15F" w14:textId="4430C145"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sidRPr="002A6966">
        <w:rPr>
          <w:rFonts w:cs="Arial"/>
          <w:color w:val="000000" w:themeColor="text1"/>
          <w:sz w:val="20"/>
        </w:rPr>
        <w:t>Ibid</w:t>
      </w:r>
      <w:r w:rsidR="00500701">
        <w:rPr>
          <w:rFonts w:cs="Arial"/>
          <w:color w:val="000000" w:themeColor="text1"/>
          <w:sz w:val="20"/>
        </w:rPr>
        <w:t>,</w:t>
      </w:r>
      <w:r w:rsidR="002A6966" w:rsidRPr="002A6966">
        <w:rPr>
          <w:rFonts w:cs="Arial"/>
          <w:color w:val="000000" w:themeColor="text1"/>
          <w:sz w:val="20"/>
        </w:rPr>
        <w:t xml:space="preserve"> </w:t>
      </w:r>
      <w:r w:rsidRPr="001513E7">
        <w:rPr>
          <w:rFonts w:cs="Arial"/>
          <w:color w:val="000000" w:themeColor="text1"/>
          <w:sz w:val="20"/>
          <w:lang w:val="en-US"/>
        </w:rPr>
        <w:t>s</w:t>
      </w:r>
      <w:r w:rsidR="001513E7">
        <w:rPr>
          <w:rFonts w:cs="Arial"/>
          <w:color w:val="000000" w:themeColor="text1"/>
          <w:sz w:val="20"/>
          <w:lang w:val="en-US"/>
        </w:rPr>
        <w:t xml:space="preserve"> </w:t>
      </w:r>
      <w:r w:rsidRPr="001513E7">
        <w:rPr>
          <w:rFonts w:cs="Arial"/>
          <w:color w:val="000000" w:themeColor="text1"/>
          <w:sz w:val="20"/>
          <w:lang w:val="en-US"/>
        </w:rPr>
        <w:t>18</w:t>
      </w:r>
      <w:r w:rsidRPr="001F47B8">
        <w:rPr>
          <w:rFonts w:cs="Arial"/>
          <w:color w:val="000000" w:themeColor="text1"/>
          <w:sz w:val="20"/>
          <w:lang w:val="en-US"/>
        </w:rPr>
        <w:t xml:space="preserve">. </w:t>
      </w:r>
    </w:p>
  </w:footnote>
  <w:footnote w:id="125">
    <w:p w14:paraId="61933CF1" w14:textId="4131574F"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lang w:val="en-US"/>
        </w:rPr>
        <w:t xml:space="preserve">Black CJ </w:t>
      </w:r>
      <w:r w:rsidRPr="001F47B8">
        <w:rPr>
          <w:rFonts w:cs="Arial"/>
          <w:i/>
          <w:color w:val="000000" w:themeColor="text1"/>
          <w:sz w:val="20"/>
          <w:lang w:val="en-US"/>
        </w:rPr>
        <w:t xml:space="preserve">Demagogue Pty Ltd v Ramensky </w:t>
      </w:r>
      <w:r w:rsidRPr="001F47B8">
        <w:rPr>
          <w:rFonts w:cs="Arial"/>
          <w:color w:val="000000" w:themeColor="text1"/>
          <w:sz w:val="20"/>
          <w:lang w:val="en-US"/>
        </w:rPr>
        <w:t xml:space="preserve">(1992) 39 FCR 31, 3. </w:t>
      </w:r>
    </w:p>
  </w:footnote>
  <w:footnote w:id="126">
    <w:p w14:paraId="08E9053E" w14:textId="1CD02C2A"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rPr>
        <w:t>Competition and Consumer Act 2010</w:t>
      </w:r>
      <w:r w:rsidRPr="001F47B8">
        <w:rPr>
          <w:rFonts w:cs="Arial"/>
          <w:color w:val="000000" w:themeColor="text1"/>
          <w:sz w:val="20"/>
        </w:rPr>
        <w:t xml:space="preserve"> (Cth), Schedule 2 The Australian Consumer Law, </w:t>
      </w:r>
      <w:r w:rsidRPr="001F47B8">
        <w:rPr>
          <w:rFonts w:cs="Arial"/>
          <w:color w:val="000000" w:themeColor="text1"/>
          <w:sz w:val="20"/>
          <w:lang w:val="en-US"/>
        </w:rPr>
        <w:t xml:space="preserve">s21. </w:t>
      </w:r>
    </w:p>
  </w:footnote>
  <w:footnote w:id="127">
    <w:p w14:paraId="6871E6F2" w14:textId="29B2271C"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color w:val="000000" w:themeColor="text1"/>
          <w:sz w:val="20"/>
        </w:rPr>
        <w:t xml:space="preserve">Ibid </w:t>
      </w:r>
      <w:r w:rsidRPr="001F47B8">
        <w:rPr>
          <w:rFonts w:cs="Arial"/>
          <w:color w:val="000000" w:themeColor="text1"/>
          <w:sz w:val="20"/>
          <w:lang w:val="en-US"/>
        </w:rPr>
        <w:t>s</w:t>
      </w:r>
      <w:r w:rsidR="002A6966">
        <w:rPr>
          <w:rFonts w:cs="Arial"/>
          <w:color w:val="000000" w:themeColor="text1"/>
          <w:sz w:val="20"/>
          <w:lang w:val="en-US"/>
        </w:rPr>
        <w:t xml:space="preserve"> </w:t>
      </w:r>
      <w:r w:rsidRPr="001F47B8">
        <w:rPr>
          <w:rFonts w:cs="Arial"/>
          <w:color w:val="000000" w:themeColor="text1"/>
          <w:sz w:val="20"/>
          <w:lang w:val="en-US"/>
        </w:rPr>
        <w:t xml:space="preserve">22. </w:t>
      </w:r>
    </w:p>
  </w:footnote>
  <w:footnote w:id="128">
    <w:p w14:paraId="0A6E48E7" w14:textId="01CA191D"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lang w:val="en-US"/>
        </w:rPr>
        <w:t xml:space="preserve">See for example </w:t>
      </w:r>
      <w:r w:rsidRPr="001F47B8">
        <w:rPr>
          <w:rFonts w:cs="Arial"/>
          <w:i/>
          <w:color w:val="000000" w:themeColor="text1"/>
          <w:sz w:val="20"/>
        </w:rPr>
        <w:t xml:space="preserve">Transplantation and Anatomy Act 1983 </w:t>
      </w:r>
      <w:r w:rsidRPr="001F47B8">
        <w:rPr>
          <w:rFonts w:cs="Arial"/>
          <w:color w:val="000000" w:themeColor="text1"/>
          <w:sz w:val="20"/>
        </w:rPr>
        <w:t>(SA)</w:t>
      </w:r>
      <w:r w:rsidRPr="001F47B8">
        <w:rPr>
          <w:rFonts w:cs="Arial"/>
          <w:i/>
          <w:color w:val="000000" w:themeColor="text1"/>
          <w:sz w:val="20"/>
        </w:rPr>
        <w:t xml:space="preserve"> </w:t>
      </w:r>
      <w:r w:rsidRPr="001F47B8">
        <w:rPr>
          <w:rFonts w:cs="Arial"/>
          <w:color w:val="000000" w:themeColor="text1"/>
          <w:sz w:val="20"/>
          <w:lang w:val="en-US"/>
        </w:rPr>
        <w:t>s35.</w:t>
      </w:r>
    </w:p>
  </w:footnote>
  <w:footnote w:id="129">
    <w:p w14:paraId="1DBC3BC2" w14:textId="3BBEBB0A"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DB48C2" w:rsidRPr="00DB48C2">
        <w:rPr>
          <w:rFonts w:cs="Arial"/>
          <w:i/>
          <w:iCs/>
          <w:color w:val="000000" w:themeColor="text1"/>
          <w:sz w:val="20"/>
        </w:rPr>
        <w:t>ALRC Essentially Yours</w:t>
      </w:r>
      <w:r w:rsidR="00DB48C2">
        <w:rPr>
          <w:rFonts w:cs="Arial"/>
          <w:color w:val="000000" w:themeColor="text1"/>
          <w:sz w:val="20"/>
        </w:rPr>
        <w:t xml:space="preserve"> (n 40) </w:t>
      </w:r>
      <w:r w:rsidRPr="001F47B8">
        <w:rPr>
          <w:rFonts w:cs="Arial"/>
          <w:color w:val="000000" w:themeColor="text1"/>
          <w:sz w:val="20"/>
          <w:lang w:val="en-US"/>
        </w:rPr>
        <w:t>35.</w:t>
      </w:r>
    </w:p>
  </w:footnote>
  <w:footnote w:id="130">
    <w:p w14:paraId="691DD934" w14:textId="413224E8"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lang w:val="en-US"/>
        </w:rPr>
        <w:t xml:space="preserve">Part 1D of the </w:t>
      </w:r>
      <w:r w:rsidRPr="001F47B8">
        <w:rPr>
          <w:rFonts w:cs="Arial"/>
          <w:i/>
          <w:color w:val="000000" w:themeColor="text1"/>
          <w:sz w:val="20"/>
          <w:lang w:val="en-US"/>
        </w:rPr>
        <w:t>Crimes Act 1914</w:t>
      </w:r>
      <w:r w:rsidRPr="001F47B8">
        <w:rPr>
          <w:rFonts w:cs="Arial"/>
          <w:color w:val="000000" w:themeColor="text1"/>
          <w:sz w:val="20"/>
          <w:lang w:val="en-US"/>
        </w:rPr>
        <w:t xml:space="preserve"> (Cth).</w:t>
      </w:r>
    </w:p>
  </w:footnote>
  <w:footnote w:id="131">
    <w:p w14:paraId="09657A25" w14:textId="068632C6"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Australian Criminal Intelligence Commission, </w:t>
      </w:r>
      <w:r w:rsidRPr="001F47B8">
        <w:rPr>
          <w:rFonts w:cs="Arial"/>
          <w:i/>
          <w:iCs/>
          <w:color w:val="000000" w:themeColor="text1"/>
          <w:sz w:val="20"/>
        </w:rPr>
        <w:t xml:space="preserve">Biometric and forensic services </w:t>
      </w:r>
      <w:r w:rsidRPr="001F47B8">
        <w:rPr>
          <w:rFonts w:cs="Arial"/>
          <w:color w:val="000000" w:themeColor="text1"/>
          <w:sz w:val="20"/>
        </w:rPr>
        <w:t>(2019) &lt;</w:t>
      </w:r>
      <w:hyperlink r:id="rId15" w:history="1">
        <w:r w:rsidRPr="001F47B8">
          <w:rPr>
            <w:rStyle w:val="Hyperlink"/>
            <w:rFonts w:cs="Arial"/>
            <w:color w:val="000000" w:themeColor="text1"/>
            <w:sz w:val="20"/>
          </w:rPr>
          <w:t>https://www.acic.gov.au/our-services/biometric-matching</w:t>
        </w:r>
      </w:hyperlink>
      <w:r w:rsidRPr="001F47B8">
        <w:rPr>
          <w:rFonts w:cs="Arial"/>
          <w:color w:val="000000" w:themeColor="text1"/>
          <w:sz w:val="20"/>
        </w:rPr>
        <w:t>&gt; viewed 22 April 2020.</w:t>
      </w:r>
    </w:p>
  </w:footnote>
  <w:footnote w:id="132">
    <w:p w14:paraId="40461A00" w14:textId="0B2F0BB3"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color w:val="000000" w:themeColor="text1"/>
          <w:sz w:val="20"/>
        </w:rPr>
        <w:t>Ibid.</w:t>
      </w:r>
      <w:r w:rsidRPr="001F47B8">
        <w:rPr>
          <w:rFonts w:cs="Arial"/>
          <w:color w:val="000000" w:themeColor="text1"/>
          <w:sz w:val="20"/>
        </w:rPr>
        <w:t xml:space="preserve"> </w:t>
      </w:r>
    </w:p>
  </w:footnote>
  <w:footnote w:id="133">
    <w:p w14:paraId="7ECE4BF7" w14:textId="67CACB11"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Protection of Moveable Cultural Heritage Regulations 2018, </w:t>
      </w:r>
      <w:r w:rsidRPr="001F47B8">
        <w:rPr>
          <w:rFonts w:cs="Arial"/>
          <w:color w:val="000000" w:themeColor="text1"/>
          <w:sz w:val="20"/>
        </w:rPr>
        <w:t xml:space="preserve">(Cth) Schedule 1, </w:t>
      </w:r>
      <w:r w:rsidRPr="001F47B8">
        <w:rPr>
          <w:rFonts w:cs="Arial"/>
          <w:color w:val="000000" w:themeColor="text1"/>
          <w:sz w:val="20"/>
          <w:lang w:val="en-US"/>
        </w:rPr>
        <w:t xml:space="preserve">Part 1.  </w:t>
      </w:r>
    </w:p>
  </w:footnote>
  <w:footnote w:id="134">
    <w:p w14:paraId="4B454182" w14:textId="14AF368B"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iCs/>
          <w:color w:val="000000" w:themeColor="text1"/>
          <w:sz w:val="20"/>
        </w:rPr>
        <w:t>Ibid</w:t>
      </w:r>
      <w:r w:rsidRPr="001F47B8">
        <w:rPr>
          <w:rFonts w:cs="Arial"/>
          <w:color w:val="000000" w:themeColor="text1"/>
          <w:sz w:val="20"/>
        </w:rPr>
        <w:t xml:space="preserve"> r </w:t>
      </w:r>
      <w:r w:rsidRPr="001F47B8">
        <w:rPr>
          <w:rFonts w:cs="Arial"/>
          <w:color w:val="000000" w:themeColor="text1"/>
          <w:sz w:val="20"/>
          <w:lang w:val="en-US"/>
        </w:rPr>
        <w:t>1.3.</w:t>
      </w:r>
    </w:p>
  </w:footnote>
  <w:footnote w:id="135">
    <w:p w14:paraId="3AEEFEF4" w14:textId="20CC3782"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iCs/>
          <w:color w:val="000000" w:themeColor="text1"/>
          <w:sz w:val="20"/>
        </w:rPr>
        <w:t>Ibid</w:t>
      </w:r>
      <w:r w:rsidRPr="001F47B8">
        <w:rPr>
          <w:rFonts w:cs="Arial"/>
          <w:color w:val="000000" w:themeColor="text1"/>
          <w:sz w:val="20"/>
        </w:rPr>
        <w:t xml:space="preserve"> r</w:t>
      </w:r>
      <w:r w:rsidRPr="001F47B8">
        <w:rPr>
          <w:rFonts w:cs="Arial"/>
          <w:color w:val="000000" w:themeColor="text1"/>
          <w:sz w:val="20"/>
          <w:lang w:val="en-US"/>
        </w:rPr>
        <w:t xml:space="preserve"> 1.4. </w:t>
      </w:r>
    </w:p>
  </w:footnote>
  <w:footnote w:id="136">
    <w:p w14:paraId="7DB7B19A" w14:textId="008CD5BE"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 xml:space="preserve">Protection of Moveable Cultural Heritage Regulations 2018, </w:t>
      </w:r>
      <w:r w:rsidRPr="001F47B8">
        <w:rPr>
          <w:rFonts w:cs="Arial"/>
          <w:color w:val="000000" w:themeColor="text1"/>
          <w:sz w:val="20"/>
        </w:rPr>
        <w:t xml:space="preserve">(Cth), Schedule 1, </w:t>
      </w:r>
      <w:r w:rsidRPr="001F47B8">
        <w:rPr>
          <w:rFonts w:cs="Arial"/>
          <w:color w:val="000000" w:themeColor="text1"/>
          <w:sz w:val="20"/>
          <w:lang w:val="en-US"/>
        </w:rPr>
        <w:t xml:space="preserve">Part 5. </w:t>
      </w:r>
    </w:p>
  </w:footnote>
  <w:footnote w:id="137">
    <w:p w14:paraId="0B254E6B" w14:textId="4118D3B8"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Protection of</w:t>
      </w:r>
      <w:r w:rsidRPr="001F47B8">
        <w:rPr>
          <w:rFonts w:cs="Arial"/>
          <w:color w:val="000000" w:themeColor="text1"/>
          <w:sz w:val="20"/>
        </w:rPr>
        <w:t xml:space="preserve"> </w:t>
      </w:r>
      <w:r w:rsidRPr="001F47B8">
        <w:rPr>
          <w:rFonts w:cs="Arial"/>
          <w:i/>
          <w:color w:val="000000" w:themeColor="text1"/>
          <w:sz w:val="20"/>
        </w:rPr>
        <w:t xml:space="preserve">Movable Cultural Heritage Act 1986 </w:t>
      </w:r>
      <w:r w:rsidRPr="001F47B8">
        <w:rPr>
          <w:rFonts w:cs="Arial"/>
          <w:color w:val="000000" w:themeColor="text1"/>
          <w:sz w:val="20"/>
        </w:rPr>
        <w:t xml:space="preserve">(Cth) </w:t>
      </w:r>
      <w:r w:rsidRPr="001F47B8">
        <w:rPr>
          <w:rFonts w:cs="Arial"/>
          <w:color w:val="000000" w:themeColor="text1"/>
          <w:sz w:val="20"/>
          <w:lang w:val="en-US"/>
        </w:rPr>
        <w:t>s8(2)(a).</w:t>
      </w:r>
    </w:p>
  </w:footnote>
  <w:footnote w:id="138">
    <w:p w14:paraId="313E20E2" w14:textId="0767671F"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iCs/>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s8(2)(b).</w:t>
      </w:r>
    </w:p>
  </w:footnote>
  <w:footnote w:id="139">
    <w:p w14:paraId="378058EA" w14:textId="14DB8A40"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iCs/>
          <w:color w:val="000000" w:themeColor="text1"/>
          <w:sz w:val="20"/>
        </w:rPr>
        <w:t xml:space="preserve">Ibid </w:t>
      </w:r>
      <w:r w:rsidRPr="001F47B8">
        <w:rPr>
          <w:rFonts w:cs="Arial"/>
          <w:color w:val="000000" w:themeColor="text1"/>
          <w:sz w:val="20"/>
          <w:lang w:val="en-US"/>
        </w:rPr>
        <w:t xml:space="preserve">s12(1). </w:t>
      </w:r>
    </w:p>
  </w:footnote>
  <w:footnote w:id="140">
    <w:p w14:paraId="51DFE88A" w14:textId="0DD29E2E"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iCs/>
          <w:color w:val="000000" w:themeColor="text1"/>
          <w:sz w:val="20"/>
        </w:rPr>
        <w:t xml:space="preserve">Ibid </w:t>
      </w:r>
      <w:r w:rsidRPr="001F47B8">
        <w:rPr>
          <w:rFonts w:cs="Arial"/>
          <w:color w:val="000000" w:themeColor="text1"/>
          <w:sz w:val="20"/>
          <w:lang w:val="en-US"/>
        </w:rPr>
        <w:t>s10 (1)</w:t>
      </w:r>
      <w:r w:rsidR="002A6966">
        <w:rPr>
          <w:rFonts w:cs="Arial"/>
          <w:color w:val="000000" w:themeColor="text1"/>
          <w:sz w:val="20"/>
          <w:lang w:val="en-US"/>
        </w:rPr>
        <w:t>,</w:t>
      </w:r>
      <w:r w:rsidRPr="001F47B8">
        <w:rPr>
          <w:rFonts w:cs="Arial"/>
          <w:color w:val="000000" w:themeColor="text1"/>
          <w:sz w:val="20"/>
          <w:lang w:val="en-US"/>
        </w:rPr>
        <w:t xml:space="preserve">(6). </w:t>
      </w:r>
    </w:p>
  </w:footnote>
  <w:footnote w:id="141">
    <w:p w14:paraId="15E8E6AE" w14:textId="1A84BEAE"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iCs/>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 xml:space="preserve">s10A(1). </w:t>
      </w:r>
    </w:p>
  </w:footnote>
  <w:footnote w:id="142">
    <w:p w14:paraId="22E64DF2" w14:textId="414E4002"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Pr>
          <w:rFonts w:cs="Arial"/>
          <w:iCs/>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 xml:space="preserve">s17(1). </w:t>
      </w:r>
    </w:p>
  </w:footnote>
  <w:footnote w:id="143">
    <w:p w14:paraId="7849013F" w14:textId="11BFFD91" w:rsidR="00FB2047" w:rsidRPr="001F47B8" w:rsidRDefault="00FB2047" w:rsidP="0086190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A6966" w:rsidRPr="002A6966">
        <w:rPr>
          <w:rFonts w:cs="Arial"/>
          <w:iCs/>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 xml:space="preserve">s17(1A). </w:t>
      </w:r>
    </w:p>
  </w:footnote>
  <w:footnote w:id="144">
    <w:p w14:paraId="1C69B092" w14:textId="53D75E65" w:rsidR="00FB2047" w:rsidRPr="001F47B8" w:rsidRDefault="00FB2047" w:rsidP="002C6DE5">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My Health Records (National Application) Rules 2017</w:t>
      </w:r>
      <w:r w:rsidRPr="001F47B8">
        <w:rPr>
          <w:rFonts w:cs="Arial"/>
          <w:i/>
          <w:iCs/>
          <w:color w:val="000000" w:themeColor="text1"/>
          <w:sz w:val="20"/>
          <w:lang w:val="en-US"/>
        </w:rPr>
        <w:t xml:space="preserve"> </w:t>
      </w:r>
      <w:r w:rsidRPr="001F47B8">
        <w:rPr>
          <w:rFonts w:cs="Arial"/>
          <w:color w:val="000000" w:themeColor="text1"/>
          <w:sz w:val="20"/>
          <w:lang w:val="en-US"/>
        </w:rPr>
        <w:t xml:space="preserve">(Cth) s5; </w:t>
      </w:r>
      <w:r w:rsidRPr="001F47B8">
        <w:rPr>
          <w:rFonts w:cs="Arial"/>
          <w:i/>
          <w:color w:val="000000" w:themeColor="text1"/>
          <w:sz w:val="20"/>
          <w:lang w:val="en-US"/>
        </w:rPr>
        <w:t>My Health Records Act 2012</w:t>
      </w:r>
      <w:r w:rsidRPr="001F47B8">
        <w:rPr>
          <w:rFonts w:cs="Arial"/>
          <w:i/>
          <w:iCs/>
          <w:color w:val="000000" w:themeColor="text1"/>
          <w:sz w:val="20"/>
          <w:lang w:val="en-US"/>
        </w:rPr>
        <w:t xml:space="preserve"> </w:t>
      </w:r>
      <w:r w:rsidRPr="001F47B8">
        <w:rPr>
          <w:rFonts w:cs="Arial"/>
          <w:color w:val="000000" w:themeColor="text1"/>
          <w:sz w:val="20"/>
          <w:lang w:val="en-US"/>
        </w:rPr>
        <w:t xml:space="preserve">(Cth) Part 2, Schedule 1. </w:t>
      </w:r>
    </w:p>
  </w:footnote>
  <w:footnote w:id="145">
    <w:p w14:paraId="26DCC37C" w14:textId="6B2C379B"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My Health Records Act 2012</w:t>
      </w:r>
      <w:r w:rsidRPr="001F47B8">
        <w:rPr>
          <w:rFonts w:cs="Arial"/>
          <w:i/>
          <w:iCs/>
          <w:color w:val="000000" w:themeColor="text1"/>
          <w:sz w:val="20"/>
          <w:lang w:val="en-US"/>
        </w:rPr>
        <w:t xml:space="preserve"> </w:t>
      </w:r>
      <w:r w:rsidRPr="001F47B8">
        <w:rPr>
          <w:rFonts w:cs="Arial"/>
          <w:color w:val="000000" w:themeColor="text1"/>
          <w:sz w:val="20"/>
          <w:lang w:val="en-US"/>
        </w:rPr>
        <w:t>(Cth) s17(2).</w:t>
      </w:r>
    </w:p>
  </w:footnote>
  <w:footnote w:id="146">
    <w:p w14:paraId="0E29D32F" w14:textId="21A487DA"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57D7F">
        <w:rPr>
          <w:rFonts w:cs="Arial"/>
          <w:iCs/>
          <w:color w:val="000000" w:themeColor="text1"/>
          <w:sz w:val="20"/>
          <w:lang w:val="en-US"/>
        </w:rPr>
        <w:t>Ibid</w:t>
      </w:r>
      <w:r w:rsidRPr="001F47B8">
        <w:rPr>
          <w:rFonts w:cs="Arial"/>
          <w:color w:val="000000" w:themeColor="text1"/>
          <w:sz w:val="20"/>
          <w:lang w:val="en-US"/>
        </w:rPr>
        <w:t xml:space="preserve"> s72.</w:t>
      </w:r>
    </w:p>
  </w:footnote>
  <w:footnote w:id="147">
    <w:p w14:paraId="51A8F877" w14:textId="7CE76AA4"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57D7F">
        <w:rPr>
          <w:rFonts w:cs="Arial"/>
          <w:iCs/>
          <w:color w:val="000000" w:themeColor="text1"/>
          <w:sz w:val="20"/>
          <w:lang w:val="en-US"/>
        </w:rPr>
        <w:t>Ibid</w:t>
      </w:r>
      <w:r w:rsidR="00F57D7F" w:rsidRPr="001F47B8">
        <w:rPr>
          <w:rFonts w:cs="Arial"/>
          <w:color w:val="000000" w:themeColor="text1"/>
          <w:sz w:val="20"/>
          <w:lang w:val="en-US"/>
        </w:rPr>
        <w:t xml:space="preserve"> </w:t>
      </w:r>
      <w:r w:rsidRPr="001F47B8">
        <w:rPr>
          <w:rFonts w:cs="Arial"/>
          <w:color w:val="000000" w:themeColor="text1"/>
          <w:sz w:val="20"/>
          <w:lang w:val="en-US"/>
        </w:rPr>
        <w:t>s17(5).</w:t>
      </w:r>
    </w:p>
  </w:footnote>
  <w:footnote w:id="148">
    <w:p w14:paraId="17BF8362" w14:textId="3407F891"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57D7F">
        <w:rPr>
          <w:rFonts w:cs="Arial"/>
          <w:iCs/>
          <w:color w:val="000000" w:themeColor="text1"/>
          <w:sz w:val="20"/>
          <w:lang w:val="en-US"/>
        </w:rPr>
        <w:t>Ibid</w:t>
      </w:r>
      <w:r w:rsidR="00F57D7F" w:rsidRPr="001F47B8">
        <w:rPr>
          <w:rFonts w:cs="Arial"/>
          <w:color w:val="000000" w:themeColor="text1"/>
          <w:sz w:val="20"/>
          <w:lang w:val="en-US"/>
        </w:rPr>
        <w:t xml:space="preserve"> </w:t>
      </w:r>
      <w:r w:rsidRPr="001F47B8">
        <w:rPr>
          <w:rFonts w:cs="Arial"/>
          <w:color w:val="000000" w:themeColor="text1"/>
          <w:sz w:val="20"/>
          <w:lang w:val="en-US"/>
        </w:rPr>
        <w:t>s70A(1).</w:t>
      </w:r>
    </w:p>
  </w:footnote>
  <w:footnote w:id="149">
    <w:p w14:paraId="1EC14C80" w14:textId="560D311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57D7F">
        <w:rPr>
          <w:rFonts w:cs="Arial"/>
          <w:iCs/>
          <w:color w:val="000000" w:themeColor="text1"/>
          <w:sz w:val="20"/>
          <w:lang w:val="en-US"/>
        </w:rPr>
        <w:t>Ibid</w:t>
      </w:r>
      <w:r w:rsidR="00F57D7F" w:rsidRPr="001F47B8">
        <w:rPr>
          <w:rFonts w:cs="Arial"/>
          <w:color w:val="000000" w:themeColor="text1"/>
          <w:sz w:val="20"/>
          <w:lang w:val="en-US"/>
        </w:rPr>
        <w:t xml:space="preserve"> </w:t>
      </w:r>
      <w:r w:rsidRPr="001F47B8">
        <w:rPr>
          <w:rFonts w:cs="Arial"/>
          <w:color w:val="000000" w:themeColor="text1"/>
          <w:sz w:val="20"/>
          <w:lang w:val="en-US"/>
        </w:rPr>
        <w:t xml:space="preserve">s69A(1)&amp;(5). </w:t>
      </w:r>
    </w:p>
  </w:footnote>
  <w:footnote w:id="150">
    <w:p w14:paraId="49703651" w14:textId="5EB9859F"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57D7F">
        <w:rPr>
          <w:rFonts w:cs="Arial"/>
          <w:iCs/>
          <w:color w:val="000000" w:themeColor="text1"/>
          <w:sz w:val="20"/>
          <w:lang w:val="en-US"/>
        </w:rPr>
        <w:t>Ibid</w:t>
      </w:r>
      <w:r w:rsidR="00F57D7F" w:rsidRPr="001F47B8">
        <w:rPr>
          <w:rFonts w:cs="Arial"/>
          <w:color w:val="000000" w:themeColor="text1"/>
          <w:sz w:val="20"/>
          <w:lang w:val="en-US"/>
        </w:rPr>
        <w:t xml:space="preserve"> </w:t>
      </w:r>
      <w:r w:rsidRPr="001F47B8">
        <w:rPr>
          <w:rFonts w:cs="Arial"/>
          <w:color w:val="000000" w:themeColor="text1"/>
          <w:sz w:val="20"/>
          <w:lang w:val="en-US"/>
        </w:rPr>
        <w:t>s15.</w:t>
      </w:r>
    </w:p>
  </w:footnote>
  <w:footnote w:id="151">
    <w:p w14:paraId="39AD6F9A" w14:textId="3901038F"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F57D7F">
        <w:rPr>
          <w:rFonts w:cs="Arial"/>
          <w:iCs/>
          <w:color w:val="000000" w:themeColor="text1"/>
          <w:sz w:val="20"/>
          <w:lang w:val="en-US"/>
        </w:rPr>
        <w:t>Ibid</w:t>
      </w:r>
      <w:r w:rsidRPr="001F47B8">
        <w:rPr>
          <w:rFonts w:cs="Arial"/>
          <w:color w:val="000000" w:themeColor="text1"/>
          <w:sz w:val="20"/>
          <w:lang w:val="en-US"/>
        </w:rPr>
        <w:t xml:space="preserve"> s45A &amp; s45B</w:t>
      </w:r>
      <w:r w:rsidRPr="001F47B8">
        <w:rPr>
          <w:rFonts w:cs="Arial"/>
          <w:i/>
          <w:iCs/>
          <w:color w:val="000000" w:themeColor="text1"/>
          <w:sz w:val="20"/>
          <w:lang w:val="en-US"/>
        </w:rPr>
        <w:t>;</w:t>
      </w:r>
      <w:r w:rsidRPr="001F47B8">
        <w:rPr>
          <w:rFonts w:cs="Arial"/>
          <w:i/>
          <w:color w:val="000000" w:themeColor="text1"/>
          <w:sz w:val="20"/>
          <w:lang w:val="en-US"/>
        </w:rPr>
        <w:t xml:space="preserve"> Copyright Act </w:t>
      </w:r>
      <w:r w:rsidRPr="001F47B8">
        <w:rPr>
          <w:rFonts w:cs="Arial"/>
          <w:color w:val="000000" w:themeColor="text1"/>
          <w:sz w:val="20"/>
          <w:lang w:val="en-US"/>
        </w:rPr>
        <w:t>(Cth) s104C &amp; s44BB.</w:t>
      </w:r>
    </w:p>
  </w:footnote>
  <w:footnote w:id="152">
    <w:p w14:paraId="40002754" w14:textId="7B5608E4"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lang w:val="en-US"/>
        </w:rPr>
        <w:t xml:space="preserve">Copyright Act </w:t>
      </w:r>
      <w:r w:rsidRPr="001F47B8">
        <w:rPr>
          <w:rFonts w:cs="Arial"/>
          <w:color w:val="000000" w:themeColor="text1"/>
          <w:sz w:val="20"/>
          <w:lang w:val="en-US"/>
        </w:rPr>
        <w:t>(Cth) s104C &amp; s44BB.</w:t>
      </w:r>
    </w:p>
  </w:footnote>
  <w:footnote w:id="153">
    <w:p w14:paraId="3C0D7C03" w14:textId="3ACDE995"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My Health Records Act 2012</w:t>
      </w:r>
      <w:r w:rsidRPr="001F47B8">
        <w:rPr>
          <w:rFonts w:cs="Arial"/>
          <w:i/>
          <w:iCs/>
          <w:color w:val="000000" w:themeColor="text1"/>
          <w:sz w:val="20"/>
          <w:lang w:val="en-US"/>
        </w:rPr>
        <w:t xml:space="preserve"> </w:t>
      </w:r>
      <w:r w:rsidRPr="001F47B8">
        <w:rPr>
          <w:rFonts w:cs="Arial"/>
          <w:color w:val="000000" w:themeColor="text1"/>
          <w:sz w:val="20"/>
          <w:lang w:val="en-US"/>
        </w:rPr>
        <w:t xml:space="preserve">(Cth) s45A &amp; s45B. </w:t>
      </w:r>
    </w:p>
  </w:footnote>
  <w:footnote w:id="154">
    <w:p w14:paraId="0CB2192D" w14:textId="479B8865"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Australian Government </w:t>
      </w:r>
      <w:r w:rsidRPr="001F47B8">
        <w:rPr>
          <w:rFonts w:cs="Arial"/>
          <w:i/>
          <w:iCs/>
          <w:color w:val="000000" w:themeColor="text1"/>
          <w:sz w:val="20"/>
        </w:rPr>
        <w:t>Australian Digital Health Agency</w:t>
      </w:r>
      <w:r w:rsidRPr="001F47B8">
        <w:rPr>
          <w:rFonts w:cs="Arial"/>
          <w:color w:val="000000" w:themeColor="text1"/>
          <w:sz w:val="20"/>
        </w:rPr>
        <w:t xml:space="preserve"> (2020) &lt;</w:t>
      </w:r>
      <w:hyperlink r:id="rId16" w:history="1">
        <w:r w:rsidRPr="001F47B8">
          <w:rPr>
            <w:rStyle w:val="Hyperlink"/>
            <w:rFonts w:cs="Arial"/>
            <w:color w:val="000000" w:themeColor="text1"/>
            <w:sz w:val="20"/>
          </w:rPr>
          <w:t>https://www.digitalhealth.gov.au/about-the-agency</w:t>
        </w:r>
      </w:hyperlink>
      <w:r w:rsidRPr="001F47B8">
        <w:rPr>
          <w:rFonts w:cs="Arial"/>
          <w:color w:val="000000" w:themeColor="text1"/>
          <w:sz w:val="20"/>
        </w:rPr>
        <w:t xml:space="preserve">&gt; viewed 27 April 2020. </w:t>
      </w:r>
    </w:p>
  </w:footnote>
  <w:footnote w:id="155">
    <w:p w14:paraId="3018F22B" w14:textId="13CE6ADC"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A common law principle. Leading case law authorities are </w:t>
      </w:r>
      <w:r w:rsidRPr="001F47B8">
        <w:rPr>
          <w:rFonts w:cs="Arial"/>
          <w:i/>
          <w:color w:val="000000" w:themeColor="text1"/>
          <w:sz w:val="20"/>
          <w:lang w:val="en-US"/>
        </w:rPr>
        <w:t xml:space="preserve">Trident General Insurance Co Limited v McNiece Bros Pty Ltd </w:t>
      </w:r>
      <w:r w:rsidRPr="001F47B8">
        <w:rPr>
          <w:rFonts w:cs="Arial"/>
          <w:color w:val="000000" w:themeColor="text1"/>
          <w:sz w:val="20"/>
          <w:lang w:val="en-US"/>
        </w:rPr>
        <w:t xml:space="preserve">(1988) 165 CLR 107 per Brennan J [9]-[10] &amp; </w:t>
      </w:r>
      <w:r w:rsidRPr="001F47B8">
        <w:rPr>
          <w:rFonts w:cs="Arial"/>
          <w:i/>
          <w:color w:val="000000" w:themeColor="text1"/>
          <w:sz w:val="20"/>
          <w:lang w:val="en-US"/>
        </w:rPr>
        <w:t>Coulls v Bagot’s Executor &amp; trustee Co Ltd</w:t>
      </w:r>
      <w:r w:rsidRPr="001F47B8">
        <w:rPr>
          <w:rFonts w:cs="Arial"/>
          <w:color w:val="000000" w:themeColor="text1"/>
          <w:sz w:val="20"/>
          <w:lang w:val="en-US"/>
        </w:rPr>
        <w:t xml:space="preserve"> (1967) 119 CLR 460 per Barwick CJ [31]-[32].</w:t>
      </w:r>
    </w:p>
  </w:footnote>
  <w:footnote w:id="156">
    <w:p w14:paraId="0CA19593" w14:textId="62A2C0F6"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Health Records and Information Privacy Act 2002</w:t>
      </w:r>
      <w:r w:rsidRPr="001F47B8">
        <w:rPr>
          <w:rFonts w:cs="Arial"/>
          <w:color w:val="000000" w:themeColor="text1"/>
          <w:sz w:val="20"/>
          <w:lang w:val="en-US"/>
        </w:rPr>
        <w:t xml:space="preserve"> (NSW) s7. </w:t>
      </w:r>
    </w:p>
  </w:footnote>
  <w:footnote w:id="157">
    <w:p w14:paraId="113DF51B" w14:textId="37CC8622"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0E4C1C">
        <w:rPr>
          <w:rFonts w:cs="Arial"/>
          <w:iCs/>
          <w:color w:val="000000" w:themeColor="text1"/>
          <w:sz w:val="20"/>
          <w:lang w:val="en-US"/>
        </w:rPr>
        <w:t>Ibid</w:t>
      </w:r>
      <w:r w:rsidR="000E4C1C" w:rsidRPr="001F47B8">
        <w:rPr>
          <w:rFonts w:cs="Arial"/>
          <w:color w:val="000000" w:themeColor="text1"/>
          <w:sz w:val="20"/>
          <w:lang w:val="en-US"/>
        </w:rPr>
        <w:t xml:space="preserve"> </w:t>
      </w:r>
      <w:r w:rsidRPr="001F47B8">
        <w:rPr>
          <w:rFonts w:cs="Arial"/>
          <w:color w:val="000000" w:themeColor="text1"/>
          <w:sz w:val="20"/>
          <w:lang w:val="en-US"/>
        </w:rPr>
        <w:t>s8.</w:t>
      </w:r>
    </w:p>
  </w:footnote>
  <w:footnote w:id="158">
    <w:p w14:paraId="66EA095E" w14:textId="49C322E2"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Human Tissue Act 1982</w:t>
      </w:r>
      <w:r w:rsidRPr="001F47B8">
        <w:rPr>
          <w:rFonts w:cs="Arial"/>
          <w:color w:val="000000" w:themeColor="text1"/>
          <w:sz w:val="20"/>
          <w:lang w:val="en-US"/>
        </w:rPr>
        <w:t xml:space="preserve"> (VIC), s26(1). </w:t>
      </w:r>
    </w:p>
  </w:footnote>
  <w:footnote w:id="159">
    <w:p w14:paraId="1FE0DA0A" w14:textId="24645457"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0E4C1C">
        <w:rPr>
          <w:rFonts w:cs="Arial"/>
          <w:iCs/>
          <w:color w:val="000000" w:themeColor="text1"/>
          <w:sz w:val="20"/>
          <w:lang w:val="en-US"/>
        </w:rPr>
        <w:t>Ibid</w:t>
      </w:r>
      <w:r w:rsidR="000E4C1C" w:rsidRPr="001F47B8">
        <w:rPr>
          <w:rFonts w:cs="Arial"/>
          <w:color w:val="000000" w:themeColor="text1"/>
          <w:sz w:val="20"/>
          <w:lang w:val="en-US"/>
        </w:rPr>
        <w:t xml:space="preserve"> </w:t>
      </w:r>
      <w:r w:rsidRPr="001F47B8">
        <w:rPr>
          <w:rFonts w:cs="Arial"/>
          <w:color w:val="000000" w:themeColor="text1"/>
          <w:sz w:val="20"/>
          <w:lang w:val="en-US"/>
        </w:rPr>
        <w:t xml:space="preserve">s26(1). </w:t>
      </w:r>
    </w:p>
  </w:footnote>
  <w:footnote w:id="160">
    <w:p w14:paraId="3A2BBEAE" w14:textId="644BCE1E"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0E4C1C">
        <w:rPr>
          <w:rFonts w:cs="Arial"/>
          <w:iCs/>
          <w:color w:val="000000" w:themeColor="text1"/>
          <w:sz w:val="20"/>
          <w:lang w:val="en-US"/>
        </w:rPr>
        <w:t>Ibid</w:t>
      </w:r>
      <w:r w:rsidR="000E4C1C" w:rsidRPr="001F47B8">
        <w:rPr>
          <w:rFonts w:cs="Arial"/>
          <w:color w:val="000000" w:themeColor="text1"/>
          <w:sz w:val="20"/>
          <w:lang w:val="en-US"/>
        </w:rPr>
        <w:t xml:space="preserve"> </w:t>
      </w:r>
      <w:r w:rsidRPr="001F47B8">
        <w:rPr>
          <w:rFonts w:cs="Arial"/>
          <w:color w:val="000000" w:themeColor="text1"/>
          <w:sz w:val="20"/>
          <w:lang w:val="en-US"/>
        </w:rPr>
        <w:t>s26(3).</w:t>
      </w:r>
    </w:p>
  </w:footnote>
  <w:footnote w:id="161">
    <w:p w14:paraId="66A5E6A5" w14:textId="7E83CCC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Human Tissue Act 1982</w:t>
      </w:r>
      <w:r w:rsidRPr="001F47B8">
        <w:rPr>
          <w:rFonts w:cs="Arial"/>
          <w:color w:val="000000" w:themeColor="text1"/>
          <w:sz w:val="20"/>
          <w:lang w:val="en-US"/>
        </w:rPr>
        <w:t xml:space="preserve"> (VIC), s26(1)(c).</w:t>
      </w:r>
    </w:p>
  </w:footnote>
  <w:footnote w:id="162">
    <w:p w14:paraId="6F731F78" w14:textId="54084CF6"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 xml:space="preserve">Human Tissue Act 1983 </w:t>
      </w:r>
      <w:r w:rsidRPr="001F47B8">
        <w:rPr>
          <w:rFonts w:cs="Arial"/>
          <w:color w:val="000000" w:themeColor="text1"/>
          <w:sz w:val="20"/>
          <w:lang w:val="en-US"/>
        </w:rPr>
        <w:t>(NSW) s19.</w:t>
      </w:r>
    </w:p>
  </w:footnote>
  <w:footnote w:id="163">
    <w:p w14:paraId="1671F91A" w14:textId="2441F25E"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DB48C2" w:rsidRPr="00DB48C2">
        <w:rPr>
          <w:rFonts w:cs="Arial"/>
          <w:i/>
          <w:iCs/>
          <w:color w:val="000000" w:themeColor="text1"/>
          <w:sz w:val="20"/>
        </w:rPr>
        <w:t>ALRC Essentially Yours</w:t>
      </w:r>
      <w:r w:rsidR="00DB48C2">
        <w:rPr>
          <w:rFonts w:cs="Arial"/>
          <w:color w:val="000000" w:themeColor="text1"/>
          <w:sz w:val="20"/>
        </w:rPr>
        <w:t xml:space="preserve"> (n 40) </w:t>
      </w:r>
      <w:r w:rsidRPr="001F47B8">
        <w:rPr>
          <w:rFonts w:cs="Arial"/>
          <w:color w:val="000000" w:themeColor="text1"/>
          <w:sz w:val="20"/>
          <w:lang w:val="en-US"/>
        </w:rPr>
        <w:t>291.</w:t>
      </w:r>
    </w:p>
  </w:footnote>
  <w:footnote w:id="164">
    <w:p w14:paraId="6044DEFA" w14:textId="32301757"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Commonwealth v Tasmania</w:t>
      </w:r>
      <w:r w:rsidRPr="001F47B8">
        <w:rPr>
          <w:rFonts w:cs="Arial"/>
          <w:color w:val="000000" w:themeColor="text1"/>
          <w:sz w:val="20"/>
          <w:lang w:val="en-US"/>
        </w:rPr>
        <w:t xml:space="preserve"> (1983) 158 CLR 1. </w:t>
      </w:r>
    </w:p>
  </w:footnote>
  <w:footnote w:id="165">
    <w:p w14:paraId="1B71275E" w14:textId="34CC65F4"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Australian Human Rights Commission</w:t>
      </w:r>
      <w:r w:rsidRPr="001F47B8">
        <w:rPr>
          <w:rFonts w:cs="Arial"/>
          <w:color w:val="000000" w:themeColor="text1"/>
          <w:sz w:val="20"/>
        </w:rPr>
        <w:t xml:space="preserve"> (2020) &lt;</w:t>
      </w:r>
      <w:hyperlink r:id="rId17" w:history="1">
        <w:r w:rsidRPr="001F47B8">
          <w:rPr>
            <w:rStyle w:val="Hyperlink"/>
            <w:rFonts w:cs="Arial"/>
            <w:color w:val="000000" w:themeColor="text1"/>
            <w:sz w:val="20"/>
          </w:rPr>
          <w:t>https://www.humanrights.gov.au/our-work/aboriginal-and-torres-strait-islander-social-justice</w:t>
        </w:r>
      </w:hyperlink>
      <w:r w:rsidRPr="001F47B8">
        <w:rPr>
          <w:rFonts w:cs="Arial"/>
          <w:color w:val="000000" w:themeColor="text1"/>
          <w:sz w:val="20"/>
        </w:rPr>
        <w:t xml:space="preserve">&gt; viewed 23 April 2020. </w:t>
      </w:r>
    </w:p>
  </w:footnote>
  <w:footnote w:id="166">
    <w:p w14:paraId="4D326A3F" w14:textId="244EE57A"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DB48C2" w:rsidRPr="00DB48C2">
        <w:rPr>
          <w:rFonts w:cs="Arial"/>
          <w:i/>
          <w:iCs/>
          <w:color w:val="000000" w:themeColor="text1"/>
          <w:sz w:val="20"/>
        </w:rPr>
        <w:t>ALRC Essentially Yours</w:t>
      </w:r>
      <w:r w:rsidR="00DB48C2">
        <w:rPr>
          <w:rFonts w:cs="Arial"/>
          <w:color w:val="000000" w:themeColor="text1"/>
          <w:sz w:val="20"/>
        </w:rPr>
        <w:t xml:space="preserve"> (n 40) </w:t>
      </w:r>
      <w:r w:rsidRPr="001F47B8">
        <w:rPr>
          <w:rFonts w:cs="Arial"/>
          <w:color w:val="000000" w:themeColor="text1"/>
          <w:sz w:val="20"/>
          <w:lang w:val="en-US"/>
        </w:rPr>
        <w:t>293.</w:t>
      </w:r>
    </w:p>
  </w:footnote>
  <w:footnote w:id="167">
    <w:p w14:paraId="6E83EDBF" w14:textId="5BE17D77"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565D60">
        <w:rPr>
          <w:rFonts w:cs="Arial"/>
          <w:color w:val="000000" w:themeColor="text1"/>
          <w:sz w:val="20"/>
        </w:rPr>
        <w:t>Ibid</w:t>
      </w:r>
      <w:r w:rsidRPr="001F47B8">
        <w:rPr>
          <w:rFonts w:cs="Arial"/>
          <w:i/>
          <w:iCs/>
          <w:color w:val="000000" w:themeColor="text1"/>
          <w:sz w:val="20"/>
        </w:rPr>
        <w:t xml:space="preserve">, </w:t>
      </w:r>
      <w:r w:rsidRPr="001F47B8">
        <w:rPr>
          <w:rFonts w:cs="Arial"/>
          <w:color w:val="000000" w:themeColor="text1"/>
          <w:sz w:val="20"/>
          <w:lang w:val="en-US"/>
        </w:rPr>
        <w:t>295.</w:t>
      </w:r>
    </w:p>
  </w:footnote>
  <w:footnote w:id="168">
    <w:p w14:paraId="0838D866" w14:textId="054363DA"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lang w:val="en-US"/>
        </w:rPr>
        <w:t xml:space="preserve">See for example the </w:t>
      </w:r>
      <w:r w:rsidRPr="001F47B8">
        <w:rPr>
          <w:rFonts w:cs="Arial"/>
          <w:i/>
          <w:color w:val="000000" w:themeColor="text1"/>
          <w:sz w:val="20"/>
          <w:lang w:val="en-US"/>
        </w:rPr>
        <w:t>Anti-Discrimination Act 1998</w:t>
      </w:r>
      <w:r w:rsidRPr="001F47B8">
        <w:rPr>
          <w:rFonts w:cs="Arial"/>
          <w:color w:val="000000" w:themeColor="text1"/>
          <w:sz w:val="20"/>
          <w:lang w:val="en-US"/>
        </w:rPr>
        <w:t xml:space="preserve"> (Tas) s14.</w:t>
      </w:r>
    </w:p>
  </w:footnote>
  <w:footnote w:id="169">
    <w:p w14:paraId="32F95AFE" w14:textId="5FE4505A"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lang w:val="en-US"/>
        </w:rPr>
        <w:t xml:space="preserve">See for example </w:t>
      </w:r>
      <w:r w:rsidR="00565D60">
        <w:rPr>
          <w:rFonts w:cs="Arial"/>
          <w:color w:val="000000" w:themeColor="text1"/>
          <w:sz w:val="20"/>
          <w:lang w:val="en-US"/>
        </w:rPr>
        <w:t xml:space="preserve">ibid, </w:t>
      </w:r>
      <w:r w:rsidRPr="001F47B8">
        <w:rPr>
          <w:rFonts w:cs="Arial"/>
          <w:color w:val="000000" w:themeColor="text1"/>
          <w:sz w:val="20"/>
          <w:lang w:val="en-US"/>
        </w:rPr>
        <w:t>s15.</w:t>
      </w:r>
    </w:p>
  </w:footnote>
  <w:footnote w:id="170">
    <w:p w14:paraId="69F46FBD" w14:textId="7122B2DD"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Human Rights Act 2004</w:t>
      </w:r>
      <w:r w:rsidRPr="001F47B8">
        <w:rPr>
          <w:rFonts w:cs="Arial"/>
          <w:color w:val="000000" w:themeColor="text1"/>
          <w:sz w:val="20"/>
          <w:lang w:val="en-US"/>
        </w:rPr>
        <w:t xml:space="preserve"> (QLD) s 27(2)(a).</w:t>
      </w:r>
    </w:p>
  </w:footnote>
  <w:footnote w:id="171">
    <w:p w14:paraId="248E586B" w14:textId="6CCDAFAD"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14320C">
        <w:rPr>
          <w:rFonts w:cs="Arial"/>
          <w:iCs/>
          <w:color w:val="000000" w:themeColor="text1"/>
          <w:sz w:val="20"/>
          <w:lang w:val="en-US"/>
        </w:rPr>
        <w:t>Ibid</w:t>
      </w:r>
      <w:r w:rsidR="0014320C" w:rsidRPr="001F47B8">
        <w:rPr>
          <w:rFonts w:cs="Arial"/>
          <w:color w:val="000000" w:themeColor="text1"/>
          <w:sz w:val="20"/>
          <w:lang w:val="en-US"/>
        </w:rPr>
        <w:t xml:space="preserve"> </w:t>
      </w:r>
      <w:r w:rsidRPr="001F47B8">
        <w:rPr>
          <w:rFonts w:cs="Arial"/>
          <w:color w:val="000000" w:themeColor="text1"/>
          <w:sz w:val="20"/>
          <w:lang w:val="en-US"/>
        </w:rPr>
        <w:t>s 27(2)(b).</w:t>
      </w:r>
    </w:p>
  </w:footnote>
  <w:footnote w:id="172">
    <w:p w14:paraId="4CB6E7DF" w14:textId="7872C94F"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Declaration on the Rights of Indigenous Peoples, GA Res 61/295, UN GAOR, 61</w:t>
      </w:r>
      <w:r w:rsidRPr="001F47B8">
        <w:rPr>
          <w:rFonts w:cs="Arial"/>
          <w:color w:val="000000" w:themeColor="text1"/>
          <w:sz w:val="20"/>
          <w:vertAlign w:val="superscript"/>
        </w:rPr>
        <w:t>st</w:t>
      </w:r>
      <w:r w:rsidRPr="001F47B8">
        <w:rPr>
          <w:rFonts w:cs="Arial"/>
          <w:color w:val="000000" w:themeColor="text1"/>
          <w:sz w:val="20"/>
        </w:rPr>
        <w:t xml:space="preserve"> sess, 107</w:t>
      </w:r>
      <w:r w:rsidRPr="001F47B8">
        <w:rPr>
          <w:rFonts w:cs="Arial"/>
          <w:color w:val="000000" w:themeColor="text1"/>
          <w:sz w:val="20"/>
          <w:vertAlign w:val="superscript"/>
        </w:rPr>
        <w:t>th</w:t>
      </w:r>
      <w:r w:rsidRPr="001F47B8">
        <w:rPr>
          <w:rFonts w:cs="Arial"/>
          <w:color w:val="000000" w:themeColor="text1"/>
          <w:sz w:val="20"/>
        </w:rPr>
        <w:t xml:space="preserve"> plen mtg, UN Doc A/RES/61/295 (13 September 2007) </w:t>
      </w:r>
      <w:r w:rsidRPr="001F47B8">
        <w:rPr>
          <w:rFonts w:cs="Arial"/>
          <w:color w:val="000000" w:themeColor="text1"/>
          <w:sz w:val="20"/>
          <w:lang w:val="en-US"/>
        </w:rPr>
        <w:t xml:space="preserve">art 31. </w:t>
      </w:r>
    </w:p>
  </w:footnote>
  <w:footnote w:id="173">
    <w:p w14:paraId="4E4BB46F" w14:textId="64491D15"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Human Rights Act 2019</w:t>
      </w:r>
      <w:r w:rsidRPr="001F47B8">
        <w:rPr>
          <w:rFonts w:cs="Arial"/>
          <w:color w:val="000000" w:themeColor="text1"/>
          <w:sz w:val="20"/>
        </w:rPr>
        <w:t xml:space="preserve"> (QLD) S28(2)(c).</w:t>
      </w:r>
    </w:p>
  </w:footnote>
  <w:footnote w:id="174">
    <w:p w14:paraId="18860E4B" w14:textId="219E536A" w:rsidR="00FB2047" w:rsidRPr="001F47B8" w:rsidRDefault="00FB2047" w:rsidP="00AC73DF">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lang w:val="en-US"/>
        </w:rPr>
        <w:t>Charter of Human Rights and Responsibilities Act 2006</w:t>
      </w:r>
      <w:r w:rsidRPr="001F47B8">
        <w:rPr>
          <w:rFonts w:cs="Arial"/>
          <w:color w:val="000000" w:themeColor="text1"/>
          <w:sz w:val="20"/>
          <w:lang w:val="en-US"/>
        </w:rPr>
        <w:t xml:space="preserve"> (Vic) s19(2)(c).</w:t>
      </w:r>
    </w:p>
  </w:footnote>
  <w:footnote w:id="175">
    <w:p w14:paraId="29EE4FA9" w14:textId="77777777" w:rsidR="00B76E97" w:rsidRPr="001F47B8" w:rsidRDefault="00B76E97">
      <w:pPr>
        <w:pStyle w:val="FootnoteText"/>
        <w:rPr>
          <w:rFonts w:cs="Arial"/>
          <w:sz w:val="20"/>
        </w:rPr>
      </w:pPr>
      <w:r w:rsidRPr="001F47B8">
        <w:rPr>
          <w:rStyle w:val="FootnoteReference"/>
          <w:rFonts w:cs="Arial"/>
          <w:sz w:val="20"/>
        </w:rPr>
        <w:footnoteRef/>
      </w:r>
      <w:r w:rsidRPr="001F47B8">
        <w:rPr>
          <w:rFonts w:cs="Arial"/>
          <w:sz w:val="20"/>
        </w:rPr>
        <w:t xml:space="preserve"> </w:t>
      </w:r>
      <w:r w:rsidR="002C2714" w:rsidRPr="001F47B8">
        <w:rPr>
          <w:rFonts w:cs="Arial"/>
          <w:sz w:val="20"/>
        </w:rPr>
        <w:t>NHMRC (National Health and Medical Research Council)</w:t>
      </w:r>
      <w:r w:rsidR="00DF143E" w:rsidRPr="001F47B8">
        <w:rPr>
          <w:rFonts w:cs="Arial"/>
          <w:sz w:val="20"/>
        </w:rPr>
        <w:t xml:space="preserve">, </w:t>
      </w:r>
      <w:r w:rsidR="00DF143E" w:rsidRPr="001F47B8">
        <w:rPr>
          <w:rFonts w:cs="Arial"/>
          <w:i/>
          <w:iCs/>
          <w:sz w:val="20"/>
        </w:rPr>
        <w:t>Biobanks Information P</w:t>
      </w:r>
      <w:r w:rsidR="004A26A9" w:rsidRPr="001F47B8">
        <w:rPr>
          <w:rFonts w:cs="Arial"/>
          <w:i/>
          <w:iCs/>
          <w:sz w:val="20"/>
        </w:rPr>
        <w:t>aper</w:t>
      </w:r>
      <w:r w:rsidR="00D63941" w:rsidRPr="001F47B8">
        <w:rPr>
          <w:rFonts w:cs="Arial"/>
          <w:sz w:val="20"/>
        </w:rPr>
        <w:t xml:space="preserve"> (Report, February 2010)</w:t>
      </w:r>
      <w:r w:rsidR="00EC3139" w:rsidRPr="001F47B8">
        <w:rPr>
          <w:rFonts w:cs="Arial"/>
          <w:sz w:val="20"/>
        </w:rPr>
        <w:t xml:space="preserve"> 8</w:t>
      </w:r>
      <w:r w:rsidR="00C44D13" w:rsidRPr="001F47B8">
        <w:rPr>
          <w:rFonts w:cs="Arial"/>
          <w:sz w:val="20"/>
        </w:rPr>
        <w:t>.</w:t>
      </w:r>
    </w:p>
  </w:footnote>
  <w:footnote w:id="176">
    <w:p w14:paraId="42CC2FC5" w14:textId="3001029D" w:rsidR="006E7C27" w:rsidRPr="001F47B8" w:rsidRDefault="006E7C27" w:rsidP="006E7C27">
      <w:pPr>
        <w:pStyle w:val="FootnoteText"/>
        <w:rPr>
          <w:rFonts w:cs="Arial"/>
          <w:sz w:val="20"/>
        </w:rPr>
      </w:pPr>
      <w:r w:rsidRPr="001F47B8">
        <w:rPr>
          <w:rStyle w:val="FootnoteReference"/>
          <w:rFonts w:cs="Arial"/>
          <w:sz w:val="20"/>
        </w:rPr>
        <w:footnoteRef/>
      </w:r>
      <w:r w:rsidRPr="001F47B8">
        <w:rPr>
          <w:rFonts w:cs="Arial"/>
          <w:sz w:val="20"/>
        </w:rPr>
        <w:t xml:space="preserve"> </w:t>
      </w:r>
      <w:r w:rsidR="00DB48C2" w:rsidRPr="00DB48C2">
        <w:rPr>
          <w:rFonts w:cs="Arial"/>
          <w:i/>
          <w:iCs/>
          <w:color w:val="000000" w:themeColor="text1"/>
          <w:sz w:val="20"/>
        </w:rPr>
        <w:t>ALRC Essentially Yours</w:t>
      </w:r>
      <w:r w:rsidR="00DB48C2">
        <w:rPr>
          <w:rFonts w:cs="Arial"/>
          <w:color w:val="000000" w:themeColor="text1"/>
          <w:sz w:val="20"/>
        </w:rPr>
        <w:t xml:space="preserve"> (n 40) </w:t>
      </w:r>
      <w:r w:rsidRPr="001F47B8">
        <w:rPr>
          <w:rFonts w:cs="Arial"/>
          <w:color w:val="000000" w:themeColor="text1"/>
          <w:sz w:val="20"/>
        </w:rPr>
        <w:t>471.</w:t>
      </w:r>
    </w:p>
  </w:footnote>
  <w:footnote w:id="177">
    <w:p w14:paraId="6F086ACC" w14:textId="7BEF6617" w:rsidR="00FD0D6F" w:rsidRPr="001F47B8" w:rsidRDefault="00FD0D6F">
      <w:pPr>
        <w:pStyle w:val="FootnoteText"/>
        <w:rPr>
          <w:rFonts w:cs="Arial"/>
          <w:sz w:val="20"/>
        </w:rPr>
      </w:pPr>
      <w:r w:rsidRPr="001F47B8">
        <w:rPr>
          <w:rStyle w:val="FootnoteReference"/>
          <w:rFonts w:cs="Arial"/>
          <w:sz w:val="20"/>
        </w:rPr>
        <w:footnoteRef/>
      </w:r>
      <w:r w:rsidRPr="001F47B8">
        <w:rPr>
          <w:rFonts w:cs="Arial"/>
          <w:sz w:val="20"/>
        </w:rPr>
        <w:t xml:space="preserve"> NHMRC (National Health and Medical Research Council), </w:t>
      </w:r>
      <w:r w:rsidRPr="001F47B8">
        <w:rPr>
          <w:rFonts w:cs="Arial"/>
          <w:i/>
          <w:iCs/>
          <w:sz w:val="20"/>
        </w:rPr>
        <w:t>Biobanks Information Paper</w:t>
      </w:r>
      <w:r w:rsidRPr="001F47B8">
        <w:rPr>
          <w:rFonts w:cs="Arial"/>
          <w:sz w:val="20"/>
        </w:rPr>
        <w:t xml:space="preserve"> (Report, February 2010) 7.</w:t>
      </w:r>
    </w:p>
  </w:footnote>
  <w:footnote w:id="178">
    <w:p w14:paraId="777A6F23" w14:textId="55557967" w:rsidR="005D75B6" w:rsidRPr="001513E7" w:rsidRDefault="005D75B6" w:rsidP="00526958">
      <w:pPr>
        <w:shd w:val="clear" w:color="auto" w:fill="FEFEFE"/>
        <w:spacing w:after="0" w:line="240" w:lineRule="auto"/>
        <w:rPr>
          <w:rFonts w:cs="Arial"/>
          <w:sz w:val="20"/>
          <w:szCs w:val="20"/>
        </w:rPr>
      </w:pPr>
      <w:r w:rsidRPr="001F47B8">
        <w:rPr>
          <w:rStyle w:val="FootnoteReference"/>
          <w:rFonts w:cs="Arial"/>
          <w:sz w:val="20"/>
          <w:szCs w:val="20"/>
        </w:rPr>
        <w:footnoteRef/>
      </w:r>
      <w:r w:rsidRPr="001F47B8">
        <w:rPr>
          <w:rFonts w:cs="Arial"/>
          <w:sz w:val="20"/>
          <w:szCs w:val="20"/>
        </w:rPr>
        <w:t xml:space="preserve"> </w:t>
      </w:r>
      <w:r w:rsidR="00E51EE0" w:rsidRPr="001F47B8">
        <w:rPr>
          <w:rFonts w:eastAsia="Times New Roman" w:cs="Arial"/>
          <w:sz w:val="20"/>
          <w:szCs w:val="20"/>
          <w:lang w:eastAsia="en-AU"/>
        </w:rPr>
        <w:t xml:space="preserve">Imogen Elsum, </w:t>
      </w:r>
      <w:r w:rsidR="00DB48C2">
        <w:rPr>
          <w:rFonts w:eastAsia="Times New Roman" w:cs="Arial"/>
          <w:sz w:val="20"/>
          <w:szCs w:val="20"/>
          <w:lang w:eastAsia="en-AU"/>
        </w:rPr>
        <w:t>et al</w:t>
      </w:r>
      <w:r w:rsidR="00D9254D">
        <w:rPr>
          <w:rFonts w:eastAsia="Times New Roman" w:cs="Arial"/>
          <w:sz w:val="20"/>
          <w:szCs w:val="20"/>
          <w:lang w:eastAsia="en-AU"/>
        </w:rPr>
        <w:t>,</w:t>
      </w:r>
      <w:r w:rsidR="00C173F2" w:rsidRPr="001F47B8">
        <w:rPr>
          <w:rFonts w:eastAsia="Times New Roman" w:cs="Arial"/>
          <w:sz w:val="20"/>
          <w:szCs w:val="20"/>
          <w:lang w:eastAsia="en-AU"/>
        </w:rPr>
        <w:t xml:space="preserve"> ‘Inclusion of Indigenous Australians in biobanks: a step to reducing inequity in health care’ (2019)</w:t>
      </w:r>
      <w:r w:rsidR="008A6489" w:rsidRPr="001F47B8">
        <w:rPr>
          <w:rFonts w:eastAsia="Times New Roman" w:cs="Arial"/>
          <w:sz w:val="20"/>
          <w:szCs w:val="20"/>
          <w:lang w:eastAsia="en-AU"/>
        </w:rPr>
        <w:t xml:space="preserve"> </w:t>
      </w:r>
      <w:r w:rsidR="00AD1C3F" w:rsidRPr="001F47B8">
        <w:rPr>
          <w:rFonts w:eastAsia="Times New Roman" w:cs="Arial"/>
          <w:sz w:val="20"/>
          <w:szCs w:val="20"/>
          <w:lang w:eastAsia="en-AU"/>
        </w:rPr>
        <w:t xml:space="preserve">11 </w:t>
      </w:r>
      <w:r w:rsidR="000D1F3C" w:rsidRPr="001F47B8">
        <w:rPr>
          <w:rFonts w:eastAsia="Times New Roman" w:cs="Arial"/>
          <w:i/>
          <w:iCs/>
          <w:sz w:val="20"/>
          <w:szCs w:val="20"/>
          <w:lang w:eastAsia="en-AU"/>
        </w:rPr>
        <w:t>Medical Journal of Australia</w:t>
      </w:r>
      <w:r w:rsidR="004631B9" w:rsidRPr="001F47B8">
        <w:rPr>
          <w:rFonts w:eastAsia="Times New Roman" w:cs="Arial"/>
          <w:sz w:val="20"/>
          <w:szCs w:val="20"/>
          <w:lang w:eastAsia="en-AU"/>
        </w:rPr>
        <w:t xml:space="preserve"> 7</w:t>
      </w:r>
      <w:r w:rsidR="00315B51" w:rsidRPr="001F47B8">
        <w:rPr>
          <w:rFonts w:eastAsia="Times New Roman" w:cs="Arial"/>
          <w:sz w:val="20"/>
          <w:szCs w:val="20"/>
          <w:lang w:eastAsia="en-AU"/>
        </w:rPr>
        <w:t>, 9.</w:t>
      </w:r>
    </w:p>
  </w:footnote>
  <w:footnote w:id="179">
    <w:p w14:paraId="6A214504" w14:textId="441D4FDE" w:rsidR="005D4C80" w:rsidRPr="001F47B8" w:rsidRDefault="005D4C80">
      <w:pPr>
        <w:pStyle w:val="FootnoteText"/>
        <w:rPr>
          <w:rFonts w:cs="Arial"/>
          <w:sz w:val="20"/>
        </w:rPr>
      </w:pPr>
      <w:r w:rsidRPr="001F47B8">
        <w:rPr>
          <w:rStyle w:val="FootnoteReference"/>
          <w:rFonts w:cs="Arial"/>
          <w:sz w:val="20"/>
        </w:rPr>
        <w:footnoteRef/>
      </w:r>
      <w:r w:rsidRPr="001F47B8">
        <w:rPr>
          <w:rFonts w:cs="Arial"/>
          <w:sz w:val="20"/>
        </w:rPr>
        <w:t xml:space="preserve"> </w:t>
      </w:r>
      <w:r w:rsidRPr="0018312B">
        <w:rPr>
          <w:rStyle w:val="EndnoteTextChar"/>
          <w:rFonts w:cs="Arial"/>
          <w:color w:val="000000"/>
          <w:spacing w:val="2"/>
        </w:rPr>
        <w:t>Human Tissue Act 1983</w:t>
      </w:r>
      <w:r w:rsidRPr="001F47B8">
        <w:rPr>
          <w:rFonts w:cs="Arial"/>
          <w:color w:val="000000"/>
          <w:spacing w:val="2"/>
          <w:sz w:val="20"/>
        </w:rPr>
        <w:t> (NSW) s 34(1)(a)–(b) and cognate state and territory legislation.</w:t>
      </w:r>
    </w:p>
  </w:footnote>
  <w:footnote w:id="180">
    <w:p w14:paraId="2FEFA6BB" w14:textId="0ACCF470" w:rsidR="00BC2C46" w:rsidRPr="001F47B8" w:rsidRDefault="00BC2C46">
      <w:pPr>
        <w:pStyle w:val="FootnoteText"/>
        <w:rPr>
          <w:rFonts w:cs="Arial"/>
          <w:sz w:val="20"/>
        </w:rPr>
      </w:pPr>
      <w:r w:rsidRPr="001F47B8">
        <w:rPr>
          <w:rStyle w:val="FootnoteReference"/>
          <w:rFonts w:cs="Arial"/>
          <w:sz w:val="20"/>
        </w:rPr>
        <w:footnoteRef/>
      </w:r>
      <w:r w:rsidRPr="001F47B8">
        <w:rPr>
          <w:rFonts w:cs="Arial"/>
          <w:sz w:val="20"/>
        </w:rPr>
        <w:t xml:space="preserve"> </w:t>
      </w:r>
      <w:r w:rsidR="005E6936" w:rsidRPr="005E6936">
        <w:rPr>
          <w:rFonts w:cs="Arial"/>
          <w:color w:val="000000"/>
          <w:spacing w:val="2"/>
          <w:sz w:val="20"/>
        </w:rPr>
        <w:t>Ibid</w:t>
      </w:r>
      <w:r w:rsidRPr="001F47B8">
        <w:rPr>
          <w:rFonts w:cs="Arial"/>
          <w:color w:val="000000"/>
          <w:spacing w:val="2"/>
          <w:sz w:val="20"/>
        </w:rPr>
        <w:t xml:space="preserve">; </w:t>
      </w:r>
      <w:r w:rsidRPr="0018312B">
        <w:rPr>
          <w:rFonts w:cs="Arial"/>
          <w:i/>
          <w:iCs/>
          <w:color w:val="000000"/>
          <w:spacing w:val="2"/>
          <w:sz w:val="20"/>
        </w:rPr>
        <w:t>Transplantation and Anatomy Act 1979</w:t>
      </w:r>
      <w:r w:rsidRPr="001F47B8">
        <w:rPr>
          <w:rFonts w:cs="Arial"/>
          <w:color w:val="000000"/>
          <w:spacing w:val="2"/>
          <w:sz w:val="20"/>
        </w:rPr>
        <w:t xml:space="preserve"> (Qld); </w:t>
      </w:r>
      <w:r w:rsidRPr="0018312B">
        <w:rPr>
          <w:rFonts w:cs="Arial"/>
          <w:i/>
          <w:iCs/>
          <w:color w:val="000000"/>
          <w:spacing w:val="2"/>
          <w:sz w:val="20"/>
        </w:rPr>
        <w:t>Transplantation and Anatomy Act 1983</w:t>
      </w:r>
      <w:r w:rsidRPr="001F47B8">
        <w:rPr>
          <w:rFonts w:cs="Arial"/>
          <w:color w:val="000000"/>
          <w:spacing w:val="2"/>
          <w:sz w:val="20"/>
        </w:rPr>
        <w:t xml:space="preserve"> (SA); </w:t>
      </w:r>
      <w:r w:rsidRPr="0018312B">
        <w:rPr>
          <w:rFonts w:cs="Arial"/>
          <w:i/>
          <w:iCs/>
          <w:color w:val="000000"/>
          <w:spacing w:val="2"/>
          <w:sz w:val="20"/>
        </w:rPr>
        <w:t>Human Tissue Act 1985</w:t>
      </w:r>
      <w:r w:rsidRPr="001F47B8">
        <w:rPr>
          <w:rFonts w:cs="Arial"/>
          <w:color w:val="000000"/>
          <w:spacing w:val="2"/>
          <w:sz w:val="20"/>
        </w:rPr>
        <w:t xml:space="preserve"> (Tas); </w:t>
      </w:r>
      <w:r w:rsidRPr="0018312B">
        <w:rPr>
          <w:rFonts w:cs="Arial"/>
          <w:i/>
          <w:iCs/>
          <w:color w:val="000000"/>
          <w:spacing w:val="2"/>
          <w:sz w:val="20"/>
        </w:rPr>
        <w:t>Human Tissue Act 1982</w:t>
      </w:r>
      <w:r w:rsidRPr="001F47B8">
        <w:rPr>
          <w:rFonts w:cs="Arial"/>
          <w:color w:val="000000"/>
          <w:spacing w:val="2"/>
          <w:sz w:val="20"/>
        </w:rPr>
        <w:t xml:space="preserve"> (Vic); </w:t>
      </w:r>
      <w:r w:rsidRPr="0018312B">
        <w:rPr>
          <w:rFonts w:cs="Arial"/>
          <w:i/>
          <w:iCs/>
          <w:color w:val="000000"/>
          <w:spacing w:val="2"/>
          <w:sz w:val="20"/>
        </w:rPr>
        <w:t>Human Tissue and Transplant Act 1982</w:t>
      </w:r>
      <w:r w:rsidRPr="001F47B8">
        <w:rPr>
          <w:rFonts w:cs="Arial"/>
          <w:color w:val="000000"/>
          <w:spacing w:val="2"/>
          <w:sz w:val="20"/>
        </w:rPr>
        <w:t xml:space="preserve"> (WA); </w:t>
      </w:r>
      <w:r w:rsidRPr="0018312B">
        <w:rPr>
          <w:rFonts w:cs="Arial"/>
          <w:i/>
          <w:iCs/>
          <w:color w:val="000000"/>
          <w:spacing w:val="2"/>
          <w:sz w:val="20"/>
        </w:rPr>
        <w:t>Transplantation and Anatomy Act 1978</w:t>
      </w:r>
      <w:r w:rsidRPr="001F47B8">
        <w:rPr>
          <w:rFonts w:cs="Arial"/>
          <w:color w:val="000000"/>
          <w:spacing w:val="2"/>
          <w:sz w:val="20"/>
        </w:rPr>
        <w:t xml:space="preserve"> (ACT); </w:t>
      </w:r>
      <w:r w:rsidRPr="0018312B">
        <w:rPr>
          <w:rFonts w:cs="Arial"/>
          <w:i/>
          <w:iCs/>
          <w:color w:val="000000"/>
          <w:spacing w:val="2"/>
          <w:sz w:val="20"/>
        </w:rPr>
        <w:t>Human Tissue Transplant Act 1979</w:t>
      </w:r>
      <w:r w:rsidRPr="001F47B8">
        <w:rPr>
          <w:rFonts w:cs="Arial"/>
          <w:color w:val="000000"/>
          <w:spacing w:val="2"/>
          <w:sz w:val="20"/>
        </w:rPr>
        <w:t xml:space="preserve"> (NT).</w:t>
      </w:r>
    </w:p>
  </w:footnote>
  <w:footnote w:id="181">
    <w:p w14:paraId="2F579B41" w14:textId="5FEFCFF9" w:rsidR="00A022B7" w:rsidRPr="001F47B8" w:rsidRDefault="00A022B7">
      <w:pPr>
        <w:pStyle w:val="FootnoteText"/>
        <w:rPr>
          <w:rFonts w:cs="Arial"/>
          <w:i/>
          <w:iCs/>
          <w:sz w:val="20"/>
        </w:rPr>
      </w:pPr>
      <w:r w:rsidRPr="001F47B8">
        <w:rPr>
          <w:rStyle w:val="FootnoteReference"/>
          <w:rFonts w:cs="Arial"/>
          <w:sz w:val="20"/>
        </w:rPr>
        <w:footnoteRef/>
      </w:r>
      <w:r w:rsidRPr="001F47B8">
        <w:rPr>
          <w:rFonts w:cs="Arial"/>
          <w:sz w:val="20"/>
        </w:rPr>
        <w:t xml:space="preserve"> </w:t>
      </w:r>
      <w:r w:rsidR="00B232FF" w:rsidRPr="00B0028D">
        <w:rPr>
          <w:rFonts w:cs="Arial"/>
          <w:i/>
          <w:iCs/>
          <w:color w:val="000000" w:themeColor="text1"/>
          <w:sz w:val="20"/>
        </w:rPr>
        <w:t xml:space="preserve">The National Statement </w:t>
      </w:r>
      <w:r w:rsidR="00B232FF" w:rsidRPr="00B0028D">
        <w:rPr>
          <w:rFonts w:cs="Arial"/>
          <w:color w:val="000000" w:themeColor="text1"/>
          <w:sz w:val="20"/>
        </w:rPr>
        <w:t>(no 44)</w:t>
      </w:r>
      <w:r w:rsidR="00B232FF" w:rsidRPr="001F47B8">
        <w:rPr>
          <w:rFonts w:cs="Arial"/>
          <w:color w:val="000000" w:themeColor="text1"/>
          <w:sz w:val="20"/>
        </w:rPr>
        <w:t xml:space="preserve"> </w:t>
      </w:r>
      <w:r w:rsidR="00B232FF">
        <w:rPr>
          <w:rFonts w:cs="Arial"/>
          <w:color w:val="000000" w:themeColor="text1"/>
          <w:sz w:val="20"/>
        </w:rPr>
        <w:t xml:space="preserve"> Chpt </w:t>
      </w:r>
      <w:r w:rsidR="00693A54" w:rsidRPr="001F47B8">
        <w:rPr>
          <w:rFonts w:cs="Arial"/>
          <w:color w:val="000000" w:themeColor="text1"/>
          <w:sz w:val="20"/>
        </w:rPr>
        <w:t>3.2.</w:t>
      </w:r>
    </w:p>
  </w:footnote>
  <w:footnote w:id="182">
    <w:p w14:paraId="330D13A1" w14:textId="207024A0" w:rsidR="00232DA2" w:rsidRPr="001F47B8" w:rsidRDefault="00232DA2">
      <w:pPr>
        <w:pStyle w:val="FootnoteText"/>
        <w:rPr>
          <w:rFonts w:cs="Arial"/>
          <w:sz w:val="20"/>
        </w:rPr>
      </w:pPr>
      <w:r w:rsidRPr="001F47B8">
        <w:rPr>
          <w:rStyle w:val="FootnoteReference"/>
          <w:rFonts w:cs="Arial"/>
          <w:sz w:val="20"/>
        </w:rPr>
        <w:footnoteRef/>
      </w:r>
      <w:r w:rsidRPr="001F47B8">
        <w:rPr>
          <w:rFonts w:cs="Arial"/>
          <w:sz w:val="20"/>
        </w:rPr>
        <w:t xml:space="preserve"> </w:t>
      </w:r>
      <w:r w:rsidR="00B9481F" w:rsidRPr="001F47B8">
        <w:rPr>
          <w:rFonts w:cs="Arial"/>
          <w:sz w:val="20"/>
        </w:rPr>
        <w:t>NSW Health, ‘B</w:t>
      </w:r>
      <w:r w:rsidR="00FC0C2F" w:rsidRPr="001F47B8">
        <w:rPr>
          <w:rFonts w:cs="Arial"/>
          <w:sz w:val="20"/>
        </w:rPr>
        <w:t>iobanking’ &lt;</w:t>
      </w:r>
      <w:hyperlink r:id="rId18" w:history="1">
        <w:r w:rsidR="00B9481F" w:rsidRPr="001F47B8">
          <w:rPr>
            <w:rStyle w:val="Hyperlink"/>
            <w:rFonts w:cs="Arial"/>
            <w:sz w:val="20"/>
          </w:rPr>
          <w:t>https://www.medicalresearch.nsw.gov.au/biobanking/</w:t>
        </w:r>
      </w:hyperlink>
      <w:r w:rsidR="00FC0C2F" w:rsidRPr="001F47B8">
        <w:rPr>
          <w:rFonts w:cs="Arial"/>
          <w:sz w:val="20"/>
        </w:rPr>
        <w:t>&gt; (Accessed 03 July 2020)</w:t>
      </w:r>
      <w:r w:rsidR="00F314D4">
        <w:rPr>
          <w:rFonts w:cs="Arial"/>
          <w:sz w:val="20"/>
        </w:rPr>
        <w:t>.</w:t>
      </w:r>
    </w:p>
  </w:footnote>
  <w:footnote w:id="183">
    <w:p w14:paraId="576BFEC7" w14:textId="40830EE7" w:rsidR="009E68D1" w:rsidRPr="002D3BE8" w:rsidRDefault="009E68D1" w:rsidP="0014320C">
      <w:pPr>
        <w:pStyle w:val="FootnoteText"/>
        <w:rPr>
          <w:rFonts w:cs="Arial"/>
          <w:sz w:val="20"/>
        </w:rPr>
      </w:pPr>
      <w:r w:rsidRPr="001F47B8">
        <w:rPr>
          <w:rStyle w:val="FootnoteReference"/>
          <w:rFonts w:cs="Arial"/>
          <w:sz w:val="20"/>
        </w:rPr>
        <w:footnoteRef/>
      </w:r>
      <w:r w:rsidRPr="001F47B8">
        <w:rPr>
          <w:rFonts w:cs="Arial"/>
          <w:sz w:val="20"/>
        </w:rPr>
        <w:t xml:space="preserve"> </w:t>
      </w:r>
      <w:r w:rsidRPr="002D3BE8">
        <w:rPr>
          <w:rFonts w:cs="Arial"/>
          <w:i/>
          <w:sz w:val="20"/>
        </w:rPr>
        <w:t>International Declaration on Human Genetic Data</w:t>
      </w:r>
      <w:r w:rsidR="00E266F1" w:rsidRPr="002D3BE8">
        <w:rPr>
          <w:rFonts w:cs="Arial"/>
          <w:sz w:val="20"/>
        </w:rPr>
        <w:t xml:space="preserve">, </w:t>
      </w:r>
      <w:r w:rsidRPr="002D3BE8">
        <w:rPr>
          <w:rFonts w:cs="Arial"/>
          <w:sz w:val="20"/>
        </w:rPr>
        <w:t xml:space="preserve">32 C/Res 22 </w:t>
      </w:r>
      <w:r w:rsidR="00E266F1" w:rsidRPr="002D3BE8">
        <w:rPr>
          <w:rFonts w:cs="Arial"/>
          <w:sz w:val="20"/>
        </w:rPr>
        <w:t xml:space="preserve">UNESCO 39 (16 October </w:t>
      </w:r>
      <w:r w:rsidRPr="002D3BE8">
        <w:rPr>
          <w:rFonts w:cs="Arial"/>
          <w:sz w:val="20"/>
        </w:rPr>
        <w:t xml:space="preserve">2003) </w:t>
      </w:r>
      <w:r w:rsidRPr="001F47B8">
        <w:rPr>
          <w:rFonts w:cs="Arial"/>
          <w:sz w:val="20"/>
        </w:rPr>
        <w:t>Article 15.</w:t>
      </w:r>
    </w:p>
  </w:footnote>
  <w:footnote w:id="184">
    <w:p w14:paraId="0718640B" w14:textId="0FE628D6" w:rsidR="008020C9" w:rsidRPr="001F47B8" w:rsidRDefault="008020C9">
      <w:pPr>
        <w:pStyle w:val="FootnoteText"/>
        <w:rPr>
          <w:rFonts w:cs="Arial"/>
          <w:sz w:val="20"/>
        </w:rPr>
      </w:pPr>
      <w:r w:rsidRPr="001F47B8">
        <w:rPr>
          <w:rStyle w:val="FootnoteReference"/>
          <w:rFonts w:cs="Arial"/>
          <w:sz w:val="20"/>
        </w:rPr>
        <w:footnoteRef/>
      </w:r>
      <w:r w:rsidRPr="001F47B8">
        <w:rPr>
          <w:rFonts w:cs="Arial"/>
          <w:sz w:val="20"/>
        </w:rPr>
        <w:t xml:space="preserve"> </w:t>
      </w:r>
      <w:r w:rsidR="00B232FF" w:rsidRPr="00B0028D">
        <w:rPr>
          <w:rFonts w:cs="Arial"/>
          <w:i/>
          <w:iCs/>
          <w:color w:val="000000" w:themeColor="text1"/>
          <w:sz w:val="20"/>
        </w:rPr>
        <w:t xml:space="preserve">The National Statement </w:t>
      </w:r>
      <w:r w:rsidR="00B232FF" w:rsidRPr="00B0028D">
        <w:rPr>
          <w:rFonts w:cs="Arial"/>
          <w:color w:val="000000" w:themeColor="text1"/>
          <w:sz w:val="20"/>
        </w:rPr>
        <w:t>(no 44)</w:t>
      </w:r>
      <w:r w:rsidR="00B232FF" w:rsidRPr="001F47B8">
        <w:rPr>
          <w:rFonts w:cs="Arial"/>
          <w:color w:val="000000" w:themeColor="text1"/>
          <w:sz w:val="20"/>
        </w:rPr>
        <w:t xml:space="preserve"> </w:t>
      </w:r>
      <w:r w:rsidR="00E42A1B">
        <w:rPr>
          <w:rFonts w:cs="Arial"/>
          <w:color w:val="000000" w:themeColor="text1"/>
          <w:sz w:val="20"/>
        </w:rPr>
        <w:t xml:space="preserve">para </w:t>
      </w:r>
      <w:r w:rsidR="00693A54" w:rsidRPr="001F47B8">
        <w:rPr>
          <w:rFonts w:cs="Arial"/>
          <w:sz w:val="20"/>
        </w:rPr>
        <w:t>3.1.44.</w:t>
      </w:r>
    </w:p>
  </w:footnote>
  <w:footnote w:id="185">
    <w:p w14:paraId="52F08733" w14:textId="0939BF95" w:rsidR="006B4A3E" w:rsidRPr="001F47B8" w:rsidRDefault="006B4A3E" w:rsidP="006B4A3E">
      <w:pPr>
        <w:pStyle w:val="FootnoteText"/>
        <w:rPr>
          <w:rFonts w:cs="Arial"/>
          <w:sz w:val="20"/>
        </w:rPr>
      </w:pPr>
      <w:r w:rsidRPr="001F47B8">
        <w:rPr>
          <w:rStyle w:val="FootnoteReference"/>
          <w:rFonts w:cs="Arial"/>
          <w:sz w:val="20"/>
        </w:rPr>
        <w:footnoteRef/>
      </w:r>
      <w:r w:rsidRPr="001F47B8">
        <w:rPr>
          <w:rFonts w:cs="Arial"/>
          <w:sz w:val="20"/>
        </w:rPr>
        <w:t xml:space="preserve"> NSW Health Statewide Biobank, </w:t>
      </w:r>
      <w:r w:rsidRPr="001F47B8">
        <w:rPr>
          <w:rFonts w:cs="Arial"/>
          <w:i/>
          <w:iCs/>
          <w:sz w:val="20"/>
        </w:rPr>
        <w:t>NSW Health Statewide Biobank FAQ’s for Researchers</w:t>
      </w:r>
      <w:r w:rsidRPr="001F47B8">
        <w:rPr>
          <w:rFonts w:cs="Arial"/>
          <w:sz w:val="20"/>
        </w:rPr>
        <w:t>,</w:t>
      </w:r>
      <w:r w:rsidRPr="001F47B8">
        <w:rPr>
          <w:rFonts w:cs="Arial"/>
          <w:i/>
          <w:iCs/>
          <w:sz w:val="20"/>
        </w:rPr>
        <w:t xml:space="preserve"> </w:t>
      </w:r>
      <w:r w:rsidRPr="001F47B8">
        <w:rPr>
          <w:rFonts w:cs="Arial"/>
          <w:sz w:val="20"/>
        </w:rPr>
        <w:t>4. Available at &lt;</w:t>
      </w:r>
      <w:hyperlink r:id="rId19" w:history="1">
        <w:r w:rsidRPr="001F47B8">
          <w:rPr>
            <w:rStyle w:val="Hyperlink"/>
            <w:rFonts w:cs="Arial"/>
            <w:sz w:val="20"/>
          </w:rPr>
          <w:t>https://biobank.health.nsw.gov.au/wp-content/uploads/2019/07/NSW-Health-Statewide-Biobank-FAQs-for-researchers-Feb-2017_FINAL.pdf</w:t>
        </w:r>
      </w:hyperlink>
      <w:r w:rsidRPr="001F47B8">
        <w:rPr>
          <w:rFonts w:cs="Arial"/>
          <w:sz w:val="20"/>
        </w:rPr>
        <w:t>&gt;</w:t>
      </w:r>
      <w:r w:rsidR="008F31EC">
        <w:rPr>
          <w:rFonts w:cs="Arial"/>
          <w:sz w:val="20"/>
        </w:rPr>
        <w:t>.</w:t>
      </w:r>
    </w:p>
  </w:footnote>
  <w:footnote w:id="186">
    <w:p w14:paraId="6D078FF2" w14:textId="20A6574E" w:rsidR="00282CCD" w:rsidRPr="001F47B8" w:rsidRDefault="00282CCD">
      <w:pPr>
        <w:pStyle w:val="FootnoteText"/>
        <w:rPr>
          <w:rFonts w:cs="Arial"/>
          <w:sz w:val="20"/>
        </w:rPr>
      </w:pPr>
      <w:r w:rsidRPr="001F47B8">
        <w:rPr>
          <w:rStyle w:val="FootnoteReference"/>
          <w:rFonts w:cs="Arial"/>
          <w:sz w:val="20"/>
        </w:rPr>
        <w:footnoteRef/>
      </w:r>
      <w:r w:rsidRPr="001F47B8">
        <w:rPr>
          <w:rFonts w:cs="Arial"/>
          <w:sz w:val="20"/>
        </w:rPr>
        <w:t xml:space="preserve"> </w:t>
      </w:r>
      <w:r w:rsidR="00D454E9">
        <w:rPr>
          <w:rFonts w:cs="Arial"/>
          <w:sz w:val="20"/>
        </w:rPr>
        <w:t>Ibid.</w:t>
      </w:r>
    </w:p>
  </w:footnote>
  <w:footnote w:id="187">
    <w:p w14:paraId="58648EF3" w14:textId="77777777" w:rsidR="00BB761C" w:rsidRPr="002D3BE8" w:rsidRDefault="00BB761C" w:rsidP="00BB761C">
      <w:pPr>
        <w:pStyle w:val="FootnoteText"/>
        <w:rPr>
          <w:rFonts w:cs="Arial"/>
          <w:sz w:val="20"/>
        </w:rPr>
      </w:pPr>
      <w:r w:rsidRPr="002D3BE8">
        <w:rPr>
          <w:rStyle w:val="FootnoteReference"/>
          <w:rFonts w:cs="Arial"/>
          <w:sz w:val="20"/>
        </w:rPr>
        <w:footnoteRef/>
      </w:r>
      <w:r w:rsidRPr="002D3BE8">
        <w:rPr>
          <w:rFonts w:cs="Arial"/>
          <w:sz w:val="20"/>
        </w:rPr>
        <w:t xml:space="preserve"> </w:t>
      </w:r>
      <w:r w:rsidRPr="002D3BE8">
        <w:rPr>
          <w:rFonts w:eastAsia="Times New Roman" w:cs="Arial"/>
          <w:sz w:val="20"/>
          <w:lang w:eastAsia="en-AU"/>
        </w:rPr>
        <w:t>Imogen Elsum, Callum McEwan, Emma E Kowal, Yvonne Cadet</w:t>
      </w:r>
      <w:r w:rsidRPr="002D3BE8">
        <w:rPr>
          <w:rFonts w:ascii="Cambria Math" w:eastAsia="Times New Roman" w:hAnsi="Cambria Math" w:cs="Cambria Math"/>
          <w:sz w:val="20"/>
          <w:lang w:eastAsia="en-AU"/>
        </w:rPr>
        <w:t>‐</w:t>
      </w:r>
      <w:r w:rsidRPr="002D3BE8">
        <w:rPr>
          <w:rFonts w:eastAsia="Times New Roman" w:cs="Arial"/>
          <w:sz w:val="20"/>
          <w:lang w:eastAsia="en-AU"/>
        </w:rPr>
        <w:t xml:space="preserve">James, Margaret Kelaher and Lynn Woodward, ‘Inclusion of Indigenous Australians in biobanks: a step to reducing inequity in health care’ (2019) 11 </w:t>
      </w:r>
      <w:r w:rsidRPr="002D3BE8">
        <w:rPr>
          <w:rFonts w:eastAsia="Times New Roman" w:cs="Arial"/>
          <w:i/>
          <w:iCs/>
          <w:sz w:val="20"/>
          <w:lang w:eastAsia="en-AU"/>
        </w:rPr>
        <w:t>Medical Journal of Australia</w:t>
      </w:r>
      <w:r w:rsidRPr="002D3BE8">
        <w:rPr>
          <w:rFonts w:eastAsia="Times New Roman" w:cs="Arial"/>
          <w:sz w:val="20"/>
          <w:lang w:eastAsia="en-AU"/>
        </w:rPr>
        <w:t xml:space="preserve"> 7,8.</w:t>
      </w:r>
    </w:p>
  </w:footnote>
  <w:footnote w:id="188">
    <w:p w14:paraId="20D4EE2E" w14:textId="47009A2A" w:rsidR="00E00DB4" w:rsidRPr="001F47B8" w:rsidRDefault="00E00DB4">
      <w:pPr>
        <w:pStyle w:val="FootnoteText"/>
        <w:rPr>
          <w:rFonts w:cs="Arial"/>
          <w:sz w:val="20"/>
        </w:rPr>
      </w:pPr>
      <w:r w:rsidRPr="001F47B8">
        <w:rPr>
          <w:rStyle w:val="FootnoteReference"/>
          <w:rFonts w:cs="Arial"/>
          <w:sz w:val="20"/>
        </w:rPr>
        <w:footnoteRef/>
      </w:r>
      <w:r w:rsidRPr="002D3BE8">
        <w:rPr>
          <w:rFonts w:cs="Arial"/>
          <w:sz w:val="20"/>
        </w:rPr>
        <w:t xml:space="preserve"> </w:t>
      </w:r>
      <w:r w:rsidR="00BB761C">
        <w:rPr>
          <w:rFonts w:eastAsia="Times New Roman" w:cs="Arial"/>
          <w:sz w:val="20"/>
          <w:lang w:eastAsia="en-AU"/>
        </w:rPr>
        <w:t xml:space="preserve">Ibid </w:t>
      </w:r>
      <w:r w:rsidRPr="002D3BE8">
        <w:rPr>
          <w:rFonts w:eastAsia="Times New Roman" w:cs="Arial"/>
          <w:sz w:val="20"/>
          <w:lang w:eastAsia="en-AU"/>
        </w:rPr>
        <w:t>8.</w:t>
      </w:r>
    </w:p>
  </w:footnote>
  <w:footnote w:id="189">
    <w:p w14:paraId="14FB278A" w14:textId="1122FC6F"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National Health and Medical Research Council Act 1992</w:t>
      </w:r>
      <w:r w:rsidRPr="001F47B8">
        <w:rPr>
          <w:rFonts w:cs="Arial"/>
          <w:color w:val="000000" w:themeColor="text1"/>
          <w:sz w:val="20"/>
        </w:rPr>
        <w:t xml:space="preserve"> (Cth), s. 3(d).</w:t>
      </w:r>
    </w:p>
  </w:footnote>
  <w:footnote w:id="190">
    <w:p w14:paraId="4CE2C6B6" w14:textId="6129BFFB"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14320C">
        <w:rPr>
          <w:rFonts w:cs="Arial"/>
          <w:iCs/>
          <w:color w:val="000000" w:themeColor="text1"/>
          <w:sz w:val="20"/>
          <w:lang w:val="en-US"/>
        </w:rPr>
        <w:t>Ibid</w:t>
      </w:r>
      <w:r w:rsidRPr="001F47B8">
        <w:rPr>
          <w:rFonts w:cs="Arial"/>
          <w:color w:val="000000" w:themeColor="text1"/>
          <w:sz w:val="20"/>
        </w:rPr>
        <w:t xml:space="preserve"> s. 20(2)(d) and (g)(vii).</w:t>
      </w:r>
    </w:p>
  </w:footnote>
  <w:footnote w:id="191">
    <w:p w14:paraId="540450E4" w14:textId="2D9533F6"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14320C">
        <w:rPr>
          <w:rFonts w:cs="Arial"/>
          <w:iCs/>
          <w:color w:val="000000" w:themeColor="text1"/>
          <w:sz w:val="20"/>
          <w:lang w:val="en-US"/>
        </w:rPr>
        <w:t>Ibid</w:t>
      </w:r>
      <w:r w:rsidR="0014320C" w:rsidRPr="001F47B8">
        <w:rPr>
          <w:rFonts w:cs="Arial"/>
          <w:color w:val="000000" w:themeColor="text1"/>
          <w:sz w:val="20"/>
        </w:rPr>
        <w:t xml:space="preserve"> </w:t>
      </w:r>
      <w:r w:rsidRPr="001F47B8">
        <w:rPr>
          <w:rFonts w:cs="Arial"/>
          <w:color w:val="000000" w:themeColor="text1"/>
          <w:sz w:val="20"/>
        </w:rPr>
        <w:t>s 10.</w:t>
      </w:r>
    </w:p>
  </w:footnote>
  <w:footnote w:id="192">
    <w:p w14:paraId="61913666" w14:textId="01367C3C"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14320C">
        <w:rPr>
          <w:rFonts w:cs="Arial"/>
          <w:iCs/>
          <w:color w:val="000000" w:themeColor="text1"/>
          <w:sz w:val="20"/>
          <w:lang w:val="en-US"/>
        </w:rPr>
        <w:t>Ibid</w:t>
      </w:r>
      <w:r w:rsidR="0014320C" w:rsidRPr="001F47B8">
        <w:rPr>
          <w:rFonts w:cs="Arial"/>
          <w:color w:val="000000" w:themeColor="text1"/>
          <w:sz w:val="20"/>
        </w:rPr>
        <w:t xml:space="preserve"> </w:t>
      </w:r>
      <w:r w:rsidRPr="001F47B8">
        <w:rPr>
          <w:rFonts w:cs="Arial"/>
          <w:color w:val="000000" w:themeColor="text1"/>
          <w:sz w:val="20"/>
        </w:rPr>
        <w:t>Part 8.</w:t>
      </w:r>
    </w:p>
  </w:footnote>
  <w:footnote w:id="193">
    <w:p w14:paraId="44C78329" w14:textId="6F2CADAC"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B0028D" w:rsidRPr="00B0028D">
        <w:rPr>
          <w:rFonts w:cs="Arial"/>
          <w:i/>
          <w:iCs/>
          <w:color w:val="000000" w:themeColor="text1"/>
          <w:sz w:val="20"/>
        </w:rPr>
        <w:t xml:space="preserve">The National Statement </w:t>
      </w:r>
      <w:r w:rsidR="00B0028D" w:rsidRPr="00B0028D">
        <w:rPr>
          <w:rFonts w:cs="Arial"/>
          <w:color w:val="000000" w:themeColor="text1"/>
          <w:sz w:val="20"/>
        </w:rPr>
        <w:t>(no 44)</w:t>
      </w:r>
      <w:r w:rsidRPr="001F47B8">
        <w:rPr>
          <w:rFonts w:cs="Arial"/>
          <w:color w:val="000000" w:themeColor="text1"/>
          <w:sz w:val="20"/>
        </w:rPr>
        <w:t xml:space="preserve"> </w:t>
      </w:r>
      <w:r w:rsidRPr="001F47B8">
        <w:rPr>
          <w:rFonts w:cs="Arial"/>
          <w:color w:val="000000" w:themeColor="text1"/>
          <w:sz w:val="20"/>
          <w:lang w:val="en-US"/>
        </w:rPr>
        <w:t>1</w:t>
      </w:r>
      <w:r w:rsidR="00216AA6">
        <w:rPr>
          <w:rFonts w:cs="Arial"/>
          <w:color w:val="000000" w:themeColor="text1"/>
          <w:sz w:val="20"/>
          <w:lang w:val="en-US"/>
        </w:rPr>
        <w:t>.</w:t>
      </w:r>
    </w:p>
  </w:footnote>
  <w:footnote w:id="194">
    <w:p w14:paraId="1E687237" w14:textId="343E57F7"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16AA6">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3.</w:t>
      </w:r>
    </w:p>
  </w:footnote>
  <w:footnote w:id="195">
    <w:p w14:paraId="32297DD1" w14:textId="59C6A1E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16AA6">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4.</w:t>
      </w:r>
    </w:p>
  </w:footnote>
  <w:footnote w:id="196">
    <w:p w14:paraId="30EDE0B5" w14:textId="2157473E"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16AA6">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 xml:space="preserve">6. </w:t>
      </w:r>
    </w:p>
  </w:footnote>
  <w:footnote w:id="197">
    <w:p w14:paraId="5323CE1C" w14:textId="20DDF24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16AA6">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78.</w:t>
      </w:r>
    </w:p>
  </w:footnote>
  <w:footnote w:id="198">
    <w:p w14:paraId="48093CCB" w14:textId="628E89E3"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16AA6">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78.</w:t>
      </w:r>
    </w:p>
  </w:footnote>
  <w:footnote w:id="199">
    <w:p w14:paraId="6587B392" w14:textId="57040D41"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National Health and Medical Research Council, </w:t>
      </w:r>
      <w:r w:rsidRPr="001F47B8">
        <w:rPr>
          <w:rFonts w:cs="Arial"/>
          <w:i/>
          <w:color w:val="000000" w:themeColor="text1"/>
          <w:sz w:val="20"/>
        </w:rPr>
        <w:t>Ethical Conduct in Research with Aboriginal and Torres Strait Islander Peoples and Communities: Guidelines for Researchers and Stakeholders</w:t>
      </w:r>
      <w:r w:rsidRPr="001F47B8">
        <w:rPr>
          <w:rFonts w:cs="Arial"/>
          <w:color w:val="000000" w:themeColor="text1"/>
          <w:sz w:val="20"/>
        </w:rPr>
        <w:t>, (Australian Government, Canberra, 2018) available from &lt;www.nhmrc.gov.au&gt;.</w:t>
      </w:r>
    </w:p>
  </w:footnote>
  <w:footnote w:id="200">
    <w:p w14:paraId="43C70255" w14:textId="3C6F9DD2"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lang w:val="en-US"/>
        </w:rPr>
        <w:t xml:space="preserve"> 2.</w:t>
      </w:r>
    </w:p>
  </w:footnote>
  <w:footnote w:id="201">
    <w:p w14:paraId="63B1D7C1" w14:textId="3EF30882"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 xml:space="preserve">Ibid </w:t>
      </w:r>
      <w:r w:rsidRPr="001F47B8">
        <w:rPr>
          <w:rFonts w:cs="Arial"/>
          <w:color w:val="000000" w:themeColor="text1"/>
          <w:sz w:val="20"/>
          <w:lang w:val="en-US"/>
        </w:rPr>
        <w:t>2.</w:t>
      </w:r>
    </w:p>
  </w:footnote>
  <w:footnote w:id="202">
    <w:p w14:paraId="31EEDEF9" w14:textId="4E96E4E6"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4.</w:t>
      </w:r>
    </w:p>
  </w:footnote>
  <w:footnote w:id="203">
    <w:p w14:paraId="7B105CAA" w14:textId="1373CB2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4-5.</w:t>
      </w:r>
    </w:p>
  </w:footnote>
  <w:footnote w:id="204">
    <w:p w14:paraId="505C8D46" w14:textId="29C67A81"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lang w:val="en-US"/>
        </w:rPr>
        <w:t xml:space="preserve"> 67.</w:t>
      </w:r>
    </w:p>
  </w:footnote>
  <w:footnote w:id="205">
    <w:p w14:paraId="56C82413" w14:textId="7AADFFAE"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lang w:val="en-US"/>
        </w:rPr>
        <w:t xml:space="preserve"> 7-8. </w:t>
      </w:r>
    </w:p>
  </w:footnote>
  <w:footnote w:id="206">
    <w:p w14:paraId="79292D51" w14:textId="626B6A8C"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rPr>
        <w:t xml:space="preserve"> </w:t>
      </w:r>
      <w:r w:rsidRPr="001F47B8">
        <w:rPr>
          <w:rFonts w:cs="Arial"/>
          <w:color w:val="000000" w:themeColor="text1"/>
          <w:sz w:val="20"/>
          <w:lang w:val="en-US"/>
        </w:rPr>
        <w:t>8-10</w:t>
      </w:r>
      <w:r w:rsidR="00CB2BBB">
        <w:rPr>
          <w:rFonts w:cs="Arial"/>
          <w:color w:val="000000" w:themeColor="text1"/>
          <w:sz w:val="20"/>
          <w:lang w:val="en-US"/>
        </w:rPr>
        <w:t>.</w:t>
      </w:r>
    </w:p>
  </w:footnote>
  <w:footnote w:id="207">
    <w:p w14:paraId="4AB162BB" w14:textId="2DDF1668"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lang w:val="en-US"/>
        </w:rPr>
        <w:t xml:space="preserve"> 11-12</w:t>
      </w:r>
      <w:r w:rsidR="00CB2BBB">
        <w:rPr>
          <w:rFonts w:cs="Arial"/>
          <w:color w:val="000000" w:themeColor="text1"/>
          <w:sz w:val="20"/>
          <w:lang w:val="en-US"/>
        </w:rPr>
        <w:t>.</w:t>
      </w:r>
    </w:p>
  </w:footnote>
  <w:footnote w:id="208">
    <w:p w14:paraId="51B9D67C" w14:textId="17122340" w:rsidR="00FB2047" w:rsidRPr="001F47B8" w:rsidRDefault="00FB2047" w:rsidP="007437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Ibid</w:t>
      </w:r>
      <w:r w:rsidRPr="001F47B8">
        <w:rPr>
          <w:rFonts w:cs="Arial"/>
          <w:color w:val="000000" w:themeColor="text1"/>
          <w:sz w:val="20"/>
        </w:rPr>
        <w:t xml:space="preserve"> 3</w:t>
      </w:r>
      <w:r w:rsidR="00CB2BBB">
        <w:rPr>
          <w:rFonts w:cs="Arial"/>
          <w:color w:val="000000" w:themeColor="text1"/>
          <w:sz w:val="20"/>
        </w:rPr>
        <w:t>.</w:t>
      </w:r>
    </w:p>
  </w:footnote>
  <w:footnote w:id="209">
    <w:p w14:paraId="2D05CA34" w14:textId="2BB5C7C4"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B2BBB">
        <w:rPr>
          <w:rFonts w:cs="Arial"/>
          <w:color w:val="000000" w:themeColor="text1"/>
          <w:sz w:val="20"/>
        </w:rPr>
        <w:t>Ib</w:t>
      </w:r>
      <w:r w:rsidR="004D673B">
        <w:rPr>
          <w:rFonts w:cs="Arial"/>
          <w:color w:val="000000" w:themeColor="text1"/>
          <w:sz w:val="20"/>
        </w:rPr>
        <w:t>id</w:t>
      </w:r>
      <w:r w:rsidR="007251D0">
        <w:rPr>
          <w:rFonts w:cs="Arial"/>
          <w:color w:val="000000" w:themeColor="text1"/>
          <w:sz w:val="20"/>
        </w:rPr>
        <w:t>,</w:t>
      </w:r>
      <w:r w:rsidRPr="001F47B8">
        <w:rPr>
          <w:rFonts w:cs="Arial"/>
          <w:color w:val="000000" w:themeColor="text1"/>
          <w:sz w:val="20"/>
          <w:lang w:val="en-US"/>
        </w:rPr>
        <w:t xml:space="preserve"> 17</w:t>
      </w:r>
      <w:r w:rsidR="007251D0">
        <w:rPr>
          <w:rFonts w:cs="Arial"/>
          <w:color w:val="000000" w:themeColor="text1"/>
          <w:sz w:val="20"/>
          <w:lang w:val="en-US"/>
        </w:rPr>
        <w:t>.</w:t>
      </w:r>
    </w:p>
  </w:footnote>
  <w:footnote w:id="210">
    <w:p w14:paraId="70844AEB" w14:textId="0777661D"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National Health and Medical Research Council, </w:t>
      </w:r>
      <w:r w:rsidRPr="001F47B8">
        <w:rPr>
          <w:rFonts w:cs="Arial"/>
          <w:i/>
          <w:iCs/>
          <w:color w:val="000000" w:themeColor="text1"/>
          <w:sz w:val="20"/>
          <w:lang w:val="en-US"/>
        </w:rPr>
        <w:t>Keeping Research on Track II</w:t>
      </w:r>
      <w:r w:rsidRPr="001F47B8">
        <w:rPr>
          <w:rFonts w:cs="Arial"/>
          <w:color w:val="000000" w:themeColor="text1"/>
          <w:sz w:val="20"/>
          <w:lang w:val="en-US"/>
        </w:rPr>
        <w:t>, (Australian Government, Canberra, August 2018) &lt;</w:t>
      </w:r>
      <w:hyperlink r:id="rId20" w:history="1">
        <w:r w:rsidRPr="001F47B8">
          <w:rPr>
            <w:rStyle w:val="Hyperlink"/>
            <w:rFonts w:cs="Arial"/>
            <w:sz w:val="20"/>
          </w:rPr>
          <w:t>https://www.nhmrc.gov.au/about-us/resources/keeping-research-track-ii</w:t>
        </w:r>
      </w:hyperlink>
      <w:r w:rsidRPr="001F47B8">
        <w:rPr>
          <w:rFonts w:cs="Arial"/>
          <w:color w:val="000000" w:themeColor="text1"/>
          <w:sz w:val="20"/>
          <w:lang w:val="en-US"/>
        </w:rPr>
        <w:t>&gt;.</w:t>
      </w:r>
    </w:p>
  </w:footnote>
  <w:footnote w:id="211">
    <w:p w14:paraId="5F6577E0" w14:textId="77BD7281"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4D673B">
        <w:rPr>
          <w:rFonts w:cs="Arial"/>
          <w:color w:val="000000" w:themeColor="text1"/>
          <w:sz w:val="20"/>
        </w:rPr>
        <w:t>Ibid</w:t>
      </w:r>
      <w:r w:rsidR="007251D0">
        <w:rPr>
          <w:rFonts w:cs="Arial"/>
          <w:color w:val="000000" w:themeColor="text1"/>
          <w:sz w:val="20"/>
        </w:rPr>
        <w:t>,</w:t>
      </w:r>
      <w:r w:rsidRPr="001F47B8">
        <w:rPr>
          <w:rFonts w:cs="Arial"/>
          <w:color w:val="000000" w:themeColor="text1"/>
          <w:sz w:val="20"/>
          <w:lang w:val="en-US"/>
        </w:rPr>
        <w:t xml:space="preserve"> 4.</w:t>
      </w:r>
    </w:p>
  </w:footnote>
  <w:footnote w:id="212">
    <w:p w14:paraId="5A29DB12" w14:textId="39DEC9EE"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4D673B">
        <w:rPr>
          <w:rFonts w:cs="Arial"/>
          <w:color w:val="000000" w:themeColor="text1"/>
          <w:sz w:val="20"/>
        </w:rPr>
        <w:t>Ibid</w:t>
      </w:r>
      <w:r w:rsidR="007251D0">
        <w:rPr>
          <w:rFonts w:cs="Arial"/>
          <w:color w:val="000000" w:themeColor="text1"/>
          <w:sz w:val="20"/>
        </w:rPr>
        <w:t>,</w:t>
      </w:r>
      <w:r w:rsidRPr="001F47B8">
        <w:rPr>
          <w:rFonts w:cs="Arial"/>
          <w:sz w:val="20"/>
        </w:rPr>
        <w:t xml:space="preserve"> 13</w:t>
      </w:r>
      <w:r w:rsidRPr="001F47B8">
        <w:rPr>
          <w:rFonts w:cs="Arial"/>
          <w:color w:val="000000" w:themeColor="text1"/>
          <w:sz w:val="20"/>
          <w:lang w:val="en-US"/>
        </w:rPr>
        <w:t>.</w:t>
      </w:r>
    </w:p>
  </w:footnote>
  <w:footnote w:id="213">
    <w:p w14:paraId="532D6B6D" w14:textId="1CFCF303"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National Health and Medical Research Council</w:t>
      </w:r>
      <w:r w:rsidRPr="001F47B8">
        <w:rPr>
          <w:rFonts w:cs="Arial"/>
          <w:color w:val="000000" w:themeColor="text1"/>
          <w:sz w:val="20"/>
          <w:lang w:val="en-US"/>
        </w:rPr>
        <w:t xml:space="preserve">, </w:t>
      </w:r>
      <w:r w:rsidRPr="001F47B8">
        <w:rPr>
          <w:rFonts w:cs="Arial"/>
          <w:i/>
          <w:iCs/>
          <w:color w:val="000000" w:themeColor="text1"/>
          <w:sz w:val="20"/>
          <w:lang w:val="en-US"/>
        </w:rPr>
        <w:t xml:space="preserve">Road Map 3: A strategic framework for improving Aboriginal and Torres Strait Islander health through research </w:t>
      </w:r>
      <w:r w:rsidRPr="001F47B8">
        <w:rPr>
          <w:rFonts w:cs="Arial"/>
          <w:color w:val="000000" w:themeColor="text1"/>
          <w:sz w:val="20"/>
          <w:lang w:val="en-US"/>
        </w:rPr>
        <w:t>(Australian Government, Canberra, June 2018) 5.</w:t>
      </w:r>
    </w:p>
  </w:footnote>
  <w:footnote w:id="214">
    <w:p w14:paraId="1C9BE1A3" w14:textId="398A14D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4D673B">
        <w:rPr>
          <w:rFonts w:cs="Arial"/>
          <w:color w:val="000000" w:themeColor="text1"/>
          <w:sz w:val="20"/>
        </w:rPr>
        <w:t>Ibid.</w:t>
      </w:r>
    </w:p>
  </w:footnote>
  <w:footnote w:id="215">
    <w:p w14:paraId="3B723CA2" w14:textId="6730627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AIATSIS, </w:t>
      </w:r>
      <w:r w:rsidRPr="001F47B8">
        <w:rPr>
          <w:rFonts w:cs="Arial"/>
          <w:i/>
          <w:iCs/>
          <w:color w:val="000000" w:themeColor="text1"/>
          <w:sz w:val="20"/>
          <w:lang w:val="en-US"/>
        </w:rPr>
        <w:t>Guidelines for Ethical Research and Indigenous Australian Studies</w:t>
      </w:r>
      <w:r w:rsidRPr="001F47B8">
        <w:rPr>
          <w:rFonts w:cs="Arial"/>
          <w:color w:val="000000" w:themeColor="text1"/>
          <w:sz w:val="20"/>
          <w:lang w:val="en-US"/>
        </w:rPr>
        <w:t>, 3.</w:t>
      </w:r>
    </w:p>
  </w:footnote>
  <w:footnote w:id="216">
    <w:p w14:paraId="3198BD9A" w14:textId="0A9515BE"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QIMR Berghofer Medical Research Institute, </w:t>
      </w:r>
      <w:r w:rsidRPr="001F47B8">
        <w:rPr>
          <w:rFonts w:cs="Arial"/>
          <w:i/>
          <w:iCs/>
          <w:color w:val="000000" w:themeColor="text1"/>
          <w:sz w:val="20"/>
        </w:rPr>
        <w:t>Genomic Partnerships: Guidelines for genomic research with Aboriginal and Torres Strait Islander peoples of Queensland</w:t>
      </w:r>
      <w:r w:rsidRPr="001F47B8">
        <w:rPr>
          <w:rFonts w:cs="Arial"/>
          <w:color w:val="000000" w:themeColor="text1"/>
          <w:sz w:val="20"/>
        </w:rPr>
        <w:t>, September 2019.</w:t>
      </w:r>
      <w:r w:rsidRPr="001F47B8">
        <w:rPr>
          <w:rFonts w:cs="Arial"/>
          <w:sz w:val="20"/>
        </w:rPr>
        <w:t xml:space="preserve"> &lt;</w:t>
      </w:r>
      <w:hyperlink r:id="rId21" w:history="1">
        <w:r w:rsidRPr="001F47B8">
          <w:rPr>
            <w:rStyle w:val="Hyperlink"/>
            <w:rFonts w:cs="Arial"/>
            <w:sz w:val="20"/>
          </w:rPr>
          <w:t>https://www.qimrberghofer.edu.au/wp-content/uploads/2019-Indigenous-Health-Genomics-Guide-v9-WEB-1.pdf</w:t>
        </w:r>
      </w:hyperlink>
      <w:r w:rsidRPr="001F47B8">
        <w:rPr>
          <w:rFonts w:cs="Arial"/>
          <w:sz w:val="20"/>
        </w:rPr>
        <w:t>&gt; accessed 30 April 2020.</w:t>
      </w:r>
    </w:p>
  </w:footnote>
  <w:footnote w:id="217">
    <w:p w14:paraId="17D02C99" w14:textId="0E91A579" w:rsidR="00FB2047" w:rsidRPr="001F47B8" w:rsidRDefault="00FB2047">
      <w:pPr>
        <w:pStyle w:val="FootnoteText"/>
        <w:rPr>
          <w:rFonts w:cs="Arial"/>
          <w:sz w:val="20"/>
        </w:rPr>
      </w:pPr>
      <w:r w:rsidRPr="001F47B8">
        <w:rPr>
          <w:rStyle w:val="FootnoteReference"/>
          <w:rFonts w:cs="Arial"/>
          <w:sz w:val="20"/>
        </w:rPr>
        <w:footnoteRef/>
      </w:r>
      <w:r w:rsidRPr="001F47B8">
        <w:rPr>
          <w:rFonts w:cs="Arial"/>
          <w:sz w:val="20"/>
        </w:rPr>
        <w:t xml:space="preserve"> </w:t>
      </w:r>
      <w:r w:rsidRPr="00152C97">
        <w:rPr>
          <w:rFonts w:cs="Arial"/>
          <w:sz w:val="20"/>
        </w:rPr>
        <w:t>Ibid</w:t>
      </w:r>
      <w:r w:rsidRPr="001F47B8">
        <w:rPr>
          <w:rFonts w:cs="Arial"/>
          <w:sz w:val="20"/>
        </w:rPr>
        <w:t xml:space="preserve"> 12.</w:t>
      </w:r>
    </w:p>
  </w:footnote>
  <w:footnote w:id="218">
    <w:p w14:paraId="18ACEFE5" w14:textId="146FDE23" w:rsidR="00FB2047" w:rsidRPr="001F47B8" w:rsidRDefault="00FB2047">
      <w:pPr>
        <w:pStyle w:val="FootnoteText"/>
        <w:rPr>
          <w:rFonts w:cs="Arial"/>
          <w:sz w:val="20"/>
        </w:rPr>
      </w:pPr>
      <w:r w:rsidRPr="001F47B8">
        <w:rPr>
          <w:rStyle w:val="FootnoteReference"/>
          <w:rFonts w:cs="Arial"/>
          <w:sz w:val="20"/>
        </w:rPr>
        <w:footnoteRef/>
      </w:r>
      <w:r w:rsidRPr="001F47B8">
        <w:rPr>
          <w:rFonts w:cs="Arial"/>
          <w:sz w:val="20"/>
        </w:rPr>
        <w:t xml:space="preserve"> </w:t>
      </w:r>
      <w:r w:rsidR="008412CF">
        <w:rPr>
          <w:rFonts w:cs="Arial"/>
          <w:color w:val="000000" w:themeColor="text1"/>
          <w:sz w:val="20"/>
        </w:rPr>
        <w:t xml:space="preserve">Kimberley Land Council, </w:t>
      </w:r>
      <w:r w:rsidR="008412CF">
        <w:rPr>
          <w:rFonts w:cs="Arial"/>
          <w:i/>
          <w:iCs/>
          <w:color w:val="000000" w:themeColor="text1"/>
          <w:sz w:val="20"/>
        </w:rPr>
        <w:t>Intellectual Property and Traditional Knowledge Policy</w:t>
      </w:r>
      <w:r w:rsidR="008412CF">
        <w:rPr>
          <w:rFonts w:cs="Arial"/>
          <w:color w:val="000000" w:themeColor="text1"/>
          <w:sz w:val="20"/>
        </w:rPr>
        <w:t xml:space="preserve"> (6 September 2011), Kimberl</w:t>
      </w:r>
      <w:r w:rsidR="004859A5">
        <w:rPr>
          <w:rFonts w:cs="Arial"/>
          <w:color w:val="000000" w:themeColor="text1"/>
          <w:sz w:val="20"/>
        </w:rPr>
        <w:t>e</w:t>
      </w:r>
      <w:r w:rsidR="008412CF">
        <w:rPr>
          <w:rFonts w:cs="Arial"/>
          <w:color w:val="000000" w:themeColor="text1"/>
          <w:sz w:val="20"/>
        </w:rPr>
        <w:t>y Land Council)</w:t>
      </w:r>
      <w:r w:rsidR="0076773D">
        <w:rPr>
          <w:rFonts w:cs="Arial"/>
          <w:color w:val="000000" w:themeColor="text1"/>
          <w:sz w:val="20"/>
        </w:rPr>
        <w:t>,</w:t>
      </w:r>
      <w:r w:rsidR="008412CF" w:rsidRPr="008412CF">
        <w:rPr>
          <w:rFonts w:cs="Arial"/>
          <w:sz w:val="20"/>
        </w:rPr>
        <w:t xml:space="preserve"> </w:t>
      </w:r>
      <w:r w:rsidR="008412CF" w:rsidRPr="001F47B8">
        <w:rPr>
          <w:rFonts w:cs="Arial"/>
          <w:sz w:val="20"/>
        </w:rPr>
        <w:t>s</w:t>
      </w:r>
      <w:r w:rsidR="008412CF">
        <w:rPr>
          <w:rFonts w:cs="Arial"/>
          <w:sz w:val="20"/>
        </w:rPr>
        <w:t>s</w:t>
      </w:r>
      <w:r w:rsidR="008412CF" w:rsidRPr="001F47B8">
        <w:rPr>
          <w:rFonts w:cs="Arial"/>
          <w:sz w:val="20"/>
        </w:rPr>
        <w:t xml:space="preserve"> 2.2.4 and 2.2.7</w:t>
      </w:r>
      <w:r w:rsidR="008412CF">
        <w:rPr>
          <w:rFonts w:cs="Arial"/>
          <w:color w:val="000000" w:themeColor="text1"/>
          <w:sz w:val="20"/>
        </w:rPr>
        <w:t xml:space="preserve"> &lt;</w:t>
      </w:r>
      <w:hyperlink r:id="rId22" w:history="1">
        <w:r w:rsidR="008412CF" w:rsidRPr="002D3BE8">
          <w:rPr>
            <w:rStyle w:val="Hyperlink"/>
            <w:rFonts w:cs="Arial"/>
            <w:sz w:val="20"/>
          </w:rPr>
          <w:t>https://www.klc.org.au/research-facilitation</w:t>
        </w:r>
      </w:hyperlink>
      <w:r w:rsidR="008412CF" w:rsidRPr="002D3BE8">
        <w:rPr>
          <w:rFonts w:cs="Arial"/>
          <w:sz w:val="20"/>
        </w:rPr>
        <w:t>&gt;</w:t>
      </w:r>
      <w:r w:rsidR="00D46FA7">
        <w:rPr>
          <w:rFonts w:cs="Arial"/>
          <w:sz w:val="20"/>
        </w:rPr>
        <w:t>.</w:t>
      </w:r>
    </w:p>
  </w:footnote>
  <w:footnote w:id="219">
    <w:p w14:paraId="2EE3DB50" w14:textId="66592D35" w:rsidR="00FB2047" w:rsidRPr="001F47B8" w:rsidRDefault="00FB2047">
      <w:pPr>
        <w:pStyle w:val="FootnoteText"/>
        <w:rPr>
          <w:rFonts w:cs="Arial"/>
          <w:sz w:val="20"/>
        </w:rPr>
      </w:pPr>
      <w:r w:rsidRPr="001F47B8">
        <w:rPr>
          <w:rStyle w:val="FootnoteReference"/>
          <w:rFonts w:cs="Arial"/>
          <w:sz w:val="20"/>
        </w:rPr>
        <w:footnoteRef/>
      </w:r>
      <w:r w:rsidRPr="001F47B8">
        <w:rPr>
          <w:rFonts w:cs="Arial"/>
          <w:sz w:val="20"/>
        </w:rPr>
        <w:t xml:space="preserve"> Ibid, 3.6 and 3.8.</w:t>
      </w:r>
    </w:p>
  </w:footnote>
  <w:footnote w:id="220">
    <w:p w14:paraId="1241D98B" w14:textId="5FE43A1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Aboriginal Affairs </w:t>
      </w:r>
      <w:r w:rsidRPr="001F47B8">
        <w:rPr>
          <w:rFonts w:cs="Arial"/>
          <w:i/>
          <w:iCs/>
          <w:color w:val="000000" w:themeColor="text1"/>
          <w:sz w:val="20"/>
          <w:lang w:val="en-US"/>
        </w:rPr>
        <w:t>The Ochre Plan</w:t>
      </w:r>
      <w:r w:rsidRPr="001F47B8">
        <w:rPr>
          <w:rFonts w:cs="Arial"/>
          <w:color w:val="000000" w:themeColor="text1"/>
          <w:sz w:val="20"/>
          <w:lang w:val="en-US"/>
        </w:rPr>
        <w:t xml:space="preserve"> NSW Government 2013 &lt;</w:t>
      </w:r>
      <w:hyperlink r:id="rId23" w:history="1">
        <w:r w:rsidRPr="001F47B8">
          <w:rPr>
            <w:rStyle w:val="Hyperlink"/>
            <w:rFonts w:cs="Arial"/>
            <w:sz w:val="20"/>
          </w:rPr>
          <w:t>https://www.aboriginalaffairs.nsw.gov.au/our-agency/staying-accountable/ochre/nsw-government-aboriginal-affairs-strategy</w:t>
        </w:r>
      </w:hyperlink>
      <w:r w:rsidRPr="001F47B8">
        <w:rPr>
          <w:rFonts w:cs="Arial"/>
          <w:sz w:val="20"/>
        </w:rPr>
        <w:t>&gt;</w:t>
      </w:r>
      <w:r w:rsidRPr="001F47B8">
        <w:rPr>
          <w:rFonts w:cs="Arial"/>
          <w:color w:val="000000" w:themeColor="text1"/>
          <w:sz w:val="20"/>
          <w:lang w:val="en-US"/>
        </w:rPr>
        <w:t xml:space="preserve"> 5.</w:t>
      </w:r>
    </w:p>
  </w:footnote>
  <w:footnote w:id="221">
    <w:p w14:paraId="16E4B978" w14:textId="50B581D5"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9E286D">
        <w:rPr>
          <w:rFonts w:cs="Arial"/>
          <w:color w:val="000000" w:themeColor="text1"/>
          <w:sz w:val="20"/>
        </w:rPr>
        <w:t>Ibid</w:t>
      </w:r>
      <w:r w:rsidRPr="001F47B8">
        <w:rPr>
          <w:rFonts w:cs="Arial"/>
          <w:sz w:val="20"/>
        </w:rPr>
        <w:t xml:space="preserve"> 7.</w:t>
      </w:r>
    </w:p>
  </w:footnote>
  <w:footnote w:id="222">
    <w:p w14:paraId="5F06383B" w14:textId="74080C16"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9E286D">
        <w:rPr>
          <w:rFonts w:cs="Arial"/>
          <w:color w:val="000000" w:themeColor="text1"/>
          <w:sz w:val="20"/>
        </w:rPr>
        <w:t>Ibid</w:t>
      </w:r>
      <w:r w:rsidR="009E286D" w:rsidRPr="001F47B8">
        <w:rPr>
          <w:rFonts w:cs="Arial"/>
          <w:sz w:val="20"/>
        </w:rPr>
        <w:t xml:space="preserve"> </w:t>
      </w:r>
      <w:r w:rsidRPr="001F47B8">
        <w:rPr>
          <w:rFonts w:cs="Arial"/>
          <w:sz w:val="20"/>
        </w:rPr>
        <w:t>22.</w:t>
      </w:r>
    </w:p>
  </w:footnote>
  <w:footnote w:id="223">
    <w:p w14:paraId="5AEB852E" w14:textId="6B4EDF30"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9E286D">
        <w:rPr>
          <w:rFonts w:cs="Arial"/>
          <w:color w:val="000000" w:themeColor="text1"/>
          <w:sz w:val="20"/>
        </w:rPr>
        <w:t>Ibid</w:t>
      </w:r>
      <w:r w:rsidR="009E286D" w:rsidRPr="001F47B8">
        <w:rPr>
          <w:rFonts w:cs="Arial"/>
          <w:sz w:val="20"/>
        </w:rPr>
        <w:t xml:space="preserve"> </w:t>
      </w:r>
      <w:r w:rsidRPr="001F47B8">
        <w:rPr>
          <w:rFonts w:cs="Arial"/>
          <w:sz w:val="20"/>
        </w:rPr>
        <w:t>23.</w:t>
      </w:r>
    </w:p>
  </w:footnote>
  <w:footnote w:id="224">
    <w:p w14:paraId="5E63D447" w14:textId="2DAD05C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9E286D">
        <w:rPr>
          <w:rFonts w:cs="Arial"/>
          <w:color w:val="000000" w:themeColor="text1"/>
          <w:sz w:val="20"/>
        </w:rPr>
        <w:t>Ibid</w:t>
      </w:r>
      <w:r w:rsidR="009E286D" w:rsidRPr="001F47B8">
        <w:rPr>
          <w:rFonts w:cs="Arial"/>
          <w:sz w:val="20"/>
        </w:rPr>
        <w:t xml:space="preserve"> </w:t>
      </w:r>
      <w:r w:rsidRPr="001F47B8">
        <w:rPr>
          <w:rFonts w:cs="Arial"/>
          <w:sz w:val="20"/>
        </w:rPr>
        <w:t>25.</w:t>
      </w:r>
    </w:p>
  </w:footnote>
  <w:footnote w:id="225">
    <w:p w14:paraId="0B38FDCB" w14:textId="5195CC1D" w:rsidR="0050028D" w:rsidRPr="002B5F46" w:rsidRDefault="0050028D">
      <w:pPr>
        <w:pStyle w:val="FootnoteText"/>
        <w:rPr>
          <w:rFonts w:cs="Arial"/>
          <w:sz w:val="20"/>
          <w:lang w:val="en-US"/>
        </w:rPr>
      </w:pPr>
      <w:r w:rsidRPr="003150CE">
        <w:rPr>
          <w:rStyle w:val="FootnoteReference"/>
          <w:rFonts w:cs="Arial"/>
          <w:sz w:val="20"/>
        </w:rPr>
        <w:footnoteRef/>
      </w:r>
      <w:r w:rsidRPr="003150CE">
        <w:rPr>
          <w:rFonts w:cs="Arial"/>
          <w:sz w:val="20"/>
        </w:rPr>
        <w:t xml:space="preserve"> </w:t>
      </w:r>
      <w:r w:rsidR="002E4BF2" w:rsidRPr="003150CE">
        <w:rPr>
          <w:rFonts w:cs="Arial"/>
          <w:sz w:val="20"/>
          <w:lang w:val="en-US"/>
        </w:rPr>
        <w:t>‘Footprints in Time – The Longitudinal Study of Indigenous Children (LSIC)’ Australian Government</w:t>
      </w:r>
      <w:r w:rsidR="007906B2" w:rsidRPr="003150CE">
        <w:rPr>
          <w:rFonts w:cs="Arial"/>
          <w:sz w:val="20"/>
          <w:lang w:val="en-US"/>
        </w:rPr>
        <w:t>, Department of Social Services (Web Page) &lt;</w:t>
      </w:r>
      <w:hyperlink r:id="rId24" w:anchor="3" w:history="1">
        <w:r w:rsidR="009E286D" w:rsidRPr="008353A6">
          <w:rPr>
            <w:rStyle w:val="Hyperlink"/>
            <w:rFonts w:cs="Arial"/>
            <w:sz w:val="20"/>
          </w:rPr>
          <w:t>https://www.dss.gov.au/about-the-department/publications-articles/research-publications/longitudinal-data-initiatives/footprints-in-time-the-longitudinal-study-of-indigenous-children-lsic#3</w:t>
        </w:r>
      </w:hyperlink>
      <w:r w:rsidR="00CA5A6F" w:rsidRPr="003150CE">
        <w:rPr>
          <w:rFonts w:cs="Arial"/>
          <w:sz w:val="20"/>
        </w:rPr>
        <w:t xml:space="preserve">&gt;. </w:t>
      </w:r>
    </w:p>
  </w:footnote>
  <w:footnote w:id="226">
    <w:p w14:paraId="77D13C27" w14:textId="7AC4581D" w:rsidR="0077398E" w:rsidRPr="002B5F46" w:rsidRDefault="0077398E">
      <w:pPr>
        <w:pStyle w:val="FootnoteText"/>
        <w:rPr>
          <w:rFonts w:cs="Arial"/>
          <w:sz w:val="20"/>
          <w:lang w:val="en-US"/>
        </w:rPr>
      </w:pPr>
      <w:r w:rsidRPr="003150CE">
        <w:rPr>
          <w:rStyle w:val="FootnoteReference"/>
          <w:rFonts w:cs="Arial"/>
          <w:sz w:val="20"/>
        </w:rPr>
        <w:footnoteRef/>
      </w:r>
      <w:r w:rsidRPr="003150CE">
        <w:rPr>
          <w:rFonts w:cs="Arial"/>
          <w:sz w:val="20"/>
        </w:rPr>
        <w:t xml:space="preserve"> </w:t>
      </w:r>
      <w:r w:rsidR="00430593" w:rsidRPr="009E286D">
        <w:rPr>
          <w:rFonts w:cs="Arial"/>
          <w:sz w:val="20"/>
          <w:lang w:val="en-US"/>
        </w:rPr>
        <w:t>Australian Government, Department of Social Services</w:t>
      </w:r>
      <w:r w:rsidR="009E286D">
        <w:rPr>
          <w:rFonts w:cs="Arial"/>
          <w:sz w:val="20"/>
          <w:lang w:val="en-US"/>
        </w:rPr>
        <w:t>,</w:t>
      </w:r>
      <w:r w:rsidR="009E286D" w:rsidRPr="009E286D">
        <w:rPr>
          <w:rFonts w:cs="Arial"/>
          <w:sz w:val="20"/>
          <w:lang w:val="en-US"/>
        </w:rPr>
        <w:t xml:space="preserve"> </w:t>
      </w:r>
      <w:r w:rsidRPr="009E286D">
        <w:rPr>
          <w:rFonts w:cs="Arial"/>
          <w:i/>
          <w:iCs/>
          <w:sz w:val="20"/>
          <w:lang w:val="en-US"/>
        </w:rPr>
        <w:t>National Centre for Longitudinal Data Dataverse</w:t>
      </w:r>
      <w:r w:rsidRPr="003150CE">
        <w:rPr>
          <w:rFonts w:cs="Arial"/>
          <w:sz w:val="20"/>
          <w:lang w:val="en-US"/>
        </w:rPr>
        <w:t xml:space="preserve"> </w:t>
      </w:r>
      <w:r w:rsidR="000D77AD" w:rsidRPr="003150CE">
        <w:rPr>
          <w:rFonts w:cs="Arial"/>
          <w:sz w:val="20"/>
          <w:lang w:val="en-US"/>
        </w:rPr>
        <w:t xml:space="preserve"> &lt;</w:t>
      </w:r>
      <w:hyperlink r:id="rId25" w:history="1">
        <w:r w:rsidR="000D77AD" w:rsidRPr="003150CE">
          <w:rPr>
            <w:rStyle w:val="Hyperlink"/>
            <w:rFonts w:cs="Arial"/>
            <w:sz w:val="20"/>
          </w:rPr>
          <w:t>https://dataverse.ada.edu.au/dataverse/ncld</w:t>
        </w:r>
      </w:hyperlink>
      <w:r w:rsidR="000D77AD" w:rsidRPr="003150CE">
        <w:rPr>
          <w:rFonts w:cs="Arial"/>
          <w:sz w:val="20"/>
        </w:rPr>
        <w:t xml:space="preserve">&gt;. </w:t>
      </w:r>
    </w:p>
  </w:footnote>
  <w:footnote w:id="227">
    <w:p w14:paraId="2C1C8375" w14:textId="134C54AF"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Declaration on the Rights of Indigenous Peoples, GA Res 61/295, UN GAOR, 61</w:t>
      </w:r>
      <w:r w:rsidRPr="001F47B8">
        <w:rPr>
          <w:rFonts w:cs="Arial"/>
          <w:color w:val="000000" w:themeColor="text1"/>
          <w:sz w:val="20"/>
          <w:vertAlign w:val="superscript"/>
        </w:rPr>
        <w:t>st</w:t>
      </w:r>
      <w:r w:rsidRPr="001F47B8">
        <w:rPr>
          <w:rFonts w:cs="Arial"/>
          <w:color w:val="000000" w:themeColor="text1"/>
          <w:sz w:val="20"/>
        </w:rPr>
        <w:t xml:space="preserve"> sess, 107</w:t>
      </w:r>
      <w:r w:rsidRPr="001F47B8">
        <w:rPr>
          <w:rFonts w:cs="Arial"/>
          <w:color w:val="000000" w:themeColor="text1"/>
          <w:sz w:val="20"/>
          <w:vertAlign w:val="superscript"/>
        </w:rPr>
        <w:t>th</w:t>
      </w:r>
      <w:r w:rsidRPr="001F47B8">
        <w:rPr>
          <w:rFonts w:cs="Arial"/>
          <w:color w:val="000000" w:themeColor="text1"/>
          <w:sz w:val="20"/>
        </w:rPr>
        <w:t xml:space="preserve"> plen mtg, UN Doc A/RES/61/295 (13 September 2007) </w:t>
      </w:r>
      <w:r w:rsidRPr="001F47B8">
        <w:rPr>
          <w:rFonts w:cs="Arial"/>
          <w:color w:val="000000" w:themeColor="text1"/>
          <w:sz w:val="20"/>
          <w:lang w:val="en-US"/>
        </w:rPr>
        <w:t>art 31</w:t>
      </w:r>
      <w:r w:rsidR="00A42960">
        <w:rPr>
          <w:rFonts w:cs="Arial"/>
          <w:color w:val="000000" w:themeColor="text1"/>
          <w:sz w:val="20"/>
          <w:lang w:val="en-US"/>
        </w:rPr>
        <w:t>.</w:t>
      </w:r>
    </w:p>
  </w:footnote>
  <w:footnote w:id="228">
    <w:p w14:paraId="29B926A8" w14:textId="64F073FC"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00E04750" w:rsidRPr="002D3BE8">
        <w:rPr>
          <w:rFonts w:cs="Arial"/>
          <w:i/>
          <w:color w:val="000000" w:themeColor="text1"/>
          <w:sz w:val="20"/>
        </w:rPr>
        <w:t>Universal Declaration on the Human Genome and Human Rights,</w:t>
      </w:r>
      <w:r w:rsidR="00E04750" w:rsidRPr="002D3BE8">
        <w:rPr>
          <w:rFonts w:cs="Arial"/>
          <w:color w:val="000000" w:themeColor="text1"/>
          <w:sz w:val="20"/>
        </w:rPr>
        <w:t xml:space="preserve"> C/Res 16, UNESCO 29</w:t>
      </w:r>
      <w:r w:rsidR="00E04750" w:rsidRPr="002D3BE8">
        <w:rPr>
          <w:rFonts w:cs="Arial"/>
          <w:color w:val="000000" w:themeColor="text1"/>
          <w:sz w:val="20"/>
          <w:vertAlign w:val="superscript"/>
        </w:rPr>
        <w:t>th</w:t>
      </w:r>
      <w:r w:rsidR="00E04750" w:rsidRPr="002D3BE8">
        <w:rPr>
          <w:rFonts w:cs="Arial"/>
          <w:color w:val="000000" w:themeColor="text1"/>
          <w:sz w:val="20"/>
        </w:rPr>
        <w:t xml:space="preserve"> sess, (11 November 1997), Preamble. </w:t>
      </w:r>
    </w:p>
  </w:footnote>
  <w:footnote w:id="229">
    <w:p w14:paraId="34236102" w14:textId="1D7C79C1"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E04750" w:rsidRPr="002D3BE8">
        <w:rPr>
          <w:rFonts w:cs="Arial"/>
          <w:color w:val="000000" w:themeColor="text1"/>
          <w:sz w:val="20"/>
        </w:rPr>
        <w:t>Ibid</w:t>
      </w:r>
      <w:r w:rsidR="00E04750" w:rsidRPr="001F47B8">
        <w:rPr>
          <w:rFonts w:cs="Arial"/>
          <w:color w:val="000000" w:themeColor="text1"/>
          <w:sz w:val="20"/>
          <w:lang w:val="en-US"/>
        </w:rPr>
        <w:t xml:space="preserve"> </w:t>
      </w:r>
      <w:r w:rsidR="00E04750">
        <w:rPr>
          <w:rFonts w:cs="Arial"/>
          <w:color w:val="000000" w:themeColor="text1"/>
          <w:sz w:val="20"/>
          <w:lang w:val="en-US"/>
        </w:rPr>
        <w:t>a</w:t>
      </w:r>
      <w:r w:rsidRPr="001F47B8">
        <w:rPr>
          <w:rFonts w:cs="Arial"/>
          <w:color w:val="000000" w:themeColor="text1"/>
          <w:sz w:val="20"/>
          <w:lang w:val="en-US"/>
        </w:rPr>
        <w:t>rt 2</w:t>
      </w:r>
      <w:r w:rsidR="00E04750">
        <w:rPr>
          <w:rFonts w:cs="Arial"/>
          <w:color w:val="000000" w:themeColor="text1"/>
          <w:sz w:val="20"/>
          <w:lang w:val="en-US"/>
        </w:rPr>
        <w:t>.</w:t>
      </w:r>
    </w:p>
  </w:footnote>
  <w:footnote w:id="230">
    <w:p w14:paraId="649C1BDF" w14:textId="16E1E913"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E04750" w:rsidRPr="002D3BE8">
        <w:rPr>
          <w:rFonts w:cs="Arial"/>
          <w:color w:val="000000" w:themeColor="text1"/>
          <w:sz w:val="20"/>
        </w:rPr>
        <w:t>Ibid</w:t>
      </w:r>
      <w:r w:rsidR="00E04750" w:rsidRPr="001F47B8">
        <w:rPr>
          <w:rFonts w:cs="Arial"/>
          <w:color w:val="000000" w:themeColor="text1"/>
          <w:sz w:val="20"/>
          <w:lang w:val="en-US"/>
        </w:rPr>
        <w:t xml:space="preserve"> </w:t>
      </w:r>
      <w:r w:rsidR="005610C9">
        <w:rPr>
          <w:rFonts w:cs="Arial"/>
          <w:color w:val="000000" w:themeColor="text1"/>
          <w:sz w:val="20"/>
          <w:lang w:val="en-US"/>
        </w:rPr>
        <w:t>a</w:t>
      </w:r>
      <w:r w:rsidRPr="001F47B8">
        <w:rPr>
          <w:rFonts w:cs="Arial"/>
          <w:color w:val="000000" w:themeColor="text1"/>
          <w:sz w:val="20"/>
          <w:lang w:val="en-US"/>
        </w:rPr>
        <w:t xml:space="preserve">rt </w:t>
      </w:r>
      <w:r w:rsidR="00E04750">
        <w:rPr>
          <w:rFonts w:cs="Arial"/>
          <w:color w:val="000000" w:themeColor="text1"/>
          <w:sz w:val="20"/>
          <w:lang w:val="en-US"/>
        </w:rPr>
        <w:t>6.</w:t>
      </w:r>
    </w:p>
  </w:footnote>
  <w:footnote w:id="231">
    <w:p w14:paraId="2A7BE92C" w14:textId="4ADCF892" w:rsidR="00FB2047" w:rsidRPr="002D3BE8" w:rsidRDefault="00FB2047">
      <w:pPr>
        <w:pStyle w:val="FootnoteText"/>
        <w:rPr>
          <w:rFonts w:cs="Arial"/>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2D3BE8">
        <w:rPr>
          <w:rFonts w:cs="Arial"/>
          <w:i/>
          <w:sz w:val="20"/>
        </w:rPr>
        <w:t>International Declaration on Human Genetic Data</w:t>
      </w:r>
      <w:r w:rsidR="00DE6375" w:rsidRPr="002D3BE8">
        <w:rPr>
          <w:rFonts w:cs="Arial"/>
          <w:sz w:val="20"/>
        </w:rPr>
        <w:t>, 32 C/Res 22 UNESCO 39 (16 October 2003)</w:t>
      </w:r>
      <w:r w:rsidRPr="002D3BE8">
        <w:rPr>
          <w:rFonts w:cs="Arial"/>
          <w:sz w:val="20"/>
        </w:rPr>
        <w:t xml:space="preserve"> </w:t>
      </w:r>
      <w:r w:rsidRPr="001F47B8">
        <w:rPr>
          <w:rFonts w:cs="Arial"/>
          <w:color w:val="000000" w:themeColor="text1"/>
          <w:sz w:val="20"/>
        </w:rPr>
        <w:t>art 5</w:t>
      </w:r>
      <w:r w:rsidR="002E01AE">
        <w:rPr>
          <w:rFonts w:cs="Arial"/>
          <w:color w:val="000000" w:themeColor="text1"/>
          <w:sz w:val="20"/>
        </w:rPr>
        <w:t>.</w:t>
      </w:r>
    </w:p>
  </w:footnote>
  <w:footnote w:id="232">
    <w:p w14:paraId="6A9335CA" w14:textId="6359787F"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E01AE">
        <w:rPr>
          <w:rFonts w:cs="Arial"/>
          <w:color w:val="000000" w:themeColor="text1"/>
          <w:sz w:val="20"/>
        </w:rPr>
        <w:t xml:space="preserve">Ibid </w:t>
      </w:r>
      <w:r w:rsidRPr="001F47B8">
        <w:rPr>
          <w:rFonts w:cs="Arial"/>
          <w:color w:val="000000" w:themeColor="text1"/>
          <w:sz w:val="20"/>
        </w:rPr>
        <w:t xml:space="preserve">art 6(a) </w:t>
      </w:r>
    </w:p>
  </w:footnote>
  <w:footnote w:id="233">
    <w:p w14:paraId="429450C0" w14:textId="2C77071B"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E01AE">
        <w:rPr>
          <w:rFonts w:cs="Arial"/>
          <w:color w:val="000000" w:themeColor="text1"/>
          <w:sz w:val="20"/>
        </w:rPr>
        <w:t xml:space="preserve">Ibid </w:t>
      </w:r>
      <w:r w:rsidR="00E04750">
        <w:rPr>
          <w:rFonts w:cs="Arial"/>
          <w:color w:val="000000" w:themeColor="text1"/>
          <w:sz w:val="20"/>
        </w:rPr>
        <w:t>a</w:t>
      </w:r>
      <w:r w:rsidRPr="001F47B8">
        <w:rPr>
          <w:rFonts w:cs="Arial"/>
          <w:color w:val="000000" w:themeColor="text1"/>
          <w:sz w:val="20"/>
          <w:lang w:val="en-US"/>
        </w:rPr>
        <w:t>rt 6(d</w:t>
      </w:r>
      <w:r w:rsidR="002E01AE">
        <w:rPr>
          <w:rFonts w:cs="Arial"/>
          <w:color w:val="000000" w:themeColor="text1"/>
          <w:sz w:val="20"/>
          <w:lang w:val="en-US"/>
        </w:rPr>
        <w:t>).</w:t>
      </w:r>
    </w:p>
  </w:footnote>
  <w:footnote w:id="234">
    <w:p w14:paraId="74D3C7E1" w14:textId="180A8308"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E01AE">
        <w:rPr>
          <w:rFonts w:cs="Arial"/>
          <w:color w:val="000000" w:themeColor="text1"/>
          <w:sz w:val="20"/>
        </w:rPr>
        <w:t>Ibid</w:t>
      </w:r>
      <w:r w:rsidRPr="001F47B8">
        <w:rPr>
          <w:rFonts w:cs="Arial"/>
          <w:color w:val="000000" w:themeColor="text1"/>
          <w:sz w:val="20"/>
        </w:rPr>
        <w:t xml:space="preserve"> art 7(a)</w:t>
      </w:r>
      <w:r w:rsidR="002E01AE">
        <w:rPr>
          <w:rFonts w:cs="Arial"/>
          <w:color w:val="000000" w:themeColor="text1"/>
          <w:sz w:val="20"/>
        </w:rPr>
        <w:t>.</w:t>
      </w:r>
    </w:p>
  </w:footnote>
  <w:footnote w:id="235">
    <w:p w14:paraId="2039879A" w14:textId="01DD7741"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E01AE">
        <w:rPr>
          <w:rFonts w:cs="Arial"/>
          <w:color w:val="000000" w:themeColor="text1"/>
          <w:sz w:val="20"/>
        </w:rPr>
        <w:t>Ibid</w:t>
      </w:r>
      <w:r w:rsidR="002E01AE" w:rsidRPr="001F47B8">
        <w:rPr>
          <w:rFonts w:cs="Arial"/>
          <w:color w:val="000000" w:themeColor="text1"/>
          <w:sz w:val="20"/>
        </w:rPr>
        <w:t xml:space="preserve"> </w:t>
      </w:r>
      <w:r w:rsidRPr="001F47B8">
        <w:rPr>
          <w:rFonts w:cs="Arial"/>
          <w:color w:val="000000" w:themeColor="text1"/>
          <w:sz w:val="20"/>
        </w:rPr>
        <w:t>art 8(a)</w:t>
      </w:r>
      <w:r w:rsidR="002E01AE">
        <w:rPr>
          <w:rFonts w:cs="Arial"/>
          <w:color w:val="000000" w:themeColor="text1"/>
          <w:sz w:val="20"/>
        </w:rPr>
        <w:t>.</w:t>
      </w:r>
    </w:p>
  </w:footnote>
  <w:footnote w:id="236">
    <w:p w14:paraId="51FAE00E" w14:textId="1A3FF87D"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E01AE">
        <w:rPr>
          <w:rFonts w:cs="Arial"/>
          <w:color w:val="000000" w:themeColor="text1"/>
          <w:sz w:val="20"/>
        </w:rPr>
        <w:t>Ibid</w:t>
      </w:r>
      <w:r w:rsidRPr="001F47B8">
        <w:rPr>
          <w:rFonts w:cs="Arial"/>
          <w:color w:val="000000" w:themeColor="text1"/>
          <w:sz w:val="20"/>
        </w:rPr>
        <w:t xml:space="preserve"> </w:t>
      </w:r>
      <w:r w:rsidR="00E04750">
        <w:rPr>
          <w:rFonts w:cs="Arial"/>
          <w:color w:val="000000" w:themeColor="text1"/>
          <w:sz w:val="20"/>
        </w:rPr>
        <w:t>a</w:t>
      </w:r>
      <w:r w:rsidRPr="001F47B8">
        <w:rPr>
          <w:rFonts w:cs="Arial"/>
          <w:color w:val="000000" w:themeColor="text1"/>
          <w:sz w:val="20"/>
        </w:rPr>
        <w:t>rt 11</w:t>
      </w:r>
      <w:r w:rsidR="002E01AE">
        <w:rPr>
          <w:rFonts w:cs="Arial"/>
          <w:color w:val="000000" w:themeColor="text1"/>
          <w:sz w:val="20"/>
        </w:rPr>
        <w:t>.</w:t>
      </w:r>
    </w:p>
  </w:footnote>
  <w:footnote w:id="237">
    <w:p w14:paraId="24C7C156" w14:textId="7D6ACDB4"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2E01AE">
        <w:rPr>
          <w:rFonts w:cs="Arial"/>
          <w:color w:val="000000" w:themeColor="text1"/>
          <w:sz w:val="20"/>
        </w:rPr>
        <w:t>Ibid</w:t>
      </w:r>
      <w:r w:rsidR="002E01AE" w:rsidRPr="001F47B8">
        <w:rPr>
          <w:rFonts w:cs="Arial"/>
          <w:color w:val="000000" w:themeColor="text1"/>
          <w:sz w:val="20"/>
        </w:rPr>
        <w:t xml:space="preserve"> </w:t>
      </w:r>
      <w:r w:rsidR="00E04750">
        <w:rPr>
          <w:rFonts w:cs="Arial"/>
          <w:color w:val="000000" w:themeColor="text1"/>
          <w:sz w:val="20"/>
        </w:rPr>
        <w:t>a</w:t>
      </w:r>
      <w:r w:rsidRPr="001F47B8">
        <w:rPr>
          <w:rFonts w:cs="Arial"/>
          <w:color w:val="000000" w:themeColor="text1"/>
          <w:sz w:val="20"/>
        </w:rPr>
        <w:t>rt 13</w:t>
      </w:r>
      <w:r w:rsidR="002E01AE">
        <w:rPr>
          <w:rFonts w:cs="Arial"/>
          <w:color w:val="000000" w:themeColor="text1"/>
          <w:sz w:val="20"/>
        </w:rPr>
        <w:t>.</w:t>
      </w:r>
    </w:p>
  </w:footnote>
  <w:footnote w:id="238">
    <w:p w14:paraId="3C09BFD5" w14:textId="72A49BF8"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E04750">
        <w:rPr>
          <w:rFonts w:cs="Arial"/>
          <w:color w:val="000000" w:themeColor="text1"/>
          <w:sz w:val="20"/>
        </w:rPr>
        <w:t>Ibid</w:t>
      </w:r>
      <w:r w:rsidR="00E04750" w:rsidRPr="001F47B8">
        <w:rPr>
          <w:rFonts w:cs="Arial"/>
          <w:color w:val="000000" w:themeColor="text1"/>
          <w:sz w:val="20"/>
        </w:rPr>
        <w:t xml:space="preserve"> </w:t>
      </w:r>
      <w:r w:rsidRPr="001F47B8">
        <w:rPr>
          <w:rFonts w:cs="Arial"/>
          <w:color w:val="000000" w:themeColor="text1"/>
          <w:sz w:val="20"/>
        </w:rPr>
        <w:t>art 16</w:t>
      </w:r>
      <w:r w:rsidR="002E01AE">
        <w:rPr>
          <w:rFonts w:cs="Arial"/>
          <w:color w:val="000000" w:themeColor="text1"/>
          <w:sz w:val="20"/>
        </w:rPr>
        <w:t>.</w:t>
      </w:r>
    </w:p>
  </w:footnote>
  <w:footnote w:id="239">
    <w:p w14:paraId="48391AA4" w14:textId="16D773B1"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E04750">
        <w:rPr>
          <w:rFonts w:cs="Arial"/>
          <w:color w:val="000000" w:themeColor="text1"/>
          <w:sz w:val="20"/>
        </w:rPr>
        <w:t>Ibid</w:t>
      </w:r>
      <w:r w:rsidR="00E04750" w:rsidRPr="001F47B8">
        <w:rPr>
          <w:rFonts w:cs="Arial"/>
          <w:color w:val="000000" w:themeColor="text1"/>
          <w:sz w:val="20"/>
        </w:rPr>
        <w:t xml:space="preserve"> </w:t>
      </w:r>
      <w:r w:rsidRPr="001F47B8">
        <w:rPr>
          <w:rFonts w:cs="Arial"/>
          <w:color w:val="000000" w:themeColor="text1"/>
          <w:sz w:val="20"/>
        </w:rPr>
        <w:t>art 19 (a)</w:t>
      </w:r>
      <w:r w:rsidR="002E01AE">
        <w:rPr>
          <w:rFonts w:cs="Arial"/>
          <w:color w:val="000000" w:themeColor="text1"/>
          <w:sz w:val="20"/>
        </w:rPr>
        <w:t>-</w:t>
      </w:r>
      <w:r w:rsidRPr="001F47B8">
        <w:rPr>
          <w:rFonts w:cs="Arial"/>
          <w:color w:val="000000" w:themeColor="text1"/>
          <w:sz w:val="20"/>
        </w:rPr>
        <w:t>(i)</w:t>
      </w:r>
      <w:r w:rsidR="00E04750">
        <w:rPr>
          <w:rFonts w:cs="Arial"/>
          <w:color w:val="000000" w:themeColor="text1"/>
          <w:sz w:val="20"/>
        </w:rPr>
        <w:t>.</w:t>
      </w:r>
    </w:p>
  </w:footnote>
  <w:footnote w:id="240">
    <w:p w14:paraId="7EFE075D" w14:textId="40A540B1" w:rsidR="00FB2047" w:rsidRPr="002D3BE8" w:rsidRDefault="00FB2047" w:rsidP="00E04750">
      <w:pPr>
        <w:spacing w:after="0" w:line="240" w:lineRule="auto"/>
        <w:rPr>
          <w:rFonts w:cs="Arial"/>
          <w:sz w:val="20"/>
          <w:szCs w:val="20"/>
        </w:rPr>
      </w:pPr>
      <w:r w:rsidRPr="001513E7">
        <w:rPr>
          <w:rStyle w:val="FootnoteReference"/>
          <w:rFonts w:cs="Arial"/>
          <w:color w:val="000000" w:themeColor="text1"/>
          <w:sz w:val="20"/>
          <w:szCs w:val="20"/>
        </w:rPr>
        <w:footnoteRef/>
      </w:r>
      <w:r w:rsidRPr="001513E7">
        <w:rPr>
          <w:rFonts w:cs="Arial"/>
          <w:color w:val="000000" w:themeColor="text1"/>
          <w:sz w:val="20"/>
          <w:szCs w:val="20"/>
        </w:rPr>
        <w:t xml:space="preserve"> </w:t>
      </w:r>
      <w:r w:rsidRPr="002D3BE8">
        <w:rPr>
          <w:rStyle w:val="Hyperlink"/>
          <w:rFonts w:cs="Arial"/>
          <w:i/>
          <w:color w:val="auto"/>
          <w:sz w:val="20"/>
          <w:szCs w:val="20"/>
          <w:u w:val="none"/>
        </w:rPr>
        <w:t>Universal Declaration on Bioethics and Human Rights</w:t>
      </w:r>
      <w:r w:rsidR="00E04750" w:rsidRPr="002D3BE8">
        <w:rPr>
          <w:rStyle w:val="Hyperlink"/>
          <w:rFonts w:cs="Arial"/>
          <w:color w:val="auto"/>
          <w:sz w:val="20"/>
          <w:szCs w:val="20"/>
          <w:u w:val="none"/>
        </w:rPr>
        <w:t>, 32 C/Res 24, UNESCO 33</w:t>
      </w:r>
      <w:r w:rsidR="00E04750" w:rsidRPr="002D3BE8">
        <w:rPr>
          <w:rStyle w:val="Hyperlink"/>
          <w:rFonts w:cs="Arial"/>
          <w:color w:val="auto"/>
          <w:sz w:val="20"/>
          <w:szCs w:val="20"/>
          <w:u w:val="none"/>
          <w:vertAlign w:val="superscript"/>
        </w:rPr>
        <w:t>rd</w:t>
      </w:r>
      <w:r w:rsidR="00E04750" w:rsidRPr="002D3BE8">
        <w:rPr>
          <w:rStyle w:val="Hyperlink"/>
          <w:rFonts w:cs="Arial"/>
          <w:color w:val="auto"/>
          <w:sz w:val="20"/>
          <w:szCs w:val="20"/>
          <w:u w:val="none"/>
        </w:rPr>
        <w:t xml:space="preserve"> session, (19 October 2005), Preamble.</w:t>
      </w:r>
    </w:p>
  </w:footnote>
  <w:footnote w:id="241">
    <w:p w14:paraId="3E5135CE" w14:textId="23384469" w:rsidR="00FB2047" w:rsidRPr="001F47B8" w:rsidRDefault="00FB2047">
      <w:pPr>
        <w:pStyle w:val="FootnoteText"/>
        <w:rPr>
          <w:rFonts w:cs="Arial"/>
          <w:color w:val="000000" w:themeColor="text1"/>
          <w:sz w:val="20"/>
          <w:lang w:val="en-US"/>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E04750">
        <w:rPr>
          <w:rStyle w:val="Hyperlink"/>
          <w:rFonts w:cs="Arial"/>
          <w:color w:val="000000" w:themeColor="text1"/>
          <w:sz w:val="20"/>
          <w:u w:val="none"/>
        </w:rPr>
        <w:t>Ibid.</w:t>
      </w:r>
    </w:p>
  </w:footnote>
  <w:footnote w:id="242">
    <w:p w14:paraId="4E706289" w14:textId="6BD0DDDA"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Moore v. Regents of University of California</w:t>
      </w:r>
      <w:r w:rsidRPr="001F47B8">
        <w:rPr>
          <w:rFonts w:cs="Arial"/>
          <w:color w:val="000000" w:themeColor="text1"/>
          <w:sz w:val="20"/>
        </w:rPr>
        <w:t>, 793 P.2d 479, 63 (Cal. 1990).</w:t>
      </w:r>
    </w:p>
  </w:footnote>
  <w:footnote w:id="243">
    <w:p w14:paraId="2BDBDA59" w14:textId="59AA683F"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Debra Mortimer, ‘Proprietary Rights in Body Parts: The Relevance of Moore's Case in Australia,(1993) 19(2) </w:t>
      </w:r>
      <w:r w:rsidRPr="001F47B8">
        <w:rPr>
          <w:rFonts w:cs="Arial"/>
          <w:i/>
          <w:color w:val="000000" w:themeColor="text1"/>
          <w:sz w:val="20"/>
        </w:rPr>
        <w:t xml:space="preserve"> Monash University Law Review</w:t>
      </w:r>
      <w:r w:rsidRPr="001F47B8">
        <w:rPr>
          <w:rFonts w:cs="Arial"/>
          <w:color w:val="000000" w:themeColor="text1"/>
          <w:sz w:val="20"/>
        </w:rPr>
        <w:t xml:space="preserve"> 217, 222-223.</w:t>
      </w:r>
    </w:p>
  </w:footnote>
  <w:footnote w:id="244">
    <w:p w14:paraId="6958102F" w14:textId="3E07BF02"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iCs/>
          <w:color w:val="000000" w:themeColor="text1"/>
          <w:sz w:val="20"/>
        </w:rPr>
        <w:t>Moore v. Regents of University of California</w:t>
      </w:r>
      <w:r w:rsidRPr="001F47B8">
        <w:rPr>
          <w:rFonts w:cs="Arial"/>
          <w:color w:val="000000" w:themeColor="text1"/>
          <w:sz w:val="20"/>
        </w:rPr>
        <w:t>, 793 P.2d 479, 63-64 (Cal. 1990).</w:t>
      </w:r>
    </w:p>
  </w:footnote>
  <w:footnote w:id="245">
    <w:p w14:paraId="3D1E20A1" w14:textId="63BDBFC5"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World Intellectual Property Organization, ‘Bioethics and Patent Law: The Case of the Oncomouse’ (June 2006), </w:t>
      </w:r>
      <w:r w:rsidRPr="001F47B8">
        <w:rPr>
          <w:rFonts w:cs="Arial"/>
          <w:i/>
          <w:iCs/>
          <w:color w:val="000000" w:themeColor="text1"/>
          <w:sz w:val="20"/>
        </w:rPr>
        <w:t>WIPO Magazine</w:t>
      </w:r>
      <w:r w:rsidRPr="001F47B8">
        <w:rPr>
          <w:rFonts w:cs="Arial"/>
          <w:color w:val="000000" w:themeColor="text1"/>
          <w:sz w:val="20"/>
        </w:rPr>
        <w:t>) available online at &lt;</w:t>
      </w:r>
      <w:hyperlink r:id="rId26" w:history="1">
        <w:r w:rsidRPr="001F47B8">
          <w:rPr>
            <w:rStyle w:val="Hyperlink"/>
            <w:rFonts w:cs="Arial"/>
            <w:color w:val="000000" w:themeColor="text1"/>
            <w:sz w:val="20"/>
          </w:rPr>
          <w:t>https://www.wipo.int/wipo_magazine/en/2006/03/article_0006.html</w:t>
        </w:r>
      </w:hyperlink>
      <w:r w:rsidRPr="001F47B8">
        <w:rPr>
          <w:rFonts w:cs="Arial"/>
          <w:color w:val="000000" w:themeColor="text1"/>
          <w:sz w:val="20"/>
        </w:rPr>
        <w:t>&gt; accessed 30 April 2020.</w:t>
      </w:r>
    </w:p>
  </w:footnote>
  <w:footnote w:id="246">
    <w:p w14:paraId="5C0C4133" w14:textId="210B8240" w:rsidR="00FB2047" w:rsidRPr="002D3BE8" w:rsidRDefault="00FB2047" w:rsidP="00E04750">
      <w:pPr>
        <w:spacing w:after="0" w:line="240" w:lineRule="auto"/>
        <w:rPr>
          <w:rFonts w:cs="Arial"/>
          <w:color w:val="000000" w:themeColor="text1"/>
          <w:sz w:val="20"/>
          <w:szCs w:val="20"/>
        </w:rPr>
      </w:pPr>
      <w:r w:rsidRPr="001513E7">
        <w:rPr>
          <w:rStyle w:val="FootnoteReference"/>
          <w:rFonts w:cs="Arial"/>
          <w:color w:val="000000" w:themeColor="text1"/>
          <w:sz w:val="20"/>
          <w:szCs w:val="20"/>
        </w:rPr>
        <w:footnoteRef/>
      </w:r>
      <w:r w:rsidRPr="001513E7">
        <w:rPr>
          <w:rFonts w:cs="Arial"/>
          <w:color w:val="000000" w:themeColor="text1"/>
          <w:sz w:val="20"/>
          <w:szCs w:val="20"/>
        </w:rPr>
        <w:t xml:space="preserve"> </w:t>
      </w:r>
      <w:r w:rsidR="00E04750" w:rsidRPr="002D3BE8">
        <w:rPr>
          <w:rFonts w:cs="Arial"/>
          <w:i/>
          <w:color w:val="000000" w:themeColor="text1"/>
          <w:sz w:val="20"/>
          <w:szCs w:val="20"/>
        </w:rPr>
        <w:t xml:space="preserve">Convention on the Grant of European Patents (European Patent Convention) </w:t>
      </w:r>
      <w:r w:rsidR="00E04750" w:rsidRPr="002D3BE8">
        <w:rPr>
          <w:rFonts w:cs="Arial"/>
          <w:color w:val="000000" w:themeColor="text1"/>
          <w:sz w:val="20"/>
          <w:szCs w:val="20"/>
        </w:rPr>
        <w:t xml:space="preserve">(2016) OJ EPO June 2016) </w:t>
      </w:r>
      <w:r w:rsidRPr="001513E7">
        <w:rPr>
          <w:rFonts w:cs="Arial"/>
          <w:color w:val="000000" w:themeColor="text1"/>
          <w:sz w:val="20"/>
          <w:szCs w:val="20"/>
        </w:rPr>
        <w:t>Art 53(a),</w:t>
      </w:r>
      <w:r w:rsidR="006E46BA" w:rsidRPr="001513E7">
        <w:rPr>
          <w:rFonts w:cs="Arial"/>
          <w:color w:val="000000" w:themeColor="text1"/>
          <w:sz w:val="20"/>
          <w:szCs w:val="20"/>
        </w:rPr>
        <w:t xml:space="preserve"> </w:t>
      </w:r>
      <w:r w:rsidRPr="001513E7">
        <w:rPr>
          <w:rFonts w:cs="Arial"/>
          <w:color w:val="000000" w:themeColor="text1"/>
          <w:sz w:val="20"/>
          <w:szCs w:val="20"/>
        </w:rPr>
        <w:t>(b)</w:t>
      </w:r>
      <w:r w:rsidR="00E04750" w:rsidRPr="001513E7">
        <w:rPr>
          <w:rFonts w:cs="Arial"/>
          <w:color w:val="000000" w:themeColor="text1"/>
          <w:sz w:val="20"/>
          <w:szCs w:val="20"/>
        </w:rPr>
        <w:t>.</w:t>
      </w:r>
    </w:p>
  </w:footnote>
  <w:footnote w:id="247">
    <w:p w14:paraId="6B0B30CB" w14:textId="6E1EBD0B"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World Intellectual Property Organization, ‘Bioethics and Patent Law: The Case of the Oncomouse’ (June 2006), </w:t>
      </w:r>
      <w:r w:rsidRPr="001F47B8">
        <w:rPr>
          <w:rFonts w:cs="Arial"/>
          <w:i/>
          <w:color w:val="000000" w:themeColor="text1"/>
          <w:sz w:val="20"/>
        </w:rPr>
        <w:t>WIPO Magazine</w:t>
      </w:r>
      <w:r w:rsidRPr="001F47B8">
        <w:rPr>
          <w:rFonts w:cs="Arial"/>
          <w:color w:val="000000" w:themeColor="text1"/>
          <w:sz w:val="20"/>
        </w:rPr>
        <w:t xml:space="preserve">) citing </w:t>
      </w:r>
      <w:r w:rsidRPr="001F47B8">
        <w:rPr>
          <w:rFonts w:cs="Arial"/>
          <w:i/>
          <w:color w:val="000000" w:themeColor="text1"/>
          <w:sz w:val="20"/>
        </w:rPr>
        <w:t>Harvard College v Canada (Commissioner of Patent</w:t>
      </w:r>
      <w:r w:rsidRPr="001F47B8">
        <w:rPr>
          <w:rFonts w:cs="Arial"/>
          <w:color w:val="000000" w:themeColor="text1"/>
          <w:sz w:val="20"/>
        </w:rPr>
        <w:t>) (2002 SCC 76).</w:t>
      </w:r>
    </w:p>
  </w:footnote>
  <w:footnote w:id="248">
    <w:p w14:paraId="3A723763" w14:textId="0172C9FA"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Association for Molecular Pathology, et al. v. Myriad Genetics</w:t>
      </w:r>
      <w:r w:rsidRPr="001F47B8">
        <w:rPr>
          <w:rFonts w:cs="Arial"/>
          <w:color w:val="000000" w:themeColor="text1"/>
          <w:sz w:val="20"/>
        </w:rPr>
        <w:t>, 569 </w:t>
      </w:r>
      <w:hyperlink r:id="rId27" w:tooltip="United States Reports" w:history="1">
        <w:r w:rsidRPr="001F47B8">
          <w:rPr>
            <w:rFonts w:cs="Arial"/>
            <w:color w:val="000000" w:themeColor="text1"/>
            <w:sz w:val="20"/>
          </w:rPr>
          <w:t>U.S.</w:t>
        </w:r>
      </w:hyperlink>
      <w:r w:rsidRPr="001F47B8">
        <w:rPr>
          <w:rFonts w:cs="Arial"/>
          <w:color w:val="000000" w:themeColor="text1"/>
          <w:sz w:val="20"/>
        </w:rPr>
        <w:t> 576,12,15, (2013)</w:t>
      </w:r>
      <w:r w:rsidR="005D3339">
        <w:rPr>
          <w:rFonts w:cs="Arial"/>
          <w:color w:val="000000" w:themeColor="text1"/>
          <w:sz w:val="20"/>
        </w:rPr>
        <w:t>.</w:t>
      </w:r>
      <w:r w:rsidRPr="001F47B8">
        <w:rPr>
          <w:rFonts w:cs="Arial"/>
          <w:color w:val="000000" w:themeColor="text1"/>
          <w:sz w:val="20"/>
          <w:shd w:val="clear" w:color="auto" w:fill="F8F9FA"/>
        </w:rPr>
        <w:t xml:space="preserve"> </w:t>
      </w:r>
    </w:p>
  </w:footnote>
  <w:footnote w:id="249">
    <w:p w14:paraId="61BDE815" w14:textId="60F29F82"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shd w:val="clear" w:color="auto" w:fill="FFFFFF"/>
        </w:rPr>
        <w:t>Kristof Van Assche, Serge Gutwirth and Sigrid Sterckx, ‘Protecting Dignitary Interests of Biobank Research Participants: Lessons from Havasupai Tribe v Arizona Board of Regents, Law, Innovation and Technology’,</w:t>
      </w:r>
      <w:r w:rsidR="005D3339">
        <w:rPr>
          <w:rFonts w:cs="Arial"/>
          <w:color w:val="000000" w:themeColor="text1"/>
          <w:sz w:val="20"/>
          <w:shd w:val="clear" w:color="auto" w:fill="FFFFFF"/>
        </w:rPr>
        <w:t xml:space="preserve"> </w:t>
      </w:r>
      <w:r w:rsidRPr="001F47B8">
        <w:rPr>
          <w:rFonts w:cs="Arial"/>
          <w:color w:val="000000" w:themeColor="text1"/>
          <w:sz w:val="20"/>
          <w:shd w:val="clear" w:color="auto" w:fill="FFFFFF"/>
        </w:rPr>
        <w:t>(2013), 5(1), 55, 57.</w:t>
      </w:r>
    </w:p>
  </w:footnote>
  <w:footnote w:id="250">
    <w:p w14:paraId="4D7D57CD" w14:textId="56DE3A62" w:rsidR="00FB2047" w:rsidRPr="001F47B8" w:rsidRDefault="00FB2047" w:rsidP="00AC73DF">
      <w:pPr>
        <w:pStyle w:val="FootnoteText"/>
        <w:rPr>
          <w:rFonts w:cs="Arial"/>
          <w:i/>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821DB2">
        <w:rPr>
          <w:rFonts w:cs="Arial"/>
          <w:color w:val="000000" w:themeColor="text1"/>
          <w:sz w:val="20"/>
        </w:rPr>
        <w:t>Ibid</w:t>
      </w:r>
      <w:r w:rsidR="005D3339">
        <w:rPr>
          <w:rFonts w:cs="Arial"/>
          <w:color w:val="000000" w:themeColor="text1"/>
          <w:sz w:val="20"/>
        </w:rPr>
        <w:t>,</w:t>
      </w:r>
      <w:r w:rsidR="00821DB2" w:rsidRPr="001F47B8">
        <w:rPr>
          <w:rFonts w:cs="Arial"/>
          <w:color w:val="000000" w:themeColor="text1"/>
          <w:sz w:val="20"/>
          <w:shd w:val="clear" w:color="auto" w:fill="FFFFFF"/>
        </w:rPr>
        <w:t xml:space="preserve"> </w:t>
      </w:r>
      <w:r w:rsidRPr="001F47B8">
        <w:rPr>
          <w:rFonts w:cs="Arial"/>
          <w:color w:val="000000" w:themeColor="text1"/>
          <w:sz w:val="20"/>
          <w:shd w:val="clear" w:color="auto" w:fill="FFFFFF"/>
        </w:rPr>
        <w:t>56.</w:t>
      </w:r>
    </w:p>
  </w:footnote>
  <w:footnote w:id="251">
    <w:p w14:paraId="5C9E3C12" w14:textId="458745AD"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821DB2">
        <w:rPr>
          <w:rFonts w:cs="Arial"/>
          <w:color w:val="000000" w:themeColor="text1"/>
          <w:sz w:val="20"/>
        </w:rPr>
        <w:t>Ibid</w:t>
      </w:r>
      <w:r w:rsidR="00821DB2" w:rsidRPr="001F47B8">
        <w:rPr>
          <w:rFonts w:cs="Arial"/>
          <w:color w:val="000000" w:themeColor="text1"/>
          <w:sz w:val="20"/>
          <w:shd w:val="clear" w:color="auto" w:fill="FFFFFF"/>
        </w:rPr>
        <w:t xml:space="preserve"> </w:t>
      </w:r>
      <w:r w:rsidRPr="001F47B8">
        <w:rPr>
          <w:rFonts w:cs="Arial"/>
          <w:color w:val="000000" w:themeColor="text1"/>
          <w:sz w:val="20"/>
          <w:shd w:val="clear" w:color="auto" w:fill="FFFFFF"/>
        </w:rPr>
        <w:t>55.</w:t>
      </w:r>
    </w:p>
  </w:footnote>
  <w:footnote w:id="252">
    <w:p w14:paraId="3D736E42" w14:textId="2A8CF7E0"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821DB2">
        <w:rPr>
          <w:rFonts w:cs="Arial"/>
          <w:color w:val="000000" w:themeColor="text1"/>
          <w:sz w:val="20"/>
        </w:rPr>
        <w:t>Ibid</w:t>
      </w:r>
      <w:r w:rsidR="00821DB2" w:rsidRPr="001F47B8">
        <w:rPr>
          <w:rFonts w:cs="Arial"/>
          <w:color w:val="000000" w:themeColor="text1"/>
          <w:sz w:val="20"/>
          <w:shd w:val="clear" w:color="auto" w:fill="FFFFFF"/>
        </w:rPr>
        <w:t xml:space="preserve"> </w:t>
      </w:r>
      <w:r w:rsidRPr="001F47B8">
        <w:rPr>
          <w:rFonts w:cs="Arial"/>
          <w:color w:val="000000" w:themeColor="text1"/>
          <w:sz w:val="20"/>
          <w:shd w:val="clear" w:color="auto" w:fill="FFFFFF"/>
        </w:rPr>
        <w:t>60.</w:t>
      </w:r>
    </w:p>
  </w:footnote>
  <w:footnote w:id="253">
    <w:p w14:paraId="1059AD26" w14:textId="270D2291"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Theres Markow, John Martin, ‘</w:t>
      </w:r>
      <w:r w:rsidRPr="001F47B8">
        <w:rPr>
          <w:rFonts w:cs="Arial"/>
          <w:color w:val="000000" w:themeColor="text1"/>
          <w:sz w:val="20"/>
          <w:shd w:val="clear" w:color="auto" w:fill="FFFFFF"/>
        </w:rPr>
        <w:t>Inbreeding and developmental stability in a small human population”, (1993), 20(4)  </w:t>
      </w:r>
      <w:r w:rsidRPr="001F47B8">
        <w:rPr>
          <w:rFonts w:cs="Arial"/>
          <w:i/>
          <w:color w:val="000000" w:themeColor="text1"/>
          <w:sz w:val="20"/>
          <w:shd w:val="clear" w:color="auto" w:fill="FFFFFF"/>
        </w:rPr>
        <w:t>Annals of Human Biology,</w:t>
      </w:r>
      <w:r w:rsidRPr="001F47B8">
        <w:rPr>
          <w:rFonts w:cs="Arial"/>
          <w:color w:val="000000" w:themeColor="text1"/>
          <w:sz w:val="20"/>
          <w:shd w:val="clear" w:color="auto" w:fill="FFFFFF"/>
        </w:rPr>
        <w:t xml:space="preserve"> 389, 394.</w:t>
      </w:r>
    </w:p>
  </w:footnote>
  <w:footnote w:id="254">
    <w:p w14:paraId="5B54561B" w14:textId="5DAED2BA"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color w:val="000000" w:themeColor="text1"/>
          <w:sz w:val="20"/>
          <w:shd w:val="clear" w:color="auto" w:fill="FFFFFF"/>
        </w:rPr>
        <w:t>Kristof Van Assche, Serge Gutwirth and Sigrid Sterckx, ‘Protecting Dignitary Interests of Biobank Research Participants: Lessons from Havasupai Tribe v Arizona Board of Regents, Law, Innovation and Technology’,(2013), 5(1), 60.</w:t>
      </w:r>
    </w:p>
  </w:footnote>
  <w:footnote w:id="255">
    <w:p w14:paraId="4D7838B4" w14:textId="0720BD42"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Havasupai Tribe v Arizona Board of Regents</w:t>
      </w:r>
      <w:r w:rsidRPr="001F47B8">
        <w:rPr>
          <w:rFonts w:cs="Arial"/>
          <w:color w:val="000000" w:themeColor="text1"/>
          <w:sz w:val="20"/>
        </w:rPr>
        <w:t>, 204 P.3d, 1063, 5 (Ariz, Ct App 2008).</w:t>
      </w:r>
    </w:p>
  </w:footnote>
  <w:footnote w:id="256">
    <w:p w14:paraId="3A9ECBA4" w14:textId="1EA6B267" w:rsidR="009B71B4" w:rsidRPr="00C572A8" w:rsidRDefault="009B71B4" w:rsidP="009B71B4">
      <w:pPr>
        <w:pStyle w:val="FootnoteText"/>
        <w:rPr>
          <w:rFonts w:cs="Arial"/>
          <w:color w:val="000000" w:themeColor="text1"/>
          <w:sz w:val="20"/>
        </w:rPr>
      </w:pPr>
      <w:r w:rsidRPr="00C572A8">
        <w:rPr>
          <w:rStyle w:val="FootnoteReference"/>
          <w:rFonts w:cs="Arial"/>
          <w:color w:val="000000" w:themeColor="text1"/>
          <w:sz w:val="20"/>
        </w:rPr>
        <w:footnoteRef/>
      </w:r>
      <w:r w:rsidRPr="00C572A8">
        <w:rPr>
          <w:rFonts w:cs="Arial"/>
          <w:color w:val="000000" w:themeColor="text1"/>
          <w:sz w:val="20"/>
        </w:rPr>
        <w:t xml:space="preserve"> </w:t>
      </w:r>
      <w:r w:rsidR="00821DB2">
        <w:rPr>
          <w:rFonts w:cs="Arial"/>
          <w:color w:val="000000" w:themeColor="text1"/>
          <w:sz w:val="20"/>
        </w:rPr>
        <w:t>Ibid.</w:t>
      </w:r>
    </w:p>
  </w:footnote>
  <w:footnote w:id="257">
    <w:p w14:paraId="0933B6DA" w14:textId="03BC9ADB"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00821DB2">
        <w:rPr>
          <w:rFonts w:cs="Arial"/>
          <w:color w:val="000000" w:themeColor="text1"/>
          <w:sz w:val="20"/>
        </w:rPr>
        <w:t>Ibid;</w:t>
      </w:r>
      <w:r w:rsidRPr="001F47B8">
        <w:rPr>
          <w:rFonts w:cs="Arial"/>
          <w:color w:val="000000" w:themeColor="text1"/>
          <w:sz w:val="20"/>
        </w:rPr>
        <w:t xml:space="preserve"> </w:t>
      </w:r>
      <w:r w:rsidRPr="001F47B8">
        <w:rPr>
          <w:rFonts w:cs="Arial"/>
          <w:i/>
          <w:color w:val="000000" w:themeColor="text1"/>
          <w:sz w:val="20"/>
        </w:rPr>
        <w:t xml:space="preserve">Parens Patriae </w:t>
      </w:r>
      <w:r w:rsidRPr="001F47B8">
        <w:rPr>
          <w:rFonts w:cs="Arial"/>
          <w:color w:val="000000" w:themeColor="text1"/>
          <w:sz w:val="20"/>
        </w:rPr>
        <w:t xml:space="preserve">is </w:t>
      </w:r>
      <w:r w:rsidR="00553282">
        <w:rPr>
          <w:rFonts w:cs="Arial"/>
          <w:color w:val="000000" w:themeColor="text1"/>
          <w:sz w:val="20"/>
        </w:rPr>
        <w:t>legal principle</w:t>
      </w:r>
      <w:r w:rsidRPr="001F47B8">
        <w:rPr>
          <w:rFonts w:cs="Arial"/>
          <w:color w:val="000000" w:themeColor="text1"/>
          <w:sz w:val="20"/>
        </w:rPr>
        <w:t xml:space="preserve"> that a </w:t>
      </w:r>
      <w:r w:rsidR="00553282">
        <w:rPr>
          <w:rFonts w:cs="Arial"/>
          <w:color w:val="000000" w:themeColor="text1"/>
          <w:sz w:val="20"/>
        </w:rPr>
        <w:t>G</w:t>
      </w:r>
      <w:r w:rsidRPr="001F47B8">
        <w:rPr>
          <w:rFonts w:cs="Arial"/>
          <w:color w:val="000000" w:themeColor="text1"/>
          <w:sz w:val="20"/>
        </w:rPr>
        <w:t xml:space="preserve">overnment may initiate a lawsuit on behalf of </w:t>
      </w:r>
      <w:r w:rsidR="00553282">
        <w:rPr>
          <w:rFonts w:cs="Arial"/>
          <w:color w:val="000000" w:themeColor="text1"/>
          <w:sz w:val="20"/>
        </w:rPr>
        <w:t>it’s</w:t>
      </w:r>
      <w:r w:rsidRPr="001F47B8">
        <w:rPr>
          <w:rFonts w:cs="Arial"/>
          <w:color w:val="000000" w:themeColor="text1"/>
          <w:sz w:val="20"/>
        </w:rPr>
        <w:t xml:space="preserve"> citizen.</w:t>
      </w:r>
    </w:p>
  </w:footnote>
  <w:footnote w:id="258">
    <w:p w14:paraId="134558D5" w14:textId="27CAC5F8"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821DB2">
        <w:rPr>
          <w:rFonts w:cs="Arial"/>
          <w:color w:val="000000" w:themeColor="text1"/>
          <w:sz w:val="20"/>
        </w:rPr>
        <w:t>Ibid.</w:t>
      </w:r>
    </w:p>
  </w:footnote>
  <w:footnote w:id="259">
    <w:p w14:paraId="7AEC3555" w14:textId="030C99F7"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rPr>
        <w:t>Havasupai Tribe v Arizona Board of Regents</w:t>
      </w:r>
      <w:r w:rsidRPr="001F47B8">
        <w:rPr>
          <w:rFonts w:cs="Arial"/>
          <w:color w:val="000000" w:themeColor="text1"/>
          <w:sz w:val="20"/>
        </w:rPr>
        <w:t>, 204 P.3d, 1063, 48 (Ariz, Ct App 2008).</w:t>
      </w:r>
    </w:p>
  </w:footnote>
  <w:footnote w:id="260">
    <w:p w14:paraId="640A83B5" w14:textId="1D1C7500"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4296B">
        <w:rPr>
          <w:rFonts w:cs="Arial"/>
          <w:color w:val="000000" w:themeColor="text1"/>
          <w:sz w:val="20"/>
        </w:rPr>
        <w:t>Ibid.</w:t>
      </w:r>
    </w:p>
  </w:footnote>
  <w:footnote w:id="261">
    <w:p w14:paraId="540D99E8" w14:textId="1BCC3345" w:rsidR="00FB2047" w:rsidRPr="001F47B8" w:rsidRDefault="00FB2047" w:rsidP="00AC73DF">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Pr="001F47B8">
        <w:rPr>
          <w:rFonts w:cs="Arial"/>
          <w:i/>
          <w:color w:val="000000" w:themeColor="text1"/>
          <w:sz w:val="20"/>
          <w:bdr w:val="none" w:sz="0" w:space="0" w:color="auto" w:frame="1"/>
          <w:shd w:val="clear" w:color="auto" w:fill="FFFFFF"/>
        </w:rPr>
        <w:t>Truth About Motorways Pty Ltd V Macquarie Infrastructure Investment Management Ltd</w:t>
      </w:r>
      <w:r w:rsidRPr="001F47B8">
        <w:rPr>
          <w:rFonts w:cs="Arial"/>
          <w:color w:val="000000" w:themeColor="text1"/>
          <w:sz w:val="20"/>
          <w:bdr w:val="none" w:sz="0" w:space="0" w:color="auto" w:frame="1"/>
          <w:shd w:val="clear" w:color="auto" w:fill="FFFFFF"/>
        </w:rPr>
        <w:t> (2000) 169 ALR 616.</w:t>
      </w:r>
    </w:p>
  </w:footnote>
  <w:footnote w:id="262">
    <w:p w14:paraId="48556062" w14:textId="72ABDF94"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Justice Paul Brereton, ‘The Origins and Evolution of the </w:t>
      </w:r>
      <w:r w:rsidRPr="001F47B8">
        <w:rPr>
          <w:rFonts w:cs="Arial"/>
          <w:i/>
          <w:color w:val="000000" w:themeColor="text1"/>
          <w:sz w:val="20"/>
        </w:rPr>
        <w:t xml:space="preserve">Parens Patriae </w:t>
      </w:r>
      <w:r w:rsidRPr="001F47B8">
        <w:rPr>
          <w:rFonts w:cs="Arial"/>
          <w:color w:val="000000" w:themeColor="text1"/>
          <w:sz w:val="20"/>
        </w:rPr>
        <w:t>Jurisdiction’ (Lecture, Sydney University, 5 May 2017) 1.</w:t>
      </w:r>
    </w:p>
  </w:footnote>
  <w:footnote w:id="263">
    <w:p w14:paraId="592826C6" w14:textId="3E787737" w:rsidR="00FB2047" w:rsidRPr="001F47B8" w:rsidRDefault="00FB2047">
      <w:pPr>
        <w:pStyle w:val="FootnoteText"/>
        <w:rPr>
          <w:rFonts w:cs="Arial"/>
          <w:color w:val="000000" w:themeColor="text1"/>
          <w:sz w:val="20"/>
        </w:rPr>
      </w:pPr>
      <w:r w:rsidRPr="001F47B8">
        <w:rPr>
          <w:rStyle w:val="FootnoteReference"/>
          <w:rFonts w:cs="Arial"/>
          <w:color w:val="000000" w:themeColor="text1"/>
          <w:sz w:val="20"/>
        </w:rPr>
        <w:footnoteRef/>
      </w:r>
      <w:r w:rsidRPr="001F47B8">
        <w:rPr>
          <w:rFonts w:cs="Arial"/>
          <w:color w:val="000000" w:themeColor="text1"/>
          <w:sz w:val="20"/>
        </w:rPr>
        <w:t xml:space="preserve"> </w:t>
      </w:r>
      <w:r w:rsidR="00C4296B">
        <w:rPr>
          <w:rFonts w:cs="Arial"/>
          <w:color w:val="000000" w:themeColor="text1"/>
          <w:sz w:val="20"/>
        </w:rPr>
        <w:t>Ibid</w:t>
      </w:r>
      <w:r w:rsidR="00C4296B" w:rsidRPr="001F47B8">
        <w:rPr>
          <w:rFonts w:cs="Arial"/>
          <w:color w:val="000000" w:themeColor="text1"/>
          <w:sz w:val="20"/>
        </w:rPr>
        <w:t xml:space="preserve"> </w:t>
      </w:r>
      <w:r w:rsidRPr="001F47B8">
        <w:rPr>
          <w:rFonts w:cs="Arial"/>
          <w:color w:val="000000" w:themeColor="text1"/>
          <w:sz w:val="20"/>
        </w:rPr>
        <w:t>8.</w:t>
      </w:r>
    </w:p>
  </w:footnote>
  <w:footnote w:id="264">
    <w:p w14:paraId="141666E2" w14:textId="2BBB3465" w:rsidR="00E44807" w:rsidRPr="003150CE" w:rsidRDefault="00E44807" w:rsidP="00E44807">
      <w:pPr>
        <w:pStyle w:val="FootnoteText"/>
        <w:rPr>
          <w:rFonts w:cs="Arial"/>
          <w:sz w:val="20"/>
        </w:rPr>
      </w:pPr>
      <w:r w:rsidRPr="003150CE">
        <w:rPr>
          <w:rStyle w:val="FootnoteReference"/>
          <w:rFonts w:cs="Arial"/>
          <w:sz w:val="20"/>
        </w:rPr>
        <w:footnoteRef/>
      </w:r>
      <w:r w:rsidRPr="003150CE">
        <w:rPr>
          <w:rFonts w:cs="Arial"/>
          <w:sz w:val="20"/>
        </w:rPr>
        <w:t xml:space="preserve"> Broad Institute website, &lt;</w:t>
      </w:r>
      <w:hyperlink r:id="rId28" w:history="1">
        <w:r w:rsidRPr="003150CE">
          <w:rPr>
            <w:rStyle w:val="Hyperlink"/>
            <w:rFonts w:cs="Arial"/>
            <w:sz w:val="20"/>
          </w:rPr>
          <w:t>https://www.broadinstitute.org/sigma</w:t>
        </w:r>
      </w:hyperlink>
      <w:r w:rsidRPr="003150CE">
        <w:rPr>
          <w:rFonts w:cs="Arial"/>
          <w:sz w:val="20"/>
        </w:rPr>
        <w:t>&gt;, viewed 8 July 2020.</w:t>
      </w:r>
    </w:p>
  </w:footnote>
  <w:footnote w:id="265">
    <w:p w14:paraId="7B983D09" w14:textId="3840D274" w:rsidR="003150CE" w:rsidRPr="002D3BE8" w:rsidRDefault="003150CE">
      <w:pPr>
        <w:pStyle w:val="FootnoteText"/>
        <w:rPr>
          <w:rFonts w:cs="Arial"/>
          <w:sz w:val="20"/>
        </w:rPr>
      </w:pPr>
      <w:r w:rsidRPr="002D3BE8">
        <w:rPr>
          <w:rStyle w:val="FootnoteReference"/>
          <w:rFonts w:cs="Arial"/>
          <w:sz w:val="20"/>
        </w:rPr>
        <w:footnoteRef/>
      </w:r>
      <w:r w:rsidRPr="002D3BE8">
        <w:rPr>
          <w:rFonts w:cs="Arial"/>
          <w:sz w:val="20"/>
        </w:rPr>
        <w:t xml:space="preserve"> </w:t>
      </w:r>
      <w:r w:rsidRPr="003150CE">
        <w:rPr>
          <w:rFonts w:cs="Arial"/>
          <w:sz w:val="20"/>
        </w:rPr>
        <w:t>Peter Wade, Degrees of Mixture, Degrees of Freedom: Genomics, Multiculturalism, and Race in Latin America</w:t>
      </w:r>
      <w:r w:rsidR="0009454E">
        <w:rPr>
          <w:rFonts w:cs="Arial"/>
          <w:sz w:val="20"/>
        </w:rPr>
        <w:t xml:space="preserve">, Duke </w:t>
      </w:r>
      <w:r w:rsidR="00074916">
        <w:rPr>
          <w:rFonts w:cs="Arial"/>
          <w:sz w:val="20"/>
        </w:rPr>
        <w:t>U</w:t>
      </w:r>
      <w:r w:rsidR="0009454E">
        <w:rPr>
          <w:rFonts w:cs="Arial"/>
          <w:sz w:val="20"/>
        </w:rPr>
        <w:t>niversity Press, 20</w:t>
      </w:r>
      <w:r w:rsidR="00074916">
        <w:rPr>
          <w:rFonts w:cs="Arial"/>
          <w:sz w:val="20"/>
        </w:rPr>
        <w:t>1</w:t>
      </w:r>
      <w:r w:rsidR="0009454E">
        <w:rPr>
          <w:rFonts w:cs="Arial"/>
          <w:sz w:val="20"/>
        </w:rPr>
        <w:t>7</w:t>
      </w:r>
      <w:r w:rsidR="00C03F9C">
        <w:rPr>
          <w:rFonts w:cs="Arial"/>
          <w:sz w:val="20"/>
        </w:rPr>
        <w:t>.</w:t>
      </w:r>
    </w:p>
  </w:footnote>
  <w:footnote w:id="266">
    <w:p w14:paraId="2809ABFC" w14:textId="47D5BF7D" w:rsidR="00535375" w:rsidRPr="003150CE" w:rsidRDefault="00535375">
      <w:pPr>
        <w:pStyle w:val="FootnoteText"/>
        <w:rPr>
          <w:rFonts w:cs="Arial"/>
          <w:sz w:val="20"/>
        </w:rPr>
      </w:pPr>
      <w:r w:rsidRPr="003150CE">
        <w:rPr>
          <w:rStyle w:val="FootnoteReference"/>
          <w:rFonts w:cs="Arial"/>
          <w:sz w:val="20"/>
        </w:rPr>
        <w:footnoteRef/>
      </w:r>
      <w:r w:rsidRPr="003150CE">
        <w:rPr>
          <w:rFonts w:cs="Arial"/>
          <w:sz w:val="20"/>
        </w:rPr>
        <w:t xml:space="preserve"> Type 2 Diabetes Knowledge Portal, &lt;</w:t>
      </w:r>
      <w:hyperlink r:id="rId29" w:history="1">
        <w:r w:rsidRPr="003150CE">
          <w:rPr>
            <w:rStyle w:val="Hyperlink"/>
            <w:rFonts w:cs="Arial"/>
            <w:sz w:val="20"/>
          </w:rPr>
          <w:t>http://www.type2diabetesgenetics.org/</w:t>
        </w:r>
      </w:hyperlink>
      <w:r w:rsidRPr="003150CE">
        <w:rPr>
          <w:rFonts w:cs="Arial"/>
          <w:sz w:val="20"/>
        </w:rPr>
        <w:t>&gt;, viewed 8 July 2020.</w:t>
      </w:r>
    </w:p>
  </w:footnote>
  <w:footnote w:id="267">
    <w:p w14:paraId="3F116DAE" w14:textId="6E1FF79C" w:rsidR="00CD0826" w:rsidRPr="002D3BE8" w:rsidRDefault="00CD0826">
      <w:pPr>
        <w:pStyle w:val="FootnoteText"/>
        <w:rPr>
          <w:rFonts w:cs="Arial"/>
          <w:sz w:val="20"/>
        </w:rPr>
      </w:pPr>
      <w:r w:rsidRPr="002D3BE8">
        <w:rPr>
          <w:rStyle w:val="FootnoteReference"/>
          <w:rFonts w:cs="Arial"/>
          <w:sz w:val="20"/>
        </w:rPr>
        <w:footnoteRef/>
      </w:r>
      <w:r w:rsidRPr="002D3BE8">
        <w:rPr>
          <w:rFonts w:cs="Arial"/>
          <w:sz w:val="20"/>
        </w:rPr>
        <w:t xml:space="preserve"> </w:t>
      </w:r>
      <w:r w:rsidR="000171F8" w:rsidRPr="002D3BE8">
        <w:rPr>
          <w:rFonts w:cs="Arial"/>
          <w:sz w:val="20"/>
        </w:rPr>
        <w:t xml:space="preserve">H3 Africa, </w:t>
      </w:r>
      <w:r w:rsidR="0035368A" w:rsidRPr="002D3BE8">
        <w:rPr>
          <w:rFonts w:cs="Arial"/>
          <w:i/>
          <w:sz w:val="20"/>
        </w:rPr>
        <w:t>Human Heredity &amp; Health in Africa</w:t>
      </w:r>
      <w:r w:rsidR="00235330" w:rsidRPr="002D3BE8">
        <w:rPr>
          <w:rFonts w:cs="Arial"/>
          <w:sz w:val="20"/>
        </w:rPr>
        <w:t xml:space="preserve"> &lt;</w:t>
      </w:r>
      <w:hyperlink r:id="rId30" w:history="1">
        <w:r w:rsidRPr="002D3BE8">
          <w:rPr>
            <w:rStyle w:val="Hyperlink"/>
            <w:rFonts w:cs="Arial"/>
            <w:sz w:val="20"/>
          </w:rPr>
          <w:t>https://h3africa.org/</w:t>
        </w:r>
      </w:hyperlink>
      <w:r w:rsidR="00235330" w:rsidRPr="002D3BE8">
        <w:rPr>
          <w:rFonts w:cs="Arial"/>
          <w:sz w:val="20"/>
        </w:rPr>
        <w:t>&gt;</w:t>
      </w:r>
    </w:p>
  </w:footnote>
  <w:footnote w:id="268">
    <w:p w14:paraId="54F74431" w14:textId="4534E4B4" w:rsidR="00C8467C" w:rsidRPr="002D3BE8" w:rsidRDefault="00C8467C">
      <w:pPr>
        <w:pStyle w:val="FootnoteText"/>
        <w:rPr>
          <w:rFonts w:cs="Arial"/>
          <w:sz w:val="20"/>
        </w:rPr>
      </w:pPr>
      <w:r w:rsidRPr="002D3BE8">
        <w:rPr>
          <w:rStyle w:val="FootnoteReference"/>
          <w:rFonts w:cs="Arial"/>
          <w:sz w:val="20"/>
        </w:rPr>
        <w:footnoteRef/>
      </w:r>
      <w:r w:rsidRPr="002D3BE8">
        <w:rPr>
          <w:rFonts w:cs="Arial"/>
          <w:sz w:val="20"/>
        </w:rPr>
        <w:t xml:space="preserve"> </w:t>
      </w:r>
      <w:r w:rsidR="00BF38C8" w:rsidRPr="002D3BE8">
        <w:rPr>
          <w:rFonts w:cs="Arial"/>
          <w:sz w:val="20"/>
        </w:rPr>
        <w:t>Ziyaad</w:t>
      </w:r>
      <w:r w:rsidRPr="002D3BE8">
        <w:rPr>
          <w:rFonts w:cs="Arial"/>
          <w:sz w:val="20"/>
        </w:rPr>
        <w:t xml:space="preserve"> </w:t>
      </w:r>
      <w:r w:rsidR="00C53F5F" w:rsidRPr="002D3BE8">
        <w:rPr>
          <w:rFonts w:cs="Arial"/>
          <w:sz w:val="20"/>
        </w:rPr>
        <w:t>Parker</w:t>
      </w:r>
      <w:r w:rsidR="00BF38C8" w:rsidRPr="002D3BE8">
        <w:rPr>
          <w:rFonts w:cs="Arial"/>
          <w:sz w:val="20"/>
        </w:rPr>
        <w:t xml:space="preserve"> et al</w:t>
      </w:r>
      <w:r w:rsidR="00C53F5F" w:rsidRPr="002D3BE8">
        <w:rPr>
          <w:rFonts w:cs="Arial"/>
          <w:sz w:val="20"/>
        </w:rPr>
        <w:t xml:space="preserve">, ‘Building Infrastructure for African Human Genomic Data Management ( (2019) 18(1) </w:t>
      </w:r>
      <w:r w:rsidR="00C53F5F" w:rsidRPr="002D3BE8">
        <w:rPr>
          <w:rFonts w:cs="Arial"/>
          <w:i/>
          <w:sz w:val="20"/>
        </w:rPr>
        <w:t xml:space="preserve">Data Science Journal </w:t>
      </w:r>
      <w:r w:rsidR="00C53F5F" w:rsidRPr="002D3BE8">
        <w:rPr>
          <w:rFonts w:cs="Arial"/>
          <w:sz w:val="20"/>
        </w:rPr>
        <w:t>47</w:t>
      </w:r>
      <w:r w:rsidR="00A54470">
        <w:rPr>
          <w:rFonts w:cs="Arial"/>
          <w:sz w:val="20"/>
        </w:rPr>
        <w:t>.</w:t>
      </w:r>
    </w:p>
  </w:footnote>
  <w:footnote w:id="269">
    <w:p w14:paraId="44409CBC" w14:textId="5B6B120F" w:rsidR="00485B65" w:rsidRPr="003150CE" w:rsidRDefault="00485B65">
      <w:pPr>
        <w:pStyle w:val="FootnoteText"/>
        <w:rPr>
          <w:rFonts w:cs="Arial"/>
          <w:sz w:val="20"/>
        </w:rPr>
      </w:pPr>
      <w:r w:rsidRPr="003150CE">
        <w:rPr>
          <w:rStyle w:val="FootnoteReference"/>
          <w:rFonts w:cs="Arial"/>
          <w:sz w:val="20"/>
        </w:rPr>
        <w:footnoteRef/>
      </w:r>
      <w:r w:rsidRPr="003150CE">
        <w:rPr>
          <w:rFonts w:cs="Arial"/>
          <w:sz w:val="20"/>
        </w:rPr>
        <w:t>Simons Foundation website, &lt;</w:t>
      </w:r>
      <w:hyperlink r:id="rId31" w:history="1">
        <w:r w:rsidRPr="003150CE">
          <w:rPr>
            <w:rStyle w:val="Hyperlink"/>
            <w:rFonts w:cs="Arial"/>
            <w:sz w:val="20"/>
          </w:rPr>
          <w:t>https://www.simonsfoundation.org/simons-genome-diversity-project/</w:t>
        </w:r>
      </w:hyperlink>
      <w:r w:rsidRPr="003150CE">
        <w:rPr>
          <w:rFonts w:cs="Arial"/>
          <w:sz w:val="20"/>
        </w:rPr>
        <w:t>&gt;, accessed 7 July 2020.</w:t>
      </w:r>
    </w:p>
  </w:footnote>
  <w:footnote w:id="270">
    <w:p w14:paraId="6C987202" w14:textId="35A0A2FD" w:rsidR="00FC356F" w:rsidRPr="003150CE" w:rsidRDefault="00FC356F">
      <w:pPr>
        <w:pStyle w:val="FootnoteText"/>
        <w:rPr>
          <w:rFonts w:cs="Arial"/>
          <w:sz w:val="20"/>
        </w:rPr>
      </w:pPr>
      <w:r w:rsidRPr="003150CE">
        <w:rPr>
          <w:rStyle w:val="FootnoteReference"/>
          <w:rFonts w:cs="Arial"/>
          <w:sz w:val="20"/>
        </w:rPr>
        <w:footnoteRef/>
      </w:r>
      <w:r w:rsidRPr="003150CE">
        <w:rPr>
          <w:rFonts w:cs="Arial"/>
          <w:sz w:val="20"/>
        </w:rPr>
        <w:t xml:space="preserve"> </w:t>
      </w:r>
      <w:r w:rsidR="002E01F8">
        <w:rPr>
          <w:rFonts w:cs="Arial"/>
          <w:sz w:val="20"/>
        </w:rPr>
        <w:t xml:space="preserve">Swapan Mallick et al, </w:t>
      </w:r>
      <w:r w:rsidR="009123AF">
        <w:rPr>
          <w:rFonts w:cs="Arial"/>
          <w:sz w:val="20"/>
        </w:rPr>
        <w:t xml:space="preserve">‘The Simons genome diversity project: 300 genomes from 142 diverse populations’ (2016) </w:t>
      </w:r>
      <w:r w:rsidR="006145C7">
        <w:rPr>
          <w:rFonts w:cs="Arial"/>
          <w:sz w:val="20"/>
        </w:rPr>
        <w:t>5</w:t>
      </w:r>
      <w:r w:rsidR="00B947E5">
        <w:rPr>
          <w:rFonts w:cs="Arial"/>
          <w:sz w:val="20"/>
        </w:rPr>
        <w:t>38(</w:t>
      </w:r>
      <w:r w:rsidR="005B3167">
        <w:rPr>
          <w:rFonts w:cs="Arial"/>
          <w:sz w:val="20"/>
        </w:rPr>
        <w:t xml:space="preserve">7624) </w:t>
      </w:r>
      <w:r w:rsidR="005B3167">
        <w:rPr>
          <w:rFonts w:cs="Arial"/>
          <w:i/>
          <w:iCs/>
          <w:sz w:val="20"/>
        </w:rPr>
        <w:t xml:space="preserve">Nature </w:t>
      </w:r>
      <w:r w:rsidR="005B3167">
        <w:rPr>
          <w:rFonts w:cs="Arial"/>
          <w:sz w:val="20"/>
        </w:rPr>
        <w:t xml:space="preserve"> 201</w:t>
      </w:r>
      <w:r w:rsidR="007524DD">
        <w:rPr>
          <w:rFonts w:cs="Arial"/>
          <w:sz w:val="20"/>
        </w:rPr>
        <w:t>. &lt;</w:t>
      </w:r>
      <w:hyperlink r:id="rId32" w:history="1">
        <w:r w:rsidRPr="003150CE">
          <w:rPr>
            <w:rStyle w:val="Hyperlink"/>
            <w:rFonts w:cs="Arial"/>
            <w:sz w:val="20"/>
          </w:rPr>
          <w:t>https://www.ncbi.nlm.nih.gov/pmc/articles/PMC5161557/</w:t>
        </w:r>
      </w:hyperlink>
      <w:r w:rsidR="007524DD">
        <w:rPr>
          <w:rFonts w:cs="Arial"/>
          <w:sz w:val="20"/>
        </w:rPr>
        <w:t>&gt;</w:t>
      </w:r>
    </w:p>
  </w:footnote>
  <w:footnote w:id="271">
    <w:p w14:paraId="780DA00A" w14:textId="54FDC5C1" w:rsidR="005A7E78" w:rsidRPr="001F47B8" w:rsidRDefault="005A7E78">
      <w:pPr>
        <w:pStyle w:val="FootnoteText"/>
        <w:rPr>
          <w:rFonts w:cs="Arial"/>
          <w:sz w:val="20"/>
        </w:rPr>
      </w:pPr>
      <w:r w:rsidRPr="001F47B8">
        <w:rPr>
          <w:rStyle w:val="FootnoteReference"/>
          <w:rFonts w:cs="Arial"/>
          <w:sz w:val="20"/>
        </w:rPr>
        <w:footnoteRef/>
      </w:r>
      <w:r w:rsidRPr="001F47B8">
        <w:rPr>
          <w:rFonts w:cs="Arial"/>
          <w:sz w:val="20"/>
        </w:rPr>
        <w:t xml:space="preserve"> </w:t>
      </w:r>
      <w:r w:rsidR="0013514C" w:rsidRPr="00584609">
        <w:rPr>
          <w:rFonts w:cs="Arial"/>
          <w:sz w:val="20"/>
        </w:rPr>
        <w:t xml:space="preserve">Maui Hudson et al, </w:t>
      </w:r>
      <w:r w:rsidR="0013514C" w:rsidRPr="00584609">
        <w:rPr>
          <w:rFonts w:cs="Arial"/>
          <w:i/>
          <w:iCs/>
          <w:sz w:val="20"/>
        </w:rPr>
        <w:t>Te Mata Ira: Guidelines for Genomic Research with Māori</w:t>
      </w:r>
      <w:r w:rsidR="0013514C" w:rsidRPr="00584609">
        <w:rPr>
          <w:rFonts w:cs="Arial"/>
          <w:sz w:val="20"/>
        </w:rPr>
        <w:t xml:space="preserve"> (</w:t>
      </w:r>
      <w:r w:rsidR="0013514C" w:rsidRPr="0013514C">
        <w:rPr>
          <w:rFonts w:cs="Arial"/>
          <w:sz w:val="20"/>
        </w:rPr>
        <w:t xml:space="preserve">Te Mata </w:t>
      </w:r>
      <w:r w:rsidR="0013514C" w:rsidRPr="00584609">
        <w:rPr>
          <w:rFonts w:cs="Arial"/>
          <w:sz w:val="20"/>
        </w:rPr>
        <w:t>Hautū Taketake – Māori &amp; Indigenous Governance Centre, 2016), 1.</w:t>
      </w:r>
    </w:p>
  </w:footnote>
  <w:footnote w:id="272">
    <w:p w14:paraId="66910268" w14:textId="77CFE0E9" w:rsidR="007E6876" w:rsidRPr="001F47B8" w:rsidRDefault="007E6876">
      <w:pPr>
        <w:pStyle w:val="FootnoteText"/>
        <w:rPr>
          <w:rFonts w:cs="Arial"/>
          <w:sz w:val="20"/>
        </w:rPr>
      </w:pPr>
      <w:r w:rsidRPr="001F47B8">
        <w:rPr>
          <w:rStyle w:val="FootnoteReference"/>
          <w:rFonts w:cs="Arial"/>
          <w:sz w:val="20"/>
        </w:rPr>
        <w:footnoteRef/>
      </w:r>
      <w:r w:rsidRPr="001F47B8">
        <w:rPr>
          <w:rFonts w:cs="Arial"/>
          <w:sz w:val="20"/>
        </w:rPr>
        <w:t xml:space="preserve"> </w:t>
      </w:r>
      <w:r w:rsidR="00C4296B">
        <w:rPr>
          <w:rFonts w:cs="Arial"/>
          <w:color w:val="000000" w:themeColor="text1"/>
          <w:sz w:val="20"/>
        </w:rPr>
        <w:t>Ibid</w:t>
      </w:r>
      <w:r w:rsidR="00C4296B" w:rsidRPr="00584609">
        <w:rPr>
          <w:rFonts w:cs="Arial"/>
          <w:sz w:val="20"/>
        </w:rPr>
        <w:t xml:space="preserve"> </w:t>
      </w:r>
      <w:r w:rsidR="0013514C" w:rsidRPr="00584609">
        <w:rPr>
          <w:rFonts w:cs="Arial"/>
          <w:sz w:val="20"/>
        </w:rPr>
        <w:t>1.</w:t>
      </w:r>
    </w:p>
  </w:footnote>
  <w:footnote w:id="273">
    <w:p w14:paraId="7DB3A81C" w14:textId="51ABAF1C" w:rsidR="00581728" w:rsidRPr="003150CE" w:rsidRDefault="00581728" w:rsidP="00581728">
      <w:pPr>
        <w:pStyle w:val="FootnoteText"/>
        <w:rPr>
          <w:rFonts w:cs="Arial"/>
          <w:sz w:val="20"/>
        </w:rPr>
      </w:pPr>
      <w:r w:rsidRPr="003150CE">
        <w:rPr>
          <w:rStyle w:val="FootnoteReference"/>
          <w:rFonts w:cs="Arial"/>
          <w:sz w:val="20"/>
        </w:rPr>
        <w:footnoteRef/>
      </w:r>
      <w:r w:rsidRPr="003150CE">
        <w:rPr>
          <w:rFonts w:cs="Arial"/>
          <w:sz w:val="20"/>
        </w:rPr>
        <w:t xml:space="preserve"> </w:t>
      </w:r>
      <w:r w:rsidR="00C4296B">
        <w:rPr>
          <w:rFonts w:cs="Arial"/>
          <w:color w:val="000000" w:themeColor="text1"/>
          <w:sz w:val="20"/>
        </w:rPr>
        <w:t>Ibid</w:t>
      </w:r>
      <w:r w:rsidRPr="007A77C8">
        <w:rPr>
          <w:rFonts w:cs="Arial"/>
          <w:sz w:val="20"/>
        </w:rPr>
        <w:t>.</w:t>
      </w:r>
    </w:p>
  </w:footnote>
  <w:footnote w:id="274">
    <w:p w14:paraId="25B9500C" w14:textId="17B81F5D" w:rsidR="007A77C8" w:rsidRPr="003150CE" w:rsidRDefault="007A77C8" w:rsidP="007A77C8">
      <w:pPr>
        <w:pStyle w:val="FootnoteText"/>
        <w:rPr>
          <w:rFonts w:cs="Arial"/>
          <w:sz w:val="20"/>
        </w:rPr>
      </w:pPr>
      <w:r w:rsidRPr="003150CE">
        <w:rPr>
          <w:rStyle w:val="FootnoteReference"/>
          <w:rFonts w:cs="Arial"/>
          <w:sz w:val="20"/>
        </w:rPr>
        <w:footnoteRef/>
      </w:r>
      <w:r w:rsidRPr="003150CE">
        <w:rPr>
          <w:rFonts w:cs="Arial"/>
          <w:sz w:val="20"/>
        </w:rPr>
        <w:t xml:space="preserve"> </w:t>
      </w:r>
      <w:r w:rsidR="00743D13">
        <w:rPr>
          <w:rFonts w:cs="Arial"/>
          <w:sz w:val="20"/>
        </w:rPr>
        <w:t>Ibid.</w:t>
      </w:r>
    </w:p>
  </w:footnote>
  <w:footnote w:id="275">
    <w:p w14:paraId="354F079B" w14:textId="1A94058B" w:rsidR="008A57F7" w:rsidRPr="001F47B8" w:rsidRDefault="008A57F7">
      <w:pPr>
        <w:pStyle w:val="FootnoteText"/>
        <w:rPr>
          <w:rFonts w:cs="Arial"/>
          <w:sz w:val="20"/>
        </w:rPr>
      </w:pPr>
      <w:r w:rsidRPr="001F47B8">
        <w:rPr>
          <w:rStyle w:val="FootnoteReference"/>
          <w:rFonts w:cs="Arial"/>
          <w:sz w:val="20"/>
        </w:rPr>
        <w:footnoteRef/>
      </w:r>
      <w:r w:rsidRPr="001F47B8">
        <w:rPr>
          <w:rFonts w:cs="Arial"/>
          <w:sz w:val="20"/>
        </w:rPr>
        <w:t xml:space="preserve"> </w:t>
      </w:r>
      <w:r w:rsidR="00743D13">
        <w:rPr>
          <w:rFonts w:cs="Arial"/>
          <w:color w:val="000000" w:themeColor="text1"/>
          <w:sz w:val="20"/>
        </w:rPr>
        <w:t>Ibid</w:t>
      </w:r>
      <w:r w:rsidR="0013514C" w:rsidRPr="00584609">
        <w:rPr>
          <w:rFonts w:cs="Arial"/>
          <w:sz w:val="20"/>
        </w:rPr>
        <w:t>.</w:t>
      </w:r>
    </w:p>
  </w:footnote>
  <w:footnote w:id="276">
    <w:p w14:paraId="1F775A35" w14:textId="648D65FC" w:rsidR="00E44542" w:rsidRPr="003150CE" w:rsidRDefault="00E44542">
      <w:pPr>
        <w:pStyle w:val="FootnoteText"/>
        <w:rPr>
          <w:rFonts w:cs="Arial"/>
          <w:sz w:val="20"/>
        </w:rPr>
      </w:pPr>
      <w:r w:rsidRPr="003150CE">
        <w:rPr>
          <w:rStyle w:val="FootnoteReference"/>
          <w:rFonts w:cs="Arial"/>
          <w:sz w:val="20"/>
        </w:rPr>
        <w:footnoteRef/>
      </w:r>
      <w:r w:rsidRPr="003150CE">
        <w:rPr>
          <w:rFonts w:cs="Arial"/>
          <w:sz w:val="20"/>
        </w:rPr>
        <w:t xml:space="preserve"> Ibid 3.</w:t>
      </w:r>
    </w:p>
  </w:footnote>
  <w:footnote w:id="277">
    <w:p w14:paraId="2D6874F7" w14:textId="40C7009F" w:rsidR="006E3B86" w:rsidRPr="003150CE" w:rsidRDefault="006E3B86">
      <w:pPr>
        <w:pStyle w:val="FootnoteText"/>
        <w:rPr>
          <w:rFonts w:cs="Arial"/>
          <w:sz w:val="20"/>
        </w:rPr>
      </w:pPr>
      <w:r w:rsidRPr="003150CE">
        <w:rPr>
          <w:rStyle w:val="FootnoteReference"/>
          <w:rFonts w:cs="Arial"/>
          <w:sz w:val="20"/>
        </w:rPr>
        <w:footnoteRef/>
      </w:r>
      <w:r w:rsidRPr="003150CE">
        <w:rPr>
          <w:rFonts w:cs="Arial"/>
          <w:sz w:val="20"/>
        </w:rPr>
        <w:t xml:space="preserve"> Ibid 4.</w:t>
      </w:r>
    </w:p>
  </w:footnote>
  <w:footnote w:id="278">
    <w:p w14:paraId="2688F8E6" w14:textId="070F2E9B" w:rsidR="00520BB0" w:rsidRPr="003150CE" w:rsidRDefault="00520BB0">
      <w:pPr>
        <w:pStyle w:val="FootnoteText"/>
        <w:rPr>
          <w:rFonts w:cs="Arial"/>
          <w:sz w:val="20"/>
        </w:rPr>
      </w:pPr>
      <w:r w:rsidRPr="003150CE">
        <w:rPr>
          <w:rStyle w:val="FootnoteReference"/>
          <w:rFonts w:cs="Arial"/>
          <w:sz w:val="20"/>
        </w:rPr>
        <w:footnoteRef/>
      </w:r>
      <w:r w:rsidRPr="003150CE">
        <w:rPr>
          <w:rFonts w:cs="Arial"/>
          <w:sz w:val="20"/>
        </w:rPr>
        <w:t xml:space="preserve"> Ibid 6</w:t>
      </w:r>
      <w:r w:rsidR="00BB58AA" w:rsidRPr="003150CE">
        <w:rPr>
          <w:rFonts w:cs="Arial"/>
          <w:sz w:val="20"/>
        </w:rPr>
        <w:t>.</w:t>
      </w:r>
    </w:p>
  </w:footnote>
  <w:footnote w:id="279">
    <w:p w14:paraId="33124FB8" w14:textId="653F5441" w:rsidR="00BB58AA" w:rsidRPr="003150CE" w:rsidRDefault="00BB58AA">
      <w:pPr>
        <w:pStyle w:val="FootnoteText"/>
        <w:rPr>
          <w:rFonts w:cs="Arial"/>
          <w:sz w:val="20"/>
        </w:rPr>
      </w:pPr>
      <w:r w:rsidRPr="003150CE">
        <w:rPr>
          <w:rStyle w:val="FootnoteReference"/>
          <w:rFonts w:cs="Arial"/>
          <w:sz w:val="20"/>
        </w:rPr>
        <w:footnoteRef/>
      </w:r>
      <w:r w:rsidRPr="003150CE">
        <w:rPr>
          <w:rFonts w:cs="Arial"/>
          <w:sz w:val="20"/>
        </w:rPr>
        <w:t xml:space="preserve"> Ibid 19-25.</w:t>
      </w:r>
    </w:p>
  </w:footnote>
  <w:footnote w:id="280">
    <w:p w14:paraId="68FA6082" w14:textId="4439A23B" w:rsidR="00987A71" w:rsidRPr="003150CE" w:rsidRDefault="00987A71">
      <w:pPr>
        <w:pStyle w:val="FootnoteText"/>
        <w:rPr>
          <w:rFonts w:cs="Arial"/>
          <w:sz w:val="20"/>
        </w:rPr>
      </w:pPr>
      <w:r w:rsidRPr="003150CE">
        <w:rPr>
          <w:rStyle w:val="FootnoteReference"/>
          <w:rFonts w:cs="Arial"/>
          <w:sz w:val="20"/>
        </w:rPr>
        <w:footnoteRef/>
      </w:r>
      <w:r w:rsidRPr="003150CE">
        <w:rPr>
          <w:rFonts w:cs="Arial"/>
          <w:sz w:val="20"/>
        </w:rPr>
        <w:t xml:space="preserve"> Ibid 28.</w:t>
      </w:r>
    </w:p>
  </w:footnote>
  <w:footnote w:id="281">
    <w:p w14:paraId="2BEA297F" w14:textId="098CFA86" w:rsidR="00F74730" w:rsidRPr="003150CE" w:rsidRDefault="00F74730">
      <w:pPr>
        <w:pStyle w:val="FootnoteText"/>
        <w:rPr>
          <w:rFonts w:cs="Arial"/>
          <w:sz w:val="20"/>
        </w:rPr>
      </w:pPr>
      <w:r w:rsidRPr="003150CE">
        <w:rPr>
          <w:rStyle w:val="FootnoteReference"/>
          <w:rFonts w:cs="Arial"/>
          <w:sz w:val="20"/>
        </w:rPr>
        <w:footnoteRef/>
      </w:r>
      <w:r w:rsidRPr="003150CE">
        <w:rPr>
          <w:rFonts w:cs="Arial"/>
          <w:sz w:val="20"/>
        </w:rPr>
        <w:t xml:space="preserve"> Ibid 36-37.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C3BF" w14:textId="63F74716" w:rsidR="00F70EE9" w:rsidRPr="00285E7D" w:rsidRDefault="00B85199" w:rsidP="004230A4">
    <w:pPr>
      <w:rPr>
        <w:b/>
        <w:color w:val="261036"/>
      </w:rPr>
    </w:pPr>
    <w:r w:rsidRPr="00285E7D">
      <w:rPr>
        <w:b/>
        <w:bCs/>
        <w:color w:val="261036"/>
      </w:rPr>
      <w:t xml:space="preserve">Indigenous Health Genomics: </w:t>
    </w:r>
    <w:r w:rsidR="00285E7D" w:rsidRPr="00285E7D">
      <w:rPr>
        <w:b/>
        <w:bCs/>
        <w:color w:val="261036"/>
      </w:rPr>
      <w:t>The Legal, Ethical and Social Issues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90B0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1233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5C94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EA6C1A"/>
    <w:lvl w:ilvl="0">
      <w:start w:val="1"/>
      <w:numFmt w:val="lowerLetter"/>
      <w:pStyle w:val="Caption"/>
      <w:lvlText w:val="%1)"/>
      <w:lvlJc w:val="left"/>
      <w:pPr>
        <w:ind w:left="644" w:hanging="360"/>
      </w:pPr>
    </w:lvl>
  </w:abstractNum>
  <w:abstractNum w:abstractNumId="4" w15:restartNumberingAfterBreak="0">
    <w:nsid w:val="FFFFFF80"/>
    <w:multiLevelType w:val="singleLevel"/>
    <w:tmpl w:val="90826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C856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2C8C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B89D5C"/>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FD0A2B18"/>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8376B2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67674"/>
    <w:multiLevelType w:val="hybridMultilevel"/>
    <w:tmpl w:val="180AA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DB1641"/>
    <w:multiLevelType w:val="hybridMultilevel"/>
    <w:tmpl w:val="FCD0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87A1F"/>
    <w:multiLevelType w:val="hybridMultilevel"/>
    <w:tmpl w:val="A8DE001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AB78B9"/>
    <w:multiLevelType w:val="hybridMultilevel"/>
    <w:tmpl w:val="48AEC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4367F"/>
    <w:multiLevelType w:val="hybridMultilevel"/>
    <w:tmpl w:val="A3FEC97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5E217F0"/>
    <w:multiLevelType w:val="hybridMultilevel"/>
    <w:tmpl w:val="EF88C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5641C4"/>
    <w:multiLevelType w:val="hybridMultilevel"/>
    <w:tmpl w:val="9B7EC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B3409E"/>
    <w:multiLevelType w:val="hybridMultilevel"/>
    <w:tmpl w:val="81483AE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DDB74BE"/>
    <w:multiLevelType w:val="hybridMultilevel"/>
    <w:tmpl w:val="E7344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C900F0"/>
    <w:multiLevelType w:val="multilevel"/>
    <w:tmpl w:val="EA020C52"/>
    <w:lvl w:ilvl="0">
      <w:start w:val="1"/>
      <w:numFmt w:val="decimal"/>
      <w:lvlText w:val="%1"/>
      <w:lvlJc w:val="left"/>
      <w:pPr>
        <w:ind w:left="567" w:hanging="567"/>
      </w:pPr>
      <w:rPr>
        <w:rFonts w:hint="default"/>
      </w:rPr>
    </w:lvl>
    <w:lvl w:ilvl="1">
      <w:start w:val="1"/>
      <w:numFmt w:val="decimal"/>
      <w:lvlText w:val="%2."/>
      <w:lvlJc w:val="left"/>
      <w:pPr>
        <w:ind w:left="1135" w:hanging="567"/>
      </w:pPr>
      <w:rPr>
        <w:rFonts w:hint="default"/>
      </w:rPr>
    </w:lvl>
    <w:lvl w:ilvl="2">
      <w:start w:val="1"/>
      <w:numFmt w:val="decimal"/>
      <w:lvlText w:val="%1.%2.%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ascii="Arial" w:eastAsiaTheme="minorHAnsi" w:hAnsi="Arial" w:cstheme="minorBidi"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330866EF"/>
    <w:multiLevelType w:val="multilevel"/>
    <w:tmpl w:val="4D981EB0"/>
    <w:lvl w:ilvl="0">
      <w:start w:val="1"/>
      <w:numFmt w:val="decimal"/>
      <w:lvlText w:val="%1"/>
      <w:lvlJc w:val="left"/>
      <w:pPr>
        <w:ind w:left="567" w:hanging="567"/>
      </w:pPr>
      <w:rPr>
        <w:rFonts w:hint="default"/>
      </w:rPr>
    </w:lvl>
    <w:lvl w:ilvl="1">
      <w:start w:val="1"/>
      <w:numFmt w:val="bullet"/>
      <w:lvlText w:val=""/>
      <w:lvlJc w:val="left"/>
      <w:pPr>
        <w:ind w:left="1134" w:hanging="567"/>
      </w:pPr>
      <w:rPr>
        <w:rFonts w:ascii="Symbol" w:hAnsi="Symbol" w:cs="Symbol" w:hint="default"/>
      </w:rPr>
    </w:lvl>
    <w:lvl w:ilvl="2">
      <w:start w:val="1"/>
      <w:numFmt w:val="bullet"/>
      <w:lvlText w:val=""/>
      <w:lvlJc w:val="left"/>
      <w:pPr>
        <w:ind w:left="1701" w:hanging="567"/>
      </w:pPr>
      <w:rPr>
        <w:rFonts w:ascii="Symbol" w:hAnsi="Symbol" w:cs="Symbol" w:hint="default"/>
      </w:rPr>
    </w:lvl>
    <w:lvl w:ilvl="3">
      <w:start w:val="1"/>
      <w:numFmt w:val="bullet"/>
      <w:lvlText w:val=""/>
      <w:lvlJc w:val="left"/>
      <w:pPr>
        <w:ind w:left="2268" w:hanging="567"/>
      </w:pPr>
      <w:rPr>
        <w:rFonts w:ascii="Symbol" w:hAnsi="Symbol" w:cs="Symbol" w:hint="default"/>
      </w:rPr>
    </w:lvl>
    <w:lvl w:ilvl="4">
      <w:start w:val="1"/>
      <w:numFmt w:val="lowerLetter"/>
      <w:lvlText w:val="(%5)"/>
      <w:lvlJc w:val="left"/>
      <w:pPr>
        <w:ind w:left="2835" w:hanging="567"/>
      </w:pPr>
      <w:rPr>
        <w:rFonts w:ascii="Arial" w:eastAsiaTheme="minorHAnsi" w:hAnsi="Arial" w:cstheme="minorBidi"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3ABD3177"/>
    <w:multiLevelType w:val="hybridMultilevel"/>
    <w:tmpl w:val="9E26A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3D72C8"/>
    <w:multiLevelType w:val="multilevel"/>
    <w:tmpl w:val="712641DA"/>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429F18FC"/>
    <w:multiLevelType w:val="hybridMultilevel"/>
    <w:tmpl w:val="7F403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B97FB0"/>
    <w:multiLevelType w:val="hybridMultilevel"/>
    <w:tmpl w:val="99549E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02650F"/>
    <w:multiLevelType w:val="hybridMultilevel"/>
    <w:tmpl w:val="5E9E3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1694324"/>
    <w:multiLevelType w:val="hybridMultilevel"/>
    <w:tmpl w:val="F836E72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19E2EDA"/>
    <w:multiLevelType w:val="hybridMultilevel"/>
    <w:tmpl w:val="4FE2D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BB971EA"/>
    <w:multiLevelType w:val="hybridMultilevel"/>
    <w:tmpl w:val="BF1E5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1530D4"/>
    <w:multiLevelType w:val="hybridMultilevel"/>
    <w:tmpl w:val="F702B0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FE79FB"/>
    <w:multiLevelType w:val="hybridMultilevel"/>
    <w:tmpl w:val="E654B64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08B5E83"/>
    <w:multiLevelType w:val="multilevel"/>
    <w:tmpl w:val="2B70D2B4"/>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ascii="Arial" w:eastAsiaTheme="minorHAnsi" w:hAnsi="Arial" w:cstheme="minorBidi"/>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721261DE"/>
    <w:multiLevelType w:val="hybridMultilevel"/>
    <w:tmpl w:val="8512A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8436CA"/>
    <w:multiLevelType w:val="hybridMultilevel"/>
    <w:tmpl w:val="5E8475D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A609C9"/>
    <w:multiLevelType w:val="multilevel"/>
    <w:tmpl w:val="605AD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5E42A9"/>
    <w:multiLevelType w:val="hybridMultilevel"/>
    <w:tmpl w:val="21ECA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8B7805"/>
    <w:multiLevelType w:val="hybridMultilevel"/>
    <w:tmpl w:val="5378B02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31"/>
  </w:num>
  <w:num w:numId="2">
    <w:abstractNumId w:val="25"/>
  </w:num>
  <w:num w:numId="3">
    <w:abstractNumId w:val="18"/>
  </w:num>
  <w:num w:numId="4">
    <w:abstractNumId w:val="16"/>
  </w:num>
  <w:num w:numId="5">
    <w:abstractNumId w:val="24"/>
  </w:num>
  <w:num w:numId="6">
    <w:abstractNumId w:val="28"/>
  </w:num>
  <w:num w:numId="7">
    <w:abstractNumId w:val="27"/>
  </w:num>
  <w:num w:numId="8">
    <w:abstractNumId w:val="34"/>
  </w:num>
  <w:num w:numId="9">
    <w:abstractNumId w:val="35"/>
  </w:num>
  <w:num w:numId="10">
    <w:abstractNumId w:val="12"/>
  </w:num>
  <w:num w:numId="11">
    <w:abstractNumId w:val="11"/>
  </w:num>
  <w:num w:numId="12">
    <w:abstractNumId w:val="13"/>
  </w:num>
  <w:num w:numId="13">
    <w:abstractNumId w:val="32"/>
  </w:num>
  <w:num w:numId="14">
    <w:abstractNumId w:val="23"/>
  </w:num>
  <w:num w:numId="15">
    <w:abstractNumId w:val="29"/>
  </w:num>
  <w:num w:numId="16">
    <w:abstractNumId w:val="30"/>
  </w:num>
  <w:num w:numId="17">
    <w:abstractNumId w:val="26"/>
  </w:num>
  <w:num w:numId="18">
    <w:abstractNumId w:val="33"/>
  </w:num>
  <w:num w:numId="19">
    <w:abstractNumId w:val="17"/>
  </w:num>
  <w:num w:numId="20">
    <w:abstractNumId w:val="36"/>
  </w:num>
  <w:num w:numId="21">
    <w:abstractNumId w:val="14"/>
  </w:num>
  <w:num w:numId="22">
    <w:abstractNumId w:val="19"/>
  </w:num>
  <w:num w:numId="23">
    <w:abstractNumId w:val="20"/>
  </w:num>
  <w:num w:numId="24">
    <w:abstractNumId w:val="15"/>
  </w:num>
  <w:num w:numId="25">
    <w:abstractNumId w:val="21"/>
  </w:num>
  <w:num w:numId="26">
    <w:abstractNumId w:val="22"/>
  </w:num>
  <w:num w:numId="27">
    <w:abstractNumId w:val="10"/>
  </w:num>
  <w:num w:numId="28">
    <w:abstractNumId w:val="9"/>
  </w:num>
  <w:num w:numId="29">
    <w:abstractNumId w:val="8"/>
  </w:num>
  <w:num w:numId="30">
    <w:abstractNumId w:val="3"/>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7"/>
  </w:num>
  <w:num w:numId="36">
    <w:abstractNumId w:val="6"/>
  </w:num>
  <w:num w:numId="37">
    <w:abstractNumId w:val="5"/>
  </w:num>
  <w:num w:numId="38">
    <w:abstractNumId w:val="4"/>
  </w:num>
  <w:num w:numId="39">
    <w:abstractNumId w:val="2"/>
  </w:num>
  <w:num w:numId="40">
    <w:abstractNumId w:val="1"/>
  </w:num>
  <w:num w:numId="41">
    <w:abstractNumId w:val="0"/>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D1"/>
    <w:rsid w:val="00000079"/>
    <w:rsid w:val="00000449"/>
    <w:rsid w:val="0000048C"/>
    <w:rsid w:val="000005FC"/>
    <w:rsid w:val="00000A5F"/>
    <w:rsid w:val="00000B3B"/>
    <w:rsid w:val="00001350"/>
    <w:rsid w:val="00001433"/>
    <w:rsid w:val="00001789"/>
    <w:rsid w:val="0000189B"/>
    <w:rsid w:val="00001AF2"/>
    <w:rsid w:val="00001CE6"/>
    <w:rsid w:val="0000292B"/>
    <w:rsid w:val="00002E5D"/>
    <w:rsid w:val="00002EFF"/>
    <w:rsid w:val="000031E6"/>
    <w:rsid w:val="00003218"/>
    <w:rsid w:val="000036D6"/>
    <w:rsid w:val="0000398B"/>
    <w:rsid w:val="00003B4E"/>
    <w:rsid w:val="00003E84"/>
    <w:rsid w:val="00003E86"/>
    <w:rsid w:val="00004006"/>
    <w:rsid w:val="000040F8"/>
    <w:rsid w:val="00004477"/>
    <w:rsid w:val="00004593"/>
    <w:rsid w:val="00004623"/>
    <w:rsid w:val="00004898"/>
    <w:rsid w:val="00004CEE"/>
    <w:rsid w:val="00004F9C"/>
    <w:rsid w:val="00005199"/>
    <w:rsid w:val="00005430"/>
    <w:rsid w:val="00005612"/>
    <w:rsid w:val="00005650"/>
    <w:rsid w:val="000059C4"/>
    <w:rsid w:val="00005A75"/>
    <w:rsid w:val="00005A95"/>
    <w:rsid w:val="00005C04"/>
    <w:rsid w:val="00006A72"/>
    <w:rsid w:val="00006AAA"/>
    <w:rsid w:val="00006D43"/>
    <w:rsid w:val="0000724C"/>
    <w:rsid w:val="0000780D"/>
    <w:rsid w:val="000078C3"/>
    <w:rsid w:val="000100CF"/>
    <w:rsid w:val="0001011D"/>
    <w:rsid w:val="00010173"/>
    <w:rsid w:val="00010368"/>
    <w:rsid w:val="000108CF"/>
    <w:rsid w:val="00010B1A"/>
    <w:rsid w:val="00010E07"/>
    <w:rsid w:val="00011251"/>
    <w:rsid w:val="00011C32"/>
    <w:rsid w:val="0001217D"/>
    <w:rsid w:val="000121D2"/>
    <w:rsid w:val="000121FB"/>
    <w:rsid w:val="000124FD"/>
    <w:rsid w:val="00012B4D"/>
    <w:rsid w:val="00012D73"/>
    <w:rsid w:val="00012E27"/>
    <w:rsid w:val="00012EA9"/>
    <w:rsid w:val="000130CD"/>
    <w:rsid w:val="0001336E"/>
    <w:rsid w:val="000134B4"/>
    <w:rsid w:val="000135BC"/>
    <w:rsid w:val="00013603"/>
    <w:rsid w:val="000136EC"/>
    <w:rsid w:val="0001381C"/>
    <w:rsid w:val="0001385A"/>
    <w:rsid w:val="000139DF"/>
    <w:rsid w:val="00013AA0"/>
    <w:rsid w:val="00013C17"/>
    <w:rsid w:val="00013E64"/>
    <w:rsid w:val="000145AA"/>
    <w:rsid w:val="0001461A"/>
    <w:rsid w:val="00014647"/>
    <w:rsid w:val="000146A3"/>
    <w:rsid w:val="00014996"/>
    <w:rsid w:val="000150EA"/>
    <w:rsid w:val="00015127"/>
    <w:rsid w:val="00015250"/>
    <w:rsid w:val="00015335"/>
    <w:rsid w:val="00015B5B"/>
    <w:rsid w:val="000160B1"/>
    <w:rsid w:val="000161C5"/>
    <w:rsid w:val="00016401"/>
    <w:rsid w:val="000164E7"/>
    <w:rsid w:val="00016573"/>
    <w:rsid w:val="0001659D"/>
    <w:rsid w:val="000167BE"/>
    <w:rsid w:val="000167DA"/>
    <w:rsid w:val="000169F8"/>
    <w:rsid w:val="00016A1E"/>
    <w:rsid w:val="0001702D"/>
    <w:rsid w:val="0001711B"/>
    <w:rsid w:val="000171C6"/>
    <w:rsid w:val="000171F8"/>
    <w:rsid w:val="00017390"/>
    <w:rsid w:val="000174BF"/>
    <w:rsid w:val="0001760C"/>
    <w:rsid w:val="000176FE"/>
    <w:rsid w:val="000178D4"/>
    <w:rsid w:val="00017961"/>
    <w:rsid w:val="00017984"/>
    <w:rsid w:val="00017D6A"/>
    <w:rsid w:val="00017EF1"/>
    <w:rsid w:val="00020291"/>
    <w:rsid w:val="00020314"/>
    <w:rsid w:val="00020385"/>
    <w:rsid w:val="000204CF"/>
    <w:rsid w:val="000207C5"/>
    <w:rsid w:val="00020820"/>
    <w:rsid w:val="00020A15"/>
    <w:rsid w:val="00021264"/>
    <w:rsid w:val="000214D6"/>
    <w:rsid w:val="0002170C"/>
    <w:rsid w:val="00021725"/>
    <w:rsid w:val="000218A9"/>
    <w:rsid w:val="000219AB"/>
    <w:rsid w:val="00021D3A"/>
    <w:rsid w:val="00021F9D"/>
    <w:rsid w:val="000221D1"/>
    <w:rsid w:val="00022469"/>
    <w:rsid w:val="000225F4"/>
    <w:rsid w:val="00022D87"/>
    <w:rsid w:val="00022EC1"/>
    <w:rsid w:val="00022F50"/>
    <w:rsid w:val="000234D0"/>
    <w:rsid w:val="000234EC"/>
    <w:rsid w:val="0002366D"/>
    <w:rsid w:val="0002366F"/>
    <w:rsid w:val="000237FE"/>
    <w:rsid w:val="00023921"/>
    <w:rsid w:val="00023A18"/>
    <w:rsid w:val="00023BF9"/>
    <w:rsid w:val="00023E02"/>
    <w:rsid w:val="00023E83"/>
    <w:rsid w:val="00024BC1"/>
    <w:rsid w:val="00024DA6"/>
    <w:rsid w:val="00024F1B"/>
    <w:rsid w:val="00025254"/>
    <w:rsid w:val="00025495"/>
    <w:rsid w:val="000255BD"/>
    <w:rsid w:val="0002562D"/>
    <w:rsid w:val="00025685"/>
    <w:rsid w:val="0002569E"/>
    <w:rsid w:val="00025702"/>
    <w:rsid w:val="00025D47"/>
    <w:rsid w:val="0002646A"/>
    <w:rsid w:val="00026519"/>
    <w:rsid w:val="00026876"/>
    <w:rsid w:val="0002695C"/>
    <w:rsid w:val="00026EDC"/>
    <w:rsid w:val="00027388"/>
    <w:rsid w:val="0002738C"/>
    <w:rsid w:val="0002744A"/>
    <w:rsid w:val="000275CA"/>
    <w:rsid w:val="000276AC"/>
    <w:rsid w:val="00027A84"/>
    <w:rsid w:val="00027C88"/>
    <w:rsid w:val="00027CA1"/>
    <w:rsid w:val="00027FE6"/>
    <w:rsid w:val="0003003E"/>
    <w:rsid w:val="000302FD"/>
    <w:rsid w:val="00030633"/>
    <w:rsid w:val="0003077C"/>
    <w:rsid w:val="00030850"/>
    <w:rsid w:val="00030BC7"/>
    <w:rsid w:val="00031009"/>
    <w:rsid w:val="0003100E"/>
    <w:rsid w:val="000310D3"/>
    <w:rsid w:val="00031490"/>
    <w:rsid w:val="0003188E"/>
    <w:rsid w:val="00031ADE"/>
    <w:rsid w:val="00031B25"/>
    <w:rsid w:val="00031E49"/>
    <w:rsid w:val="00032039"/>
    <w:rsid w:val="000324A8"/>
    <w:rsid w:val="000325B5"/>
    <w:rsid w:val="000325E0"/>
    <w:rsid w:val="000327DD"/>
    <w:rsid w:val="000327F4"/>
    <w:rsid w:val="00033134"/>
    <w:rsid w:val="00033159"/>
    <w:rsid w:val="000331B2"/>
    <w:rsid w:val="00033245"/>
    <w:rsid w:val="00033563"/>
    <w:rsid w:val="00033723"/>
    <w:rsid w:val="00033BD9"/>
    <w:rsid w:val="00033CBC"/>
    <w:rsid w:val="00033DA5"/>
    <w:rsid w:val="00033EDA"/>
    <w:rsid w:val="00034134"/>
    <w:rsid w:val="00034203"/>
    <w:rsid w:val="0003421F"/>
    <w:rsid w:val="00034444"/>
    <w:rsid w:val="00034621"/>
    <w:rsid w:val="000349F6"/>
    <w:rsid w:val="00034AAD"/>
    <w:rsid w:val="00034AC5"/>
    <w:rsid w:val="00034B28"/>
    <w:rsid w:val="00034CB0"/>
    <w:rsid w:val="00034DE5"/>
    <w:rsid w:val="00034F39"/>
    <w:rsid w:val="000355A0"/>
    <w:rsid w:val="00035972"/>
    <w:rsid w:val="00035C0D"/>
    <w:rsid w:val="00035D18"/>
    <w:rsid w:val="00035D2D"/>
    <w:rsid w:val="00036249"/>
    <w:rsid w:val="0003633B"/>
    <w:rsid w:val="00036353"/>
    <w:rsid w:val="000366CA"/>
    <w:rsid w:val="0003696A"/>
    <w:rsid w:val="00036AEE"/>
    <w:rsid w:val="00036D7F"/>
    <w:rsid w:val="00036E58"/>
    <w:rsid w:val="0003709C"/>
    <w:rsid w:val="0003722C"/>
    <w:rsid w:val="000372E9"/>
    <w:rsid w:val="000372EC"/>
    <w:rsid w:val="000374C4"/>
    <w:rsid w:val="00037BFA"/>
    <w:rsid w:val="00037C77"/>
    <w:rsid w:val="00040158"/>
    <w:rsid w:val="0004027E"/>
    <w:rsid w:val="000402B4"/>
    <w:rsid w:val="000402DA"/>
    <w:rsid w:val="0004041D"/>
    <w:rsid w:val="00040697"/>
    <w:rsid w:val="00040B30"/>
    <w:rsid w:val="00040E2D"/>
    <w:rsid w:val="00040EC2"/>
    <w:rsid w:val="00040F50"/>
    <w:rsid w:val="00040FBA"/>
    <w:rsid w:val="0004126D"/>
    <w:rsid w:val="00041402"/>
    <w:rsid w:val="000414AD"/>
    <w:rsid w:val="00041524"/>
    <w:rsid w:val="00041670"/>
    <w:rsid w:val="000416C1"/>
    <w:rsid w:val="00041D0E"/>
    <w:rsid w:val="0004237E"/>
    <w:rsid w:val="0004256D"/>
    <w:rsid w:val="00042B76"/>
    <w:rsid w:val="00042C8A"/>
    <w:rsid w:val="00042E01"/>
    <w:rsid w:val="0004327F"/>
    <w:rsid w:val="0004356E"/>
    <w:rsid w:val="000435A0"/>
    <w:rsid w:val="000435E7"/>
    <w:rsid w:val="0004394D"/>
    <w:rsid w:val="00043999"/>
    <w:rsid w:val="00043FFA"/>
    <w:rsid w:val="000443CF"/>
    <w:rsid w:val="0004477E"/>
    <w:rsid w:val="00044C2D"/>
    <w:rsid w:val="00044C7F"/>
    <w:rsid w:val="00044DF6"/>
    <w:rsid w:val="000452C1"/>
    <w:rsid w:val="00045540"/>
    <w:rsid w:val="000457F1"/>
    <w:rsid w:val="00045A7B"/>
    <w:rsid w:val="000461F0"/>
    <w:rsid w:val="00046376"/>
    <w:rsid w:val="00046A6F"/>
    <w:rsid w:val="00046B18"/>
    <w:rsid w:val="00046BF0"/>
    <w:rsid w:val="00046CB3"/>
    <w:rsid w:val="00046D65"/>
    <w:rsid w:val="00047107"/>
    <w:rsid w:val="000472E5"/>
    <w:rsid w:val="0004760E"/>
    <w:rsid w:val="0004770D"/>
    <w:rsid w:val="00047785"/>
    <w:rsid w:val="000477AC"/>
    <w:rsid w:val="00047AD1"/>
    <w:rsid w:val="00047AE3"/>
    <w:rsid w:val="00047C1E"/>
    <w:rsid w:val="00047D3E"/>
    <w:rsid w:val="00047E4C"/>
    <w:rsid w:val="00047E59"/>
    <w:rsid w:val="0005016F"/>
    <w:rsid w:val="00050209"/>
    <w:rsid w:val="00050229"/>
    <w:rsid w:val="000502A6"/>
    <w:rsid w:val="000503B2"/>
    <w:rsid w:val="00050CA4"/>
    <w:rsid w:val="00050E47"/>
    <w:rsid w:val="00051042"/>
    <w:rsid w:val="00051229"/>
    <w:rsid w:val="00051244"/>
    <w:rsid w:val="00051290"/>
    <w:rsid w:val="000514B2"/>
    <w:rsid w:val="00051720"/>
    <w:rsid w:val="00051C1A"/>
    <w:rsid w:val="00051C54"/>
    <w:rsid w:val="00052002"/>
    <w:rsid w:val="0005203B"/>
    <w:rsid w:val="00052067"/>
    <w:rsid w:val="000520B6"/>
    <w:rsid w:val="0005229A"/>
    <w:rsid w:val="000527B0"/>
    <w:rsid w:val="0005287F"/>
    <w:rsid w:val="0005296C"/>
    <w:rsid w:val="00052AE5"/>
    <w:rsid w:val="00052C1C"/>
    <w:rsid w:val="00052D12"/>
    <w:rsid w:val="00052D73"/>
    <w:rsid w:val="0005308C"/>
    <w:rsid w:val="000531A7"/>
    <w:rsid w:val="000531C7"/>
    <w:rsid w:val="00053259"/>
    <w:rsid w:val="00053595"/>
    <w:rsid w:val="000536FF"/>
    <w:rsid w:val="00053D4F"/>
    <w:rsid w:val="00054091"/>
    <w:rsid w:val="000542E3"/>
    <w:rsid w:val="000543A0"/>
    <w:rsid w:val="00054513"/>
    <w:rsid w:val="00054627"/>
    <w:rsid w:val="0005466D"/>
    <w:rsid w:val="00054697"/>
    <w:rsid w:val="00054A7A"/>
    <w:rsid w:val="00054B77"/>
    <w:rsid w:val="0005501C"/>
    <w:rsid w:val="000551BA"/>
    <w:rsid w:val="000551F6"/>
    <w:rsid w:val="0005537A"/>
    <w:rsid w:val="00055418"/>
    <w:rsid w:val="000554E2"/>
    <w:rsid w:val="000558DA"/>
    <w:rsid w:val="00055A9E"/>
    <w:rsid w:val="00055BC4"/>
    <w:rsid w:val="00055C65"/>
    <w:rsid w:val="00055D1B"/>
    <w:rsid w:val="00055D6D"/>
    <w:rsid w:val="00055EE3"/>
    <w:rsid w:val="0005619E"/>
    <w:rsid w:val="000561C4"/>
    <w:rsid w:val="0005629B"/>
    <w:rsid w:val="00056405"/>
    <w:rsid w:val="00056497"/>
    <w:rsid w:val="000565BB"/>
    <w:rsid w:val="00056747"/>
    <w:rsid w:val="000569DE"/>
    <w:rsid w:val="00056A55"/>
    <w:rsid w:val="00056DD5"/>
    <w:rsid w:val="00056EBA"/>
    <w:rsid w:val="00057479"/>
    <w:rsid w:val="0005753B"/>
    <w:rsid w:val="0005754C"/>
    <w:rsid w:val="00057D1B"/>
    <w:rsid w:val="0006017E"/>
    <w:rsid w:val="0006047F"/>
    <w:rsid w:val="00060515"/>
    <w:rsid w:val="000609FB"/>
    <w:rsid w:val="00060A29"/>
    <w:rsid w:val="00060A76"/>
    <w:rsid w:val="00060ABE"/>
    <w:rsid w:val="00060FE4"/>
    <w:rsid w:val="000612DC"/>
    <w:rsid w:val="00061758"/>
    <w:rsid w:val="00061B4F"/>
    <w:rsid w:val="00062098"/>
    <w:rsid w:val="000625B5"/>
    <w:rsid w:val="00062821"/>
    <w:rsid w:val="0006291F"/>
    <w:rsid w:val="00062B81"/>
    <w:rsid w:val="00062D2D"/>
    <w:rsid w:val="00062DC1"/>
    <w:rsid w:val="00062F01"/>
    <w:rsid w:val="000630C7"/>
    <w:rsid w:val="000630DC"/>
    <w:rsid w:val="00063521"/>
    <w:rsid w:val="00063633"/>
    <w:rsid w:val="0006373E"/>
    <w:rsid w:val="0006391A"/>
    <w:rsid w:val="00063BF1"/>
    <w:rsid w:val="00063D53"/>
    <w:rsid w:val="00063F29"/>
    <w:rsid w:val="000640FE"/>
    <w:rsid w:val="000641B0"/>
    <w:rsid w:val="00064214"/>
    <w:rsid w:val="0006421D"/>
    <w:rsid w:val="0006437F"/>
    <w:rsid w:val="000643AA"/>
    <w:rsid w:val="0006472E"/>
    <w:rsid w:val="00064A10"/>
    <w:rsid w:val="00064AD6"/>
    <w:rsid w:val="00064E66"/>
    <w:rsid w:val="00065074"/>
    <w:rsid w:val="000653C8"/>
    <w:rsid w:val="00065409"/>
    <w:rsid w:val="000654D1"/>
    <w:rsid w:val="000659AB"/>
    <w:rsid w:val="00065AB5"/>
    <w:rsid w:val="00065C38"/>
    <w:rsid w:val="00065E67"/>
    <w:rsid w:val="000660EA"/>
    <w:rsid w:val="0006613B"/>
    <w:rsid w:val="00066282"/>
    <w:rsid w:val="00066584"/>
    <w:rsid w:val="00066685"/>
    <w:rsid w:val="00066739"/>
    <w:rsid w:val="000669D6"/>
    <w:rsid w:val="00067218"/>
    <w:rsid w:val="0006727C"/>
    <w:rsid w:val="00067327"/>
    <w:rsid w:val="0006747C"/>
    <w:rsid w:val="00067737"/>
    <w:rsid w:val="00067A2D"/>
    <w:rsid w:val="00067A48"/>
    <w:rsid w:val="00067E25"/>
    <w:rsid w:val="000703CD"/>
    <w:rsid w:val="000704F7"/>
    <w:rsid w:val="00070743"/>
    <w:rsid w:val="00070780"/>
    <w:rsid w:val="000707A7"/>
    <w:rsid w:val="000709D1"/>
    <w:rsid w:val="00070C95"/>
    <w:rsid w:val="00070CAD"/>
    <w:rsid w:val="00070FCD"/>
    <w:rsid w:val="00071218"/>
    <w:rsid w:val="00071285"/>
    <w:rsid w:val="000712F9"/>
    <w:rsid w:val="000713C2"/>
    <w:rsid w:val="00071642"/>
    <w:rsid w:val="0007173F"/>
    <w:rsid w:val="00071919"/>
    <w:rsid w:val="000719B2"/>
    <w:rsid w:val="00071AFE"/>
    <w:rsid w:val="00071B19"/>
    <w:rsid w:val="00071B77"/>
    <w:rsid w:val="00071DD5"/>
    <w:rsid w:val="00071DDB"/>
    <w:rsid w:val="0007212D"/>
    <w:rsid w:val="000727D3"/>
    <w:rsid w:val="00072D73"/>
    <w:rsid w:val="00072F36"/>
    <w:rsid w:val="00073082"/>
    <w:rsid w:val="0007342E"/>
    <w:rsid w:val="000734FC"/>
    <w:rsid w:val="000736D1"/>
    <w:rsid w:val="000736D8"/>
    <w:rsid w:val="00073930"/>
    <w:rsid w:val="00073A88"/>
    <w:rsid w:val="00073D64"/>
    <w:rsid w:val="00073FA6"/>
    <w:rsid w:val="000744CB"/>
    <w:rsid w:val="00074668"/>
    <w:rsid w:val="00074916"/>
    <w:rsid w:val="00074A93"/>
    <w:rsid w:val="00074AC7"/>
    <w:rsid w:val="000754E4"/>
    <w:rsid w:val="000755B3"/>
    <w:rsid w:val="00075FC1"/>
    <w:rsid w:val="000763A6"/>
    <w:rsid w:val="00076C95"/>
    <w:rsid w:val="00076CAA"/>
    <w:rsid w:val="000771D2"/>
    <w:rsid w:val="000774E7"/>
    <w:rsid w:val="00077539"/>
    <w:rsid w:val="0007778E"/>
    <w:rsid w:val="0007782E"/>
    <w:rsid w:val="00077DC3"/>
    <w:rsid w:val="00080102"/>
    <w:rsid w:val="000806D3"/>
    <w:rsid w:val="000806EC"/>
    <w:rsid w:val="00080B5E"/>
    <w:rsid w:val="00080DE5"/>
    <w:rsid w:val="00080F88"/>
    <w:rsid w:val="00080FB2"/>
    <w:rsid w:val="0008115E"/>
    <w:rsid w:val="0008124D"/>
    <w:rsid w:val="000819C0"/>
    <w:rsid w:val="00081A5B"/>
    <w:rsid w:val="000825EF"/>
    <w:rsid w:val="00082619"/>
    <w:rsid w:val="00082715"/>
    <w:rsid w:val="00082745"/>
    <w:rsid w:val="00082C5B"/>
    <w:rsid w:val="00082EE0"/>
    <w:rsid w:val="00083351"/>
    <w:rsid w:val="00083678"/>
    <w:rsid w:val="00083971"/>
    <w:rsid w:val="00083E3B"/>
    <w:rsid w:val="00083F01"/>
    <w:rsid w:val="00084302"/>
    <w:rsid w:val="00084D10"/>
    <w:rsid w:val="00084FD5"/>
    <w:rsid w:val="00085046"/>
    <w:rsid w:val="000851A1"/>
    <w:rsid w:val="00085225"/>
    <w:rsid w:val="000853E4"/>
    <w:rsid w:val="000854C8"/>
    <w:rsid w:val="000854D5"/>
    <w:rsid w:val="0008577C"/>
    <w:rsid w:val="0008596E"/>
    <w:rsid w:val="00085AC5"/>
    <w:rsid w:val="00085B20"/>
    <w:rsid w:val="00085BAB"/>
    <w:rsid w:val="000860F2"/>
    <w:rsid w:val="00086400"/>
    <w:rsid w:val="0008684A"/>
    <w:rsid w:val="00086921"/>
    <w:rsid w:val="000876A7"/>
    <w:rsid w:val="00087A83"/>
    <w:rsid w:val="0009010D"/>
    <w:rsid w:val="0009026F"/>
    <w:rsid w:val="00091073"/>
    <w:rsid w:val="00091112"/>
    <w:rsid w:val="000912BF"/>
    <w:rsid w:val="0009130B"/>
    <w:rsid w:val="000914F8"/>
    <w:rsid w:val="00091C40"/>
    <w:rsid w:val="00091E63"/>
    <w:rsid w:val="00091ECE"/>
    <w:rsid w:val="0009229A"/>
    <w:rsid w:val="000923A8"/>
    <w:rsid w:val="000924D3"/>
    <w:rsid w:val="00092559"/>
    <w:rsid w:val="000925B8"/>
    <w:rsid w:val="00092D7F"/>
    <w:rsid w:val="00092DBC"/>
    <w:rsid w:val="00092E01"/>
    <w:rsid w:val="00092F74"/>
    <w:rsid w:val="00093170"/>
    <w:rsid w:val="00093351"/>
    <w:rsid w:val="00093708"/>
    <w:rsid w:val="00093858"/>
    <w:rsid w:val="00093AD0"/>
    <w:rsid w:val="00093B49"/>
    <w:rsid w:val="00093C8F"/>
    <w:rsid w:val="00093E54"/>
    <w:rsid w:val="000940BF"/>
    <w:rsid w:val="000942C4"/>
    <w:rsid w:val="0009454E"/>
    <w:rsid w:val="000945F2"/>
    <w:rsid w:val="0009463A"/>
    <w:rsid w:val="00094828"/>
    <w:rsid w:val="00094925"/>
    <w:rsid w:val="00094A05"/>
    <w:rsid w:val="00094B36"/>
    <w:rsid w:val="00094D2D"/>
    <w:rsid w:val="00094DB6"/>
    <w:rsid w:val="00095146"/>
    <w:rsid w:val="000953C1"/>
    <w:rsid w:val="0009587D"/>
    <w:rsid w:val="00095A4F"/>
    <w:rsid w:val="00095B1C"/>
    <w:rsid w:val="00095BDD"/>
    <w:rsid w:val="00095C30"/>
    <w:rsid w:val="00095CD4"/>
    <w:rsid w:val="00095EFC"/>
    <w:rsid w:val="00096157"/>
    <w:rsid w:val="00096215"/>
    <w:rsid w:val="000965C7"/>
    <w:rsid w:val="000965C8"/>
    <w:rsid w:val="000966EF"/>
    <w:rsid w:val="00096D02"/>
    <w:rsid w:val="00096DC8"/>
    <w:rsid w:val="00096FFF"/>
    <w:rsid w:val="00097305"/>
    <w:rsid w:val="0009743A"/>
    <w:rsid w:val="000974AF"/>
    <w:rsid w:val="00097728"/>
    <w:rsid w:val="00097759"/>
    <w:rsid w:val="00097CDC"/>
    <w:rsid w:val="00097D07"/>
    <w:rsid w:val="000A01EC"/>
    <w:rsid w:val="000A02A8"/>
    <w:rsid w:val="000A0373"/>
    <w:rsid w:val="000A07C2"/>
    <w:rsid w:val="000A0A01"/>
    <w:rsid w:val="000A0B27"/>
    <w:rsid w:val="000A0D69"/>
    <w:rsid w:val="000A0E76"/>
    <w:rsid w:val="000A157B"/>
    <w:rsid w:val="000A1A85"/>
    <w:rsid w:val="000A221D"/>
    <w:rsid w:val="000A2596"/>
    <w:rsid w:val="000A28AF"/>
    <w:rsid w:val="000A2B6C"/>
    <w:rsid w:val="000A2FAB"/>
    <w:rsid w:val="000A3009"/>
    <w:rsid w:val="000A30CE"/>
    <w:rsid w:val="000A31D5"/>
    <w:rsid w:val="000A31E5"/>
    <w:rsid w:val="000A3520"/>
    <w:rsid w:val="000A358B"/>
    <w:rsid w:val="000A35F3"/>
    <w:rsid w:val="000A3A4F"/>
    <w:rsid w:val="000A3C04"/>
    <w:rsid w:val="000A3CA0"/>
    <w:rsid w:val="000A43B3"/>
    <w:rsid w:val="000A4473"/>
    <w:rsid w:val="000A4ADF"/>
    <w:rsid w:val="000A53CB"/>
    <w:rsid w:val="000A54BA"/>
    <w:rsid w:val="000A5E1F"/>
    <w:rsid w:val="000A5EBF"/>
    <w:rsid w:val="000A60FB"/>
    <w:rsid w:val="000A6216"/>
    <w:rsid w:val="000A6732"/>
    <w:rsid w:val="000A67B7"/>
    <w:rsid w:val="000A698C"/>
    <w:rsid w:val="000A6B48"/>
    <w:rsid w:val="000A7070"/>
    <w:rsid w:val="000A710C"/>
    <w:rsid w:val="000A731A"/>
    <w:rsid w:val="000A7F07"/>
    <w:rsid w:val="000B0347"/>
    <w:rsid w:val="000B07AD"/>
    <w:rsid w:val="000B0D12"/>
    <w:rsid w:val="000B0D3E"/>
    <w:rsid w:val="000B0E63"/>
    <w:rsid w:val="000B1315"/>
    <w:rsid w:val="000B136E"/>
    <w:rsid w:val="000B14DA"/>
    <w:rsid w:val="000B1AC7"/>
    <w:rsid w:val="000B1D86"/>
    <w:rsid w:val="000B211A"/>
    <w:rsid w:val="000B24EB"/>
    <w:rsid w:val="000B250A"/>
    <w:rsid w:val="000B2768"/>
    <w:rsid w:val="000B2B3E"/>
    <w:rsid w:val="000B2BFE"/>
    <w:rsid w:val="000B2EA6"/>
    <w:rsid w:val="000B2ECC"/>
    <w:rsid w:val="000B2F59"/>
    <w:rsid w:val="000B31B0"/>
    <w:rsid w:val="000B3219"/>
    <w:rsid w:val="000B3298"/>
    <w:rsid w:val="000B334A"/>
    <w:rsid w:val="000B3B69"/>
    <w:rsid w:val="000B4085"/>
    <w:rsid w:val="000B40FA"/>
    <w:rsid w:val="000B419B"/>
    <w:rsid w:val="000B462E"/>
    <w:rsid w:val="000B4AFE"/>
    <w:rsid w:val="000B4D66"/>
    <w:rsid w:val="000B4D75"/>
    <w:rsid w:val="000B52B2"/>
    <w:rsid w:val="000B53E8"/>
    <w:rsid w:val="000B5982"/>
    <w:rsid w:val="000B5A0D"/>
    <w:rsid w:val="000B5A77"/>
    <w:rsid w:val="000B5D2C"/>
    <w:rsid w:val="000B5D65"/>
    <w:rsid w:val="000B6252"/>
    <w:rsid w:val="000B635A"/>
    <w:rsid w:val="000B64E7"/>
    <w:rsid w:val="000B678C"/>
    <w:rsid w:val="000B679F"/>
    <w:rsid w:val="000B6803"/>
    <w:rsid w:val="000B69CB"/>
    <w:rsid w:val="000B6B29"/>
    <w:rsid w:val="000B6B66"/>
    <w:rsid w:val="000B6FA9"/>
    <w:rsid w:val="000B715C"/>
    <w:rsid w:val="000B716D"/>
    <w:rsid w:val="000B7547"/>
    <w:rsid w:val="000B75EC"/>
    <w:rsid w:val="000B76BC"/>
    <w:rsid w:val="000B77B8"/>
    <w:rsid w:val="000B795F"/>
    <w:rsid w:val="000B7A33"/>
    <w:rsid w:val="000B7F0A"/>
    <w:rsid w:val="000B7F41"/>
    <w:rsid w:val="000C038A"/>
    <w:rsid w:val="000C0400"/>
    <w:rsid w:val="000C045E"/>
    <w:rsid w:val="000C0B5D"/>
    <w:rsid w:val="000C0C03"/>
    <w:rsid w:val="000C0E05"/>
    <w:rsid w:val="000C0F25"/>
    <w:rsid w:val="000C0F9F"/>
    <w:rsid w:val="000C117A"/>
    <w:rsid w:val="000C1426"/>
    <w:rsid w:val="000C1492"/>
    <w:rsid w:val="000C189B"/>
    <w:rsid w:val="000C1CB3"/>
    <w:rsid w:val="000C1D5E"/>
    <w:rsid w:val="000C205E"/>
    <w:rsid w:val="000C238B"/>
    <w:rsid w:val="000C25E5"/>
    <w:rsid w:val="000C26AA"/>
    <w:rsid w:val="000C282D"/>
    <w:rsid w:val="000C2C13"/>
    <w:rsid w:val="000C2D76"/>
    <w:rsid w:val="000C2F5D"/>
    <w:rsid w:val="000C2F76"/>
    <w:rsid w:val="000C312F"/>
    <w:rsid w:val="000C31CB"/>
    <w:rsid w:val="000C336A"/>
    <w:rsid w:val="000C351F"/>
    <w:rsid w:val="000C35F1"/>
    <w:rsid w:val="000C3D2D"/>
    <w:rsid w:val="000C3DA8"/>
    <w:rsid w:val="000C3E8E"/>
    <w:rsid w:val="000C3EBB"/>
    <w:rsid w:val="000C3F74"/>
    <w:rsid w:val="000C4296"/>
    <w:rsid w:val="000C4492"/>
    <w:rsid w:val="000C44AE"/>
    <w:rsid w:val="000C4583"/>
    <w:rsid w:val="000C4CCA"/>
    <w:rsid w:val="000C4E7F"/>
    <w:rsid w:val="000C51B5"/>
    <w:rsid w:val="000C520B"/>
    <w:rsid w:val="000C543A"/>
    <w:rsid w:val="000C564D"/>
    <w:rsid w:val="000C5859"/>
    <w:rsid w:val="000C5A44"/>
    <w:rsid w:val="000C5E96"/>
    <w:rsid w:val="000C61DA"/>
    <w:rsid w:val="000C6449"/>
    <w:rsid w:val="000C67E8"/>
    <w:rsid w:val="000C6A4C"/>
    <w:rsid w:val="000C6AAA"/>
    <w:rsid w:val="000C7488"/>
    <w:rsid w:val="000C7843"/>
    <w:rsid w:val="000C7A64"/>
    <w:rsid w:val="000C7A7E"/>
    <w:rsid w:val="000C7AFD"/>
    <w:rsid w:val="000C7B10"/>
    <w:rsid w:val="000D018C"/>
    <w:rsid w:val="000D0236"/>
    <w:rsid w:val="000D0918"/>
    <w:rsid w:val="000D0DB2"/>
    <w:rsid w:val="000D0F01"/>
    <w:rsid w:val="000D1021"/>
    <w:rsid w:val="000D1173"/>
    <w:rsid w:val="000D1203"/>
    <w:rsid w:val="000D1D78"/>
    <w:rsid w:val="000D1F3C"/>
    <w:rsid w:val="000D2480"/>
    <w:rsid w:val="000D273C"/>
    <w:rsid w:val="000D2A5A"/>
    <w:rsid w:val="000D2AB0"/>
    <w:rsid w:val="000D2C08"/>
    <w:rsid w:val="000D2E32"/>
    <w:rsid w:val="000D2F60"/>
    <w:rsid w:val="000D3006"/>
    <w:rsid w:val="000D3601"/>
    <w:rsid w:val="000D37DF"/>
    <w:rsid w:val="000D38FF"/>
    <w:rsid w:val="000D399C"/>
    <w:rsid w:val="000D3ABA"/>
    <w:rsid w:val="000D3AEC"/>
    <w:rsid w:val="000D3AEF"/>
    <w:rsid w:val="000D3BF2"/>
    <w:rsid w:val="000D3CF6"/>
    <w:rsid w:val="000D3DDF"/>
    <w:rsid w:val="000D3EE9"/>
    <w:rsid w:val="000D435B"/>
    <w:rsid w:val="000D4486"/>
    <w:rsid w:val="000D4782"/>
    <w:rsid w:val="000D49B6"/>
    <w:rsid w:val="000D4A8F"/>
    <w:rsid w:val="000D4D5D"/>
    <w:rsid w:val="000D4E26"/>
    <w:rsid w:val="000D51D4"/>
    <w:rsid w:val="000D54B7"/>
    <w:rsid w:val="000D5B65"/>
    <w:rsid w:val="000D6076"/>
    <w:rsid w:val="000D636B"/>
    <w:rsid w:val="000D63B9"/>
    <w:rsid w:val="000D658C"/>
    <w:rsid w:val="000D6616"/>
    <w:rsid w:val="000D69C4"/>
    <w:rsid w:val="000D6AB2"/>
    <w:rsid w:val="000D6F2E"/>
    <w:rsid w:val="000D70D8"/>
    <w:rsid w:val="000D7160"/>
    <w:rsid w:val="000D77AD"/>
    <w:rsid w:val="000D78A4"/>
    <w:rsid w:val="000D7D50"/>
    <w:rsid w:val="000E0684"/>
    <w:rsid w:val="000E0F23"/>
    <w:rsid w:val="000E1199"/>
    <w:rsid w:val="000E1246"/>
    <w:rsid w:val="000E148D"/>
    <w:rsid w:val="000E1712"/>
    <w:rsid w:val="000E1785"/>
    <w:rsid w:val="000E180D"/>
    <w:rsid w:val="000E18C7"/>
    <w:rsid w:val="000E1990"/>
    <w:rsid w:val="000E19C2"/>
    <w:rsid w:val="000E1FF3"/>
    <w:rsid w:val="000E2474"/>
    <w:rsid w:val="000E25FF"/>
    <w:rsid w:val="000E26FD"/>
    <w:rsid w:val="000E291B"/>
    <w:rsid w:val="000E2943"/>
    <w:rsid w:val="000E2A94"/>
    <w:rsid w:val="000E2B4B"/>
    <w:rsid w:val="000E2F77"/>
    <w:rsid w:val="000E3049"/>
    <w:rsid w:val="000E30E1"/>
    <w:rsid w:val="000E3478"/>
    <w:rsid w:val="000E40E2"/>
    <w:rsid w:val="000E42A6"/>
    <w:rsid w:val="000E44C2"/>
    <w:rsid w:val="000E4745"/>
    <w:rsid w:val="000E4C1C"/>
    <w:rsid w:val="000E4F84"/>
    <w:rsid w:val="000E4FAE"/>
    <w:rsid w:val="000E5146"/>
    <w:rsid w:val="000E51B1"/>
    <w:rsid w:val="000E5268"/>
    <w:rsid w:val="000E5365"/>
    <w:rsid w:val="000E5382"/>
    <w:rsid w:val="000E5B03"/>
    <w:rsid w:val="000E5FED"/>
    <w:rsid w:val="000E60D0"/>
    <w:rsid w:val="000E6160"/>
    <w:rsid w:val="000E6220"/>
    <w:rsid w:val="000E6852"/>
    <w:rsid w:val="000E70C8"/>
    <w:rsid w:val="000E71AD"/>
    <w:rsid w:val="000E7516"/>
    <w:rsid w:val="000E78EB"/>
    <w:rsid w:val="000E7911"/>
    <w:rsid w:val="000E7951"/>
    <w:rsid w:val="000E7ABB"/>
    <w:rsid w:val="000E7F42"/>
    <w:rsid w:val="000F004A"/>
    <w:rsid w:val="000F0103"/>
    <w:rsid w:val="000F0410"/>
    <w:rsid w:val="000F0448"/>
    <w:rsid w:val="000F0561"/>
    <w:rsid w:val="000F0719"/>
    <w:rsid w:val="000F0834"/>
    <w:rsid w:val="000F0A43"/>
    <w:rsid w:val="000F0C63"/>
    <w:rsid w:val="000F0EF2"/>
    <w:rsid w:val="000F123B"/>
    <w:rsid w:val="000F15C5"/>
    <w:rsid w:val="000F1E5C"/>
    <w:rsid w:val="000F1F8B"/>
    <w:rsid w:val="000F2045"/>
    <w:rsid w:val="000F2093"/>
    <w:rsid w:val="000F2278"/>
    <w:rsid w:val="000F22E5"/>
    <w:rsid w:val="000F2357"/>
    <w:rsid w:val="000F237D"/>
    <w:rsid w:val="000F23FA"/>
    <w:rsid w:val="000F26D7"/>
    <w:rsid w:val="000F2882"/>
    <w:rsid w:val="000F2B5C"/>
    <w:rsid w:val="000F2E0A"/>
    <w:rsid w:val="000F33E3"/>
    <w:rsid w:val="000F33F7"/>
    <w:rsid w:val="000F346C"/>
    <w:rsid w:val="000F34F8"/>
    <w:rsid w:val="000F3784"/>
    <w:rsid w:val="000F386F"/>
    <w:rsid w:val="000F440F"/>
    <w:rsid w:val="000F4827"/>
    <w:rsid w:val="000F48F2"/>
    <w:rsid w:val="000F4907"/>
    <w:rsid w:val="000F4B90"/>
    <w:rsid w:val="000F4BFC"/>
    <w:rsid w:val="000F4DCB"/>
    <w:rsid w:val="000F5097"/>
    <w:rsid w:val="000F50BF"/>
    <w:rsid w:val="000F577F"/>
    <w:rsid w:val="000F5B11"/>
    <w:rsid w:val="000F5D3E"/>
    <w:rsid w:val="000F6D85"/>
    <w:rsid w:val="000F711E"/>
    <w:rsid w:val="000F71A7"/>
    <w:rsid w:val="000F7297"/>
    <w:rsid w:val="000F7417"/>
    <w:rsid w:val="000F7A4C"/>
    <w:rsid w:val="000F7A8B"/>
    <w:rsid w:val="000F7AA1"/>
    <w:rsid w:val="000F7CFD"/>
    <w:rsid w:val="000F7D76"/>
    <w:rsid w:val="00100081"/>
    <w:rsid w:val="00100127"/>
    <w:rsid w:val="00100336"/>
    <w:rsid w:val="0010036F"/>
    <w:rsid w:val="00100930"/>
    <w:rsid w:val="00100A5B"/>
    <w:rsid w:val="00100ED4"/>
    <w:rsid w:val="001010B7"/>
    <w:rsid w:val="001012FC"/>
    <w:rsid w:val="001017E4"/>
    <w:rsid w:val="001017E6"/>
    <w:rsid w:val="00101A5D"/>
    <w:rsid w:val="00101A6F"/>
    <w:rsid w:val="001022E8"/>
    <w:rsid w:val="00102ACD"/>
    <w:rsid w:val="00102B67"/>
    <w:rsid w:val="00102D34"/>
    <w:rsid w:val="00102D89"/>
    <w:rsid w:val="00103BC5"/>
    <w:rsid w:val="001042BD"/>
    <w:rsid w:val="00104369"/>
    <w:rsid w:val="001044BE"/>
    <w:rsid w:val="0010478D"/>
    <w:rsid w:val="00104CC4"/>
    <w:rsid w:val="00104E94"/>
    <w:rsid w:val="001050C9"/>
    <w:rsid w:val="001052EA"/>
    <w:rsid w:val="00105511"/>
    <w:rsid w:val="0010554F"/>
    <w:rsid w:val="0010581C"/>
    <w:rsid w:val="001059BB"/>
    <w:rsid w:val="00105D38"/>
    <w:rsid w:val="00106222"/>
    <w:rsid w:val="001063BB"/>
    <w:rsid w:val="00106572"/>
    <w:rsid w:val="001066B7"/>
    <w:rsid w:val="00106710"/>
    <w:rsid w:val="00106FF6"/>
    <w:rsid w:val="0010709E"/>
    <w:rsid w:val="0010794C"/>
    <w:rsid w:val="00107AE1"/>
    <w:rsid w:val="00107C97"/>
    <w:rsid w:val="00110048"/>
    <w:rsid w:val="001100A1"/>
    <w:rsid w:val="001102D3"/>
    <w:rsid w:val="001105C0"/>
    <w:rsid w:val="00110847"/>
    <w:rsid w:val="00110957"/>
    <w:rsid w:val="00110B94"/>
    <w:rsid w:val="001110C6"/>
    <w:rsid w:val="0011114C"/>
    <w:rsid w:val="0011180E"/>
    <w:rsid w:val="001118CE"/>
    <w:rsid w:val="0011196E"/>
    <w:rsid w:val="00111997"/>
    <w:rsid w:val="00111AEB"/>
    <w:rsid w:val="001121D9"/>
    <w:rsid w:val="001121F5"/>
    <w:rsid w:val="0011249F"/>
    <w:rsid w:val="00112A71"/>
    <w:rsid w:val="00112AD7"/>
    <w:rsid w:val="00112DC8"/>
    <w:rsid w:val="00113256"/>
    <w:rsid w:val="001135A5"/>
    <w:rsid w:val="00113754"/>
    <w:rsid w:val="001137DA"/>
    <w:rsid w:val="001138A9"/>
    <w:rsid w:val="00113CAD"/>
    <w:rsid w:val="00113DEB"/>
    <w:rsid w:val="00113E37"/>
    <w:rsid w:val="00113F32"/>
    <w:rsid w:val="00113FBB"/>
    <w:rsid w:val="00114049"/>
    <w:rsid w:val="00114140"/>
    <w:rsid w:val="001141F4"/>
    <w:rsid w:val="0011422E"/>
    <w:rsid w:val="00114239"/>
    <w:rsid w:val="0011446D"/>
    <w:rsid w:val="0011459B"/>
    <w:rsid w:val="00114639"/>
    <w:rsid w:val="00114725"/>
    <w:rsid w:val="001148DF"/>
    <w:rsid w:val="00114A99"/>
    <w:rsid w:val="00114CA5"/>
    <w:rsid w:val="00114D14"/>
    <w:rsid w:val="00114EC6"/>
    <w:rsid w:val="00115491"/>
    <w:rsid w:val="00115672"/>
    <w:rsid w:val="001156B2"/>
    <w:rsid w:val="00115E03"/>
    <w:rsid w:val="00116119"/>
    <w:rsid w:val="00116377"/>
    <w:rsid w:val="001164FC"/>
    <w:rsid w:val="001165A1"/>
    <w:rsid w:val="001166CD"/>
    <w:rsid w:val="001167A3"/>
    <w:rsid w:val="0011697F"/>
    <w:rsid w:val="00116A67"/>
    <w:rsid w:val="00116AE0"/>
    <w:rsid w:val="00116C05"/>
    <w:rsid w:val="00116E2F"/>
    <w:rsid w:val="001171EC"/>
    <w:rsid w:val="00117237"/>
    <w:rsid w:val="0011735C"/>
    <w:rsid w:val="0011750F"/>
    <w:rsid w:val="00117744"/>
    <w:rsid w:val="001179BF"/>
    <w:rsid w:val="00117C8D"/>
    <w:rsid w:val="00120072"/>
    <w:rsid w:val="00120374"/>
    <w:rsid w:val="0012077D"/>
    <w:rsid w:val="001207E6"/>
    <w:rsid w:val="00120CDA"/>
    <w:rsid w:val="0012106A"/>
    <w:rsid w:val="00121167"/>
    <w:rsid w:val="0012122B"/>
    <w:rsid w:val="001213F7"/>
    <w:rsid w:val="001216F1"/>
    <w:rsid w:val="0012184F"/>
    <w:rsid w:val="001218F5"/>
    <w:rsid w:val="00121FC1"/>
    <w:rsid w:val="00122245"/>
    <w:rsid w:val="0012227A"/>
    <w:rsid w:val="001227E9"/>
    <w:rsid w:val="00122828"/>
    <w:rsid w:val="00122855"/>
    <w:rsid w:val="00122BA9"/>
    <w:rsid w:val="00122EFE"/>
    <w:rsid w:val="00122F9A"/>
    <w:rsid w:val="00123187"/>
    <w:rsid w:val="00123195"/>
    <w:rsid w:val="00123504"/>
    <w:rsid w:val="00123AD5"/>
    <w:rsid w:val="00123B61"/>
    <w:rsid w:val="00124297"/>
    <w:rsid w:val="0012437F"/>
    <w:rsid w:val="00124547"/>
    <w:rsid w:val="001248DC"/>
    <w:rsid w:val="00124936"/>
    <w:rsid w:val="00124D73"/>
    <w:rsid w:val="00124F65"/>
    <w:rsid w:val="001252E3"/>
    <w:rsid w:val="00126020"/>
    <w:rsid w:val="001260A7"/>
    <w:rsid w:val="001260C7"/>
    <w:rsid w:val="0012634B"/>
    <w:rsid w:val="00126953"/>
    <w:rsid w:val="00126968"/>
    <w:rsid w:val="00126B0F"/>
    <w:rsid w:val="00126B28"/>
    <w:rsid w:val="00126D8D"/>
    <w:rsid w:val="00126F5E"/>
    <w:rsid w:val="00126FC4"/>
    <w:rsid w:val="0012740D"/>
    <w:rsid w:val="00127E89"/>
    <w:rsid w:val="00127FC0"/>
    <w:rsid w:val="001306B5"/>
    <w:rsid w:val="00130F04"/>
    <w:rsid w:val="00130F71"/>
    <w:rsid w:val="00131159"/>
    <w:rsid w:val="0013150F"/>
    <w:rsid w:val="00131536"/>
    <w:rsid w:val="00131679"/>
    <w:rsid w:val="00131774"/>
    <w:rsid w:val="0013183C"/>
    <w:rsid w:val="00131AD4"/>
    <w:rsid w:val="00131C63"/>
    <w:rsid w:val="00131D7A"/>
    <w:rsid w:val="00132564"/>
    <w:rsid w:val="00132D3D"/>
    <w:rsid w:val="001330A1"/>
    <w:rsid w:val="00133522"/>
    <w:rsid w:val="0013387C"/>
    <w:rsid w:val="00133C3F"/>
    <w:rsid w:val="00133E2F"/>
    <w:rsid w:val="00133E5D"/>
    <w:rsid w:val="001342CC"/>
    <w:rsid w:val="00134524"/>
    <w:rsid w:val="001345D8"/>
    <w:rsid w:val="00134713"/>
    <w:rsid w:val="00134B74"/>
    <w:rsid w:val="00134E20"/>
    <w:rsid w:val="0013500A"/>
    <w:rsid w:val="0013514C"/>
    <w:rsid w:val="0013518B"/>
    <w:rsid w:val="0013552E"/>
    <w:rsid w:val="0013564C"/>
    <w:rsid w:val="00135853"/>
    <w:rsid w:val="00135BA7"/>
    <w:rsid w:val="0013603E"/>
    <w:rsid w:val="001363C4"/>
    <w:rsid w:val="00136807"/>
    <w:rsid w:val="00136891"/>
    <w:rsid w:val="00136C47"/>
    <w:rsid w:val="001376CA"/>
    <w:rsid w:val="0013792E"/>
    <w:rsid w:val="00137AAB"/>
    <w:rsid w:val="00137EF5"/>
    <w:rsid w:val="00140310"/>
    <w:rsid w:val="001403E4"/>
    <w:rsid w:val="001403F4"/>
    <w:rsid w:val="0014054C"/>
    <w:rsid w:val="0014099C"/>
    <w:rsid w:val="00140C94"/>
    <w:rsid w:val="0014136E"/>
    <w:rsid w:val="001416C7"/>
    <w:rsid w:val="001416CD"/>
    <w:rsid w:val="00141B2C"/>
    <w:rsid w:val="00141C2D"/>
    <w:rsid w:val="00141CE0"/>
    <w:rsid w:val="00141DD1"/>
    <w:rsid w:val="00141EBF"/>
    <w:rsid w:val="00142404"/>
    <w:rsid w:val="0014296A"/>
    <w:rsid w:val="00142A41"/>
    <w:rsid w:val="00142B1B"/>
    <w:rsid w:val="00143183"/>
    <w:rsid w:val="0014320C"/>
    <w:rsid w:val="00143665"/>
    <w:rsid w:val="00143728"/>
    <w:rsid w:val="001438C5"/>
    <w:rsid w:val="00143B1C"/>
    <w:rsid w:val="00143B69"/>
    <w:rsid w:val="00143DCB"/>
    <w:rsid w:val="0014434F"/>
    <w:rsid w:val="001444AC"/>
    <w:rsid w:val="00144A33"/>
    <w:rsid w:val="00144A49"/>
    <w:rsid w:val="00144FA1"/>
    <w:rsid w:val="00145488"/>
    <w:rsid w:val="00145722"/>
    <w:rsid w:val="00145728"/>
    <w:rsid w:val="00145B3D"/>
    <w:rsid w:val="001460AE"/>
    <w:rsid w:val="00146185"/>
    <w:rsid w:val="0014642D"/>
    <w:rsid w:val="0014651D"/>
    <w:rsid w:val="001465EE"/>
    <w:rsid w:val="001468D9"/>
    <w:rsid w:val="00146CE5"/>
    <w:rsid w:val="00147055"/>
    <w:rsid w:val="001472A0"/>
    <w:rsid w:val="00147331"/>
    <w:rsid w:val="001475CF"/>
    <w:rsid w:val="001477BC"/>
    <w:rsid w:val="00147865"/>
    <w:rsid w:val="00147877"/>
    <w:rsid w:val="001479ED"/>
    <w:rsid w:val="00147ACF"/>
    <w:rsid w:val="00147CBF"/>
    <w:rsid w:val="00147F0D"/>
    <w:rsid w:val="001501CE"/>
    <w:rsid w:val="001504B5"/>
    <w:rsid w:val="00150501"/>
    <w:rsid w:val="0015079A"/>
    <w:rsid w:val="00150A2A"/>
    <w:rsid w:val="00150B88"/>
    <w:rsid w:val="00150DD0"/>
    <w:rsid w:val="00151012"/>
    <w:rsid w:val="001513E7"/>
    <w:rsid w:val="001517D5"/>
    <w:rsid w:val="00151C5E"/>
    <w:rsid w:val="00151F76"/>
    <w:rsid w:val="001521B1"/>
    <w:rsid w:val="0015220F"/>
    <w:rsid w:val="001527F8"/>
    <w:rsid w:val="0015290F"/>
    <w:rsid w:val="00152A66"/>
    <w:rsid w:val="00152BB7"/>
    <w:rsid w:val="00152C97"/>
    <w:rsid w:val="00152F97"/>
    <w:rsid w:val="0015309D"/>
    <w:rsid w:val="00153304"/>
    <w:rsid w:val="00153552"/>
    <w:rsid w:val="00153AAD"/>
    <w:rsid w:val="00153D8E"/>
    <w:rsid w:val="00153F49"/>
    <w:rsid w:val="001540E3"/>
    <w:rsid w:val="00154110"/>
    <w:rsid w:val="0015423D"/>
    <w:rsid w:val="001546C2"/>
    <w:rsid w:val="0015504E"/>
    <w:rsid w:val="00155403"/>
    <w:rsid w:val="001558CA"/>
    <w:rsid w:val="00155A73"/>
    <w:rsid w:val="00155D6F"/>
    <w:rsid w:val="00155E6B"/>
    <w:rsid w:val="001561C4"/>
    <w:rsid w:val="001566B1"/>
    <w:rsid w:val="001567CC"/>
    <w:rsid w:val="0015681B"/>
    <w:rsid w:val="001568C2"/>
    <w:rsid w:val="00156BFA"/>
    <w:rsid w:val="00156EAE"/>
    <w:rsid w:val="00156F52"/>
    <w:rsid w:val="0015700E"/>
    <w:rsid w:val="001574A5"/>
    <w:rsid w:val="001574BF"/>
    <w:rsid w:val="00157B0F"/>
    <w:rsid w:val="00157C64"/>
    <w:rsid w:val="00157D07"/>
    <w:rsid w:val="00160213"/>
    <w:rsid w:val="001602A5"/>
    <w:rsid w:val="001602FD"/>
    <w:rsid w:val="00160419"/>
    <w:rsid w:val="00160453"/>
    <w:rsid w:val="0016062B"/>
    <w:rsid w:val="001609EA"/>
    <w:rsid w:val="00160BF9"/>
    <w:rsid w:val="00160C02"/>
    <w:rsid w:val="00160EE9"/>
    <w:rsid w:val="001613F4"/>
    <w:rsid w:val="00161466"/>
    <w:rsid w:val="001618F1"/>
    <w:rsid w:val="00161955"/>
    <w:rsid w:val="001619CC"/>
    <w:rsid w:val="00161DE1"/>
    <w:rsid w:val="00162086"/>
    <w:rsid w:val="001623C0"/>
    <w:rsid w:val="0016295D"/>
    <w:rsid w:val="00162DCA"/>
    <w:rsid w:val="00162DE4"/>
    <w:rsid w:val="00163061"/>
    <w:rsid w:val="00163399"/>
    <w:rsid w:val="001634A3"/>
    <w:rsid w:val="001639EF"/>
    <w:rsid w:val="00163A9D"/>
    <w:rsid w:val="00163AD9"/>
    <w:rsid w:val="00163C10"/>
    <w:rsid w:val="00163C88"/>
    <w:rsid w:val="00163CF6"/>
    <w:rsid w:val="00163F7D"/>
    <w:rsid w:val="00164020"/>
    <w:rsid w:val="00164128"/>
    <w:rsid w:val="001644EA"/>
    <w:rsid w:val="00164515"/>
    <w:rsid w:val="001647FA"/>
    <w:rsid w:val="00164C8C"/>
    <w:rsid w:val="00164F04"/>
    <w:rsid w:val="00164FBA"/>
    <w:rsid w:val="00164FF9"/>
    <w:rsid w:val="0016503B"/>
    <w:rsid w:val="0016536F"/>
    <w:rsid w:val="00165449"/>
    <w:rsid w:val="001656BB"/>
    <w:rsid w:val="00165CB8"/>
    <w:rsid w:val="00165D6D"/>
    <w:rsid w:val="00165D77"/>
    <w:rsid w:val="00165EF2"/>
    <w:rsid w:val="00165FD0"/>
    <w:rsid w:val="00166096"/>
    <w:rsid w:val="00166202"/>
    <w:rsid w:val="00166370"/>
    <w:rsid w:val="001663B9"/>
    <w:rsid w:val="001663CD"/>
    <w:rsid w:val="00166618"/>
    <w:rsid w:val="0016699F"/>
    <w:rsid w:val="00166A14"/>
    <w:rsid w:val="00167096"/>
    <w:rsid w:val="00167510"/>
    <w:rsid w:val="0016763F"/>
    <w:rsid w:val="001679F3"/>
    <w:rsid w:val="00167C3E"/>
    <w:rsid w:val="0017021B"/>
    <w:rsid w:val="001703BD"/>
    <w:rsid w:val="001704EB"/>
    <w:rsid w:val="00170837"/>
    <w:rsid w:val="00170C6E"/>
    <w:rsid w:val="00170E77"/>
    <w:rsid w:val="001710D1"/>
    <w:rsid w:val="001710DC"/>
    <w:rsid w:val="00171327"/>
    <w:rsid w:val="001713FA"/>
    <w:rsid w:val="00171546"/>
    <w:rsid w:val="00171FC7"/>
    <w:rsid w:val="0017290E"/>
    <w:rsid w:val="00172954"/>
    <w:rsid w:val="00172A2A"/>
    <w:rsid w:val="00172C6E"/>
    <w:rsid w:val="001730C8"/>
    <w:rsid w:val="00173149"/>
    <w:rsid w:val="001731FC"/>
    <w:rsid w:val="001738C3"/>
    <w:rsid w:val="00173DF8"/>
    <w:rsid w:val="00174329"/>
    <w:rsid w:val="00174620"/>
    <w:rsid w:val="001746A0"/>
    <w:rsid w:val="00174848"/>
    <w:rsid w:val="001749D2"/>
    <w:rsid w:val="00174E37"/>
    <w:rsid w:val="001750BB"/>
    <w:rsid w:val="001752E2"/>
    <w:rsid w:val="00175522"/>
    <w:rsid w:val="001758D7"/>
    <w:rsid w:val="00175A21"/>
    <w:rsid w:val="00176051"/>
    <w:rsid w:val="0017609B"/>
    <w:rsid w:val="001764C7"/>
    <w:rsid w:val="00176513"/>
    <w:rsid w:val="0017676F"/>
    <w:rsid w:val="00176786"/>
    <w:rsid w:val="001768B1"/>
    <w:rsid w:val="001768DE"/>
    <w:rsid w:val="00176B00"/>
    <w:rsid w:val="00177003"/>
    <w:rsid w:val="00177022"/>
    <w:rsid w:val="0017752D"/>
    <w:rsid w:val="001776B6"/>
    <w:rsid w:val="00177BF9"/>
    <w:rsid w:val="0018009F"/>
    <w:rsid w:val="00180177"/>
    <w:rsid w:val="00180238"/>
    <w:rsid w:val="0018035E"/>
    <w:rsid w:val="0018077B"/>
    <w:rsid w:val="00180874"/>
    <w:rsid w:val="0018089A"/>
    <w:rsid w:val="00180DB2"/>
    <w:rsid w:val="001811C6"/>
    <w:rsid w:val="00181261"/>
    <w:rsid w:val="001815B0"/>
    <w:rsid w:val="00181612"/>
    <w:rsid w:val="00181DEE"/>
    <w:rsid w:val="00181E3A"/>
    <w:rsid w:val="00181F98"/>
    <w:rsid w:val="00182085"/>
    <w:rsid w:val="00182128"/>
    <w:rsid w:val="00182133"/>
    <w:rsid w:val="00182403"/>
    <w:rsid w:val="0018243A"/>
    <w:rsid w:val="00182654"/>
    <w:rsid w:val="00182A08"/>
    <w:rsid w:val="00182AFA"/>
    <w:rsid w:val="00182AFD"/>
    <w:rsid w:val="00182B82"/>
    <w:rsid w:val="00182D13"/>
    <w:rsid w:val="00182F03"/>
    <w:rsid w:val="0018312B"/>
    <w:rsid w:val="001834AD"/>
    <w:rsid w:val="0018359A"/>
    <w:rsid w:val="001836B6"/>
    <w:rsid w:val="00183949"/>
    <w:rsid w:val="00183B56"/>
    <w:rsid w:val="00183B60"/>
    <w:rsid w:val="00183CA1"/>
    <w:rsid w:val="00183CAC"/>
    <w:rsid w:val="00183DB1"/>
    <w:rsid w:val="00183DCF"/>
    <w:rsid w:val="00183E1E"/>
    <w:rsid w:val="00183F31"/>
    <w:rsid w:val="00183F8F"/>
    <w:rsid w:val="0018418C"/>
    <w:rsid w:val="00184362"/>
    <w:rsid w:val="001845E4"/>
    <w:rsid w:val="00184695"/>
    <w:rsid w:val="001846B1"/>
    <w:rsid w:val="001846DD"/>
    <w:rsid w:val="0018481D"/>
    <w:rsid w:val="00184A2B"/>
    <w:rsid w:val="00184ED3"/>
    <w:rsid w:val="0018517B"/>
    <w:rsid w:val="001851B7"/>
    <w:rsid w:val="00185411"/>
    <w:rsid w:val="001855AB"/>
    <w:rsid w:val="001857DA"/>
    <w:rsid w:val="00185883"/>
    <w:rsid w:val="00185C1D"/>
    <w:rsid w:val="0018608B"/>
    <w:rsid w:val="0018633B"/>
    <w:rsid w:val="00186610"/>
    <w:rsid w:val="00186751"/>
    <w:rsid w:val="00186CB7"/>
    <w:rsid w:val="00186CF8"/>
    <w:rsid w:val="001871C1"/>
    <w:rsid w:val="0018757A"/>
    <w:rsid w:val="001875BF"/>
    <w:rsid w:val="00187645"/>
    <w:rsid w:val="0018794C"/>
    <w:rsid w:val="00187FD1"/>
    <w:rsid w:val="00187FEF"/>
    <w:rsid w:val="001903C4"/>
    <w:rsid w:val="001903C9"/>
    <w:rsid w:val="001905A3"/>
    <w:rsid w:val="001906FC"/>
    <w:rsid w:val="00190804"/>
    <w:rsid w:val="0019164A"/>
    <w:rsid w:val="001918DB"/>
    <w:rsid w:val="00191970"/>
    <w:rsid w:val="00191AB9"/>
    <w:rsid w:val="00191BA8"/>
    <w:rsid w:val="00191C57"/>
    <w:rsid w:val="00191C74"/>
    <w:rsid w:val="00191CF5"/>
    <w:rsid w:val="0019228C"/>
    <w:rsid w:val="00192387"/>
    <w:rsid w:val="00192963"/>
    <w:rsid w:val="001929DD"/>
    <w:rsid w:val="00192DB0"/>
    <w:rsid w:val="0019334A"/>
    <w:rsid w:val="0019336E"/>
    <w:rsid w:val="001935D6"/>
    <w:rsid w:val="001936CA"/>
    <w:rsid w:val="00193797"/>
    <w:rsid w:val="001939F9"/>
    <w:rsid w:val="00193C21"/>
    <w:rsid w:val="00193D76"/>
    <w:rsid w:val="00193DA1"/>
    <w:rsid w:val="0019419A"/>
    <w:rsid w:val="00194552"/>
    <w:rsid w:val="00194557"/>
    <w:rsid w:val="00194619"/>
    <w:rsid w:val="00194AF8"/>
    <w:rsid w:val="00194CBA"/>
    <w:rsid w:val="001952B7"/>
    <w:rsid w:val="001952D2"/>
    <w:rsid w:val="001956AC"/>
    <w:rsid w:val="001958FD"/>
    <w:rsid w:val="00195AA2"/>
    <w:rsid w:val="00195ABC"/>
    <w:rsid w:val="00195CCE"/>
    <w:rsid w:val="00196060"/>
    <w:rsid w:val="001960FC"/>
    <w:rsid w:val="001962C1"/>
    <w:rsid w:val="00196705"/>
    <w:rsid w:val="001968E1"/>
    <w:rsid w:val="00196A08"/>
    <w:rsid w:val="00196E93"/>
    <w:rsid w:val="00196FF5"/>
    <w:rsid w:val="00197193"/>
    <w:rsid w:val="001971AD"/>
    <w:rsid w:val="001974FF"/>
    <w:rsid w:val="0019757D"/>
    <w:rsid w:val="00197683"/>
    <w:rsid w:val="001977CB"/>
    <w:rsid w:val="001A0052"/>
    <w:rsid w:val="001A007E"/>
    <w:rsid w:val="001A0631"/>
    <w:rsid w:val="001A0A50"/>
    <w:rsid w:val="001A0BF9"/>
    <w:rsid w:val="001A0C62"/>
    <w:rsid w:val="001A0CAA"/>
    <w:rsid w:val="001A0E77"/>
    <w:rsid w:val="001A0ED5"/>
    <w:rsid w:val="001A0EEF"/>
    <w:rsid w:val="001A1055"/>
    <w:rsid w:val="001A163D"/>
    <w:rsid w:val="001A192F"/>
    <w:rsid w:val="001A1A9F"/>
    <w:rsid w:val="001A1C51"/>
    <w:rsid w:val="001A1CCB"/>
    <w:rsid w:val="001A1ECA"/>
    <w:rsid w:val="001A1FC0"/>
    <w:rsid w:val="001A215B"/>
    <w:rsid w:val="001A23F5"/>
    <w:rsid w:val="001A2502"/>
    <w:rsid w:val="001A287F"/>
    <w:rsid w:val="001A293D"/>
    <w:rsid w:val="001A2BF5"/>
    <w:rsid w:val="001A2DDC"/>
    <w:rsid w:val="001A2F3A"/>
    <w:rsid w:val="001A31A1"/>
    <w:rsid w:val="001A3452"/>
    <w:rsid w:val="001A38C2"/>
    <w:rsid w:val="001A3AC1"/>
    <w:rsid w:val="001A3AC5"/>
    <w:rsid w:val="001A3ADF"/>
    <w:rsid w:val="001A3D1E"/>
    <w:rsid w:val="001A3EE8"/>
    <w:rsid w:val="001A4204"/>
    <w:rsid w:val="001A42C3"/>
    <w:rsid w:val="001A4499"/>
    <w:rsid w:val="001A48EC"/>
    <w:rsid w:val="001A49EB"/>
    <w:rsid w:val="001A4A69"/>
    <w:rsid w:val="001A4C5E"/>
    <w:rsid w:val="001A4CD3"/>
    <w:rsid w:val="001A4D1E"/>
    <w:rsid w:val="001A4EBF"/>
    <w:rsid w:val="001A50AF"/>
    <w:rsid w:val="001A58FE"/>
    <w:rsid w:val="001A5961"/>
    <w:rsid w:val="001A609D"/>
    <w:rsid w:val="001A60A2"/>
    <w:rsid w:val="001A65D5"/>
    <w:rsid w:val="001A6913"/>
    <w:rsid w:val="001A6926"/>
    <w:rsid w:val="001A6A33"/>
    <w:rsid w:val="001A6A79"/>
    <w:rsid w:val="001A6EDF"/>
    <w:rsid w:val="001A6FCA"/>
    <w:rsid w:val="001A701C"/>
    <w:rsid w:val="001A72A2"/>
    <w:rsid w:val="001A7556"/>
    <w:rsid w:val="001A7600"/>
    <w:rsid w:val="001A7879"/>
    <w:rsid w:val="001A7BFD"/>
    <w:rsid w:val="001A7F9A"/>
    <w:rsid w:val="001B0406"/>
    <w:rsid w:val="001B0440"/>
    <w:rsid w:val="001B0B05"/>
    <w:rsid w:val="001B0B58"/>
    <w:rsid w:val="001B0DAC"/>
    <w:rsid w:val="001B106F"/>
    <w:rsid w:val="001B10B0"/>
    <w:rsid w:val="001B1623"/>
    <w:rsid w:val="001B183D"/>
    <w:rsid w:val="001B1920"/>
    <w:rsid w:val="001B1D3F"/>
    <w:rsid w:val="001B1D66"/>
    <w:rsid w:val="001B1E5A"/>
    <w:rsid w:val="001B2100"/>
    <w:rsid w:val="001B25C5"/>
    <w:rsid w:val="001B27F0"/>
    <w:rsid w:val="001B286B"/>
    <w:rsid w:val="001B28D1"/>
    <w:rsid w:val="001B2AB7"/>
    <w:rsid w:val="001B3344"/>
    <w:rsid w:val="001B35BE"/>
    <w:rsid w:val="001B3AF0"/>
    <w:rsid w:val="001B3D72"/>
    <w:rsid w:val="001B3EB7"/>
    <w:rsid w:val="001B3F76"/>
    <w:rsid w:val="001B4274"/>
    <w:rsid w:val="001B431B"/>
    <w:rsid w:val="001B43E7"/>
    <w:rsid w:val="001B45EC"/>
    <w:rsid w:val="001B4619"/>
    <w:rsid w:val="001B4AC5"/>
    <w:rsid w:val="001B4D65"/>
    <w:rsid w:val="001B5403"/>
    <w:rsid w:val="001B56C1"/>
    <w:rsid w:val="001B5B0C"/>
    <w:rsid w:val="001B5B4D"/>
    <w:rsid w:val="001B5B56"/>
    <w:rsid w:val="001B5BB2"/>
    <w:rsid w:val="001B5C36"/>
    <w:rsid w:val="001B605D"/>
    <w:rsid w:val="001B6105"/>
    <w:rsid w:val="001B6146"/>
    <w:rsid w:val="001B69E2"/>
    <w:rsid w:val="001B6B04"/>
    <w:rsid w:val="001B6BF9"/>
    <w:rsid w:val="001B6CE3"/>
    <w:rsid w:val="001B6D9A"/>
    <w:rsid w:val="001B6EE9"/>
    <w:rsid w:val="001B710F"/>
    <w:rsid w:val="001B741F"/>
    <w:rsid w:val="001B79EB"/>
    <w:rsid w:val="001B7C4A"/>
    <w:rsid w:val="001B7E63"/>
    <w:rsid w:val="001B7F06"/>
    <w:rsid w:val="001C0392"/>
    <w:rsid w:val="001C04F8"/>
    <w:rsid w:val="001C0876"/>
    <w:rsid w:val="001C0D27"/>
    <w:rsid w:val="001C0D2D"/>
    <w:rsid w:val="001C0D37"/>
    <w:rsid w:val="001C0F3B"/>
    <w:rsid w:val="001C1169"/>
    <w:rsid w:val="001C11B2"/>
    <w:rsid w:val="001C150F"/>
    <w:rsid w:val="001C15F5"/>
    <w:rsid w:val="001C167E"/>
    <w:rsid w:val="001C174A"/>
    <w:rsid w:val="001C1A10"/>
    <w:rsid w:val="001C1CEF"/>
    <w:rsid w:val="001C1D29"/>
    <w:rsid w:val="001C1FCD"/>
    <w:rsid w:val="001C21E4"/>
    <w:rsid w:val="001C254B"/>
    <w:rsid w:val="001C2589"/>
    <w:rsid w:val="001C278F"/>
    <w:rsid w:val="001C2E3A"/>
    <w:rsid w:val="001C2E97"/>
    <w:rsid w:val="001C2F7D"/>
    <w:rsid w:val="001C37C6"/>
    <w:rsid w:val="001C38E4"/>
    <w:rsid w:val="001C3B63"/>
    <w:rsid w:val="001C3CA0"/>
    <w:rsid w:val="001C43C1"/>
    <w:rsid w:val="001C455E"/>
    <w:rsid w:val="001C471C"/>
    <w:rsid w:val="001C47EE"/>
    <w:rsid w:val="001C48C8"/>
    <w:rsid w:val="001C4B8B"/>
    <w:rsid w:val="001C4FDB"/>
    <w:rsid w:val="001C51B3"/>
    <w:rsid w:val="001C5C12"/>
    <w:rsid w:val="001C6019"/>
    <w:rsid w:val="001C6241"/>
    <w:rsid w:val="001C628F"/>
    <w:rsid w:val="001C6317"/>
    <w:rsid w:val="001C6598"/>
    <w:rsid w:val="001C660A"/>
    <w:rsid w:val="001C68C4"/>
    <w:rsid w:val="001C6BA1"/>
    <w:rsid w:val="001C7EFF"/>
    <w:rsid w:val="001C7F9C"/>
    <w:rsid w:val="001D000B"/>
    <w:rsid w:val="001D0334"/>
    <w:rsid w:val="001D03DE"/>
    <w:rsid w:val="001D0525"/>
    <w:rsid w:val="001D0615"/>
    <w:rsid w:val="001D0B84"/>
    <w:rsid w:val="001D0C0F"/>
    <w:rsid w:val="001D0C73"/>
    <w:rsid w:val="001D0D06"/>
    <w:rsid w:val="001D0FCA"/>
    <w:rsid w:val="001D10D0"/>
    <w:rsid w:val="001D1235"/>
    <w:rsid w:val="001D1362"/>
    <w:rsid w:val="001D1481"/>
    <w:rsid w:val="001D15A7"/>
    <w:rsid w:val="001D17C7"/>
    <w:rsid w:val="001D19AE"/>
    <w:rsid w:val="001D1ACB"/>
    <w:rsid w:val="001D1B19"/>
    <w:rsid w:val="001D1E0A"/>
    <w:rsid w:val="001D1E3B"/>
    <w:rsid w:val="001D1E66"/>
    <w:rsid w:val="001D1EBA"/>
    <w:rsid w:val="001D20B2"/>
    <w:rsid w:val="001D2216"/>
    <w:rsid w:val="001D2277"/>
    <w:rsid w:val="001D2317"/>
    <w:rsid w:val="001D254B"/>
    <w:rsid w:val="001D2814"/>
    <w:rsid w:val="001D282A"/>
    <w:rsid w:val="001D2953"/>
    <w:rsid w:val="001D2B5D"/>
    <w:rsid w:val="001D2F04"/>
    <w:rsid w:val="001D2F60"/>
    <w:rsid w:val="001D36F5"/>
    <w:rsid w:val="001D38C0"/>
    <w:rsid w:val="001D396D"/>
    <w:rsid w:val="001D3B05"/>
    <w:rsid w:val="001D3C7D"/>
    <w:rsid w:val="001D3CBF"/>
    <w:rsid w:val="001D41B5"/>
    <w:rsid w:val="001D44EA"/>
    <w:rsid w:val="001D47B5"/>
    <w:rsid w:val="001D4B39"/>
    <w:rsid w:val="001D4BE9"/>
    <w:rsid w:val="001D4D68"/>
    <w:rsid w:val="001D4F3B"/>
    <w:rsid w:val="001D50E9"/>
    <w:rsid w:val="001D513C"/>
    <w:rsid w:val="001D51F5"/>
    <w:rsid w:val="001D5312"/>
    <w:rsid w:val="001D5540"/>
    <w:rsid w:val="001D55DB"/>
    <w:rsid w:val="001D5844"/>
    <w:rsid w:val="001D58B0"/>
    <w:rsid w:val="001D5A6B"/>
    <w:rsid w:val="001D5FC8"/>
    <w:rsid w:val="001D6384"/>
    <w:rsid w:val="001D64B0"/>
    <w:rsid w:val="001D6738"/>
    <w:rsid w:val="001D6A64"/>
    <w:rsid w:val="001D6AD8"/>
    <w:rsid w:val="001D6B16"/>
    <w:rsid w:val="001D6BF9"/>
    <w:rsid w:val="001D6CFB"/>
    <w:rsid w:val="001D6EAB"/>
    <w:rsid w:val="001D78FE"/>
    <w:rsid w:val="001D7DAA"/>
    <w:rsid w:val="001E0271"/>
    <w:rsid w:val="001E04B3"/>
    <w:rsid w:val="001E068B"/>
    <w:rsid w:val="001E0947"/>
    <w:rsid w:val="001E0973"/>
    <w:rsid w:val="001E0D2B"/>
    <w:rsid w:val="001E1256"/>
    <w:rsid w:val="001E1379"/>
    <w:rsid w:val="001E13F1"/>
    <w:rsid w:val="001E14AC"/>
    <w:rsid w:val="001E1500"/>
    <w:rsid w:val="001E1531"/>
    <w:rsid w:val="001E15E8"/>
    <w:rsid w:val="001E1712"/>
    <w:rsid w:val="001E17B8"/>
    <w:rsid w:val="001E18E6"/>
    <w:rsid w:val="001E1943"/>
    <w:rsid w:val="001E1B53"/>
    <w:rsid w:val="001E1F49"/>
    <w:rsid w:val="001E207A"/>
    <w:rsid w:val="001E2111"/>
    <w:rsid w:val="001E21B3"/>
    <w:rsid w:val="001E24B1"/>
    <w:rsid w:val="001E2917"/>
    <w:rsid w:val="001E2DF7"/>
    <w:rsid w:val="001E2EB6"/>
    <w:rsid w:val="001E2EED"/>
    <w:rsid w:val="001E2F54"/>
    <w:rsid w:val="001E331A"/>
    <w:rsid w:val="001E37CB"/>
    <w:rsid w:val="001E4291"/>
    <w:rsid w:val="001E42D4"/>
    <w:rsid w:val="001E4374"/>
    <w:rsid w:val="001E4569"/>
    <w:rsid w:val="001E4776"/>
    <w:rsid w:val="001E496E"/>
    <w:rsid w:val="001E4D05"/>
    <w:rsid w:val="001E4D9D"/>
    <w:rsid w:val="001E4E9B"/>
    <w:rsid w:val="001E5145"/>
    <w:rsid w:val="001E51B1"/>
    <w:rsid w:val="001E53D7"/>
    <w:rsid w:val="001E5721"/>
    <w:rsid w:val="001E5A0E"/>
    <w:rsid w:val="001E5ABB"/>
    <w:rsid w:val="001E5E8C"/>
    <w:rsid w:val="001E5F4F"/>
    <w:rsid w:val="001E5FC9"/>
    <w:rsid w:val="001E609F"/>
    <w:rsid w:val="001E60B5"/>
    <w:rsid w:val="001E6665"/>
    <w:rsid w:val="001E66C0"/>
    <w:rsid w:val="001E66D2"/>
    <w:rsid w:val="001E6991"/>
    <w:rsid w:val="001E6DC4"/>
    <w:rsid w:val="001E6F55"/>
    <w:rsid w:val="001E7084"/>
    <w:rsid w:val="001E7308"/>
    <w:rsid w:val="001E7802"/>
    <w:rsid w:val="001E7B2B"/>
    <w:rsid w:val="001E7B51"/>
    <w:rsid w:val="001E7D71"/>
    <w:rsid w:val="001E7E38"/>
    <w:rsid w:val="001F05A8"/>
    <w:rsid w:val="001F061D"/>
    <w:rsid w:val="001F0947"/>
    <w:rsid w:val="001F0BBF"/>
    <w:rsid w:val="001F0D95"/>
    <w:rsid w:val="001F11F0"/>
    <w:rsid w:val="001F173A"/>
    <w:rsid w:val="001F1B61"/>
    <w:rsid w:val="001F1E14"/>
    <w:rsid w:val="001F1ED8"/>
    <w:rsid w:val="001F2129"/>
    <w:rsid w:val="001F215C"/>
    <w:rsid w:val="001F21A6"/>
    <w:rsid w:val="001F236A"/>
    <w:rsid w:val="001F246D"/>
    <w:rsid w:val="001F262A"/>
    <w:rsid w:val="001F2867"/>
    <w:rsid w:val="001F2E79"/>
    <w:rsid w:val="001F314B"/>
    <w:rsid w:val="001F360D"/>
    <w:rsid w:val="001F3660"/>
    <w:rsid w:val="001F37F7"/>
    <w:rsid w:val="001F383E"/>
    <w:rsid w:val="001F3849"/>
    <w:rsid w:val="001F4438"/>
    <w:rsid w:val="001F4469"/>
    <w:rsid w:val="001F472D"/>
    <w:rsid w:val="001F47B8"/>
    <w:rsid w:val="001F4D88"/>
    <w:rsid w:val="001F4F1F"/>
    <w:rsid w:val="001F51C2"/>
    <w:rsid w:val="001F52BA"/>
    <w:rsid w:val="001F546C"/>
    <w:rsid w:val="001F565F"/>
    <w:rsid w:val="001F588B"/>
    <w:rsid w:val="001F5A3B"/>
    <w:rsid w:val="001F5BBF"/>
    <w:rsid w:val="001F5CA3"/>
    <w:rsid w:val="001F63B0"/>
    <w:rsid w:val="001F662C"/>
    <w:rsid w:val="001F6783"/>
    <w:rsid w:val="001F6AB5"/>
    <w:rsid w:val="001F6C7E"/>
    <w:rsid w:val="001F6C86"/>
    <w:rsid w:val="001F70E3"/>
    <w:rsid w:val="001F742B"/>
    <w:rsid w:val="001F74C2"/>
    <w:rsid w:val="001F7636"/>
    <w:rsid w:val="001F7A38"/>
    <w:rsid w:val="002001AD"/>
    <w:rsid w:val="00200486"/>
    <w:rsid w:val="00200576"/>
    <w:rsid w:val="00200923"/>
    <w:rsid w:val="00200B64"/>
    <w:rsid w:val="00200E84"/>
    <w:rsid w:val="002012B4"/>
    <w:rsid w:val="00201646"/>
    <w:rsid w:val="00201886"/>
    <w:rsid w:val="00201C00"/>
    <w:rsid w:val="00201EF8"/>
    <w:rsid w:val="00201FCA"/>
    <w:rsid w:val="0020245C"/>
    <w:rsid w:val="00202528"/>
    <w:rsid w:val="002028D7"/>
    <w:rsid w:val="002029E6"/>
    <w:rsid w:val="00202ACC"/>
    <w:rsid w:val="00202B40"/>
    <w:rsid w:val="00202D83"/>
    <w:rsid w:val="002031F1"/>
    <w:rsid w:val="002032F5"/>
    <w:rsid w:val="00203375"/>
    <w:rsid w:val="0020353D"/>
    <w:rsid w:val="00203859"/>
    <w:rsid w:val="00203B22"/>
    <w:rsid w:val="00203C0E"/>
    <w:rsid w:val="0020419B"/>
    <w:rsid w:val="002042FA"/>
    <w:rsid w:val="0020436C"/>
    <w:rsid w:val="002043B0"/>
    <w:rsid w:val="002048D9"/>
    <w:rsid w:val="00204C89"/>
    <w:rsid w:val="00204CE3"/>
    <w:rsid w:val="0020500C"/>
    <w:rsid w:val="00205011"/>
    <w:rsid w:val="0020513D"/>
    <w:rsid w:val="002051BC"/>
    <w:rsid w:val="002056B8"/>
    <w:rsid w:val="00205DEE"/>
    <w:rsid w:val="00205E65"/>
    <w:rsid w:val="00206208"/>
    <w:rsid w:val="0020631F"/>
    <w:rsid w:val="00206617"/>
    <w:rsid w:val="002066A7"/>
    <w:rsid w:val="00207123"/>
    <w:rsid w:val="002079E0"/>
    <w:rsid w:val="00207A98"/>
    <w:rsid w:val="00207CB0"/>
    <w:rsid w:val="00207DB3"/>
    <w:rsid w:val="00207EC7"/>
    <w:rsid w:val="00210310"/>
    <w:rsid w:val="002105CD"/>
    <w:rsid w:val="00210AC6"/>
    <w:rsid w:val="00210D01"/>
    <w:rsid w:val="0021131D"/>
    <w:rsid w:val="00211595"/>
    <w:rsid w:val="002118B4"/>
    <w:rsid w:val="00211D2A"/>
    <w:rsid w:val="00211E4D"/>
    <w:rsid w:val="00211E63"/>
    <w:rsid w:val="00212111"/>
    <w:rsid w:val="00212317"/>
    <w:rsid w:val="002125E4"/>
    <w:rsid w:val="00212669"/>
    <w:rsid w:val="00212684"/>
    <w:rsid w:val="002127C4"/>
    <w:rsid w:val="00212876"/>
    <w:rsid w:val="00212B01"/>
    <w:rsid w:val="00213235"/>
    <w:rsid w:val="00213325"/>
    <w:rsid w:val="002138FB"/>
    <w:rsid w:val="00213B00"/>
    <w:rsid w:val="00213BCA"/>
    <w:rsid w:val="002142CD"/>
    <w:rsid w:val="0021451D"/>
    <w:rsid w:val="0021453F"/>
    <w:rsid w:val="00214676"/>
    <w:rsid w:val="00214783"/>
    <w:rsid w:val="00214968"/>
    <w:rsid w:val="00214AE8"/>
    <w:rsid w:val="00214C2C"/>
    <w:rsid w:val="002150C1"/>
    <w:rsid w:val="0021518C"/>
    <w:rsid w:val="00215ADC"/>
    <w:rsid w:val="00215B00"/>
    <w:rsid w:val="00215C5D"/>
    <w:rsid w:val="00215EDD"/>
    <w:rsid w:val="00215FBB"/>
    <w:rsid w:val="0021633B"/>
    <w:rsid w:val="002163A3"/>
    <w:rsid w:val="002163B2"/>
    <w:rsid w:val="00216419"/>
    <w:rsid w:val="00216549"/>
    <w:rsid w:val="002167AF"/>
    <w:rsid w:val="00216862"/>
    <w:rsid w:val="00216A29"/>
    <w:rsid w:val="00216AA6"/>
    <w:rsid w:val="00216ABD"/>
    <w:rsid w:val="00216CAC"/>
    <w:rsid w:val="00216E20"/>
    <w:rsid w:val="00216ED7"/>
    <w:rsid w:val="00217097"/>
    <w:rsid w:val="0021726A"/>
    <w:rsid w:val="0021757C"/>
    <w:rsid w:val="002177DE"/>
    <w:rsid w:val="00217B25"/>
    <w:rsid w:val="00217EC2"/>
    <w:rsid w:val="002203AF"/>
    <w:rsid w:val="002204DC"/>
    <w:rsid w:val="00220CA6"/>
    <w:rsid w:val="00220DEA"/>
    <w:rsid w:val="00220F9B"/>
    <w:rsid w:val="00221039"/>
    <w:rsid w:val="0022103A"/>
    <w:rsid w:val="002212F3"/>
    <w:rsid w:val="00221450"/>
    <w:rsid w:val="00221749"/>
    <w:rsid w:val="002217EF"/>
    <w:rsid w:val="00221A07"/>
    <w:rsid w:val="00221D70"/>
    <w:rsid w:val="00221F37"/>
    <w:rsid w:val="00222130"/>
    <w:rsid w:val="00222170"/>
    <w:rsid w:val="002223D3"/>
    <w:rsid w:val="002223D9"/>
    <w:rsid w:val="00222500"/>
    <w:rsid w:val="002225AE"/>
    <w:rsid w:val="0022286F"/>
    <w:rsid w:val="002228C9"/>
    <w:rsid w:val="002228D2"/>
    <w:rsid w:val="00222950"/>
    <w:rsid w:val="00222B48"/>
    <w:rsid w:val="00222C12"/>
    <w:rsid w:val="00222F4A"/>
    <w:rsid w:val="002230CB"/>
    <w:rsid w:val="0022326C"/>
    <w:rsid w:val="002234CB"/>
    <w:rsid w:val="002234E6"/>
    <w:rsid w:val="0022353D"/>
    <w:rsid w:val="00223706"/>
    <w:rsid w:val="00223739"/>
    <w:rsid w:val="0022373A"/>
    <w:rsid w:val="00223843"/>
    <w:rsid w:val="00223878"/>
    <w:rsid w:val="002239A6"/>
    <w:rsid w:val="00223BB5"/>
    <w:rsid w:val="00223C6F"/>
    <w:rsid w:val="00224379"/>
    <w:rsid w:val="002243E6"/>
    <w:rsid w:val="002244C5"/>
    <w:rsid w:val="002245BC"/>
    <w:rsid w:val="0022481C"/>
    <w:rsid w:val="00224969"/>
    <w:rsid w:val="00224BCD"/>
    <w:rsid w:val="00224C4D"/>
    <w:rsid w:val="00224C83"/>
    <w:rsid w:val="00224CE5"/>
    <w:rsid w:val="002253B4"/>
    <w:rsid w:val="002253DA"/>
    <w:rsid w:val="00225604"/>
    <w:rsid w:val="00225718"/>
    <w:rsid w:val="00225F6A"/>
    <w:rsid w:val="002267E2"/>
    <w:rsid w:val="00226816"/>
    <w:rsid w:val="002269F5"/>
    <w:rsid w:val="00226D61"/>
    <w:rsid w:val="00226E86"/>
    <w:rsid w:val="0022702F"/>
    <w:rsid w:val="0022705C"/>
    <w:rsid w:val="0022727C"/>
    <w:rsid w:val="0022727D"/>
    <w:rsid w:val="002273A3"/>
    <w:rsid w:val="00227665"/>
    <w:rsid w:val="00227738"/>
    <w:rsid w:val="00227A3B"/>
    <w:rsid w:val="00227C62"/>
    <w:rsid w:val="0023001F"/>
    <w:rsid w:val="00230359"/>
    <w:rsid w:val="00230462"/>
    <w:rsid w:val="00230E2A"/>
    <w:rsid w:val="0023117A"/>
    <w:rsid w:val="00231242"/>
    <w:rsid w:val="002313B2"/>
    <w:rsid w:val="002315D2"/>
    <w:rsid w:val="002318DF"/>
    <w:rsid w:val="00231993"/>
    <w:rsid w:val="00231CF7"/>
    <w:rsid w:val="00231DF2"/>
    <w:rsid w:val="00231F3C"/>
    <w:rsid w:val="002321F6"/>
    <w:rsid w:val="0023222B"/>
    <w:rsid w:val="002323C0"/>
    <w:rsid w:val="00232437"/>
    <w:rsid w:val="0023251B"/>
    <w:rsid w:val="00232855"/>
    <w:rsid w:val="00232DA2"/>
    <w:rsid w:val="00232DD4"/>
    <w:rsid w:val="00232DF5"/>
    <w:rsid w:val="00232F94"/>
    <w:rsid w:val="002331D0"/>
    <w:rsid w:val="00233411"/>
    <w:rsid w:val="00233477"/>
    <w:rsid w:val="00233F27"/>
    <w:rsid w:val="00234023"/>
    <w:rsid w:val="002342C5"/>
    <w:rsid w:val="0023459F"/>
    <w:rsid w:val="0023463C"/>
    <w:rsid w:val="0023471A"/>
    <w:rsid w:val="00234EAF"/>
    <w:rsid w:val="00234FC8"/>
    <w:rsid w:val="002350FD"/>
    <w:rsid w:val="00235199"/>
    <w:rsid w:val="00235221"/>
    <w:rsid w:val="002352DE"/>
    <w:rsid w:val="00235330"/>
    <w:rsid w:val="002356FE"/>
    <w:rsid w:val="00235ABE"/>
    <w:rsid w:val="00235CF1"/>
    <w:rsid w:val="00235EC7"/>
    <w:rsid w:val="002361C0"/>
    <w:rsid w:val="002362DF"/>
    <w:rsid w:val="002362E1"/>
    <w:rsid w:val="002366BF"/>
    <w:rsid w:val="00236D68"/>
    <w:rsid w:val="00236FEE"/>
    <w:rsid w:val="00237371"/>
    <w:rsid w:val="00237711"/>
    <w:rsid w:val="0023777C"/>
    <w:rsid w:val="00237BC0"/>
    <w:rsid w:val="00237CC2"/>
    <w:rsid w:val="00237E91"/>
    <w:rsid w:val="0024030D"/>
    <w:rsid w:val="0024034E"/>
    <w:rsid w:val="00240556"/>
    <w:rsid w:val="00240625"/>
    <w:rsid w:val="0024074C"/>
    <w:rsid w:val="002407F8"/>
    <w:rsid w:val="00240A17"/>
    <w:rsid w:val="00240A63"/>
    <w:rsid w:val="00240F94"/>
    <w:rsid w:val="00240FEE"/>
    <w:rsid w:val="002411AF"/>
    <w:rsid w:val="00241567"/>
    <w:rsid w:val="002417DE"/>
    <w:rsid w:val="0024183B"/>
    <w:rsid w:val="00241981"/>
    <w:rsid w:val="00241C9B"/>
    <w:rsid w:val="00241CD4"/>
    <w:rsid w:val="00241DE3"/>
    <w:rsid w:val="00242361"/>
    <w:rsid w:val="0024246D"/>
    <w:rsid w:val="00242570"/>
    <w:rsid w:val="002425B5"/>
    <w:rsid w:val="00242755"/>
    <w:rsid w:val="00242893"/>
    <w:rsid w:val="00242B68"/>
    <w:rsid w:val="00242D88"/>
    <w:rsid w:val="002433AF"/>
    <w:rsid w:val="00243B83"/>
    <w:rsid w:val="00243BE7"/>
    <w:rsid w:val="00243DF9"/>
    <w:rsid w:val="00244179"/>
    <w:rsid w:val="002445D8"/>
    <w:rsid w:val="002446DC"/>
    <w:rsid w:val="00244961"/>
    <w:rsid w:val="00244B3D"/>
    <w:rsid w:val="00244BD5"/>
    <w:rsid w:val="00244C94"/>
    <w:rsid w:val="00245743"/>
    <w:rsid w:val="002457E5"/>
    <w:rsid w:val="00245B6A"/>
    <w:rsid w:val="00245B89"/>
    <w:rsid w:val="00245FDD"/>
    <w:rsid w:val="002461CF"/>
    <w:rsid w:val="0024636A"/>
    <w:rsid w:val="00246E93"/>
    <w:rsid w:val="0024723B"/>
    <w:rsid w:val="002472A4"/>
    <w:rsid w:val="00247978"/>
    <w:rsid w:val="00247C41"/>
    <w:rsid w:val="00247EBB"/>
    <w:rsid w:val="00247FBA"/>
    <w:rsid w:val="00250796"/>
    <w:rsid w:val="00250986"/>
    <w:rsid w:val="0025099F"/>
    <w:rsid w:val="00250BAE"/>
    <w:rsid w:val="00250F35"/>
    <w:rsid w:val="00250F3B"/>
    <w:rsid w:val="00250FCB"/>
    <w:rsid w:val="00250FD3"/>
    <w:rsid w:val="002514AB"/>
    <w:rsid w:val="00251768"/>
    <w:rsid w:val="002518BE"/>
    <w:rsid w:val="00251A61"/>
    <w:rsid w:val="00251C0E"/>
    <w:rsid w:val="002522FB"/>
    <w:rsid w:val="002525B6"/>
    <w:rsid w:val="00252720"/>
    <w:rsid w:val="0025277A"/>
    <w:rsid w:val="00252A65"/>
    <w:rsid w:val="00252AB7"/>
    <w:rsid w:val="00252E12"/>
    <w:rsid w:val="00252F06"/>
    <w:rsid w:val="00253030"/>
    <w:rsid w:val="0025334C"/>
    <w:rsid w:val="0025344D"/>
    <w:rsid w:val="00253628"/>
    <w:rsid w:val="00253903"/>
    <w:rsid w:val="00253989"/>
    <w:rsid w:val="00253B66"/>
    <w:rsid w:val="00253C42"/>
    <w:rsid w:val="00253D11"/>
    <w:rsid w:val="00253D69"/>
    <w:rsid w:val="0025429A"/>
    <w:rsid w:val="00254364"/>
    <w:rsid w:val="0025441E"/>
    <w:rsid w:val="0025446B"/>
    <w:rsid w:val="002549AD"/>
    <w:rsid w:val="002549FF"/>
    <w:rsid w:val="00254C87"/>
    <w:rsid w:val="00254CA6"/>
    <w:rsid w:val="00254D74"/>
    <w:rsid w:val="00254E73"/>
    <w:rsid w:val="00255594"/>
    <w:rsid w:val="002556F7"/>
    <w:rsid w:val="002558C5"/>
    <w:rsid w:val="00255A07"/>
    <w:rsid w:val="0025618C"/>
    <w:rsid w:val="002562DB"/>
    <w:rsid w:val="0025630E"/>
    <w:rsid w:val="002565B8"/>
    <w:rsid w:val="0025675B"/>
    <w:rsid w:val="0025675F"/>
    <w:rsid w:val="002567FE"/>
    <w:rsid w:val="00256901"/>
    <w:rsid w:val="00256ACC"/>
    <w:rsid w:val="00256CF3"/>
    <w:rsid w:val="00256D7C"/>
    <w:rsid w:val="002570A1"/>
    <w:rsid w:val="00257106"/>
    <w:rsid w:val="00257291"/>
    <w:rsid w:val="002573F3"/>
    <w:rsid w:val="002574B5"/>
    <w:rsid w:val="00257697"/>
    <w:rsid w:val="002577D6"/>
    <w:rsid w:val="00257840"/>
    <w:rsid w:val="00257C69"/>
    <w:rsid w:val="00257FE3"/>
    <w:rsid w:val="0026045E"/>
    <w:rsid w:val="00260506"/>
    <w:rsid w:val="002607C5"/>
    <w:rsid w:val="00260AB9"/>
    <w:rsid w:val="00260B6B"/>
    <w:rsid w:val="00260C1D"/>
    <w:rsid w:val="0026102E"/>
    <w:rsid w:val="002610AA"/>
    <w:rsid w:val="002614E6"/>
    <w:rsid w:val="002616B5"/>
    <w:rsid w:val="002616D7"/>
    <w:rsid w:val="002617E4"/>
    <w:rsid w:val="00261CA6"/>
    <w:rsid w:val="00261F8C"/>
    <w:rsid w:val="00261FDF"/>
    <w:rsid w:val="002620A5"/>
    <w:rsid w:val="00262355"/>
    <w:rsid w:val="0026253A"/>
    <w:rsid w:val="002628ED"/>
    <w:rsid w:val="00262DC1"/>
    <w:rsid w:val="00262F82"/>
    <w:rsid w:val="00263013"/>
    <w:rsid w:val="002631FE"/>
    <w:rsid w:val="002632D7"/>
    <w:rsid w:val="00263593"/>
    <w:rsid w:val="00263858"/>
    <w:rsid w:val="002638C7"/>
    <w:rsid w:val="00263904"/>
    <w:rsid w:val="00263A1B"/>
    <w:rsid w:val="00263A1F"/>
    <w:rsid w:val="00263A91"/>
    <w:rsid w:val="00264011"/>
    <w:rsid w:val="00264049"/>
    <w:rsid w:val="00264075"/>
    <w:rsid w:val="0026433C"/>
    <w:rsid w:val="0026454F"/>
    <w:rsid w:val="00264684"/>
    <w:rsid w:val="00264692"/>
    <w:rsid w:val="002649A8"/>
    <w:rsid w:val="002649DB"/>
    <w:rsid w:val="00265078"/>
    <w:rsid w:val="002656D9"/>
    <w:rsid w:val="002658C1"/>
    <w:rsid w:val="002658F2"/>
    <w:rsid w:val="00265933"/>
    <w:rsid w:val="00265A04"/>
    <w:rsid w:val="00265A29"/>
    <w:rsid w:val="00265AFB"/>
    <w:rsid w:val="00265B05"/>
    <w:rsid w:val="00266398"/>
    <w:rsid w:val="0026694F"/>
    <w:rsid w:val="00266AB7"/>
    <w:rsid w:val="0026728E"/>
    <w:rsid w:val="0026754D"/>
    <w:rsid w:val="002676AA"/>
    <w:rsid w:val="00267987"/>
    <w:rsid w:val="00267D10"/>
    <w:rsid w:val="00267D68"/>
    <w:rsid w:val="0027011B"/>
    <w:rsid w:val="002701EA"/>
    <w:rsid w:val="00270277"/>
    <w:rsid w:val="00270783"/>
    <w:rsid w:val="002708DC"/>
    <w:rsid w:val="00270D98"/>
    <w:rsid w:val="00270E89"/>
    <w:rsid w:val="002713CD"/>
    <w:rsid w:val="002718BE"/>
    <w:rsid w:val="00271B40"/>
    <w:rsid w:val="00271D73"/>
    <w:rsid w:val="00271F0F"/>
    <w:rsid w:val="00271FCB"/>
    <w:rsid w:val="002723D1"/>
    <w:rsid w:val="00272423"/>
    <w:rsid w:val="00272679"/>
    <w:rsid w:val="00272ACE"/>
    <w:rsid w:val="0027351F"/>
    <w:rsid w:val="002735AC"/>
    <w:rsid w:val="002735B0"/>
    <w:rsid w:val="00273667"/>
    <w:rsid w:val="00274165"/>
    <w:rsid w:val="00274687"/>
    <w:rsid w:val="002747C4"/>
    <w:rsid w:val="00274CF8"/>
    <w:rsid w:val="0027522B"/>
    <w:rsid w:val="00275283"/>
    <w:rsid w:val="00275495"/>
    <w:rsid w:val="0027549B"/>
    <w:rsid w:val="0027567F"/>
    <w:rsid w:val="00275692"/>
    <w:rsid w:val="00275AD1"/>
    <w:rsid w:val="00275E0D"/>
    <w:rsid w:val="00276046"/>
    <w:rsid w:val="002765EA"/>
    <w:rsid w:val="002767DE"/>
    <w:rsid w:val="00276A29"/>
    <w:rsid w:val="00276A2B"/>
    <w:rsid w:val="00276C5F"/>
    <w:rsid w:val="00276ED0"/>
    <w:rsid w:val="00276F24"/>
    <w:rsid w:val="00277138"/>
    <w:rsid w:val="00277A92"/>
    <w:rsid w:val="00277D3A"/>
    <w:rsid w:val="00280385"/>
    <w:rsid w:val="00280576"/>
    <w:rsid w:val="002809AA"/>
    <w:rsid w:val="00280D89"/>
    <w:rsid w:val="00280EC9"/>
    <w:rsid w:val="002810CF"/>
    <w:rsid w:val="002819F0"/>
    <w:rsid w:val="00282125"/>
    <w:rsid w:val="0028225C"/>
    <w:rsid w:val="00282741"/>
    <w:rsid w:val="002827EC"/>
    <w:rsid w:val="0028294C"/>
    <w:rsid w:val="00282A85"/>
    <w:rsid w:val="00282BA5"/>
    <w:rsid w:val="00282CCD"/>
    <w:rsid w:val="00282DE1"/>
    <w:rsid w:val="00283014"/>
    <w:rsid w:val="0028301F"/>
    <w:rsid w:val="00283156"/>
    <w:rsid w:val="00283D12"/>
    <w:rsid w:val="00283E26"/>
    <w:rsid w:val="00284648"/>
    <w:rsid w:val="0028496D"/>
    <w:rsid w:val="00284982"/>
    <w:rsid w:val="002849C8"/>
    <w:rsid w:val="00284BEA"/>
    <w:rsid w:val="00284D8C"/>
    <w:rsid w:val="00284FBE"/>
    <w:rsid w:val="00284FEF"/>
    <w:rsid w:val="0028511B"/>
    <w:rsid w:val="0028514C"/>
    <w:rsid w:val="002854B4"/>
    <w:rsid w:val="0028556A"/>
    <w:rsid w:val="002857A3"/>
    <w:rsid w:val="00285984"/>
    <w:rsid w:val="002859AD"/>
    <w:rsid w:val="00285C5E"/>
    <w:rsid w:val="00285E7D"/>
    <w:rsid w:val="00285E92"/>
    <w:rsid w:val="0028603E"/>
    <w:rsid w:val="00286042"/>
    <w:rsid w:val="002860FA"/>
    <w:rsid w:val="002861A9"/>
    <w:rsid w:val="00286262"/>
    <w:rsid w:val="00286490"/>
    <w:rsid w:val="002865CA"/>
    <w:rsid w:val="002866FC"/>
    <w:rsid w:val="0028690E"/>
    <w:rsid w:val="0028699A"/>
    <w:rsid w:val="00286F4A"/>
    <w:rsid w:val="002875BB"/>
    <w:rsid w:val="002877D1"/>
    <w:rsid w:val="00287C54"/>
    <w:rsid w:val="00290242"/>
    <w:rsid w:val="002904FE"/>
    <w:rsid w:val="00290598"/>
    <w:rsid w:val="00290631"/>
    <w:rsid w:val="00290681"/>
    <w:rsid w:val="002906B1"/>
    <w:rsid w:val="0029072B"/>
    <w:rsid w:val="0029074F"/>
    <w:rsid w:val="002907FE"/>
    <w:rsid w:val="0029087B"/>
    <w:rsid w:val="0029093B"/>
    <w:rsid w:val="002909D4"/>
    <w:rsid w:val="00290C5F"/>
    <w:rsid w:val="00290D39"/>
    <w:rsid w:val="00291348"/>
    <w:rsid w:val="00291693"/>
    <w:rsid w:val="002918DD"/>
    <w:rsid w:val="00291DC1"/>
    <w:rsid w:val="00291E40"/>
    <w:rsid w:val="0029200D"/>
    <w:rsid w:val="0029235C"/>
    <w:rsid w:val="002924AD"/>
    <w:rsid w:val="002926F3"/>
    <w:rsid w:val="0029280B"/>
    <w:rsid w:val="00292A94"/>
    <w:rsid w:val="00292E44"/>
    <w:rsid w:val="00292E74"/>
    <w:rsid w:val="002931ED"/>
    <w:rsid w:val="0029333D"/>
    <w:rsid w:val="002934BD"/>
    <w:rsid w:val="00293511"/>
    <w:rsid w:val="002938A2"/>
    <w:rsid w:val="002938EA"/>
    <w:rsid w:val="002939B7"/>
    <w:rsid w:val="00293C22"/>
    <w:rsid w:val="00293E0E"/>
    <w:rsid w:val="002942CF"/>
    <w:rsid w:val="002944CA"/>
    <w:rsid w:val="0029458D"/>
    <w:rsid w:val="00294614"/>
    <w:rsid w:val="002946FD"/>
    <w:rsid w:val="00294A7E"/>
    <w:rsid w:val="00294ABC"/>
    <w:rsid w:val="00294FA1"/>
    <w:rsid w:val="00294FFA"/>
    <w:rsid w:val="00295568"/>
    <w:rsid w:val="002959D7"/>
    <w:rsid w:val="00295AB4"/>
    <w:rsid w:val="00295B7C"/>
    <w:rsid w:val="00295C9F"/>
    <w:rsid w:val="00295CBD"/>
    <w:rsid w:val="00295E0E"/>
    <w:rsid w:val="002961DD"/>
    <w:rsid w:val="002964B6"/>
    <w:rsid w:val="0029655C"/>
    <w:rsid w:val="0029686F"/>
    <w:rsid w:val="0029688D"/>
    <w:rsid w:val="002968F4"/>
    <w:rsid w:val="00296964"/>
    <w:rsid w:val="00296E9F"/>
    <w:rsid w:val="00296F92"/>
    <w:rsid w:val="00297055"/>
    <w:rsid w:val="002973FC"/>
    <w:rsid w:val="002977E1"/>
    <w:rsid w:val="002979A8"/>
    <w:rsid w:val="00297C4E"/>
    <w:rsid w:val="00297C5A"/>
    <w:rsid w:val="00297C5E"/>
    <w:rsid w:val="00297CBF"/>
    <w:rsid w:val="00297CC7"/>
    <w:rsid w:val="00297F95"/>
    <w:rsid w:val="002A035F"/>
    <w:rsid w:val="002A0450"/>
    <w:rsid w:val="002A0588"/>
    <w:rsid w:val="002A0654"/>
    <w:rsid w:val="002A090E"/>
    <w:rsid w:val="002A0C8A"/>
    <w:rsid w:val="002A0D4A"/>
    <w:rsid w:val="002A111C"/>
    <w:rsid w:val="002A1302"/>
    <w:rsid w:val="002A158E"/>
    <w:rsid w:val="002A17BD"/>
    <w:rsid w:val="002A195E"/>
    <w:rsid w:val="002A19CE"/>
    <w:rsid w:val="002A1DFC"/>
    <w:rsid w:val="002A1E5C"/>
    <w:rsid w:val="002A208F"/>
    <w:rsid w:val="002A2195"/>
    <w:rsid w:val="002A2562"/>
    <w:rsid w:val="002A2565"/>
    <w:rsid w:val="002A2567"/>
    <w:rsid w:val="002A29B3"/>
    <w:rsid w:val="002A29E2"/>
    <w:rsid w:val="002A2A69"/>
    <w:rsid w:val="002A2D11"/>
    <w:rsid w:val="002A2FA3"/>
    <w:rsid w:val="002A3497"/>
    <w:rsid w:val="002A36A5"/>
    <w:rsid w:val="002A3B7B"/>
    <w:rsid w:val="002A3E34"/>
    <w:rsid w:val="002A412C"/>
    <w:rsid w:val="002A4258"/>
    <w:rsid w:val="002A463D"/>
    <w:rsid w:val="002A4B97"/>
    <w:rsid w:val="002A4BF3"/>
    <w:rsid w:val="002A4C03"/>
    <w:rsid w:val="002A5930"/>
    <w:rsid w:val="002A5CB5"/>
    <w:rsid w:val="002A5D05"/>
    <w:rsid w:val="002A5D0C"/>
    <w:rsid w:val="002A5E95"/>
    <w:rsid w:val="002A5F9A"/>
    <w:rsid w:val="002A60F9"/>
    <w:rsid w:val="002A6740"/>
    <w:rsid w:val="002A6931"/>
    <w:rsid w:val="002A6966"/>
    <w:rsid w:val="002A72A5"/>
    <w:rsid w:val="002A72E7"/>
    <w:rsid w:val="002A7418"/>
    <w:rsid w:val="002A77CB"/>
    <w:rsid w:val="002A7E21"/>
    <w:rsid w:val="002A7EEC"/>
    <w:rsid w:val="002A7FBE"/>
    <w:rsid w:val="002B03CF"/>
    <w:rsid w:val="002B03DF"/>
    <w:rsid w:val="002B05FE"/>
    <w:rsid w:val="002B0663"/>
    <w:rsid w:val="002B0F8F"/>
    <w:rsid w:val="002B1430"/>
    <w:rsid w:val="002B157A"/>
    <w:rsid w:val="002B1802"/>
    <w:rsid w:val="002B1AF7"/>
    <w:rsid w:val="002B1C7C"/>
    <w:rsid w:val="002B1EA2"/>
    <w:rsid w:val="002B2376"/>
    <w:rsid w:val="002B2634"/>
    <w:rsid w:val="002B27EE"/>
    <w:rsid w:val="002B2845"/>
    <w:rsid w:val="002B2850"/>
    <w:rsid w:val="002B2922"/>
    <w:rsid w:val="002B2A79"/>
    <w:rsid w:val="002B2B69"/>
    <w:rsid w:val="002B2B76"/>
    <w:rsid w:val="002B2BC6"/>
    <w:rsid w:val="002B2D2D"/>
    <w:rsid w:val="002B2DD1"/>
    <w:rsid w:val="002B3D9A"/>
    <w:rsid w:val="002B3EC9"/>
    <w:rsid w:val="002B42DE"/>
    <w:rsid w:val="002B43A6"/>
    <w:rsid w:val="002B48BA"/>
    <w:rsid w:val="002B49C8"/>
    <w:rsid w:val="002B4B1D"/>
    <w:rsid w:val="002B4C55"/>
    <w:rsid w:val="002B4D1F"/>
    <w:rsid w:val="002B4F57"/>
    <w:rsid w:val="002B5327"/>
    <w:rsid w:val="002B535D"/>
    <w:rsid w:val="002B564C"/>
    <w:rsid w:val="002B5F46"/>
    <w:rsid w:val="002B5F57"/>
    <w:rsid w:val="002B5F96"/>
    <w:rsid w:val="002B631C"/>
    <w:rsid w:val="002B636D"/>
    <w:rsid w:val="002B657E"/>
    <w:rsid w:val="002B6C5A"/>
    <w:rsid w:val="002B6E67"/>
    <w:rsid w:val="002B6F99"/>
    <w:rsid w:val="002B6FF4"/>
    <w:rsid w:val="002B7011"/>
    <w:rsid w:val="002B70CB"/>
    <w:rsid w:val="002B7142"/>
    <w:rsid w:val="002B74BD"/>
    <w:rsid w:val="002B7645"/>
    <w:rsid w:val="002C0180"/>
    <w:rsid w:val="002C053C"/>
    <w:rsid w:val="002C06FC"/>
    <w:rsid w:val="002C1034"/>
    <w:rsid w:val="002C106A"/>
    <w:rsid w:val="002C10C6"/>
    <w:rsid w:val="002C11CC"/>
    <w:rsid w:val="002C126E"/>
    <w:rsid w:val="002C13CE"/>
    <w:rsid w:val="002C1493"/>
    <w:rsid w:val="002C159D"/>
    <w:rsid w:val="002C1777"/>
    <w:rsid w:val="002C1870"/>
    <w:rsid w:val="002C188F"/>
    <w:rsid w:val="002C1932"/>
    <w:rsid w:val="002C19E6"/>
    <w:rsid w:val="002C1D7F"/>
    <w:rsid w:val="002C2073"/>
    <w:rsid w:val="002C2233"/>
    <w:rsid w:val="002C25F6"/>
    <w:rsid w:val="002C2714"/>
    <w:rsid w:val="002C273D"/>
    <w:rsid w:val="002C336F"/>
    <w:rsid w:val="002C34D7"/>
    <w:rsid w:val="002C37D6"/>
    <w:rsid w:val="002C3C70"/>
    <w:rsid w:val="002C424D"/>
    <w:rsid w:val="002C42F4"/>
    <w:rsid w:val="002C4323"/>
    <w:rsid w:val="002C432B"/>
    <w:rsid w:val="002C4410"/>
    <w:rsid w:val="002C4459"/>
    <w:rsid w:val="002C4667"/>
    <w:rsid w:val="002C4A43"/>
    <w:rsid w:val="002C4ADF"/>
    <w:rsid w:val="002C4C0C"/>
    <w:rsid w:val="002C5427"/>
    <w:rsid w:val="002C578D"/>
    <w:rsid w:val="002C5A88"/>
    <w:rsid w:val="002C5AAE"/>
    <w:rsid w:val="002C5B3E"/>
    <w:rsid w:val="002C5FAF"/>
    <w:rsid w:val="002C6269"/>
    <w:rsid w:val="002C6470"/>
    <w:rsid w:val="002C64B6"/>
    <w:rsid w:val="002C6612"/>
    <w:rsid w:val="002C6664"/>
    <w:rsid w:val="002C6678"/>
    <w:rsid w:val="002C6751"/>
    <w:rsid w:val="002C6BEF"/>
    <w:rsid w:val="002C6DE5"/>
    <w:rsid w:val="002C6ECB"/>
    <w:rsid w:val="002C70E9"/>
    <w:rsid w:val="002C73FE"/>
    <w:rsid w:val="002C74A8"/>
    <w:rsid w:val="002C782A"/>
    <w:rsid w:val="002C7B99"/>
    <w:rsid w:val="002C7BB1"/>
    <w:rsid w:val="002C7EE6"/>
    <w:rsid w:val="002D027D"/>
    <w:rsid w:val="002D030B"/>
    <w:rsid w:val="002D039F"/>
    <w:rsid w:val="002D04A0"/>
    <w:rsid w:val="002D0502"/>
    <w:rsid w:val="002D0A0A"/>
    <w:rsid w:val="002D0B83"/>
    <w:rsid w:val="002D120A"/>
    <w:rsid w:val="002D144F"/>
    <w:rsid w:val="002D15DD"/>
    <w:rsid w:val="002D1EED"/>
    <w:rsid w:val="002D2354"/>
    <w:rsid w:val="002D25F2"/>
    <w:rsid w:val="002D2840"/>
    <w:rsid w:val="002D2910"/>
    <w:rsid w:val="002D2E60"/>
    <w:rsid w:val="002D2EB7"/>
    <w:rsid w:val="002D2FCC"/>
    <w:rsid w:val="002D369C"/>
    <w:rsid w:val="002D3896"/>
    <w:rsid w:val="002D3BE8"/>
    <w:rsid w:val="002D4324"/>
    <w:rsid w:val="002D4DBA"/>
    <w:rsid w:val="002D4EEB"/>
    <w:rsid w:val="002D4F48"/>
    <w:rsid w:val="002D52A7"/>
    <w:rsid w:val="002D5393"/>
    <w:rsid w:val="002D5457"/>
    <w:rsid w:val="002D54E9"/>
    <w:rsid w:val="002D5AE4"/>
    <w:rsid w:val="002D5D64"/>
    <w:rsid w:val="002D5FC2"/>
    <w:rsid w:val="002D5FCF"/>
    <w:rsid w:val="002D6329"/>
    <w:rsid w:val="002D65C2"/>
    <w:rsid w:val="002D6625"/>
    <w:rsid w:val="002D6686"/>
    <w:rsid w:val="002D682F"/>
    <w:rsid w:val="002D6A58"/>
    <w:rsid w:val="002D6B9D"/>
    <w:rsid w:val="002D6BFB"/>
    <w:rsid w:val="002D6C7F"/>
    <w:rsid w:val="002D6D9A"/>
    <w:rsid w:val="002D7132"/>
    <w:rsid w:val="002D715B"/>
    <w:rsid w:val="002D727F"/>
    <w:rsid w:val="002D73C3"/>
    <w:rsid w:val="002D7A32"/>
    <w:rsid w:val="002D7AB5"/>
    <w:rsid w:val="002D7CBF"/>
    <w:rsid w:val="002D7CD7"/>
    <w:rsid w:val="002D7D4D"/>
    <w:rsid w:val="002D7E08"/>
    <w:rsid w:val="002D7EA8"/>
    <w:rsid w:val="002D7EE4"/>
    <w:rsid w:val="002E00B2"/>
    <w:rsid w:val="002E00BF"/>
    <w:rsid w:val="002E00D9"/>
    <w:rsid w:val="002E00F4"/>
    <w:rsid w:val="002E0122"/>
    <w:rsid w:val="002E0144"/>
    <w:rsid w:val="002E01AE"/>
    <w:rsid w:val="002E01F8"/>
    <w:rsid w:val="002E035B"/>
    <w:rsid w:val="002E06ED"/>
    <w:rsid w:val="002E07F0"/>
    <w:rsid w:val="002E0843"/>
    <w:rsid w:val="002E08D6"/>
    <w:rsid w:val="002E0A28"/>
    <w:rsid w:val="002E0D6F"/>
    <w:rsid w:val="002E1AB9"/>
    <w:rsid w:val="002E1C0A"/>
    <w:rsid w:val="002E1C77"/>
    <w:rsid w:val="002E2028"/>
    <w:rsid w:val="002E23CA"/>
    <w:rsid w:val="002E29B5"/>
    <w:rsid w:val="002E2BC0"/>
    <w:rsid w:val="002E2D59"/>
    <w:rsid w:val="002E3004"/>
    <w:rsid w:val="002E3051"/>
    <w:rsid w:val="002E30F0"/>
    <w:rsid w:val="002E3169"/>
    <w:rsid w:val="002E3629"/>
    <w:rsid w:val="002E3968"/>
    <w:rsid w:val="002E3982"/>
    <w:rsid w:val="002E3B96"/>
    <w:rsid w:val="002E4175"/>
    <w:rsid w:val="002E44C5"/>
    <w:rsid w:val="002E467D"/>
    <w:rsid w:val="002E475E"/>
    <w:rsid w:val="002E49F9"/>
    <w:rsid w:val="002E4A0B"/>
    <w:rsid w:val="002E4BF2"/>
    <w:rsid w:val="002E4E5F"/>
    <w:rsid w:val="002E4F0F"/>
    <w:rsid w:val="002E4F7F"/>
    <w:rsid w:val="002E4FC9"/>
    <w:rsid w:val="002E5380"/>
    <w:rsid w:val="002E5520"/>
    <w:rsid w:val="002E571C"/>
    <w:rsid w:val="002E583D"/>
    <w:rsid w:val="002E59B0"/>
    <w:rsid w:val="002E5B65"/>
    <w:rsid w:val="002E5C34"/>
    <w:rsid w:val="002E6012"/>
    <w:rsid w:val="002E62F7"/>
    <w:rsid w:val="002E662C"/>
    <w:rsid w:val="002E66F9"/>
    <w:rsid w:val="002E695A"/>
    <w:rsid w:val="002E69BE"/>
    <w:rsid w:val="002E6A49"/>
    <w:rsid w:val="002E6B85"/>
    <w:rsid w:val="002E6B8D"/>
    <w:rsid w:val="002E6F3F"/>
    <w:rsid w:val="002E6F5B"/>
    <w:rsid w:val="002E70FE"/>
    <w:rsid w:val="002E76A2"/>
    <w:rsid w:val="002E774B"/>
    <w:rsid w:val="002E7B85"/>
    <w:rsid w:val="002F06AF"/>
    <w:rsid w:val="002F0BF8"/>
    <w:rsid w:val="002F0C3D"/>
    <w:rsid w:val="002F0CD0"/>
    <w:rsid w:val="002F0E8A"/>
    <w:rsid w:val="002F0FBA"/>
    <w:rsid w:val="002F1019"/>
    <w:rsid w:val="002F106A"/>
    <w:rsid w:val="002F119F"/>
    <w:rsid w:val="002F2043"/>
    <w:rsid w:val="002F288E"/>
    <w:rsid w:val="002F2A3D"/>
    <w:rsid w:val="002F2AA8"/>
    <w:rsid w:val="002F2ACE"/>
    <w:rsid w:val="002F2F63"/>
    <w:rsid w:val="002F2FCD"/>
    <w:rsid w:val="002F3556"/>
    <w:rsid w:val="002F359A"/>
    <w:rsid w:val="002F3949"/>
    <w:rsid w:val="002F3A73"/>
    <w:rsid w:val="002F3CCC"/>
    <w:rsid w:val="002F3DD6"/>
    <w:rsid w:val="002F3E7D"/>
    <w:rsid w:val="002F3F63"/>
    <w:rsid w:val="002F3FD1"/>
    <w:rsid w:val="002F402A"/>
    <w:rsid w:val="002F4297"/>
    <w:rsid w:val="002F42F5"/>
    <w:rsid w:val="002F43E1"/>
    <w:rsid w:val="002F4804"/>
    <w:rsid w:val="002F4940"/>
    <w:rsid w:val="002F49E5"/>
    <w:rsid w:val="002F4A64"/>
    <w:rsid w:val="002F4ADB"/>
    <w:rsid w:val="002F4B75"/>
    <w:rsid w:val="002F4CB4"/>
    <w:rsid w:val="002F5050"/>
    <w:rsid w:val="002F5188"/>
    <w:rsid w:val="002F5888"/>
    <w:rsid w:val="002F5F6F"/>
    <w:rsid w:val="002F60AC"/>
    <w:rsid w:val="002F6140"/>
    <w:rsid w:val="002F6595"/>
    <w:rsid w:val="002F67A3"/>
    <w:rsid w:val="002F67CB"/>
    <w:rsid w:val="002F6AD5"/>
    <w:rsid w:val="002F70B0"/>
    <w:rsid w:val="002F71B9"/>
    <w:rsid w:val="002F7418"/>
    <w:rsid w:val="002F7476"/>
    <w:rsid w:val="002F755E"/>
    <w:rsid w:val="002F75C0"/>
    <w:rsid w:val="002F77FF"/>
    <w:rsid w:val="002F7915"/>
    <w:rsid w:val="002F7964"/>
    <w:rsid w:val="002F79A6"/>
    <w:rsid w:val="002F7A03"/>
    <w:rsid w:val="002F7A1D"/>
    <w:rsid w:val="002F7B5D"/>
    <w:rsid w:val="003007D8"/>
    <w:rsid w:val="00300A1E"/>
    <w:rsid w:val="00300AD6"/>
    <w:rsid w:val="00300C3E"/>
    <w:rsid w:val="00301021"/>
    <w:rsid w:val="0030121A"/>
    <w:rsid w:val="003015AD"/>
    <w:rsid w:val="00301784"/>
    <w:rsid w:val="003017CD"/>
    <w:rsid w:val="00301A64"/>
    <w:rsid w:val="00301CAE"/>
    <w:rsid w:val="00301CC4"/>
    <w:rsid w:val="00302047"/>
    <w:rsid w:val="003028B3"/>
    <w:rsid w:val="00302907"/>
    <w:rsid w:val="003029A9"/>
    <w:rsid w:val="003031CD"/>
    <w:rsid w:val="003032C8"/>
    <w:rsid w:val="00303436"/>
    <w:rsid w:val="00303459"/>
    <w:rsid w:val="0030347E"/>
    <w:rsid w:val="003034C6"/>
    <w:rsid w:val="00303510"/>
    <w:rsid w:val="0030388D"/>
    <w:rsid w:val="00303D2D"/>
    <w:rsid w:val="00303D38"/>
    <w:rsid w:val="00303E3D"/>
    <w:rsid w:val="003040C2"/>
    <w:rsid w:val="0030413A"/>
    <w:rsid w:val="0030446C"/>
    <w:rsid w:val="003045DF"/>
    <w:rsid w:val="00304AC1"/>
    <w:rsid w:val="00304B39"/>
    <w:rsid w:val="00304D77"/>
    <w:rsid w:val="00304DA1"/>
    <w:rsid w:val="00304F11"/>
    <w:rsid w:val="00305000"/>
    <w:rsid w:val="0030550E"/>
    <w:rsid w:val="003055EC"/>
    <w:rsid w:val="003058E8"/>
    <w:rsid w:val="00305EF9"/>
    <w:rsid w:val="0030607E"/>
    <w:rsid w:val="00306633"/>
    <w:rsid w:val="003068F7"/>
    <w:rsid w:val="00306E06"/>
    <w:rsid w:val="00306F0E"/>
    <w:rsid w:val="003070F7"/>
    <w:rsid w:val="00307251"/>
    <w:rsid w:val="003072DE"/>
    <w:rsid w:val="00307465"/>
    <w:rsid w:val="0030747B"/>
    <w:rsid w:val="00307494"/>
    <w:rsid w:val="003079F5"/>
    <w:rsid w:val="00307A88"/>
    <w:rsid w:val="00307C95"/>
    <w:rsid w:val="00307E3E"/>
    <w:rsid w:val="00310111"/>
    <w:rsid w:val="00310167"/>
    <w:rsid w:val="00310198"/>
    <w:rsid w:val="003107A8"/>
    <w:rsid w:val="00310B67"/>
    <w:rsid w:val="00310C33"/>
    <w:rsid w:val="00311163"/>
    <w:rsid w:val="0031144D"/>
    <w:rsid w:val="00311526"/>
    <w:rsid w:val="00311797"/>
    <w:rsid w:val="00311AC3"/>
    <w:rsid w:val="00311CD5"/>
    <w:rsid w:val="00311E2D"/>
    <w:rsid w:val="00312141"/>
    <w:rsid w:val="00312386"/>
    <w:rsid w:val="0031274B"/>
    <w:rsid w:val="003127F4"/>
    <w:rsid w:val="003128F6"/>
    <w:rsid w:val="003129A8"/>
    <w:rsid w:val="00312EF3"/>
    <w:rsid w:val="00312FC2"/>
    <w:rsid w:val="00313583"/>
    <w:rsid w:val="00313629"/>
    <w:rsid w:val="003136A2"/>
    <w:rsid w:val="00313A0B"/>
    <w:rsid w:val="00313A3F"/>
    <w:rsid w:val="00313BD8"/>
    <w:rsid w:val="00313D4B"/>
    <w:rsid w:val="00313E37"/>
    <w:rsid w:val="0031460F"/>
    <w:rsid w:val="00314719"/>
    <w:rsid w:val="00314A3A"/>
    <w:rsid w:val="00314AD9"/>
    <w:rsid w:val="00314C6B"/>
    <w:rsid w:val="00314E83"/>
    <w:rsid w:val="003150CE"/>
    <w:rsid w:val="0031513F"/>
    <w:rsid w:val="003151C4"/>
    <w:rsid w:val="00315665"/>
    <w:rsid w:val="00315998"/>
    <w:rsid w:val="00315B51"/>
    <w:rsid w:val="00315BFA"/>
    <w:rsid w:val="00315C60"/>
    <w:rsid w:val="00315E40"/>
    <w:rsid w:val="00315F69"/>
    <w:rsid w:val="00315FE4"/>
    <w:rsid w:val="00316187"/>
    <w:rsid w:val="003169C6"/>
    <w:rsid w:val="00316A3A"/>
    <w:rsid w:val="003173E3"/>
    <w:rsid w:val="00317604"/>
    <w:rsid w:val="00317660"/>
    <w:rsid w:val="00317682"/>
    <w:rsid w:val="003176EB"/>
    <w:rsid w:val="00317908"/>
    <w:rsid w:val="0031792D"/>
    <w:rsid w:val="00317D80"/>
    <w:rsid w:val="0032020B"/>
    <w:rsid w:val="0032057A"/>
    <w:rsid w:val="00320AEF"/>
    <w:rsid w:val="00320B38"/>
    <w:rsid w:val="00320C10"/>
    <w:rsid w:val="00320C96"/>
    <w:rsid w:val="003217DC"/>
    <w:rsid w:val="003218C3"/>
    <w:rsid w:val="00321E33"/>
    <w:rsid w:val="00321F00"/>
    <w:rsid w:val="00321F0C"/>
    <w:rsid w:val="003222C5"/>
    <w:rsid w:val="003224F5"/>
    <w:rsid w:val="0032253D"/>
    <w:rsid w:val="003227BE"/>
    <w:rsid w:val="00322955"/>
    <w:rsid w:val="00322B99"/>
    <w:rsid w:val="00322BE1"/>
    <w:rsid w:val="003231B2"/>
    <w:rsid w:val="003234EF"/>
    <w:rsid w:val="003236BC"/>
    <w:rsid w:val="00323BF8"/>
    <w:rsid w:val="00324045"/>
    <w:rsid w:val="003240EC"/>
    <w:rsid w:val="00324421"/>
    <w:rsid w:val="003244F4"/>
    <w:rsid w:val="0032473A"/>
    <w:rsid w:val="00324C01"/>
    <w:rsid w:val="00324DC0"/>
    <w:rsid w:val="0032518A"/>
    <w:rsid w:val="003254A3"/>
    <w:rsid w:val="0032560C"/>
    <w:rsid w:val="00325AD6"/>
    <w:rsid w:val="00325B6E"/>
    <w:rsid w:val="00325C6D"/>
    <w:rsid w:val="00325D50"/>
    <w:rsid w:val="00325FAA"/>
    <w:rsid w:val="00325FBB"/>
    <w:rsid w:val="003262FD"/>
    <w:rsid w:val="0032635E"/>
    <w:rsid w:val="003264F8"/>
    <w:rsid w:val="0032654A"/>
    <w:rsid w:val="00326754"/>
    <w:rsid w:val="003268DA"/>
    <w:rsid w:val="00326AE5"/>
    <w:rsid w:val="00326D78"/>
    <w:rsid w:val="00326DAD"/>
    <w:rsid w:val="00326E78"/>
    <w:rsid w:val="00327309"/>
    <w:rsid w:val="003275DD"/>
    <w:rsid w:val="003278D1"/>
    <w:rsid w:val="003279BD"/>
    <w:rsid w:val="003300CB"/>
    <w:rsid w:val="00330242"/>
    <w:rsid w:val="0033063D"/>
    <w:rsid w:val="0033090E"/>
    <w:rsid w:val="00330998"/>
    <w:rsid w:val="00330EE0"/>
    <w:rsid w:val="00331032"/>
    <w:rsid w:val="00331046"/>
    <w:rsid w:val="00331434"/>
    <w:rsid w:val="00331602"/>
    <w:rsid w:val="00331AED"/>
    <w:rsid w:val="00331B25"/>
    <w:rsid w:val="003323C1"/>
    <w:rsid w:val="0033262B"/>
    <w:rsid w:val="00332746"/>
    <w:rsid w:val="0033277C"/>
    <w:rsid w:val="00332A28"/>
    <w:rsid w:val="00332AA8"/>
    <w:rsid w:val="00332AB2"/>
    <w:rsid w:val="0033354E"/>
    <w:rsid w:val="00333D22"/>
    <w:rsid w:val="003341D7"/>
    <w:rsid w:val="00334773"/>
    <w:rsid w:val="003347CA"/>
    <w:rsid w:val="00334802"/>
    <w:rsid w:val="0033499F"/>
    <w:rsid w:val="00334BF8"/>
    <w:rsid w:val="00334C66"/>
    <w:rsid w:val="00334DBC"/>
    <w:rsid w:val="00334F4C"/>
    <w:rsid w:val="0033525D"/>
    <w:rsid w:val="0033529A"/>
    <w:rsid w:val="00335AA7"/>
    <w:rsid w:val="00335C73"/>
    <w:rsid w:val="0033632E"/>
    <w:rsid w:val="00336675"/>
    <w:rsid w:val="003367A9"/>
    <w:rsid w:val="003369DB"/>
    <w:rsid w:val="00336CD8"/>
    <w:rsid w:val="00336D0D"/>
    <w:rsid w:val="00336EA6"/>
    <w:rsid w:val="003371BB"/>
    <w:rsid w:val="0033741C"/>
    <w:rsid w:val="003375CC"/>
    <w:rsid w:val="003376EE"/>
    <w:rsid w:val="00337718"/>
    <w:rsid w:val="003379EB"/>
    <w:rsid w:val="00337C74"/>
    <w:rsid w:val="00340027"/>
    <w:rsid w:val="00340408"/>
    <w:rsid w:val="003407C2"/>
    <w:rsid w:val="00340C3D"/>
    <w:rsid w:val="00340DBE"/>
    <w:rsid w:val="00340F44"/>
    <w:rsid w:val="00340F56"/>
    <w:rsid w:val="00341046"/>
    <w:rsid w:val="00341092"/>
    <w:rsid w:val="00341297"/>
    <w:rsid w:val="0034133A"/>
    <w:rsid w:val="00341404"/>
    <w:rsid w:val="003415A1"/>
    <w:rsid w:val="003418B2"/>
    <w:rsid w:val="00341A8B"/>
    <w:rsid w:val="00341E95"/>
    <w:rsid w:val="00341ED8"/>
    <w:rsid w:val="00341FC9"/>
    <w:rsid w:val="00342083"/>
    <w:rsid w:val="00342201"/>
    <w:rsid w:val="00342244"/>
    <w:rsid w:val="0034233D"/>
    <w:rsid w:val="003423D6"/>
    <w:rsid w:val="0034265B"/>
    <w:rsid w:val="003428C1"/>
    <w:rsid w:val="003428CC"/>
    <w:rsid w:val="00342986"/>
    <w:rsid w:val="00342CA9"/>
    <w:rsid w:val="00342D3B"/>
    <w:rsid w:val="00342D7B"/>
    <w:rsid w:val="003430BC"/>
    <w:rsid w:val="0034319A"/>
    <w:rsid w:val="003431DF"/>
    <w:rsid w:val="00343411"/>
    <w:rsid w:val="00343426"/>
    <w:rsid w:val="00343467"/>
    <w:rsid w:val="0034380D"/>
    <w:rsid w:val="00343AB9"/>
    <w:rsid w:val="00343BC7"/>
    <w:rsid w:val="00343D7E"/>
    <w:rsid w:val="00343E01"/>
    <w:rsid w:val="00344326"/>
    <w:rsid w:val="003443ED"/>
    <w:rsid w:val="003445AD"/>
    <w:rsid w:val="003446B3"/>
    <w:rsid w:val="003446C3"/>
    <w:rsid w:val="00344EF6"/>
    <w:rsid w:val="003450C6"/>
    <w:rsid w:val="003450CE"/>
    <w:rsid w:val="0034523A"/>
    <w:rsid w:val="00345989"/>
    <w:rsid w:val="00345CD7"/>
    <w:rsid w:val="00345F3D"/>
    <w:rsid w:val="00346135"/>
    <w:rsid w:val="00346333"/>
    <w:rsid w:val="0034637E"/>
    <w:rsid w:val="003463BC"/>
    <w:rsid w:val="0034640D"/>
    <w:rsid w:val="00346658"/>
    <w:rsid w:val="00346873"/>
    <w:rsid w:val="00346930"/>
    <w:rsid w:val="00346AF9"/>
    <w:rsid w:val="003470FE"/>
    <w:rsid w:val="0034727F"/>
    <w:rsid w:val="00347353"/>
    <w:rsid w:val="003473ED"/>
    <w:rsid w:val="0034748D"/>
    <w:rsid w:val="00347539"/>
    <w:rsid w:val="0034794E"/>
    <w:rsid w:val="00347ADB"/>
    <w:rsid w:val="00347E33"/>
    <w:rsid w:val="00347EBD"/>
    <w:rsid w:val="00350512"/>
    <w:rsid w:val="00350839"/>
    <w:rsid w:val="00350A67"/>
    <w:rsid w:val="00350A6B"/>
    <w:rsid w:val="00350B73"/>
    <w:rsid w:val="00350C3E"/>
    <w:rsid w:val="00350E35"/>
    <w:rsid w:val="00350F94"/>
    <w:rsid w:val="003513B0"/>
    <w:rsid w:val="003514FF"/>
    <w:rsid w:val="00351659"/>
    <w:rsid w:val="00351791"/>
    <w:rsid w:val="003517BB"/>
    <w:rsid w:val="0035190D"/>
    <w:rsid w:val="00351A1B"/>
    <w:rsid w:val="00351A58"/>
    <w:rsid w:val="00351ABA"/>
    <w:rsid w:val="00351E73"/>
    <w:rsid w:val="00352001"/>
    <w:rsid w:val="003522F6"/>
    <w:rsid w:val="003522FE"/>
    <w:rsid w:val="0035239B"/>
    <w:rsid w:val="003524B9"/>
    <w:rsid w:val="003525AB"/>
    <w:rsid w:val="00352704"/>
    <w:rsid w:val="00352A7A"/>
    <w:rsid w:val="00352BDE"/>
    <w:rsid w:val="00352D48"/>
    <w:rsid w:val="00352EFE"/>
    <w:rsid w:val="00353341"/>
    <w:rsid w:val="0035368A"/>
    <w:rsid w:val="0035378B"/>
    <w:rsid w:val="00353A74"/>
    <w:rsid w:val="00353A7A"/>
    <w:rsid w:val="00353D6C"/>
    <w:rsid w:val="00353EFF"/>
    <w:rsid w:val="00353FBD"/>
    <w:rsid w:val="00354011"/>
    <w:rsid w:val="00354BF3"/>
    <w:rsid w:val="00354E01"/>
    <w:rsid w:val="00355170"/>
    <w:rsid w:val="00355209"/>
    <w:rsid w:val="00355557"/>
    <w:rsid w:val="0035557B"/>
    <w:rsid w:val="00355BE8"/>
    <w:rsid w:val="00356007"/>
    <w:rsid w:val="00356691"/>
    <w:rsid w:val="003567C7"/>
    <w:rsid w:val="00356BD1"/>
    <w:rsid w:val="00357104"/>
    <w:rsid w:val="003571AD"/>
    <w:rsid w:val="00357252"/>
    <w:rsid w:val="00357325"/>
    <w:rsid w:val="00357398"/>
    <w:rsid w:val="00357625"/>
    <w:rsid w:val="00357668"/>
    <w:rsid w:val="0035776F"/>
    <w:rsid w:val="00357B73"/>
    <w:rsid w:val="00357C88"/>
    <w:rsid w:val="00357E7D"/>
    <w:rsid w:val="00360106"/>
    <w:rsid w:val="0036013E"/>
    <w:rsid w:val="00360240"/>
    <w:rsid w:val="0036026C"/>
    <w:rsid w:val="003602B6"/>
    <w:rsid w:val="003602F7"/>
    <w:rsid w:val="00360A91"/>
    <w:rsid w:val="00360F01"/>
    <w:rsid w:val="00361389"/>
    <w:rsid w:val="003615E2"/>
    <w:rsid w:val="00361638"/>
    <w:rsid w:val="00361893"/>
    <w:rsid w:val="00361A13"/>
    <w:rsid w:val="00361AB2"/>
    <w:rsid w:val="00361ABE"/>
    <w:rsid w:val="00361C0F"/>
    <w:rsid w:val="00361FE2"/>
    <w:rsid w:val="00361FEB"/>
    <w:rsid w:val="003620CC"/>
    <w:rsid w:val="003621DE"/>
    <w:rsid w:val="003625CA"/>
    <w:rsid w:val="00362674"/>
    <w:rsid w:val="0036294C"/>
    <w:rsid w:val="00362B17"/>
    <w:rsid w:val="0036324D"/>
    <w:rsid w:val="00363307"/>
    <w:rsid w:val="003634F0"/>
    <w:rsid w:val="003635E6"/>
    <w:rsid w:val="003636F7"/>
    <w:rsid w:val="00363754"/>
    <w:rsid w:val="003638A3"/>
    <w:rsid w:val="00363C86"/>
    <w:rsid w:val="00363DA4"/>
    <w:rsid w:val="00363F6E"/>
    <w:rsid w:val="00363F96"/>
    <w:rsid w:val="00363FB3"/>
    <w:rsid w:val="00364072"/>
    <w:rsid w:val="00364266"/>
    <w:rsid w:val="0036458D"/>
    <w:rsid w:val="003645D9"/>
    <w:rsid w:val="003645E6"/>
    <w:rsid w:val="00364B70"/>
    <w:rsid w:val="00364FA4"/>
    <w:rsid w:val="00365530"/>
    <w:rsid w:val="00365745"/>
    <w:rsid w:val="003657DF"/>
    <w:rsid w:val="00365987"/>
    <w:rsid w:val="00365A89"/>
    <w:rsid w:val="00365AA8"/>
    <w:rsid w:val="00365AD4"/>
    <w:rsid w:val="00365B91"/>
    <w:rsid w:val="00365B96"/>
    <w:rsid w:val="0036603D"/>
    <w:rsid w:val="00366128"/>
    <w:rsid w:val="0036627D"/>
    <w:rsid w:val="00366319"/>
    <w:rsid w:val="00366324"/>
    <w:rsid w:val="0036639E"/>
    <w:rsid w:val="00366979"/>
    <w:rsid w:val="00366B67"/>
    <w:rsid w:val="00366B9D"/>
    <w:rsid w:val="00366C33"/>
    <w:rsid w:val="00366C7C"/>
    <w:rsid w:val="00366D31"/>
    <w:rsid w:val="00366D6E"/>
    <w:rsid w:val="00366F22"/>
    <w:rsid w:val="00367494"/>
    <w:rsid w:val="003676C7"/>
    <w:rsid w:val="00367800"/>
    <w:rsid w:val="003678F0"/>
    <w:rsid w:val="00367EA4"/>
    <w:rsid w:val="00367ECF"/>
    <w:rsid w:val="00370345"/>
    <w:rsid w:val="00370AE1"/>
    <w:rsid w:val="00370B4E"/>
    <w:rsid w:val="00370B69"/>
    <w:rsid w:val="00370BEC"/>
    <w:rsid w:val="0037104F"/>
    <w:rsid w:val="003710A1"/>
    <w:rsid w:val="00371226"/>
    <w:rsid w:val="00371360"/>
    <w:rsid w:val="00371447"/>
    <w:rsid w:val="00371512"/>
    <w:rsid w:val="00371AB2"/>
    <w:rsid w:val="00371C33"/>
    <w:rsid w:val="00371FCB"/>
    <w:rsid w:val="003727BA"/>
    <w:rsid w:val="00372801"/>
    <w:rsid w:val="003728B9"/>
    <w:rsid w:val="00372A03"/>
    <w:rsid w:val="00372AA3"/>
    <w:rsid w:val="00372B00"/>
    <w:rsid w:val="00372B2D"/>
    <w:rsid w:val="00372E09"/>
    <w:rsid w:val="00372E4F"/>
    <w:rsid w:val="00372E9C"/>
    <w:rsid w:val="00372F05"/>
    <w:rsid w:val="00372FBC"/>
    <w:rsid w:val="0037314E"/>
    <w:rsid w:val="003732FD"/>
    <w:rsid w:val="00373509"/>
    <w:rsid w:val="003735B1"/>
    <w:rsid w:val="0037361A"/>
    <w:rsid w:val="003736EF"/>
    <w:rsid w:val="003736FE"/>
    <w:rsid w:val="003737B3"/>
    <w:rsid w:val="00373856"/>
    <w:rsid w:val="003739B4"/>
    <w:rsid w:val="00373C78"/>
    <w:rsid w:val="00373DAA"/>
    <w:rsid w:val="00373EB8"/>
    <w:rsid w:val="00373FB2"/>
    <w:rsid w:val="0037401B"/>
    <w:rsid w:val="003740AF"/>
    <w:rsid w:val="0037414E"/>
    <w:rsid w:val="00374187"/>
    <w:rsid w:val="00374198"/>
    <w:rsid w:val="0037442C"/>
    <w:rsid w:val="0037456F"/>
    <w:rsid w:val="00374679"/>
    <w:rsid w:val="003746E7"/>
    <w:rsid w:val="00374AD9"/>
    <w:rsid w:val="00374B74"/>
    <w:rsid w:val="0037505D"/>
    <w:rsid w:val="003756C0"/>
    <w:rsid w:val="003757C2"/>
    <w:rsid w:val="00376684"/>
    <w:rsid w:val="003766F8"/>
    <w:rsid w:val="00376942"/>
    <w:rsid w:val="00376AA0"/>
    <w:rsid w:val="00376B2B"/>
    <w:rsid w:val="00376C11"/>
    <w:rsid w:val="0037705B"/>
    <w:rsid w:val="003770CA"/>
    <w:rsid w:val="00377285"/>
    <w:rsid w:val="00377520"/>
    <w:rsid w:val="00377590"/>
    <w:rsid w:val="0037774F"/>
    <w:rsid w:val="00377D4A"/>
    <w:rsid w:val="00380071"/>
    <w:rsid w:val="00380390"/>
    <w:rsid w:val="003803CC"/>
    <w:rsid w:val="00380534"/>
    <w:rsid w:val="0038076A"/>
    <w:rsid w:val="00380934"/>
    <w:rsid w:val="00380CAE"/>
    <w:rsid w:val="00380D4F"/>
    <w:rsid w:val="00380ECE"/>
    <w:rsid w:val="00380F0C"/>
    <w:rsid w:val="003810A6"/>
    <w:rsid w:val="00381337"/>
    <w:rsid w:val="003813C6"/>
    <w:rsid w:val="00381CB4"/>
    <w:rsid w:val="00381D34"/>
    <w:rsid w:val="00381F59"/>
    <w:rsid w:val="0038209D"/>
    <w:rsid w:val="003822A5"/>
    <w:rsid w:val="00382943"/>
    <w:rsid w:val="003829F7"/>
    <w:rsid w:val="00382D14"/>
    <w:rsid w:val="00382F91"/>
    <w:rsid w:val="003831D4"/>
    <w:rsid w:val="00383352"/>
    <w:rsid w:val="0038376C"/>
    <w:rsid w:val="00383AAA"/>
    <w:rsid w:val="00383ACB"/>
    <w:rsid w:val="00383BC4"/>
    <w:rsid w:val="00383E3A"/>
    <w:rsid w:val="00383EC7"/>
    <w:rsid w:val="003848EE"/>
    <w:rsid w:val="00384F6C"/>
    <w:rsid w:val="00385785"/>
    <w:rsid w:val="003859C1"/>
    <w:rsid w:val="00385B21"/>
    <w:rsid w:val="00385EBE"/>
    <w:rsid w:val="00385F27"/>
    <w:rsid w:val="0038628A"/>
    <w:rsid w:val="0038638C"/>
    <w:rsid w:val="00386608"/>
    <w:rsid w:val="00386779"/>
    <w:rsid w:val="003867F4"/>
    <w:rsid w:val="003868A5"/>
    <w:rsid w:val="00386B48"/>
    <w:rsid w:val="00386C0F"/>
    <w:rsid w:val="00386DA7"/>
    <w:rsid w:val="00386F42"/>
    <w:rsid w:val="00386F89"/>
    <w:rsid w:val="00386FB6"/>
    <w:rsid w:val="00387190"/>
    <w:rsid w:val="00387241"/>
    <w:rsid w:val="00387541"/>
    <w:rsid w:val="0038763A"/>
    <w:rsid w:val="0038789E"/>
    <w:rsid w:val="00387A1D"/>
    <w:rsid w:val="00387C5E"/>
    <w:rsid w:val="00387DA6"/>
    <w:rsid w:val="00387FB3"/>
    <w:rsid w:val="00387FC4"/>
    <w:rsid w:val="0039069B"/>
    <w:rsid w:val="00390745"/>
    <w:rsid w:val="00390910"/>
    <w:rsid w:val="00390A57"/>
    <w:rsid w:val="00390A59"/>
    <w:rsid w:val="00390BCF"/>
    <w:rsid w:val="00391617"/>
    <w:rsid w:val="0039177B"/>
    <w:rsid w:val="0039183B"/>
    <w:rsid w:val="003918CB"/>
    <w:rsid w:val="00391927"/>
    <w:rsid w:val="003920F1"/>
    <w:rsid w:val="00392144"/>
    <w:rsid w:val="003922EC"/>
    <w:rsid w:val="0039261A"/>
    <w:rsid w:val="00392688"/>
    <w:rsid w:val="00392C2E"/>
    <w:rsid w:val="00392CE9"/>
    <w:rsid w:val="00392DC1"/>
    <w:rsid w:val="003931BB"/>
    <w:rsid w:val="0039339A"/>
    <w:rsid w:val="00393D7E"/>
    <w:rsid w:val="00393F65"/>
    <w:rsid w:val="00394132"/>
    <w:rsid w:val="00394669"/>
    <w:rsid w:val="00394796"/>
    <w:rsid w:val="00394C0F"/>
    <w:rsid w:val="00394F6E"/>
    <w:rsid w:val="00395339"/>
    <w:rsid w:val="003953F2"/>
    <w:rsid w:val="00395941"/>
    <w:rsid w:val="003959A5"/>
    <w:rsid w:val="00395A81"/>
    <w:rsid w:val="00395BDC"/>
    <w:rsid w:val="00395ED9"/>
    <w:rsid w:val="003961B9"/>
    <w:rsid w:val="003964B5"/>
    <w:rsid w:val="003964B7"/>
    <w:rsid w:val="00396AA5"/>
    <w:rsid w:val="00396BCC"/>
    <w:rsid w:val="00396C19"/>
    <w:rsid w:val="00397108"/>
    <w:rsid w:val="00397140"/>
    <w:rsid w:val="00397464"/>
    <w:rsid w:val="0039794E"/>
    <w:rsid w:val="00397D18"/>
    <w:rsid w:val="00397F5F"/>
    <w:rsid w:val="003A00D5"/>
    <w:rsid w:val="003A0565"/>
    <w:rsid w:val="003A05D2"/>
    <w:rsid w:val="003A0747"/>
    <w:rsid w:val="003A0E08"/>
    <w:rsid w:val="003A0E3C"/>
    <w:rsid w:val="003A12FE"/>
    <w:rsid w:val="003A1B9B"/>
    <w:rsid w:val="003A1DC4"/>
    <w:rsid w:val="003A20FF"/>
    <w:rsid w:val="003A241F"/>
    <w:rsid w:val="003A24C1"/>
    <w:rsid w:val="003A268B"/>
    <w:rsid w:val="003A2732"/>
    <w:rsid w:val="003A2946"/>
    <w:rsid w:val="003A2BAD"/>
    <w:rsid w:val="003A2CEA"/>
    <w:rsid w:val="003A2EDE"/>
    <w:rsid w:val="003A3433"/>
    <w:rsid w:val="003A3633"/>
    <w:rsid w:val="003A36BD"/>
    <w:rsid w:val="003A3C07"/>
    <w:rsid w:val="003A49A1"/>
    <w:rsid w:val="003A4D8E"/>
    <w:rsid w:val="003A4E47"/>
    <w:rsid w:val="003A4FF7"/>
    <w:rsid w:val="003A5089"/>
    <w:rsid w:val="003A523C"/>
    <w:rsid w:val="003A525C"/>
    <w:rsid w:val="003A52AA"/>
    <w:rsid w:val="003A5636"/>
    <w:rsid w:val="003A589F"/>
    <w:rsid w:val="003A58B5"/>
    <w:rsid w:val="003A5D28"/>
    <w:rsid w:val="003A6009"/>
    <w:rsid w:val="003A65B0"/>
    <w:rsid w:val="003A69E6"/>
    <w:rsid w:val="003A6A25"/>
    <w:rsid w:val="003A6E50"/>
    <w:rsid w:val="003A6F86"/>
    <w:rsid w:val="003A7099"/>
    <w:rsid w:val="003A7114"/>
    <w:rsid w:val="003A7359"/>
    <w:rsid w:val="003A73E8"/>
    <w:rsid w:val="003A75F1"/>
    <w:rsid w:val="003A7600"/>
    <w:rsid w:val="003A76B4"/>
    <w:rsid w:val="003A7786"/>
    <w:rsid w:val="003A77D4"/>
    <w:rsid w:val="003B00E9"/>
    <w:rsid w:val="003B01E5"/>
    <w:rsid w:val="003B02C2"/>
    <w:rsid w:val="003B03D9"/>
    <w:rsid w:val="003B088D"/>
    <w:rsid w:val="003B0BFF"/>
    <w:rsid w:val="003B0CF7"/>
    <w:rsid w:val="003B0FD7"/>
    <w:rsid w:val="003B14EA"/>
    <w:rsid w:val="003B1594"/>
    <w:rsid w:val="003B18E8"/>
    <w:rsid w:val="003B1C4C"/>
    <w:rsid w:val="003B1CA3"/>
    <w:rsid w:val="003B3053"/>
    <w:rsid w:val="003B34C4"/>
    <w:rsid w:val="003B35B3"/>
    <w:rsid w:val="003B37A6"/>
    <w:rsid w:val="003B38F9"/>
    <w:rsid w:val="003B3D08"/>
    <w:rsid w:val="003B3FC3"/>
    <w:rsid w:val="003B4080"/>
    <w:rsid w:val="003B43E0"/>
    <w:rsid w:val="003B4407"/>
    <w:rsid w:val="003B46EB"/>
    <w:rsid w:val="003B470D"/>
    <w:rsid w:val="003B4C92"/>
    <w:rsid w:val="003B5101"/>
    <w:rsid w:val="003B5363"/>
    <w:rsid w:val="003B5480"/>
    <w:rsid w:val="003B56AE"/>
    <w:rsid w:val="003B57CC"/>
    <w:rsid w:val="003B59AC"/>
    <w:rsid w:val="003B5BC7"/>
    <w:rsid w:val="003B5E42"/>
    <w:rsid w:val="003B5E9D"/>
    <w:rsid w:val="003B624A"/>
    <w:rsid w:val="003B627C"/>
    <w:rsid w:val="003B63AA"/>
    <w:rsid w:val="003B648A"/>
    <w:rsid w:val="003B65B7"/>
    <w:rsid w:val="003B66AF"/>
    <w:rsid w:val="003B680B"/>
    <w:rsid w:val="003B6B1B"/>
    <w:rsid w:val="003B7000"/>
    <w:rsid w:val="003B710F"/>
    <w:rsid w:val="003B758D"/>
    <w:rsid w:val="003B76D4"/>
    <w:rsid w:val="003B784D"/>
    <w:rsid w:val="003C00A9"/>
    <w:rsid w:val="003C00D4"/>
    <w:rsid w:val="003C022D"/>
    <w:rsid w:val="003C02A8"/>
    <w:rsid w:val="003C08D0"/>
    <w:rsid w:val="003C0B4C"/>
    <w:rsid w:val="003C0C08"/>
    <w:rsid w:val="003C0E19"/>
    <w:rsid w:val="003C13D2"/>
    <w:rsid w:val="003C14EA"/>
    <w:rsid w:val="003C1918"/>
    <w:rsid w:val="003C1DE9"/>
    <w:rsid w:val="003C214A"/>
    <w:rsid w:val="003C26BE"/>
    <w:rsid w:val="003C2862"/>
    <w:rsid w:val="003C2ABB"/>
    <w:rsid w:val="003C2C10"/>
    <w:rsid w:val="003C2C27"/>
    <w:rsid w:val="003C2CA7"/>
    <w:rsid w:val="003C2F45"/>
    <w:rsid w:val="003C3229"/>
    <w:rsid w:val="003C3622"/>
    <w:rsid w:val="003C3732"/>
    <w:rsid w:val="003C37EA"/>
    <w:rsid w:val="003C38AE"/>
    <w:rsid w:val="003C38CB"/>
    <w:rsid w:val="003C38F5"/>
    <w:rsid w:val="003C396E"/>
    <w:rsid w:val="003C3A92"/>
    <w:rsid w:val="003C3CF5"/>
    <w:rsid w:val="003C3EB4"/>
    <w:rsid w:val="003C455D"/>
    <w:rsid w:val="003C45B2"/>
    <w:rsid w:val="003C49E5"/>
    <w:rsid w:val="003C508F"/>
    <w:rsid w:val="003C5175"/>
    <w:rsid w:val="003C549E"/>
    <w:rsid w:val="003C56AA"/>
    <w:rsid w:val="003C5896"/>
    <w:rsid w:val="003C5B0C"/>
    <w:rsid w:val="003C5C53"/>
    <w:rsid w:val="003C5FB2"/>
    <w:rsid w:val="003C6370"/>
    <w:rsid w:val="003C65CC"/>
    <w:rsid w:val="003C6D42"/>
    <w:rsid w:val="003C7152"/>
    <w:rsid w:val="003C7537"/>
    <w:rsid w:val="003C755C"/>
    <w:rsid w:val="003C799F"/>
    <w:rsid w:val="003C7CC8"/>
    <w:rsid w:val="003D00C2"/>
    <w:rsid w:val="003D03BC"/>
    <w:rsid w:val="003D046E"/>
    <w:rsid w:val="003D0700"/>
    <w:rsid w:val="003D07B2"/>
    <w:rsid w:val="003D0899"/>
    <w:rsid w:val="003D0A0B"/>
    <w:rsid w:val="003D0B65"/>
    <w:rsid w:val="003D0D82"/>
    <w:rsid w:val="003D1118"/>
    <w:rsid w:val="003D1129"/>
    <w:rsid w:val="003D1133"/>
    <w:rsid w:val="003D14EB"/>
    <w:rsid w:val="003D16BC"/>
    <w:rsid w:val="003D1811"/>
    <w:rsid w:val="003D192E"/>
    <w:rsid w:val="003D1D9C"/>
    <w:rsid w:val="003D1E46"/>
    <w:rsid w:val="003D1F0F"/>
    <w:rsid w:val="003D26B1"/>
    <w:rsid w:val="003D26C4"/>
    <w:rsid w:val="003D27DC"/>
    <w:rsid w:val="003D2835"/>
    <w:rsid w:val="003D2910"/>
    <w:rsid w:val="003D2B71"/>
    <w:rsid w:val="003D2C84"/>
    <w:rsid w:val="003D2CEB"/>
    <w:rsid w:val="003D2D53"/>
    <w:rsid w:val="003D2D5A"/>
    <w:rsid w:val="003D322F"/>
    <w:rsid w:val="003D3266"/>
    <w:rsid w:val="003D3466"/>
    <w:rsid w:val="003D383D"/>
    <w:rsid w:val="003D3889"/>
    <w:rsid w:val="003D38C3"/>
    <w:rsid w:val="003D38EA"/>
    <w:rsid w:val="003D38F1"/>
    <w:rsid w:val="003D3BD9"/>
    <w:rsid w:val="003D3BE7"/>
    <w:rsid w:val="003D3CD6"/>
    <w:rsid w:val="003D4092"/>
    <w:rsid w:val="003D4178"/>
    <w:rsid w:val="003D4203"/>
    <w:rsid w:val="003D437F"/>
    <w:rsid w:val="003D4C6D"/>
    <w:rsid w:val="003D4F03"/>
    <w:rsid w:val="003D4F4D"/>
    <w:rsid w:val="003D5143"/>
    <w:rsid w:val="003D58D1"/>
    <w:rsid w:val="003D5A09"/>
    <w:rsid w:val="003D6451"/>
    <w:rsid w:val="003D6F8E"/>
    <w:rsid w:val="003D7059"/>
    <w:rsid w:val="003D710A"/>
    <w:rsid w:val="003D745B"/>
    <w:rsid w:val="003D7825"/>
    <w:rsid w:val="003D7863"/>
    <w:rsid w:val="003D78D0"/>
    <w:rsid w:val="003D7A7E"/>
    <w:rsid w:val="003D7B38"/>
    <w:rsid w:val="003D7C0F"/>
    <w:rsid w:val="003E0060"/>
    <w:rsid w:val="003E006B"/>
    <w:rsid w:val="003E0395"/>
    <w:rsid w:val="003E0462"/>
    <w:rsid w:val="003E0575"/>
    <w:rsid w:val="003E05A3"/>
    <w:rsid w:val="003E09D5"/>
    <w:rsid w:val="003E0B64"/>
    <w:rsid w:val="003E0B84"/>
    <w:rsid w:val="003E0CB2"/>
    <w:rsid w:val="003E0FB8"/>
    <w:rsid w:val="003E1282"/>
    <w:rsid w:val="003E1584"/>
    <w:rsid w:val="003E1656"/>
    <w:rsid w:val="003E1D0E"/>
    <w:rsid w:val="003E1DA2"/>
    <w:rsid w:val="003E1DD6"/>
    <w:rsid w:val="003E2312"/>
    <w:rsid w:val="003E2435"/>
    <w:rsid w:val="003E26D7"/>
    <w:rsid w:val="003E29AE"/>
    <w:rsid w:val="003E2A44"/>
    <w:rsid w:val="003E2E71"/>
    <w:rsid w:val="003E3232"/>
    <w:rsid w:val="003E36DA"/>
    <w:rsid w:val="003E36DB"/>
    <w:rsid w:val="003E37C8"/>
    <w:rsid w:val="003E3A11"/>
    <w:rsid w:val="003E3A7A"/>
    <w:rsid w:val="003E3A9E"/>
    <w:rsid w:val="003E3AF0"/>
    <w:rsid w:val="003E3AFD"/>
    <w:rsid w:val="003E3BE8"/>
    <w:rsid w:val="003E3C02"/>
    <w:rsid w:val="003E3D39"/>
    <w:rsid w:val="003E40AE"/>
    <w:rsid w:val="003E4513"/>
    <w:rsid w:val="003E47F1"/>
    <w:rsid w:val="003E480D"/>
    <w:rsid w:val="003E49FA"/>
    <w:rsid w:val="003E4AFD"/>
    <w:rsid w:val="003E4BB8"/>
    <w:rsid w:val="003E4C49"/>
    <w:rsid w:val="003E4DD3"/>
    <w:rsid w:val="003E4F21"/>
    <w:rsid w:val="003E4F5A"/>
    <w:rsid w:val="003E506C"/>
    <w:rsid w:val="003E50ED"/>
    <w:rsid w:val="003E5489"/>
    <w:rsid w:val="003E5727"/>
    <w:rsid w:val="003E592C"/>
    <w:rsid w:val="003E5BD7"/>
    <w:rsid w:val="003E5C8A"/>
    <w:rsid w:val="003E5EFC"/>
    <w:rsid w:val="003E6172"/>
    <w:rsid w:val="003E6513"/>
    <w:rsid w:val="003E652C"/>
    <w:rsid w:val="003E65C9"/>
    <w:rsid w:val="003E6972"/>
    <w:rsid w:val="003E69A7"/>
    <w:rsid w:val="003E6DD7"/>
    <w:rsid w:val="003E6FEA"/>
    <w:rsid w:val="003E7634"/>
    <w:rsid w:val="003E7D6D"/>
    <w:rsid w:val="003E7DF2"/>
    <w:rsid w:val="003E7EB8"/>
    <w:rsid w:val="003F0393"/>
    <w:rsid w:val="003F0553"/>
    <w:rsid w:val="003F0627"/>
    <w:rsid w:val="003F081D"/>
    <w:rsid w:val="003F10F9"/>
    <w:rsid w:val="003F116D"/>
    <w:rsid w:val="003F1A0E"/>
    <w:rsid w:val="003F1C19"/>
    <w:rsid w:val="003F1D8E"/>
    <w:rsid w:val="003F1DEF"/>
    <w:rsid w:val="003F2336"/>
    <w:rsid w:val="003F2351"/>
    <w:rsid w:val="003F26D6"/>
    <w:rsid w:val="003F2C89"/>
    <w:rsid w:val="003F2EEA"/>
    <w:rsid w:val="003F2FF9"/>
    <w:rsid w:val="003F30F2"/>
    <w:rsid w:val="003F34E3"/>
    <w:rsid w:val="003F367D"/>
    <w:rsid w:val="003F39EB"/>
    <w:rsid w:val="003F3DF5"/>
    <w:rsid w:val="003F3F11"/>
    <w:rsid w:val="003F3FDF"/>
    <w:rsid w:val="003F410F"/>
    <w:rsid w:val="003F4209"/>
    <w:rsid w:val="003F428F"/>
    <w:rsid w:val="003F4545"/>
    <w:rsid w:val="003F4604"/>
    <w:rsid w:val="003F495C"/>
    <w:rsid w:val="003F4A95"/>
    <w:rsid w:val="003F4E86"/>
    <w:rsid w:val="003F4ED5"/>
    <w:rsid w:val="003F4FCD"/>
    <w:rsid w:val="003F4FFF"/>
    <w:rsid w:val="003F516C"/>
    <w:rsid w:val="003F5617"/>
    <w:rsid w:val="003F57F6"/>
    <w:rsid w:val="003F5878"/>
    <w:rsid w:val="003F5946"/>
    <w:rsid w:val="003F595D"/>
    <w:rsid w:val="003F599D"/>
    <w:rsid w:val="003F5BD0"/>
    <w:rsid w:val="003F5C39"/>
    <w:rsid w:val="003F5D4C"/>
    <w:rsid w:val="003F5E58"/>
    <w:rsid w:val="003F5F0F"/>
    <w:rsid w:val="003F627E"/>
    <w:rsid w:val="003F64E2"/>
    <w:rsid w:val="003F6A4F"/>
    <w:rsid w:val="003F6A6B"/>
    <w:rsid w:val="003F6CD5"/>
    <w:rsid w:val="003F727A"/>
    <w:rsid w:val="003F72B9"/>
    <w:rsid w:val="003F784A"/>
    <w:rsid w:val="003F7C50"/>
    <w:rsid w:val="003F7DF4"/>
    <w:rsid w:val="003F7E67"/>
    <w:rsid w:val="00400031"/>
    <w:rsid w:val="00400283"/>
    <w:rsid w:val="00400300"/>
    <w:rsid w:val="00400BD8"/>
    <w:rsid w:val="00400CF7"/>
    <w:rsid w:val="004010F9"/>
    <w:rsid w:val="0040110A"/>
    <w:rsid w:val="00401349"/>
    <w:rsid w:val="0040139D"/>
    <w:rsid w:val="00401583"/>
    <w:rsid w:val="00401A34"/>
    <w:rsid w:val="00401B0A"/>
    <w:rsid w:val="00401D4F"/>
    <w:rsid w:val="00401DE2"/>
    <w:rsid w:val="00401F68"/>
    <w:rsid w:val="00402016"/>
    <w:rsid w:val="00402207"/>
    <w:rsid w:val="00402CBB"/>
    <w:rsid w:val="00402F46"/>
    <w:rsid w:val="00403030"/>
    <w:rsid w:val="004030A7"/>
    <w:rsid w:val="004030EC"/>
    <w:rsid w:val="004031D1"/>
    <w:rsid w:val="004031FC"/>
    <w:rsid w:val="00403346"/>
    <w:rsid w:val="00403831"/>
    <w:rsid w:val="00403B58"/>
    <w:rsid w:val="00403B92"/>
    <w:rsid w:val="00403BFC"/>
    <w:rsid w:val="00403FBF"/>
    <w:rsid w:val="00404132"/>
    <w:rsid w:val="0040413D"/>
    <w:rsid w:val="004044A6"/>
    <w:rsid w:val="0040466B"/>
    <w:rsid w:val="004046F7"/>
    <w:rsid w:val="00404D10"/>
    <w:rsid w:val="00404E1D"/>
    <w:rsid w:val="0040507E"/>
    <w:rsid w:val="004050CB"/>
    <w:rsid w:val="0040511D"/>
    <w:rsid w:val="004051C9"/>
    <w:rsid w:val="00405367"/>
    <w:rsid w:val="004053BE"/>
    <w:rsid w:val="00405912"/>
    <w:rsid w:val="00405FA8"/>
    <w:rsid w:val="00406366"/>
    <w:rsid w:val="00406686"/>
    <w:rsid w:val="00406730"/>
    <w:rsid w:val="004068BB"/>
    <w:rsid w:val="004068D3"/>
    <w:rsid w:val="00406954"/>
    <w:rsid w:val="00406A4B"/>
    <w:rsid w:val="00406B2B"/>
    <w:rsid w:val="00406EB7"/>
    <w:rsid w:val="0040724B"/>
    <w:rsid w:val="004073B4"/>
    <w:rsid w:val="00407564"/>
    <w:rsid w:val="0041055A"/>
    <w:rsid w:val="004106D0"/>
    <w:rsid w:val="004106F7"/>
    <w:rsid w:val="00410841"/>
    <w:rsid w:val="00410999"/>
    <w:rsid w:val="004109EC"/>
    <w:rsid w:val="00411117"/>
    <w:rsid w:val="00411276"/>
    <w:rsid w:val="004112EA"/>
    <w:rsid w:val="004113A7"/>
    <w:rsid w:val="004116CE"/>
    <w:rsid w:val="00411840"/>
    <w:rsid w:val="004118B4"/>
    <w:rsid w:val="00411ACF"/>
    <w:rsid w:val="00411CD6"/>
    <w:rsid w:val="00411F83"/>
    <w:rsid w:val="004120B9"/>
    <w:rsid w:val="0041228D"/>
    <w:rsid w:val="004128BC"/>
    <w:rsid w:val="00412927"/>
    <w:rsid w:val="00412B6D"/>
    <w:rsid w:val="00412BB7"/>
    <w:rsid w:val="004130AC"/>
    <w:rsid w:val="004135E2"/>
    <w:rsid w:val="004136B1"/>
    <w:rsid w:val="004136DF"/>
    <w:rsid w:val="00413A0C"/>
    <w:rsid w:val="00413BBF"/>
    <w:rsid w:val="00413F13"/>
    <w:rsid w:val="0041436C"/>
    <w:rsid w:val="0041460E"/>
    <w:rsid w:val="00414883"/>
    <w:rsid w:val="00414EE8"/>
    <w:rsid w:val="00414F28"/>
    <w:rsid w:val="00415014"/>
    <w:rsid w:val="00415064"/>
    <w:rsid w:val="00415173"/>
    <w:rsid w:val="004157FA"/>
    <w:rsid w:val="00415885"/>
    <w:rsid w:val="00415A55"/>
    <w:rsid w:val="00415CA9"/>
    <w:rsid w:val="00416007"/>
    <w:rsid w:val="00416084"/>
    <w:rsid w:val="00416159"/>
    <w:rsid w:val="00416315"/>
    <w:rsid w:val="004164D2"/>
    <w:rsid w:val="00416585"/>
    <w:rsid w:val="00416967"/>
    <w:rsid w:val="00416D36"/>
    <w:rsid w:val="00416E34"/>
    <w:rsid w:val="00417596"/>
    <w:rsid w:val="00417597"/>
    <w:rsid w:val="00417AA3"/>
    <w:rsid w:val="00417D41"/>
    <w:rsid w:val="00417E19"/>
    <w:rsid w:val="004202EF"/>
    <w:rsid w:val="00420591"/>
    <w:rsid w:val="004207E3"/>
    <w:rsid w:val="004208A0"/>
    <w:rsid w:val="00420F50"/>
    <w:rsid w:val="004210A6"/>
    <w:rsid w:val="00421271"/>
    <w:rsid w:val="0042131D"/>
    <w:rsid w:val="00421770"/>
    <w:rsid w:val="00421DC5"/>
    <w:rsid w:val="004220B4"/>
    <w:rsid w:val="004220BF"/>
    <w:rsid w:val="004222BB"/>
    <w:rsid w:val="004223E1"/>
    <w:rsid w:val="00422423"/>
    <w:rsid w:val="00422B3B"/>
    <w:rsid w:val="00422C22"/>
    <w:rsid w:val="004230A4"/>
    <w:rsid w:val="004231CE"/>
    <w:rsid w:val="00423206"/>
    <w:rsid w:val="00423212"/>
    <w:rsid w:val="00423268"/>
    <w:rsid w:val="004236C5"/>
    <w:rsid w:val="00423761"/>
    <w:rsid w:val="004237C1"/>
    <w:rsid w:val="00423824"/>
    <w:rsid w:val="00423BBF"/>
    <w:rsid w:val="00423D11"/>
    <w:rsid w:val="004246F3"/>
    <w:rsid w:val="004248A2"/>
    <w:rsid w:val="0042495F"/>
    <w:rsid w:val="00424D3D"/>
    <w:rsid w:val="00424E8F"/>
    <w:rsid w:val="00425101"/>
    <w:rsid w:val="00425142"/>
    <w:rsid w:val="00425574"/>
    <w:rsid w:val="004255E9"/>
    <w:rsid w:val="00425692"/>
    <w:rsid w:val="004256AD"/>
    <w:rsid w:val="004256E2"/>
    <w:rsid w:val="004257DA"/>
    <w:rsid w:val="00425856"/>
    <w:rsid w:val="004258EC"/>
    <w:rsid w:val="00426635"/>
    <w:rsid w:val="00426775"/>
    <w:rsid w:val="00426BED"/>
    <w:rsid w:val="00426C1E"/>
    <w:rsid w:val="00426D0F"/>
    <w:rsid w:val="0042725E"/>
    <w:rsid w:val="00427AEB"/>
    <w:rsid w:val="00427C84"/>
    <w:rsid w:val="0043023C"/>
    <w:rsid w:val="0043025A"/>
    <w:rsid w:val="004302A1"/>
    <w:rsid w:val="00430321"/>
    <w:rsid w:val="0043035B"/>
    <w:rsid w:val="00430489"/>
    <w:rsid w:val="00430593"/>
    <w:rsid w:val="004308F4"/>
    <w:rsid w:val="00430C25"/>
    <w:rsid w:val="00430DB8"/>
    <w:rsid w:val="004310CD"/>
    <w:rsid w:val="004316E2"/>
    <w:rsid w:val="00431828"/>
    <w:rsid w:val="00431CB5"/>
    <w:rsid w:val="00431E80"/>
    <w:rsid w:val="00431E91"/>
    <w:rsid w:val="00431FAB"/>
    <w:rsid w:val="00432491"/>
    <w:rsid w:val="00432509"/>
    <w:rsid w:val="00432528"/>
    <w:rsid w:val="004327EB"/>
    <w:rsid w:val="00432E73"/>
    <w:rsid w:val="00433517"/>
    <w:rsid w:val="00433650"/>
    <w:rsid w:val="0043373F"/>
    <w:rsid w:val="004337B7"/>
    <w:rsid w:val="004337F7"/>
    <w:rsid w:val="00433BE1"/>
    <w:rsid w:val="00433CD2"/>
    <w:rsid w:val="00433FEE"/>
    <w:rsid w:val="00434586"/>
    <w:rsid w:val="00434636"/>
    <w:rsid w:val="00434D40"/>
    <w:rsid w:val="00434EE3"/>
    <w:rsid w:val="00435050"/>
    <w:rsid w:val="004352C0"/>
    <w:rsid w:val="004352ED"/>
    <w:rsid w:val="00435534"/>
    <w:rsid w:val="00435776"/>
    <w:rsid w:val="00435A1E"/>
    <w:rsid w:val="00435BF2"/>
    <w:rsid w:val="00435C3D"/>
    <w:rsid w:val="00435CD9"/>
    <w:rsid w:val="00435E54"/>
    <w:rsid w:val="0043623C"/>
    <w:rsid w:val="004362FF"/>
    <w:rsid w:val="004365BB"/>
    <w:rsid w:val="00436B73"/>
    <w:rsid w:val="00436B76"/>
    <w:rsid w:val="00436BC8"/>
    <w:rsid w:val="00436EE1"/>
    <w:rsid w:val="0043716B"/>
    <w:rsid w:val="00437212"/>
    <w:rsid w:val="00437272"/>
    <w:rsid w:val="004373FC"/>
    <w:rsid w:val="004375F9"/>
    <w:rsid w:val="004376C2"/>
    <w:rsid w:val="00437A05"/>
    <w:rsid w:val="00437EA0"/>
    <w:rsid w:val="00437F91"/>
    <w:rsid w:val="0044001B"/>
    <w:rsid w:val="00440049"/>
    <w:rsid w:val="00440354"/>
    <w:rsid w:val="0044061A"/>
    <w:rsid w:val="00440B92"/>
    <w:rsid w:val="00440F58"/>
    <w:rsid w:val="00440F69"/>
    <w:rsid w:val="00440F81"/>
    <w:rsid w:val="0044124B"/>
    <w:rsid w:val="004412C8"/>
    <w:rsid w:val="004417F1"/>
    <w:rsid w:val="00441B2E"/>
    <w:rsid w:val="00441CA7"/>
    <w:rsid w:val="00441E2E"/>
    <w:rsid w:val="00441EDB"/>
    <w:rsid w:val="00441F33"/>
    <w:rsid w:val="004427E4"/>
    <w:rsid w:val="004427ED"/>
    <w:rsid w:val="00442844"/>
    <w:rsid w:val="00442A67"/>
    <w:rsid w:val="00442AB9"/>
    <w:rsid w:val="00442B37"/>
    <w:rsid w:val="00442E47"/>
    <w:rsid w:val="00442FC9"/>
    <w:rsid w:val="00443065"/>
    <w:rsid w:val="004430DD"/>
    <w:rsid w:val="004432A6"/>
    <w:rsid w:val="004436B8"/>
    <w:rsid w:val="004437E6"/>
    <w:rsid w:val="00443AE2"/>
    <w:rsid w:val="00443E87"/>
    <w:rsid w:val="00443ECF"/>
    <w:rsid w:val="0044413F"/>
    <w:rsid w:val="0044420C"/>
    <w:rsid w:val="00444AF3"/>
    <w:rsid w:val="00444D4C"/>
    <w:rsid w:val="00444DAD"/>
    <w:rsid w:val="00444EBA"/>
    <w:rsid w:val="00445087"/>
    <w:rsid w:val="00445285"/>
    <w:rsid w:val="0044534B"/>
    <w:rsid w:val="00445B8F"/>
    <w:rsid w:val="00445BE8"/>
    <w:rsid w:val="00445D5E"/>
    <w:rsid w:val="00445DAE"/>
    <w:rsid w:val="00446130"/>
    <w:rsid w:val="004462A6"/>
    <w:rsid w:val="004463A9"/>
    <w:rsid w:val="004469AE"/>
    <w:rsid w:val="004469E7"/>
    <w:rsid w:val="00446AFE"/>
    <w:rsid w:val="00446B24"/>
    <w:rsid w:val="00446E56"/>
    <w:rsid w:val="00446E93"/>
    <w:rsid w:val="00447103"/>
    <w:rsid w:val="00447504"/>
    <w:rsid w:val="0044754E"/>
    <w:rsid w:val="00447923"/>
    <w:rsid w:val="00447A37"/>
    <w:rsid w:val="00447D26"/>
    <w:rsid w:val="0045002E"/>
    <w:rsid w:val="004503CD"/>
    <w:rsid w:val="004504CA"/>
    <w:rsid w:val="004505E2"/>
    <w:rsid w:val="0045096D"/>
    <w:rsid w:val="00450A5C"/>
    <w:rsid w:val="004510EB"/>
    <w:rsid w:val="0045123E"/>
    <w:rsid w:val="0045134C"/>
    <w:rsid w:val="0045137A"/>
    <w:rsid w:val="004513EC"/>
    <w:rsid w:val="0045149E"/>
    <w:rsid w:val="0045185F"/>
    <w:rsid w:val="004519F0"/>
    <w:rsid w:val="00451E35"/>
    <w:rsid w:val="0045228A"/>
    <w:rsid w:val="004524B0"/>
    <w:rsid w:val="00452CD6"/>
    <w:rsid w:val="00452D88"/>
    <w:rsid w:val="00452F28"/>
    <w:rsid w:val="004531E5"/>
    <w:rsid w:val="00453435"/>
    <w:rsid w:val="00453789"/>
    <w:rsid w:val="00453AA4"/>
    <w:rsid w:val="004540FB"/>
    <w:rsid w:val="004542A6"/>
    <w:rsid w:val="0045441C"/>
    <w:rsid w:val="00454739"/>
    <w:rsid w:val="00454922"/>
    <w:rsid w:val="00454BEB"/>
    <w:rsid w:val="00454D19"/>
    <w:rsid w:val="00454E35"/>
    <w:rsid w:val="00455190"/>
    <w:rsid w:val="0045522E"/>
    <w:rsid w:val="00455376"/>
    <w:rsid w:val="0045559C"/>
    <w:rsid w:val="004557EA"/>
    <w:rsid w:val="0045588E"/>
    <w:rsid w:val="00455946"/>
    <w:rsid w:val="00455A9F"/>
    <w:rsid w:val="00455D5D"/>
    <w:rsid w:val="00455E22"/>
    <w:rsid w:val="00455FC1"/>
    <w:rsid w:val="00455FD3"/>
    <w:rsid w:val="0045616B"/>
    <w:rsid w:val="00456174"/>
    <w:rsid w:val="004561EF"/>
    <w:rsid w:val="0045635F"/>
    <w:rsid w:val="0045639E"/>
    <w:rsid w:val="00456574"/>
    <w:rsid w:val="00456C3D"/>
    <w:rsid w:val="00456E86"/>
    <w:rsid w:val="00457056"/>
    <w:rsid w:val="00457099"/>
    <w:rsid w:val="004571BF"/>
    <w:rsid w:val="004572DD"/>
    <w:rsid w:val="0045781B"/>
    <w:rsid w:val="00457825"/>
    <w:rsid w:val="004578DC"/>
    <w:rsid w:val="00457CED"/>
    <w:rsid w:val="00457D47"/>
    <w:rsid w:val="00457DE2"/>
    <w:rsid w:val="00457E7B"/>
    <w:rsid w:val="00457E8C"/>
    <w:rsid w:val="00460198"/>
    <w:rsid w:val="004604DF"/>
    <w:rsid w:val="004604E6"/>
    <w:rsid w:val="00460581"/>
    <w:rsid w:val="004605AA"/>
    <w:rsid w:val="004605E4"/>
    <w:rsid w:val="004607B7"/>
    <w:rsid w:val="00460B82"/>
    <w:rsid w:val="00460BDB"/>
    <w:rsid w:val="00460C33"/>
    <w:rsid w:val="00460D7F"/>
    <w:rsid w:val="00460E2F"/>
    <w:rsid w:val="00460FEC"/>
    <w:rsid w:val="004619C2"/>
    <w:rsid w:val="00461B2F"/>
    <w:rsid w:val="00461BE6"/>
    <w:rsid w:val="00461E17"/>
    <w:rsid w:val="00461EAD"/>
    <w:rsid w:val="00461F65"/>
    <w:rsid w:val="004620DE"/>
    <w:rsid w:val="004623D1"/>
    <w:rsid w:val="004625D8"/>
    <w:rsid w:val="004625D9"/>
    <w:rsid w:val="00462716"/>
    <w:rsid w:val="004628B0"/>
    <w:rsid w:val="00462ADC"/>
    <w:rsid w:val="00462AEC"/>
    <w:rsid w:val="00462B32"/>
    <w:rsid w:val="00462FAD"/>
    <w:rsid w:val="0046301F"/>
    <w:rsid w:val="004631B9"/>
    <w:rsid w:val="0046333A"/>
    <w:rsid w:val="00463834"/>
    <w:rsid w:val="0046397D"/>
    <w:rsid w:val="004639EC"/>
    <w:rsid w:val="00463B8D"/>
    <w:rsid w:val="00463CBF"/>
    <w:rsid w:val="004641DB"/>
    <w:rsid w:val="00464227"/>
    <w:rsid w:val="00464349"/>
    <w:rsid w:val="004644E5"/>
    <w:rsid w:val="00464744"/>
    <w:rsid w:val="004648CD"/>
    <w:rsid w:val="00464965"/>
    <w:rsid w:val="00464A62"/>
    <w:rsid w:val="00464C07"/>
    <w:rsid w:val="00464ECA"/>
    <w:rsid w:val="00465106"/>
    <w:rsid w:val="004653A8"/>
    <w:rsid w:val="0046546D"/>
    <w:rsid w:val="00465581"/>
    <w:rsid w:val="004658C2"/>
    <w:rsid w:val="00465A62"/>
    <w:rsid w:val="00465E2D"/>
    <w:rsid w:val="00466615"/>
    <w:rsid w:val="00466BF8"/>
    <w:rsid w:val="00466C9C"/>
    <w:rsid w:val="004670CF"/>
    <w:rsid w:val="004673DA"/>
    <w:rsid w:val="00467588"/>
    <w:rsid w:val="0046789B"/>
    <w:rsid w:val="004679BD"/>
    <w:rsid w:val="00467D7A"/>
    <w:rsid w:val="00467F21"/>
    <w:rsid w:val="004700CB"/>
    <w:rsid w:val="00470198"/>
    <w:rsid w:val="004701AA"/>
    <w:rsid w:val="004701DC"/>
    <w:rsid w:val="004703E8"/>
    <w:rsid w:val="00470564"/>
    <w:rsid w:val="00470855"/>
    <w:rsid w:val="00470DE3"/>
    <w:rsid w:val="00470EE8"/>
    <w:rsid w:val="0047114C"/>
    <w:rsid w:val="004711A7"/>
    <w:rsid w:val="004714A1"/>
    <w:rsid w:val="00471561"/>
    <w:rsid w:val="004715FD"/>
    <w:rsid w:val="004717ED"/>
    <w:rsid w:val="00471801"/>
    <w:rsid w:val="00471ADB"/>
    <w:rsid w:val="00471D9A"/>
    <w:rsid w:val="00471F38"/>
    <w:rsid w:val="004721C4"/>
    <w:rsid w:val="004724CB"/>
    <w:rsid w:val="004724E5"/>
    <w:rsid w:val="004727EA"/>
    <w:rsid w:val="0047288E"/>
    <w:rsid w:val="00472B32"/>
    <w:rsid w:val="004733C1"/>
    <w:rsid w:val="00473584"/>
    <w:rsid w:val="00473679"/>
    <w:rsid w:val="0047385E"/>
    <w:rsid w:val="00473B56"/>
    <w:rsid w:val="00473E5C"/>
    <w:rsid w:val="00474227"/>
    <w:rsid w:val="0047469C"/>
    <w:rsid w:val="00474703"/>
    <w:rsid w:val="00474CC0"/>
    <w:rsid w:val="00475054"/>
    <w:rsid w:val="004751A1"/>
    <w:rsid w:val="00475462"/>
    <w:rsid w:val="004756A8"/>
    <w:rsid w:val="00475863"/>
    <w:rsid w:val="004759C8"/>
    <w:rsid w:val="00475A84"/>
    <w:rsid w:val="00475BA6"/>
    <w:rsid w:val="00475EBA"/>
    <w:rsid w:val="00476075"/>
    <w:rsid w:val="0047607A"/>
    <w:rsid w:val="004762F2"/>
    <w:rsid w:val="0047639A"/>
    <w:rsid w:val="0047652B"/>
    <w:rsid w:val="004765B9"/>
    <w:rsid w:val="00476604"/>
    <w:rsid w:val="004768B4"/>
    <w:rsid w:val="004768C6"/>
    <w:rsid w:val="004768FE"/>
    <w:rsid w:val="0047692B"/>
    <w:rsid w:val="00476AD5"/>
    <w:rsid w:val="00476E03"/>
    <w:rsid w:val="00476EA7"/>
    <w:rsid w:val="004770CC"/>
    <w:rsid w:val="00477100"/>
    <w:rsid w:val="00477225"/>
    <w:rsid w:val="0047723D"/>
    <w:rsid w:val="00477264"/>
    <w:rsid w:val="004772AA"/>
    <w:rsid w:val="004776D2"/>
    <w:rsid w:val="0047777F"/>
    <w:rsid w:val="00477853"/>
    <w:rsid w:val="00477A7D"/>
    <w:rsid w:val="00477ADF"/>
    <w:rsid w:val="00477AE4"/>
    <w:rsid w:val="00477C60"/>
    <w:rsid w:val="00477E8A"/>
    <w:rsid w:val="00480017"/>
    <w:rsid w:val="004807B8"/>
    <w:rsid w:val="004808CD"/>
    <w:rsid w:val="00480B64"/>
    <w:rsid w:val="00480C66"/>
    <w:rsid w:val="0048116B"/>
    <w:rsid w:val="00481289"/>
    <w:rsid w:val="0048131F"/>
    <w:rsid w:val="0048172A"/>
    <w:rsid w:val="00481BF9"/>
    <w:rsid w:val="00481C87"/>
    <w:rsid w:val="004820D9"/>
    <w:rsid w:val="00482187"/>
    <w:rsid w:val="004827EB"/>
    <w:rsid w:val="00482991"/>
    <w:rsid w:val="00482B4F"/>
    <w:rsid w:val="00482CD3"/>
    <w:rsid w:val="00482D4A"/>
    <w:rsid w:val="00482DA4"/>
    <w:rsid w:val="004832B9"/>
    <w:rsid w:val="004832CC"/>
    <w:rsid w:val="00483431"/>
    <w:rsid w:val="0048348F"/>
    <w:rsid w:val="00483653"/>
    <w:rsid w:val="00483CDC"/>
    <w:rsid w:val="00483D02"/>
    <w:rsid w:val="00483F34"/>
    <w:rsid w:val="004841EC"/>
    <w:rsid w:val="0048437C"/>
    <w:rsid w:val="004843A4"/>
    <w:rsid w:val="00484734"/>
    <w:rsid w:val="004847FB"/>
    <w:rsid w:val="004849E9"/>
    <w:rsid w:val="00484D4C"/>
    <w:rsid w:val="00484D8D"/>
    <w:rsid w:val="0048520F"/>
    <w:rsid w:val="00485276"/>
    <w:rsid w:val="00485416"/>
    <w:rsid w:val="004859A5"/>
    <w:rsid w:val="004859B6"/>
    <w:rsid w:val="00485B65"/>
    <w:rsid w:val="004862A5"/>
    <w:rsid w:val="00486418"/>
    <w:rsid w:val="00486480"/>
    <w:rsid w:val="00486751"/>
    <w:rsid w:val="004868E5"/>
    <w:rsid w:val="004868F7"/>
    <w:rsid w:val="00486BA6"/>
    <w:rsid w:val="00486BDA"/>
    <w:rsid w:val="00486EA0"/>
    <w:rsid w:val="00486ED6"/>
    <w:rsid w:val="004873F1"/>
    <w:rsid w:val="00487453"/>
    <w:rsid w:val="00487549"/>
    <w:rsid w:val="00487560"/>
    <w:rsid w:val="004877F0"/>
    <w:rsid w:val="0048787A"/>
    <w:rsid w:val="00487898"/>
    <w:rsid w:val="004878D1"/>
    <w:rsid w:val="004879CE"/>
    <w:rsid w:val="00487C01"/>
    <w:rsid w:val="004904DE"/>
    <w:rsid w:val="00490816"/>
    <w:rsid w:val="0049081F"/>
    <w:rsid w:val="00490A43"/>
    <w:rsid w:val="00490B0F"/>
    <w:rsid w:val="00490C9D"/>
    <w:rsid w:val="00490D67"/>
    <w:rsid w:val="00490D6B"/>
    <w:rsid w:val="0049197B"/>
    <w:rsid w:val="00491A44"/>
    <w:rsid w:val="00491E6F"/>
    <w:rsid w:val="0049248F"/>
    <w:rsid w:val="004924CB"/>
    <w:rsid w:val="004925A7"/>
    <w:rsid w:val="00492796"/>
    <w:rsid w:val="00492A43"/>
    <w:rsid w:val="00492BA0"/>
    <w:rsid w:val="004930E9"/>
    <w:rsid w:val="00493323"/>
    <w:rsid w:val="0049338B"/>
    <w:rsid w:val="004935AC"/>
    <w:rsid w:val="0049383F"/>
    <w:rsid w:val="00493877"/>
    <w:rsid w:val="004938EB"/>
    <w:rsid w:val="004939EC"/>
    <w:rsid w:val="00493C2F"/>
    <w:rsid w:val="004942AA"/>
    <w:rsid w:val="0049459F"/>
    <w:rsid w:val="00494679"/>
    <w:rsid w:val="004949DB"/>
    <w:rsid w:val="00495125"/>
    <w:rsid w:val="0049543B"/>
    <w:rsid w:val="004956AF"/>
    <w:rsid w:val="00495B57"/>
    <w:rsid w:val="00495E32"/>
    <w:rsid w:val="00495E44"/>
    <w:rsid w:val="00495FF6"/>
    <w:rsid w:val="00496322"/>
    <w:rsid w:val="004963B2"/>
    <w:rsid w:val="004964B0"/>
    <w:rsid w:val="004965E1"/>
    <w:rsid w:val="004968F1"/>
    <w:rsid w:val="00496953"/>
    <w:rsid w:val="00496E34"/>
    <w:rsid w:val="00496EA1"/>
    <w:rsid w:val="00496FAE"/>
    <w:rsid w:val="00496FC0"/>
    <w:rsid w:val="0049712B"/>
    <w:rsid w:val="00497260"/>
    <w:rsid w:val="00497698"/>
    <w:rsid w:val="00497781"/>
    <w:rsid w:val="00497A8A"/>
    <w:rsid w:val="00497C7B"/>
    <w:rsid w:val="004A0164"/>
    <w:rsid w:val="004A0504"/>
    <w:rsid w:val="004A05A0"/>
    <w:rsid w:val="004A05AB"/>
    <w:rsid w:val="004A08D5"/>
    <w:rsid w:val="004A0B7C"/>
    <w:rsid w:val="004A0CEA"/>
    <w:rsid w:val="004A0DEA"/>
    <w:rsid w:val="004A0EC4"/>
    <w:rsid w:val="004A1372"/>
    <w:rsid w:val="004A14A4"/>
    <w:rsid w:val="004A1685"/>
    <w:rsid w:val="004A19AE"/>
    <w:rsid w:val="004A1B8C"/>
    <w:rsid w:val="004A1F8D"/>
    <w:rsid w:val="004A1FF2"/>
    <w:rsid w:val="004A22BD"/>
    <w:rsid w:val="004A26A9"/>
    <w:rsid w:val="004A2C93"/>
    <w:rsid w:val="004A2DD8"/>
    <w:rsid w:val="004A2E8B"/>
    <w:rsid w:val="004A30C0"/>
    <w:rsid w:val="004A3378"/>
    <w:rsid w:val="004A35EF"/>
    <w:rsid w:val="004A35FA"/>
    <w:rsid w:val="004A36A4"/>
    <w:rsid w:val="004A3818"/>
    <w:rsid w:val="004A3C10"/>
    <w:rsid w:val="004A3D06"/>
    <w:rsid w:val="004A3FF2"/>
    <w:rsid w:val="004A4697"/>
    <w:rsid w:val="004A46AC"/>
    <w:rsid w:val="004A48EE"/>
    <w:rsid w:val="004A492B"/>
    <w:rsid w:val="004A4A09"/>
    <w:rsid w:val="004A4B05"/>
    <w:rsid w:val="004A4B27"/>
    <w:rsid w:val="004A4C3E"/>
    <w:rsid w:val="004A4CD9"/>
    <w:rsid w:val="004A4D23"/>
    <w:rsid w:val="004A4EA4"/>
    <w:rsid w:val="004A4F87"/>
    <w:rsid w:val="004A511A"/>
    <w:rsid w:val="004A516F"/>
    <w:rsid w:val="004A5175"/>
    <w:rsid w:val="004A5440"/>
    <w:rsid w:val="004A566D"/>
    <w:rsid w:val="004A5900"/>
    <w:rsid w:val="004A591C"/>
    <w:rsid w:val="004A61D2"/>
    <w:rsid w:val="004A6393"/>
    <w:rsid w:val="004A6560"/>
    <w:rsid w:val="004A67BB"/>
    <w:rsid w:val="004A68E5"/>
    <w:rsid w:val="004A6A94"/>
    <w:rsid w:val="004A6C9F"/>
    <w:rsid w:val="004A715A"/>
    <w:rsid w:val="004A7256"/>
    <w:rsid w:val="004A72D8"/>
    <w:rsid w:val="004A74C3"/>
    <w:rsid w:val="004A74C4"/>
    <w:rsid w:val="004A7895"/>
    <w:rsid w:val="004A78CB"/>
    <w:rsid w:val="004A7BC2"/>
    <w:rsid w:val="004A7BDB"/>
    <w:rsid w:val="004B00D9"/>
    <w:rsid w:val="004B0537"/>
    <w:rsid w:val="004B0794"/>
    <w:rsid w:val="004B08D7"/>
    <w:rsid w:val="004B08E7"/>
    <w:rsid w:val="004B0959"/>
    <w:rsid w:val="004B0D2C"/>
    <w:rsid w:val="004B0FE9"/>
    <w:rsid w:val="004B150E"/>
    <w:rsid w:val="004B167F"/>
    <w:rsid w:val="004B1992"/>
    <w:rsid w:val="004B2400"/>
    <w:rsid w:val="004B2938"/>
    <w:rsid w:val="004B29B7"/>
    <w:rsid w:val="004B3274"/>
    <w:rsid w:val="004B333D"/>
    <w:rsid w:val="004B35E8"/>
    <w:rsid w:val="004B3614"/>
    <w:rsid w:val="004B3BA8"/>
    <w:rsid w:val="004B4171"/>
    <w:rsid w:val="004B424F"/>
    <w:rsid w:val="004B4409"/>
    <w:rsid w:val="004B4474"/>
    <w:rsid w:val="004B4578"/>
    <w:rsid w:val="004B4758"/>
    <w:rsid w:val="004B4FAB"/>
    <w:rsid w:val="004B51D0"/>
    <w:rsid w:val="004B56F2"/>
    <w:rsid w:val="004B5887"/>
    <w:rsid w:val="004B621B"/>
    <w:rsid w:val="004B62DC"/>
    <w:rsid w:val="004B670D"/>
    <w:rsid w:val="004B69DF"/>
    <w:rsid w:val="004B6D4B"/>
    <w:rsid w:val="004B6E18"/>
    <w:rsid w:val="004B7079"/>
    <w:rsid w:val="004B7429"/>
    <w:rsid w:val="004B7487"/>
    <w:rsid w:val="004B785A"/>
    <w:rsid w:val="004B79FD"/>
    <w:rsid w:val="004B7C8F"/>
    <w:rsid w:val="004B7D45"/>
    <w:rsid w:val="004B7E8A"/>
    <w:rsid w:val="004B7FC1"/>
    <w:rsid w:val="004C01C4"/>
    <w:rsid w:val="004C0B7D"/>
    <w:rsid w:val="004C0C76"/>
    <w:rsid w:val="004C1309"/>
    <w:rsid w:val="004C15C5"/>
    <w:rsid w:val="004C16A6"/>
    <w:rsid w:val="004C1A21"/>
    <w:rsid w:val="004C1F16"/>
    <w:rsid w:val="004C2043"/>
    <w:rsid w:val="004C2242"/>
    <w:rsid w:val="004C2749"/>
    <w:rsid w:val="004C2D7D"/>
    <w:rsid w:val="004C32E0"/>
    <w:rsid w:val="004C34B0"/>
    <w:rsid w:val="004C3736"/>
    <w:rsid w:val="004C37AD"/>
    <w:rsid w:val="004C39CB"/>
    <w:rsid w:val="004C3A9E"/>
    <w:rsid w:val="004C3FB4"/>
    <w:rsid w:val="004C41EC"/>
    <w:rsid w:val="004C4816"/>
    <w:rsid w:val="004C48D3"/>
    <w:rsid w:val="004C4A27"/>
    <w:rsid w:val="004C5386"/>
    <w:rsid w:val="004C5811"/>
    <w:rsid w:val="004C592E"/>
    <w:rsid w:val="004C5952"/>
    <w:rsid w:val="004C6169"/>
    <w:rsid w:val="004C628F"/>
    <w:rsid w:val="004C62F9"/>
    <w:rsid w:val="004C63E1"/>
    <w:rsid w:val="004C6493"/>
    <w:rsid w:val="004C64F4"/>
    <w:rsid w:val="004C66DB"/>
    <w:rsid w:val="004C670C"/>
    <w:rsid w:val="004C673D"/>
    <w:rsid w:val="004C6ABF"/>
    <w:rsid w:val="004C6D1E"/>
    <w:rsid w:val="004C7762"/>
    <w:rsid w:val="004C7E4E"/>
    <w:rsid w:val="004C7F26"/>
    <w:rsid w:val="004C7F91"/>
    <w:rsid w:val="004C7FA9"/>
    <w:rsid w:val="004D0061"/>
    <w:rsid w:val="004D0127"/>
    <w:rsid w:val="004D0687"/>
    <w:rsid w:val="004D0771"/>
    <w:rsid w:val="004D0AF3"/>
    <w:rsid w:val="004D0CB8"/>
    <w:rsid w:val="004D14F9"/>
    <w:rsid w:val="004D1521"/>
    <w:rsid w:val="004D1E1D"/>
    <w:rsid w:val="004D2437"/>
    <w:rsid w:val="004D2EB9"/>
    <w:rsid w:val="004D2EE7"/>
    <w:rsid w:val="004D2F4F"/>
    <w:rsid w:val="004D2F92"/>
    <w:rsid w:val="004D300B"/>
    <w:rsid w:val="004D36A8"/>
    <w:rsid w:val="004D3A4D"/>
    <w:rsid w:val="004D3B0C"/>
    <w:rsid w:val="004D3C25"/>
    <w:rsid w:val="004D3DA8"/>
    <w:rsid w:val="004D3F3C"/>
    <w:rsid w:val="004D3F5F"/>
    <w:rsid w:val="004D3FA7"/>
    <w:rsid w:val="004D3FB6"/>
    <w:rsid w:val="004D43EB"/>
    <w:rsid w:val="004D4475"/>
    <w:rsid w:val="004D4660"/>
    <w:rsid w:val="004D4680"/>
    <w:rsid w:val="004D4735"/>
    <w:rsid w:val="004D4E09"/>
    <w:rsid w:val="004D5283"/>
    <w:rsid w:val="004D5422"/>
    <w:rsid w:val="004D5581"/>
    <w:rsid w:val="004D55EB"/>
    <w:rsid w:val="004D57EB"/>
    <w:rsid w:val="004D5DCC"/>
    <w:rsid w:val="004D60BC"/>
    <w:rsid w:val="004D667F"/>
    <w:rsid w:val="004D673B"/>
    <w:rsid w:val="004D6743"/>
    <w:rsid w:val="004D6867"/>
    <w:rsid w:val="004D6991"/>
    <w:rsid w:val="004D6A72"/>
    <w:rsid w:val="004D6B5D"/>
    <w:rsid w:val="004D6BC2"/>
    <w:rsid w:val="004D6C8F"/>
    <w:rsid w:val="004D6D36"/>
    <w:rsid w:val="004D6EAA"/>
    <w:rsid w:val="004D7513"/>
    <w:rsid w:val="004D7664"/>
    <w:rsid w:val="004D7FCC"/>
    <w:rsid w:val="004E0356"/>
    <w:rsid w:val="004E03FF"/>
    <w:rsid w:val="004E04F4"/>
    <w:rsid w:val="004E0559"/>
    <w:rsid w:val="004E0762"/>
    <w:rsid w:val="004E087C"/>
    <w:rsid w:val="004E0EDA"/>
    <w:rsid w:val="004E114C"/>
    <w:rsid w:val="004E147B"/>
    <w:rsid w:val="004E1556"/>
    <w:rsid w:val="004E1753"/>
    <w:rsid w:val="004E17AB"/>
    <w:rsid w:val="004E1B85"/>
    <w:rsid w:val="004E228F"/>
    <w:rsid w:val="004E25F1"/>
    <w:rsid w:val="004E27C2"/>
    <w:rsid w:val="004E2A12"/>
    <w:rsid w:val="004E3635"/>
    <w:rsid w:val="004E3834"/>
    <w:rsid w:val="004E3850"/>
    <w:rsid w:val="004E3AB1"/>
    <w:rsid w:val="004E3C8E"/>
    <w:rsid w:val="004E3CAC"/>
    <w:rsid w:val="004E3EA0"/>
    <w:rsid w:val="004E401D"/>
    <w:rsid w:val="004E422C"/>
    <w:rsid w:val="004E45FB"/>
    <w:rsid w:val="004E47B8"/>
    <w:rsid w:val="004E4BEE"/>
    <w:rsid w:val="004E4D19"/>
    <w:rsid w:val="004E5187"/>
    <w:rsid w:val="004E5334"/>
    <w:rsid w:val="004E55BE"/>
    <w:rsid w:val="004E56E8"/>
    <w:rsid w:val="004E598D"/>
    <w:rsid w:val="004E5CD5"/>
    <w:rsid w:val="004E5D4D"/>
    <w:rsid w:val="004E6094"/>
    <w:rsid w:val="004E61D1"/>
    <w:rsid w:val="004E643B"/>
    <w:rsid w:val="004E658E"/>
    <w:rsid w:val="004E6617"/>
    <w:rsid w:val="004E6961"/>
    <w:rsid w:val="004E6A88"/>
    <w:rsid w:val="004E7044"/>
    <w:rsid w:val="004E7671"/>
    <w:rsid w:val="004E7847"/>
    <w:rsid w:val="004E7AF0"/>
    <w:rsid w:val="004E7B9F"/>
    <w:rsid w:val="004F0284"/>
    <w:rsid w:val="004F042E"/>
    <w:rsid w:val="004F09C8"/>
    <w:rsid w:val="004F0DD2"/>
    <w:rsid w:val="004F132A"/>
    <w:rsid w:val="004F1500"/>
    <w:rsid w:val="004F17BA"/>
    <w:rsid w:val="004F17CC"/>
    <w:rsid w:val="004F1914"/>
    <w:rsid w:val="004F1B76"/>
    <w:rsid w:val="004F1E40"/>
    <w:rsid w:val="004F1E50"/>
    <w:rsid w:val="004F2131"/>
    <w:rsid w:val="004F215E"/>
    <w:rsid w:val="004F2430"/>
    <w:rsid w:val="004F24F6"/>
    <w:rsid w:val="004F2541"/>
    <w:rsid w:val="004F2608"/>
    <w:rsid w:val="004F2815"/>
    <w:rsid w:val="004F2D31"/>
    <w:rsid w:val="004F2EB3"/>
    <w:rsid w:val="004F307A"/>
    <w:rsid w:val="004F3479"/>
    <w:rsid w:val="004F34A3"/>
    <w:rsid w:val="004F38F6"/>
    <w:rsid w:val="004F39B1"/>
    <w:rsid w:val="004F42B9"/>
    <w:rsid w:val="004F4381"/>
    <w:rsid w:val="004F43B1"/>
    <w:rsid w:val="004F43F4"/>
    <w:rsid w:val="004F4863"/>
    <w:rsid w:val="004F4A73"/>
    <w:rsid w:val="004F4B12"/>
    <w:rsid w:val="004F4CD1"/>
    <w:rsid w:val="004F4D55"/>
    <w:rsid w:val="004F4DB4"/>
    <w:rsid w:val="004F4E2C"/>
    <w:rsid w:val="004F512A"/>
    <w:rsid w:val="004F557D"/>
    <w:rsid w:val="004F559D"/>
    <w:rsid w:val="004F579C"/>
    <w:rsid w:val="004F5E06"/>
    <w:rsid w:val="004F5E19"/>
    <w:rsid w:val="004F5F76"/>
    <w:rsid w:val="004F6201"/>
    <w:rsid w:val="004F6672"/>
    <w:rsid w:val="004F67BB"/>
    <w:rsid w:val="004F6863"/>
    <w:rsid w:val="004F6B7F"/>
    <w:rsid w:val="004F6B9A"/>
    <w:rsid w:val="004F6F1B"/>
    <w:rsid w:val="004F7304"/>
    <w:rsid w:val="004F7432"/>
    <w:rsid w:val="004F75A7"/>
    <w:rsid w:val="004F7CE3"/>
    <w:rsid w:val="005001B5"/>
    <w:rsid w:val="0050028D"/>
    <w:rsid w:val="005006EC"/>
    <w:rsid w:val="00500701"/>
    <w:rsid w:val="00500C12"/>
    <w:rsid w:val="00500F4B"/>
    <w:rsid w:val="0050120C"/>
    <w:rsid w:val="005018BE"/>
    <w:rsid w:val="00501D52"/>
    <w:rsid w:val="00502204"/>
    <w:rsid w:val="00502871"/>
    <w:rsid w:val="00502A65"/>
    <w:rsid w:val="00502A7F"/>
    <w:rsid w:val="00502C6E"/>
    <w:rsid w:val="00502DAB"/>
    <w:rsid w:val="00503212"/>
    <w:rsid w:val="00503562"/>
    <w:rsid w:val="00503606"/>
    <w:rsid w:val="00503613"/>
    <w:rsid w:val="00503680"/>
    <w:rsid w:val="005038E4"/>
    <w:rsid w:val="00503B0A"/>
    <w:rsid w:val="00503CD7"/>
    <w:rsid w:val="00503D27"/>
    <w:rsid w:val="00503FA3"/>
    <w:rsid w:val="005040AD"/>
    <w:rsid w:val="0050426E"/>
    <w:rsid w:val="00504434"/>
    <w:rsid w:val="005044B1"/>
    <w:rsid w:val="00504803"/>
    <w:rsid w:val="005048D3"/>
    <w:rsid w:val="00504AA5"/>
    <w:rsid w:val="0050500F"/>
    <w:rsid w:val="005050FA"/>
    <w:rsid w:val="0050516D"/>
    <w:rsid w:val="00505CBF"/>
    <w:rsid w:val="00505DC6"/>
    <w:rsid w:val="00506092"/>
    <w:rsid w:val="00506413"/>
    <w:rsid w:val="00506776"/>
    <w:rsid w:val="00506826"/>
    <w:rsid w:val="005068FF"/>
    <w:rsid w:val="00506985"/>
    <w:rsid w:val="00506A60"/>
    <w:rsid w:val="00506D95"/>
    <w:rsid w:val="00506DF8"/>
    <w:rsid w:val="00506E54"/>
    <w:rsid w:val="0050734F"/>
    <w:rsid w:val="00507549"/>
    <w:rsid w:val="005076D8"/>
    <w:rsid w:val="00507925"/>
    <w:rsid w:val="00507ABB"/>
    <w:rsid w:val="00507B6F"/>
    <w:rsid w:val="00507BBE"/>
    <w:rsid w:val="0051031B"/>
    <w:rsid w:val="00510871"/>
    <w:rsid w:val="00510995"/>
    <w:rsid w:val="00510A0E"/>
    <w:rsid w:val="00510F8F"/>
    <w:rsid w:val="0051107C"/>
    <w:rsid w:val="00511158"/>
    <w:rsid w:val="00511380"/>
    <w:rsid w:val="00511C06"/>
    <w:rsid w:val="00511CDC"/>
    <w:rsid w:val="00511DBD"/>
    <w:rsid w:val="00511E4E"/>
    <w:rsid w:val="00511EE2"/>
    <w:rsid w:val="00512238"/>
    <w:rsid w:val="00512574"/>
    <w:rsid w:val="005126ED"/>
    <w:rsid w:val="00512802"/>
    <w:rsid w:val="00512878"/>
    <w:rsid w:val="00512981"/>
    <w:rsid w:val="00512AD3"/>
    <w:rsid w:val="00512D9B"/>
    <w:rsid w:val="00512EBF"/>
    <w:rsid w:val="00512EE1"/>
    <w:rsid w:val="00513277"/>
    <w:rsid w:val="005139A9"/>
    <w:rsid w:val="00513C5F"/>
    <w:rsid w:val="00513C9F"/>
    <w:rsid w:val="0051402C"/>
    <w:rsid w:val="00514061"/>
    <w:rsid w:val="005143B2"/>
    <w:rsid w:val="00514856"/>
    <w:rsid w:val="00514DB8"/>
    <w:rsid w:val="00515036"/>
    <w:rsid w:val="0051535D"/>
    <w:rsid w:val="00515475"/>
    <w:rsid w:val="00515AA4"/>
    <w:rsid w:val="00515CC7"/>
    <w:rsid w:val="00516274"/>
    <w:rsid w:val="00516543"/>
    <w:rsid w:val="00516924"/>
    <w:rsid w:val="00516927"/>
    <w:rsid w:val="00516A41"/>
    <w:rsid w:val="00516A67"/>
    <w:rsid w:val="00516C29"/>
    <w:rsid w:val="00516EBD"/>
    <w:rsid w:val="005170C8"/>
    <w:rsid w:val="005175C8"/>
    <w:rsid w:val="0051769D"/>
    <w:rsid w:val="00517758"/>
    <w:rsid w:val="00517D01"/>
    <w:rsid w:val="00517E7B"/>
    <w:rsid w:val="0052000F"/>
    <w:rsid w:val="00520074"/>
    <w:rsid w:val="005202C2"/>
    <w:rsid w:val="005202C7"/>
    <w:rsid w:val="00520324"/>
    <w:rsid w:val="00520448"/>
    <w:rsid w:val="005204D9"/>
    <w:rsid w:val="005205B2"/>
    <w:rsid w:val="0052069E"/>
    <w:rsid w:val="005206D7"/>
    <w:rsid w:val="0052081A"/>
    <w:rsid w:val="00520BB0"/>
    <w:rsid w:val="00520E8D"/>
    <w:rsid w:val="00521A71"/>
    <w:rsid w:val="00521E14"/>
    <w:rsid w:val="00521F59"/>
    <w:rsid w:val="00521FDE"/>
    <w:rsid w:val="0052206F"/>
    <w:rsid w:val="0052275F"/>
    <w:rsid w:val="005228D7"/>
    <w:rsid w:val="00523176"/>
    <w:rsid w:val="00523185"/>
    <w:rsid w:val="005236AC"/>
    <w:rsid w:val="00523748"/>
    <w:rsid w:val="00523A0F"/>
    <w:rsid w:val="00523A9A"/>
    <w:rsid w:val="00523C8C"/>
    <w:rsid w:val="00523E8B"/>
    <w:rsid w:val="00523F90"/>
    <w:rsid w:val="00524631"/>
    <w:rsid w:val="00524791"/>
    <w:rsid w:val="005247DC"/>
    <w:rsid w:val="0052495C"/>
    <w:rsid w:val="00524D34"/>
    <w:rsid w:val="00525197"/>
    <w:rsid w:val="005251A7"/>
    <w:rsid w:val="005252CF"/>
    <w:rsid w:val="005253EB"/>
    <w:rsid w:val="00525B1B"/>
    <w:rsid w:val="00525BB9"/>
    <w:rsid w:val="00525C76"/>
    <w:rsid w:val="00525D9B"/>
    <w:rsid w:val="005261A1"/>
    <w:rsid w:val="0052629B"/>
    <w:rsid w:val="00526344"/>
    <w:rsid w:val="005263DF"/>
    <w:rsid w:val="005263E6"/>
    <w:rsid w:val="005263F6"/>
    <w:rsid w:val="00526412"/>
    <w:rsid w:val="005266DF"/>
    <w:rsid w:val="00526958"/>
    <w:rsid w:val="00526C4B"/>
    <w:rsid w:val="00526F39"/>
    <w:rsid w:val="00527528"/>
    <w:rsid w:val="00527D1B"/>
    <w:rsid w:val="00527D49"/>
    <w:rsid w:val="00530022"/>
    <w:rsid w:val="005300C5"/>
    <w:rsid w:val="0053014C"/>
    <w:rsid w:val="00530994"/>
    <w:rsid w:val="00530D62"/>
    <w:rsid w:val="005310F9"/>
    <w:rsid w:val="00531114"/>
    <w:rsid w:val="0053120D"/>
    <w:rsid w:val="00531636"/>
    <w:rsid w:val="00531778"/>
    <w:rsid w:val="005317B3"/>
    <w:rsid w:val="00531AB6"/>
    <w:rsid w:val="00531D5A"/>
    <w:rsid w:val="00531D90"/>
    <w:rsid w:val="00531EB4"/>
    <w:rsid w:val="00531ED5"/>
    <w:rsid w:val="00531F49"/>
    <w:rsid w:val="00531F55"/>
    <w:rsid w:val="00531F90"/>
    <w:rsid w:val="005320A8"/>
    <w:rsid w:val="00532156"/>
    <w:rsid w:val="0053246F"/>
    <w:rsid w:val="00532567"/>
    <w:rsid w:val="005326E5"/>
    <w:rsid w:val="00532701"/>
    <w:rsid w:val="0053298B"/>
    <w:rsid w:val="00532DC2"/>
    <w:rsid w:val="005332EF"/>
    <w:rsid w:val="00533506"/>
    <w:rsid w:val="00533573"/>
    <w:rsid w:val="00533845"/>
    <w:rsid w:val="005338AB"/>
    <w:rsid w:val="00533AC0"/>
    <w:rsid w:val="00533D2F"/>
    <w:rsid w:val="00533D61"/>
    <w:rsid w:val="00533D84"/>
    <w:rsid w:val="00533ED8"/>
    <w:rsid w:val="00533F88"/>
    <w:rsid w:val="005340B7"/>
    <w:rsid w:val="005344A7"/>
    <w:rsid w:val="00534B04"/>
    <w:rsid w:val="00534D74"/>
    <w:rsid w:val="005350C8"/>
    <w:rsid w:val="00535375"/>
    <w:rsid w:val="0053585C"/>
    <w:rsid w:val="005359C1"/>
    <w:rsid w:val="00535B42"/>
    <w:rsid w:val="00535B5F"/>
    <w:rsid w:val="00535E83"/>
    <w:rsid w:val="005361DD"/>
    <w:rsid w:val="00536434"/>
    <w:rsid w:val="005364A3"/>
    <w:rsid w:val="00536A46"/>
    <w:rsid w:val="00536EE0"/>
    <w:rsid w:val="00536F1B"/>
    <w:rsid w:val="00537268"/>
    <w:rsid w:val="00537548"/>
    <w:rsid w:val="00537837"/>
    <w:rsid w:val="00537964"/>
    <w:rsid w:val="00537B81"/>
    <w:rsid w:val="00537C3F"/>
    <w:rsid w:val="00537D7C"/>
    <w:rsid w:val="00537F13"/>
    <w:rsid w:val="00540027"/>
    <w:rsid w:val="00540422"/>
    <w:rsid w:val="005404FC"/>
    <w:rsid w:val="00540A58"/>
    <w:rsid w:val="00540B0D"/>
    <w:rsid w:val="00540E7C"/>
    <w:rsid w:val="005411A8"/>
    <w:rsid w:val="005411B9"/>
    <w:rsid w:val="00541427"/>
    <w:rsid w:val="00541444"/>
    <w:rsid w:val="005414CD"/>
    <w:rsid w:val="00541771"/>
    <w:rsid w:val="00541A18"/>
    <w:rsid w:val="00541D80"/>
    <w:rsid w:val="00542169"/>
    <w:rsid w:val="005421F1"/>
    <w:rsid w:val="00542406"/>
    <w:rsid w:val="00542410"/>
    <w:rsid w:val="00542991"/>
    <w:rsid w:val="005429C7"/>
    <w:rsid w:val="00542AF5"/>
    <w:rsid w:val="00542B12"/>
    <w:rsid w:val="00542C94"/>
    <w:rsid w:val="00542CEE"/>
    <w:rsid w:val="00543241"/>
    <w:rsid w:val="005434E4"/>
    <w:rsid w:val="0054365F"/>
    <w:rsid w:val="0054375A"/>
    <w:rsid w:val="005437EE"/>
    <w:rsid w:val="00543A71"/>
    <w:rsid w:val="00543AED"/>
    <w:rsid w:val="00543D56"/>
    <w:rsid w:val="00543D98"/>
    <w:rsid w:val="005442C5"/>
    <w:rsid w:val="0054462E"/>
    <w:rsid w:val="005447A1"/>
    <w:rsid w:val="00544A3F"/>
    <w:rsid w:val="00544A60"/>
    <w:rsid w:val="00544A7A"/>
    <w:rsid w:val="00544BAE"/>
    <w:rsid w:val="00544E7C"/>
    <w:rsid w:val="00545096"/>
    <w:rsid w:val="005450E7"/>
    <w:rsid w:val="005452A6"/>
    <w:rsid w:val="0054560F"/>
    <w:rsid w:val="0054570C"/>
    <w:rsid w:val="005458CE"/>
    <w:rsid w:val="00545B09"/>
    <w:rsid w:val="00545CE6"/>
    <w:rsid w:val="00546986"/>
    <w:rsid w:val="00546DAC"/>
    <w:rsid w:val="00547010"/>
    <w:rsid w:val="00547018"/>
    <w:rsid w:val="00547191"/>
    <w:rsid w:val="005471B8"/>
    <w:rsid w:val="005473F6"/>
    <w:rsid w:val="00547515"/>
    <w:rsid w:val="0054778F"/>
    <w:rsid w:val="005477D9"/>
    <w:rsid w:val="005478E1"/>
    <w:rsid w:val="00547A5B"/>
    <w:rsid w:val="00547A9C"/>
    <w:rsid w:val="00547B7F"/>
    <w:rsid w:val="00550046"/>
    <w:rsid w:val="005502B3"/>
    <w:rsid w:val="005505D4"/>
    <w:rsid w:val="005509BF"/>
    <w:rsid w:val="00550C33"/>
    <w:rsid w:val="00550D62"/>
    <w:rsid w:val="00550FB7"/>
    <w:rsid w:val="00551122"/>
    <w:rsid w:val="005512BA"/>
    <w:rsid w:val="00551323"/>
    <w:rsid w:val="00551347"/>
    <w:rsid w:val="005515E3"/>
    <w:rsid w:val="005517E7"/>
    <w:rsid w:val="005519DD"/>
    <w:rsid w:val="00551CCA"/>
    <w:rsid w:val="00551D47"/>
    <w:rsid w:val="00551D76"/>
    <w:rsid w:val="00552083"/>
    <w:rsid w:val="005523AE"/>
    <w:rsid w:val="005524F6"/>
    <w:rsid w:val="005528E7"/>
    <w:rsid w:val="00552AED"/>
    <w:rsid w:val="00553221"/>
    <w:rsid w:val="00553282"/>
    <w:rsid w:val="005533C1"/>
    <w:rsid w:val="00553864"/>
    <w:rsid w:val="00553965"/>
    <w:rsid w:val="00553AED"/>
    <w:rsid w:val="00553C81"/>
    <w:rsid w:val="00553D58"/>
    <w:rsid w:val="00553E1C"/>
    <w:rsid w:val="00553F00"/>
    <w:rsid w:val="00553F67"/>
    <w:rsid w:val="00554280"/>
    <w:rsid w:val="0055429A"/>
    <w:rsid w:val="005545E5"/>
    <w:rsid w:val="005545E8"/>
    <w:rsid w:val="005546FD"/>
    <w:rsid w:val="00554D48"/>
    <w:rsid w:val="00555031"/>
    <w:rsid w:val="00555311"/>
    <w:rsid w:val="00555684"/>
    <w:rsid w:val="005556A2"/>
    <w:rsid w:val="0055581C"/>
    <w:rsid w:val="005559D4"/>
    <w:rsid w:val="00555F0E"/>
    <w:rsid w:val="00556078"/>
    <w:rsid w:val="00556238"/>
    <w:rsid w:val="00556306"/>
    <w:rsid w:val="005565DF"/>
    <w:rsid w:val="00556655"/>
    <w:rsid w:val="00556752"/>
    <w:rsid w:val="0055678E"/>
    <w:rsid w:val="005569B7"/>
    <w:rsid w:val="005569F6"/>
    <w:rsid w:val="00556D5F"/>
    <w:rsid w:val="00556D96"/>
    <w:rsid w:val="00556E2C"/>
    <w:rsid w:val="0055701B"/>
    <w:rsid w:val="0055731C"/>
    <w:rsid w:val="00557628"/>
    <w:rsid w:val="0055769A"/>
    <w:rsid w:val="00557A78"/>
    <w:rsid w:val="00557C42"/>
    <w:rsid w:val="00557C60"/>
    <w:rsid w:val="00557C8C"/>
    <w:rsid w:val="00557CCA"/>
    <w:rsid w:val="0056024E"/>
    <w:rsid w:val="005603E2"/>
    <w:rsid w:val="00560A76"/>
    <w:rsid w:val="005610C9"/>
    <w:rsid w:val="00561319"/>
    <w:rsid w:val="005615EA"/>
    <w:rsid w:val="005618EB"/>
    <w:rsid w:val="00561EDA"/>
    <w:rsid w:val="00562093"/>
    <w:rsid w:val="005621B7"/>
    <w:rsid w:val="005623E9"/>
    <w:rsid w:val="00562550"/>
    <w:rsid w:val="00562701"/>
    <w:rsid w:val="0056279D"/>
    <w:rsid w:val="00562B95"/>
    <w:rsid w:val="00562BDB"/>
    <w:rsid w:val="00562BE9"/>
    <w:rsid w:val="00562BEA"/>
    <w:rsid w:val="00562CC4"/>
    <w:rsid w:val="00563198"/>
    <w:rsid w:val="005638B8"/>
    <w:rsid w:val="00563D7D"/>
    <w:rsid w:val="00563D99"/>
    <w:rsid w:val="005642F4"/>
    <w:rsid w:val="0056465E"/>
    <w:rsid w:val="0056479E"/>
    <w:rsid w:val="005649DC"/>
    <w:rsid w:val="00564CC1"/>
    <w:rsid w:val="00564D3A"/>
    <w:rsid w:val="0056550E"/>
    <w:rsid w:val="005656B6"/>
    <w:rsid w:val="005656C5"/>
    <w:rsid w:val="00565C01"/>
    <w:rsid w:val="00565D60"/>
    <w:rsid w:val="0056626F"/>
    <w:rsid w:val="005663D8"/>
    <w:rsid w:val="005666D9"/>
    <w:rsid w:val="00566949"/>
    <w:rsid w:val="00566958"/>
    <w:rsid w:val="005669E9"/>
    <w:rsid w:val="00566BCC"/>
    <w:rsid w:val="00566E29"/>
    <w:rsid w:val="00566FAF"/>
    <w:rsid w:val="0056704A"/>
    <w:rsid w:val="00567641"/>
    <w:rsid w:val="00567B85"/>
    <w:rsid w:val="00567D1B"/>
    <w:rsid w:val="00567EA0"/>
    <w:rsid w:val="00567EFD"/>
    <w:rsid w:val="0057097A"/>
    <w:rsid w:val="005709B7"/>
    <w:rsid w:val="00570EAF"/>
    <w:rsid w:val="0057126F"/>
    <w:rsid w:val="005713B9"/>
    <w:rsid w:val="0057144D"/>
    <w:rsid w:val="0057197E"/>
    <w:rsid w:val="00571D8B"/>
    <w:rsid w:val="00571F38"/>
    <w:rsid w:val="00571F41"/>
    <w:rsid w:val="00571F54"/>
    <w:rsid w:val="005721A2"/>
    <w:rsid w:val="00572501"/>
    <w:rsid w:val="005725AB"/>
    <w:rsid w:val="00572AF9"/>
    <w:rsid w:val="00572BF5"/>
    <w:rsid w:val="00572DAA"/>
    <w:rsid w:val="00572E07"/>
    <w:rsid w:val="00572E1E"/>
    <w:rsid w:val="00573091"/>
    <w:rsid w:val="0057312D"/>
    <w:rsid w:val="005734C2"/>
    <w:rsid w:val="00573636"/>
    <w:rsid w:val="005739D7"/>
    <w:rsid w:val="00573D7B"/>
    <w:rsid w:val="0057419A"/>
    <w:rsid w:val="005741B9"/>
    <w:rsid w:val="00574338"/>
    <w:rsid w:val="0057446D"/>
    <w:rsid w:val="005744FB"/>
    <w:rsid w:val="005748DD"/>
    <w:rsid w:val="00574955"/>
    <w:rsid w:val="00574D00"/>
    <w:rsid w:val="00574D89"/>
    <w:rsid w:val="005753C3"/>
    <w:rsid w:val="0057582D"/>
    <w:rsid w:val="00575AB1"/>
    <w:rsid w:val="00575C50"/>
    <w:rsid w:val="0057603B"/>
    <w:rsid w:val="00576973"/>
    <w:rsid w:val="005769D3"/>
    <w:rsid w:val="00576BD9"/>
    <w:rsid w:val="00576D98"/>
    <w:rsid w:val="00576E12"/>
    <w:rsid w:val="00576FE9"/>
    <w:rsid w:val="005775D5"/>
    <w:rsid w:val="00577E24"/>
    <w:rsid w:val="00577E4F"/>
    <w:rsid w:val="00580263"/>
    <w:rsid w:val="005808E2"/>
    <w:rsid w:val="00580BE5"/>
    <w:rsid w:val="00580D70"/>
    <w:rsid w:val="00581210"/>
    <w:rsid w:val="005814E9"/>
    <w:rsid w:val="00581728"/>
    <w:rsid w:val="005817A3"/>
    <w:rsid w:val="00581BFA"/>
    <w:rsid w:val="00581DA6"/>
    <w:rsid w:val="00581FB6"/>
    <w:rsid w:val="00582029"/>
    <w:rsid w:val="005824B7"/>
    <w:rsid w:val="005825CB"/>
    <w:rsid w:val="00582B71"/>
    <w:rsid w:val="00582C3F"/>
    <w:rsid w:val="00582CFD"/>
    <w:rsid w:val="00582E7F"/>
    <w:rsid w:val="0058334C"/>
    <w:rsid w:val="00583743"/>
    <w:rsid w:val="00583A6F"/>
    <w:rsid w:val="00583AAF"/>
    <w:rsid w:val="00583AE5"/>
    <w:rsid w:val="00583C66"/>
    <w:rsid w:val="00583D60"/>
    <w:rsid w:val="00583F3C"/>
    <w:rsid w:val="00584004"/>
    <w:rsid w:val="00584602"/>
    <w:rsid w:val="00584638"/>
    <w:rsid w:val="00584B1D"/>
    <w:rsid w:val="00584CFB"/>
    <w:rsid w:val="005851D3"/>
    <w:rsid w:val="005852E5"/>
    <w:rsid w:val="005853C2"/>
    <w:rsid w:val="0058564C"/>
    <w:rsid w:val="005856E1"/>
    <w:rsid w:val="005857F7"/>
    <w:rsid w:val="00585E31"/>
    <w:rsid w:val="005865DE"/>
    <w:rsid w:val="00586860"/>
    <w:rsid w:val="0058697E"/>
    <w:rsid w:val="00586CD0"/>
    <w:rsid w:val="00586D10"/>
    <w:rsid w:val="00586F34"/>
    <w:rsid w:val="00587074"/>
    <w:rsid w:val="00587142"/>
    <w:rsid w:val="0058734B"/>
    <w:rsid w:val="005875B8"/>
    <w:rsid w:val="0058772C"/>
    <w:rsid w:val="00587935"/>
    <w:rsid w:val="0059010E"/>
    <w:rsid w:val="005901E7"/>
    <w:rsid w:val="005904FD"/>
    <w:rsid w:val="005905BA"/>
    <w:rsid w:val="005906B4"/>
    <w:rsid w:val="00590B21"/>
    <w:rsid w:val="00590CE5"/>
    <w:rsid w:val="00591208"/>
    <w:rsid w:val="00591232"/>
    <w:rsid w:val="0059124A"/>
    <w:rsid w:val="0059147D"/>
    <w:rsid w:val="0059156A"/>
    <w:rsid w:val="005917CF"/>
    <w:rsid w:val="00591982"/>
    <w:rsid w:val="00591DA7"/>
    <w:rsid w:val="00592000"/>
    <w:rsid w:val="0059217C"/>
    <w:rsid w:val="0059228C"/>
    <w:rsid w:val="00592342"/>
    <w:rsid w:val="0059259E"/>
    <w:rsid w:val="0059285A"/>
    <w:rsid w:val="005929D1"/>
    <w:rsid w:val="00592E6B"/>
    <w:rsid w:val="00592F88"/>
    <w:rsid w:val="005931E5"/>
    <w:rsid w:val="00593AC8"/>
    <w:rsid w:val="00593D68"/>
    <w:rsid w:val="005940CD"/>
    <w:rsid w:val="00594186"/>
    <w:rsid w:val="00594261"/>
    <w:rsid w:val="005943E4"/>
    <w:rsid w:val="00594A48"/>
    <w:rsid w:val="00594F1B"/>
    <w:rsid w:val="00594FB4"/>
    <w:rsid w:val="005954CD"/>
    <w:rsid w:val="00595570"/>
    <w:rsid w:val="005959DE"/>
    <w:rsid w:val="00595AAB"/>
    <w:rsid w:val="00595BE5"/>
    <w:rsid w:val="00595C08"/>
    <w:rsid w:val="00595D05"/>
    <w:rsid w:val="00595D5F"/>
    <w:rsid w:val="005965B5"/>
    <w:rsid w:val="00596965"/>
    <w:rsid w:val="005969B7"/>
    <w:rsid w:val="00596B4E"/>
    <w:rsid w:val="00596C10"/>
    <w:rsid w:val="00596E1D"/>
    <w:rsid w:val="00596FB7"/>
    <w:rsid w:val="005971A3"/>
    <w:rsid w:val="005975C2"/>
    <w:rsid w:val="00597C88"/>
    <w:rsid w:val="005A00B8"/>
    <w:rsid w:val="005A03FD"/>
    <w:rsid w:val="005A06EE"/>
    <w:rsid w:val="005A074B"/>
    <w:rsid w:val="005A0827"/>
    <w:rsid w:val="005A0847"/>
    <w:rsid w:val="005A0869"/>
    <w:rsid w:val="005A0C85"/>
    <w:rsid w:val="005A10EF"/>
    <w:rsid w:val="005A11D6"/>
    <w:rsid w:val="005A12D3"/>
    <w:rsid w:val="005A135D"/>
    <w:rsid w:val="005A18F1"/>
    <w:rsid w:val="005A1D7F"/>
    <w:rsid w:val="005A1E2E"/>
    <w:rsid w:val="005A1E70"/>
    <w:rsid w:val="005A2114"/>
    <w:rsid w:val="005A2176"/>
    <w:rsid w:val="005A24ED"/>
    <w:rsid w:val="005A26F9"/>
    <w:rsid w:val="005A2827"/>
    <w:rsid w:val="005A2E08"/>
    <w:rsid w:val="005A2F9E"/>
    <w:rsid w:val="005A2FCB"/>
    <w:rsid w:val="005A300D"/>
    <w:rsid w:val="005A365A"/>
    <w:rsid w:val="005A365B"/>
    <w:rsid w:val="005A365F"/>
    <w:rsid w:val="005A366A"/>
    <w:rsid w:val="005A3859"/>
    <w:rsid w:val="005A3E63"/>
    <w:rsid w:val="005A3E7D"/>
    <w:rsid w:val="005A3FBD"/>
    <w:rsid w:val="005A436F"/>
    <w:rsid w:val="005A43B5"/>
    <w:rsid w:val="005A53B6"/>
    <w:rsid w:val="005A57FA"/>
    <w:rsid w:val="005A5D50"/>
    <w:rsid w:val="005A5DC7"/>
    <w:rsid w:val="005A5E12"/>
    <w:rsid w:val="005A6162"/>
    <w:rsid w:val="005A6401"/>
    <w:rsid w:val="005A657D"/>
    <w:rsid w:val="005A65ED"/>
    <w:rsid w:val="005A6851"/>
    <w:rsid w:val="005A6B2C"/>
    <w:rsid w:val="005A6D19"/>
    <w:rsid w:val="005A71FB"/>
    <w:rsid w:val="005A732A"/>
    <w:rsid w:val="005A7410"/>
    <w:rsid w:val="005A74D8"/>
    <w:rsid w:val="005A755D"/>
    <w:rsid w:val="005A75AF"/>
    <w:rsid w:val="005A7708"/>
    <w:rsid w:val="005A7841"/>
    <w:rsid w:val="005A785F"/>
    <w:rsid w:val="005A790C"/>
    <w:rsid w:val="005A7A6B"/>
    <w:rsid w:val="005A7E78"/>
    <w:rsid w:val="005B0522"/>
    <w:rsid w:val="005B0957"/>
    <w:rsid w:val="005B09BF"/>
    <w:rsid w:val="005B0BF8"/>
    <w:rsid w:val="005B0C00"/>
    <w:rsid w:val="005B0CA4"/>
    <w:rsid w:val="005B0D52"/>
    <w:rsid w:val="005B140A"/>
    <w:rsid w:val="005B158A"/>
    <w:rsid w:val="005B16E0"/>
    <w:rsid w:val="005B17B6"/>
    <w:rsid w:val="005B187F"/>
    <w:rsid w:val="005B1BDE"/>
    <w:rsid w:val="005B216F"/>
    <w:rsid w:val="005B21C6"/>
    <w:rsid w:val="005B25FA"/>
    <w:rsid w:val="005B265B"/>
    <w:rsid w:val="005B2884"/>
    <w:rsid w:val="005B2D5F"/>
    <w:rsid w:val="005B2DE6"/>
    <w:rsid w:val="005B3167"/>
    <w:rsid w:val="005B316C"/>
    <w:rsid w:val="005B36CE"/>
    <w:rsid w:val="005B3D37"/>
    <w:rsid w:val="005B3FFA"/>
    <w:rsid w:val="005B4055"/>
    <w:rsid w:val="005B40DC"/>
    <w:rsid w:val="005B43A7"/>
    <w:rsid w:val="005B4414"/>
    <w:rsid w:val="005B453F"/>
    <w:rsid w:val="005B45E2"/>
    <w:rsid w:val="005B4690"/>
    <w:rsid w:val="005B46B9"/>
    <w:rsid w:val="005B46F9"/>
    <w:rsid w:val="005B4747"/>
    <w:rsid w:val="005B4BCA"/>
    <w:rsid w:val="005B4C15"/>
    <w:rsid w:val="005B4F5D"/>
    <w:rsid w:val="005B504A"/>
    <w:rsid w:val="005B526A"/>
    <w:rsid w:val="005B56AB"/>
    <w:rsid w:val="005B5702"/>
    <w:rsid w:val="005B591F"/>
    <w:rsid w:val="005B5A34"/>
    <w:rsid w:val="005B5B66"/>
    <w:rsid w:val="005B5C54"/>
    <w:rsid w:val="005B5FE9"/>
    <w:rsid w:val="005B60D9"/>
    <w:rsid w:val="005B62F3"/>
    <w:rsid w:val="005B6316"/>
    <w:rsid w:val="005B6A89"/>
    <w:rsid w:val="005B6EC0"/>
    <w:rsid w:val="005B72DF"/>
    <w:rsid w:val="005B72ED"/>
    <w:rsid w:val="005B78CB"/>
    <w:rsid w:val="005C0380"/>
    <w:rsid w:val="005C048A"/>
    <w:rsid w:val="005C0AC4"/>
    <w:rsid w:val="005C0C1E"/>
    <w:rsid w:val="005C0D1F"/>
    <w:rsid w:val="005C11D0"/>
    <w:rsid w:val="005C13CF"/>
    <w:rsid w:val="005C1457"/>
    <w:rsid w:val="005C15AB"/>
    <w:rsid w:val="005C1683"/>
    <w:rsid w:val="005C1786"/>
    <w:rsid w:val="005C17EA"/>
    <w:rsid w:val="005C183B"/>
    <w:rsid w:val="005C2018"/>
    <w:rsid w:val="005C206F"/>
    <w:rsid w:val="005C24CA"/>
    <w:rsid w:val="005C2505"/>
    <w:rsid w:val="005C2BBA"/>
    <w:rsid w:val="005C314F"/>
    <w:rsid w:val="005C361C"/>
    <w:rsid w:val="005C36B8"/>
    <w:rsid w:val="005C36EA"/>
    <w:rsid w:val="005C3B04"/>
    <w:rsid w:val="005C3CF1"/>
    <w:rsid w:val="005C3F0E"/>
    <w:rsid w:val="005C40BA"/>
    <w:rsid w:val="005C4137"/>
    <w:rsid w:val="005C4154"/>
    <w:rsid w:val="005C4169"/>
    <w:rsid w:val="005C4452"/>
    <w:rsid w:val="005C473C"/>
    <w:rsid w:val="005C49A4"/>
    <w:rsid w:val="005C4B42"/>
    <w:rsid w:val="005C4E09"/>
    <w:rsid w:val="005C4F35"/>
    <w:rsid w:val="005C4F49"/>
    <w:rsid w:val="005C5023"/>
    <w:rsid w:val="005C5290"/>
    <w:rsid w:val="005C545A"/>
    <w:rsid w:val="005C5466"/>
    <w:rsid w:val="005C5617"/>
    <w:rsid w:val="005C5A48"/>
    <w:rsid w:val="005C5B60"/>
    <w:rsid w:val="005C5D85"/>
    <w:rsid w:val="005C5DF4"/>
    <w:rsid w:val="005C5EF9"/>
    <w:rsid w:val="005C6270"/>
    <w:rsid w:val="005C69DE"/>
    <w:rsid w:val="005C72F9"/>
    <w:rsid w:val="005C74A3"/>
    <w:rsid w:val="005C7792"/>
    <w:rsid w:val="005C7922"/>
    <w:rsid w:val="005C79EB"/>
    <w:rsid w:val="005C7A2B"/>
    <w:rsid w:val="005C7B01"/>
    <w:rsid w:val="005C7C8D"/>
    <w:rsid w:val="005D00BE"/>
    <w:rsid w:val="005D010C"/>
    <w:rsid w:val="005D03AD"/>
    <w:rsid w:val="005D054C"/>
    <w:rsid w:val="005D08CA"/>
    <w:rsid w:val="005D0B03"/>
    <w:rsid w:val="005D10AB"/>
    <w:rsid w:val="005D10AC"/>
    <w:rsid w:val="005D128A"/>
    <w:rsid w:val="005D1446"/>
    <w:rsid w:val="005D1478"/>
    <w:rsid w:val="005D14C2"/>
    <w:rsid w:val="005D15B4"/>
    <w:rsid w:val="005D165B"/>
    <w:rsid w:val="005D1876"/>
    <w:rsid w:val="005D1E27"/>
    <w:rsid w:val="005D1EEE"/>
    <w:rsid w:val="005D225B"/>
    <w:rsid w:val="005D256F"/>
    <w:rsid w:val="005D2B23"/>
    <w:rsid w:val="005D2F68"/>
    <w:rsid w:val="005D31FF"/>
    <w:rsid w:val="005D3339"/>
    <w:rsid w:val="005D33D1"/>
    <w:rsid w:val="005D3780"/>
    <w:rsid w:val="005D3D15"/>
    <w:rsid w:val="005D41E7"/>
    <w:rsid w:val="005D42B2"/>
    <w:rsid w:val="005D443F"/>
    <w:rsid w:val="005D459F"/>
    <w:rsid w:val="005D4845"/>
    <w:rsid w:val="005D4912"/>
    <w:rsid w:val="005D4C80"/>
    <w:rsid w:val="005D4CC1"/>
    <w:rsid w:val="005D4EF8"/>
    <w:rsid w:val="005D53BC"/>
    <w:rsid w:val="005D5561"/>
    <w:rsid w:val="005D55D6"/>
    <w:rsid w:val="005D58D8"/>
    <w:rsid w:val="005D596D"/>
    <w:rsid w:val="005D5AD9"/>
    <w:rsid w:val="005D5C24"/>
    <w:rsid w:val="005D5CB0"/>
    <w:rsid w:val="005D64DA"/>
    <w:rsid w:val="005D696C"/>
    <w:rsid w:val="005D69D9"/>
    <w:rsid w:val="005D6B03"/>
    <w:rsid w:val="005D6C72"/>
    <w:rsid w:val="005D6F44"/>
    <w:rsid w:val="005D704D"/>
    <w:rsid w:val="005D72D3"/>
    <w:rsid w:val="005D75B6"/>
    <w:rsid w:val="005D7B84"/>
    <w:rsid w:val="005D7E43"/>
    <w:rsid w:val="005D7E8A"/>
    <w:rsid w:val="005D7EBB"/>
    <w:rsid w:val="005E0247"/>
    <w:rsid w:val="005E02A2"/>
    <w:rsid w:val="005E086C"/>
    <w:rsid w:val="005E0AD2"/>
    <w:rsid w:val="005E0F89"/>
    <w:rsid w:val="005E12F4"/>
    <w:rsid w:val="005E1494"/>
    <w:rsid w:val="005E17C3"/>
    <w:rsid w:val="005E196C"/>
    <w:rsid w:val="005E252C"/>
    <w:rsid w:val="005E258E"/>
    <w:rsid w:val="005E26CA"/>
    <w:rsid w:val="005E2A84"/>
    <w:rsid w:val="005E2C75"/>
    <w:rsid w:val="005E318A"/>
    <w:rsid w:val="005E320E"/>
    <w:rsid w:val="005E32A4"/>
    <w:rsid w:val="005E32C2"/>
    <w:rsid w:val="005E3487"/>
    <w:rsid w:val="005E37EA"/>
    <w:rsid w:val="005E3815"/>
    <w:rsid w:val="005E3B32"/>
    <w:rsid w:val="005E3BF1"/>
    <w:rsid w:val="005E3DBC"/>
    <w:rsid w:val="005E3F3E"/>
    <w:rsid w:val="005E4362"/>
    <w:rsid w:val="005E46F3"/>
    <w:rsid w:val="005E48A9"/>
    <w:rsid w:val="005E4939"/>
    <w:rsid w:val="005E4AD5"/>
    <w:rsid w:val="005E4FE2"/>
    <w:rsid w:val="005E50B2"/>
    <w:rsid w:val="005E528E"/>
    <w:rsid w:val="005E52BD"/>
    <w:rsid w:val="005E53C6"/>
    <w:rsid w:val="005E5459"/>
    <w:rsid w:val="005E55BD"/>
    <w:rsid w:val="005E55C3"/>
    <w:rsid w:val="005E5791"/>
    <w:rsid w:val="005E585E"/>
    <w:rsid w:val="005E599D"/>
    <w:rsid w:val="005E59D0"/>
    <w:rsid w:val="005E5C43"/>
    <w:rsid w:val="005E5C84"/>
    <w:rsid w:val="005E5D9B"/>
    <w:rsid w:val="005E5F12"/>
    <w:rsid w:val="005E5F40"/>
    <w:rsid w:val="005E602B"/>
    <w:rsid w:val="005E629B"/>
    <w:rsid w:val="005E6306"/>
    <w:rsid w:val="005E67B6"/>
    <w:rsid w:val="005E6882"/>
    <w:rsid w:val="005E6884"/>
    <w:rsid w:val="005E6936"/>
    <w:rsid w:val="005E6BB2"/>
    <w:rsid w:val="005E7398"/>
    <w:rsid w:val="005E740B"/>
    <w:rsid w:val="005E762C"/>
    <w:rsid w:val="005E76EC"/>
    <w:rsid w:val="005E779F"/>
    <w:rsid w:val="005E7C0F"/>
    <w:rsid w:val="005E7F1A"/>
    <w:rsid w:val="005F0016"/>
    <w:rsid w:val="005F010E"/>
    <w:rsid w:val="005F0217"/>
    <w:rsid w:val="005F02EF"/>
    <w:rsid w:val="005F0451"/>
    <w:rsid w:val="005F0AF0"/>
    <w:rsid w:val="005F0B20"/>
    <w:rsid w:val="005F0D5D"/>
    <w:rsid w:val="005F10AF"/>
    <w:rsid w:val="005F10F5"/>
    <w:rsid w:val="005F10F8"/>
    <w:rsid w:val="005F1343"/>
    <w:rsid w:val="005F1380"/>
    <w:rsid w:val="005F1414"/>
    <w:rsid w:val="005F150E"/>
    <w:rsid w:val="005F2717"/>
    <w:rsid w:val="005F29E8"/>
    <w:rsid w:val="005F2CF7"/>
    <w:rsid w:val="005F2DF8"/>
    <w:rsid w:val="005F2EF3"/>
    <w:rsid w:val="005F306E"/>
    <w:rsid w:val="005F3189"/>
    <w:rsid w:val="005F3532"/>
    <w:rsid w:val="005F3725"/>
    <w:rsid w:val="005F3891"/>
    <w:rsid w:val="005F3BBC"/>
    <w:rsid w:val="005F3D21"/>
    <w:rsid w:val="005F427B"/>
    <w:rsid w:val="005F43EC"/>
    <w:rsid w:val="005F451F"/>
    <w:rsid w:val="005F499A"/>
    <w:rsid w:val="005F4A19"/>
    <w:rsid w:val="005F4AB5"/>
    <w:rsid w:val="005F4B6C"/>
    <w:rsid w:val="005F4B72"/>
    <w:rsid w:val="005F4CC2"/>
    <w:rsid w:val="005F4D57"/>
    <w:rsid w:val="005F4E80"/>
    <w:rsid w:val="005F4FFE"/>
    <w:rsid w:val="005F50F6"/>
    <w:rsid w:val="005F530E"/>
    <w:rsid w:val="005F5334"/>
    <w:rsid w:val="005F5D1F"/>
    <w:rsid w:val="005F5E3A"/>
    <w:rsid w:val="005F5EE9"/>
    <w:rsid w:val="005F6431"/>
    <w:rsid w:val="005F652C"/>
    <w:rsid w:val="005F6663"/>
    <w:rsid w:val="005F67F5"/>
    <w:rsid w:val="005F6BA5"/>
    <w:rsid w:val="005F6D2A"/>
    <w:rsid w:val="005F6DDF"/>
    <w:rsid w:val="005F6E60"/>
    <w:rsid w:val="005F6E91"/>
    <w:rsid w:val="005F6EEF"/>
    <w:rsid w:val="005F705C"/>
    <w:rsid w:val="005F725A"/>
    <w:rsid w:val="005F7382"/>
    <w:rsid w:val="005F75D0"/>
    <w:rsid w:val="005F770F"/>
    <w:rsid w:val="005F7715"/>
    <w:rsid w:val="005F7DCD"/>
    <w:rsid w:val="005F7E14"/>
    <w:rsid w:val="005F7F59"/>
    <w:rsid w:val="00600189"/>
    <w:rsid w:val="006004E4"/>
    <w:rsid w:val="006008DD"/>
    <w:rsid w:val="006009F5"/>
    <w:rsid w:val="00600C72"/>
    <w:rsid w:val="00600D54"/>
    <w:rsid w:val="00600DEF"/>
    <w:rsid w:val="0060114D"/>
    <w:rsid w:val="006012D7"/>
    <w:rsid w:val="00601E23"/>
    <w:rsid w:val="006020DA"/>
    <w:rsid w:val="0060211C"/>
    <w:rsid w:val="00602450"/>
    <w:rsid w:val="00602633"/>
    <w:rsid w:val="00602BE9"/>
    <w:rsid w:val="00602F57"/>
    <w:rsid w:val="00603115"/>
    <w:rsid w:val="006032E7"/>
    <w:rsid w:val="0060343D"/>
    <w:rsid w:val="00603998"/>
    <w:rsid w:val="00603E4B"/>
    <w:rsid w:val="00604217"/>
    <w:rsid w:val="006045A7"/>
    <w:rsid w:val="006045CA"/>
    <w:rsid w:val="00604904"/>
    <w:rsid w:val="006052A9"/>
    <w:rsid w:val="006053B4"/>
    <w:rsid w:val="00605721"/>
    <w:rsid w:val="0060573F"/>
    <w:rsid w:val="00605872"/>
    <w:rsid w:val="006059D5"/>
    <w:rsid w:val="00605E1B"/>
    <w:rsid w:val="0060619A"/>
    <w:rsid w:val="006061D7"/>
    <w:rsid w:val="00606501"/>
    <w:rsid w:val="00606AAA"/>
    <w:rsid w:val="00606D29"/>
    <w:rsid w:val="0060728F"/>
    <w:rsid w:val="00607378"/>
    <w:rsid w:val="0060761A"/>
    <w:rsid w:val="006076C7"/>
    <w:rsid w:val="0060782E"/>
    <w:rsid w:val="006079D5"/>
    <w:rsid w:val="006079D6"/>
    <w:rsid w:val="00607C70"/>
    <w:rsid w:val="00610099"/>
    <w:rsid w:val="0061017B"/>
    <w:rsid w:val="006108C0"/>
    <w:rsid w:val="0061090B"/>
    <w:rsid w:val="00610A0F"/>
    <w:rsid w:val="00610BF3"/>
    <w:rsid w:val="00610C9D"/>
    <w:rsid w:val="0061147B"/>
    <w:rsid w:val="00611918"/>
    <w:rsid w:val="00611DAE"/>
    <w:rsid w:val="00611E2C"/>
    <w:rsid w:val="0061214B"/>
    <w:rsid w:val="00612295"/>
    <w:rsid w:val="00612501"/>
    <w:rsid w:val="00612697"/>
    <w:rsid w:val="006126D7"/>
    <w:rsid w:val="00612709"/>
    <w:rsid w:val="0061279C"/>
    <w:rsid w:val="006127B7"/>
    <w:rsid w:val="006127DC"/>
    <w:rsid w:val="00612C13"/>
    <w:rsid w:val="006131A4"/>
    <w:rsid w:val="006131B8"/>
    <w:rsid w:val="006135A4"/>
    <w:rsid w:val="00613881"/>
    <w:rsid w:val="00613A1E"/>
    <w:rsid w:val="00613DD9"/>
    <w:rsid w:val="00613FD9"/>
    <w:rsid w:val="0061416B"/>
    <w:rsid w:val="0061454D"/>
    <w:rsid w:val="006145C7"/>
    <w:rsid w:val="00614607"/>
    <w:rsid w:val="0061487A"/>
    <w:rsid w:val="00614D24"/>
    <w:rsid w:val="0061538F"/>
    <w:rsid w:val="0061546E"/>
    <w:rsid w:val="00615543"/>
    <w:rsid w:val="006157DE"/>
    <w:rsid w:val="00615DFD"/>
    <w:rsid w:val="006161F1"/>
    <w:rsid w:val="00616216"/>
    <w:rsid w:val="0061632E"/>
    <w:rsid w:val="0061634C"/>
    <w:rsid w:val="006165A1"/>
    <w:rsid w:val="00616660"/>
    <w:rsid w:val="00616773"/>
    <w:rsid w:val="00616B45"/>
    <w:rsid w:val="00616DC2"/>
    <w:rsid w:val="00617048"/>
    <w:rsid w:val="006170BD"/>
    <w:rsid w:val="0061711C"/>
    <w:rsid w:val="006171A0"/>
    <w:rsid w:val="00617429"/>
    <w:rsid w:val="00617743"/>
    <w:rsid w:val="006179F1"/>
    <w:rsid w:val="00617AA1"/>
    <w:rsid w:val="00617B51"/>
    <w:rsid w:val="00617B59"/>
    <w:rsid w:val="00617D41"/>
    <w:rsid w:val="00617EC4"/>
    <w:rsid w:val="00617F94"/>
    <w:rsid w:val="0062019B"/>
    <w:rsid w:val="00620503"/>
    <w:rsid w:val="00620628"/>
    <w:rsid w:val="00620857"/>
    <w:rsid w:val="00620D02"/>
    <w:rsid w:val="006211BB"/>
    <w:rsid w:val="00621255"/>
    <w:rsid w:val="0062127C"/>
    <w:rsid w:val="0062160E"/>
    <w:rsid w:val="006217A6"/>
    <w:rsid w:val="00621F26"/>
    <w:rsid w:val="00622556"/>
    <w:rsid w:val="0062281F"/>
    <w:rsid w:val="0062289E"/>
    <w:rsid w:val="00622A0F"/>
    <w:rsid w:val="00622BA8"/>
    <w:rsid w:val="00622F8B"/>
    <w:rsid w:val="00622FEA"/>
    <w:rsid w:val="00623278"/>
    <w:rsid w:val="006233F8"/>
    <w:rsid w:val="00623664"/>
    <w:rsid w:val="0062369A"/>
    <w:rsid w:val="00623826"/>
    <w:rsid w:val="00623965"/>
    <w:rsid w:val="00623AB6"/>
    <w:rsid w:val="00623BFE"/>
    <w:rsid w:val="00623CE1"/>
    <w:rsid w:val="00623F69"/>
    <w:rsid w:val="006240DC"/>
    <w:rsid w:val="00624439"/>
    <w:rsid w:val="00624500"/>
    <w:rsid w:val="0062450B"/>
    <w:rsid w:val="0062472C"/>
    <w:rsid w:val="00624773"/>
    <w:rsid w:val="00624840"/>
    <w:rsid w:val="0062489A"/>
    <w:rsid w:val="00624A27"/>
    <w:rsid w:val="00624E58"/>
    <w:rsid w:val="006250CC"/>
    <w:rsid w:val="00625295"/>
    <w:rsid w:val="00625681"/>
    <w:rsid w:val="00625689"/>
    <w:rsid w:val="006256AD"/>
    <w:rsid w:val="006257A0"/>
    <w:rsid w:val="00625BF3"/>
    <w:rsid w:val="00625D26"/>
    <w:rsid w:val="00625EE6"/>
    <w:rsid w:val="006261E7"/>
    <w:rsid w:val="0062622C"/>
    <w:rsid w:val="00626535"/>
    <w:rsid w:val="0062666F"/>
    <w:rsid w:val="0062689B"/>
    <w:rsid w:val="006268BA"/>
    <w:rsid w:val="00626C53"/>
    <w:rsid w:val="00626D80"/>
    <w:rsid w:val="00626E9A"/>
    <w:rsid w:val="00626E9D"/>
    <w:rsid w:val="00626F34"/>
    <w:rsid w:val="00627218"/>
    <w:rsid w:val="006275F6"/>
    <w:rsid w:val="00627647"/>
    <w:rsid w:val="006277DF"/>
    <w:rsid w:val="00627DD6"/>
    <w:rsid w:val="00627E2B"/>
    <w:rsid w:val="0063001C"/>
    <w:rsid w:val="006300CA"/>
    <w:rsid w:val="00630519"/>
    <w:rsid w:val="006308F9"/>
    <w:rsid w:val="00630994"/>
    <w:rsid w:val="006309A2"/>
    <w:rsid w:val="006309FB"/>
    <w:rsid w:val="00630EBD"/>
    <w:rsid w:val="00631048"/>
    <w:rsid w:val="006311F4"/>
    <w:rsid w:val="006314A6"/>
    <w:rsid w:val="00631583"/>
    <w:rsid w:val="0063182E"/>
    <w:rsid w:val="00631F91"/>
    <w:rsid w:val="006321F6"/>
    <w:rsid w:val="006325D3"/>
    <w:rsid w:val="00632628"/>
    <w:rsid w:val="00632AED"/>
    <w:rsid w:val="00632CCF"/>
    <w:rsid w:val="00633416"/>
    <w:rsid w:val="006334BF"/>
    <w:rsid w:val="006334DE"/>
    <w:rsid w:val="00633515"/>
    <w:rsid w:val="006337B0"/>
    <w:rsid w:val="00633909"/>
    <w:rsid w:val="00634205"/>
    <w:rsid w:val="00634236"/>
    <w:rsid w:val="006342C3"/>
    <w:rsid w:val="00634AEB"/>
    <w:rsid w:val="00634C98"/>
    <w:rsid w:val="00635094"/>
    <w:rsid w:val="006354FA"/>
    <w:rsid w:val="006356BA"/>
    <w:rsid w:val="006358AD"/>
    <w:rsid w:val="006358DA"/>
    <w:rsid w:val="00635C34"/>
    <w:rsid w:val="00635E22"/>
    <w:rsid w:val="00636788"/>
    <w:rsid w:val="0063685E"/>
    <w:rsid w:val="006369B7"/>
    <w:rsid w:val="00636B1B"/>
    <w:rsid w:val="0063721D"/>
    <w:rsid w:val="00637693"/>
    <w:rsid w:val="00637785"/>
    <w:rsid w:val="00637A31"/>
    <w:rsid w:val="00637B1C"/>
    <w:rsid w:val="00637CA9"/>
    <w:rsid w:val="00637F37"/>
    <w:rsid w:val="00637F76"/>
    <w:rsid w:val="00640268"/>
    <w:rsid w:val="00640786"/>
    <w:rsid w:val="006407AC"/>
    <w:rsid w:val="006409E7"/>
    <w:rsid w:val="00640FB7"/>
    <w:rsid w:val="0064124E"/>
    <w:rsid w:val="00641268"/>
    <w:rsid w:val="00641369"/>
    <w:rsid w:val="006416B0"/>
    <w:rsid w:val="0064186C"/>
    <w:rsid w:val="006419FA"/>
    <w:rsid w:val="00641A07"/>
    <w:rsid w:val="00641B24"/>
    <w:rsid w:val="00641C17"/>
    <w:rsid w:val="00641D42"/>
    <w:rsid w:val="00641E69"/>
    <w:rsid w:val="00641EDC"/>
    <w:rsid w:val="00641EEA"/>
    <w:rsid w:val="00641FAF"/>
    <w:rsid w:val="00641FDF"/>
    <w:rsid w:val="00642082"/>
    <w:rsid w:val="0064209C"/>
    <w:rsid w:val="00642703"/>
    <w:rsid w:val="006427E3"/>
    <w:rsid w:val="006429B0"/>
    <w:rsid w:val="0064324E"/>
    <w:rsid w:val="00643598"/>
    <w:rsid w:val="00643E1C"/>
    <w:rsid w:val="0064403F"/>
    <w:rsid w:val="00644348"/>
    <w:rsid w:val="00644DF7"/>
    <w:rsid w:val="00644FA3"/>
    <w:rsid w:val="00645041"/>
    <w:rsid w:val="00645203"/>
    <w:rsid w:val="00645449"/>
    <w:rsid w:val="0064548E"/>
    <w:rsid w:val="00645632"/>
    <w:rsid w:val="00645C5A"/>
    <w:rsid w:val="00645E2E"/>
    <w:rsid w:val="00645E7B"/>
    <w:rsid w:val="0064618F"/>
    <w:rsid w:val="006463D4"/>
    <w:rsid w:val="006466C0"/>
    <w:rsid w:val="00646B2F"/>
    <w:rsid w:val="00646B92"/>
    <w:rsid w:val="006472B9"/>
    <w:rsid w:val="0064759B"/>
    <w:rsid w:val="00647944"/>
    <w:rsid w:val="006479EF"/>
    <w:rsid w:val="00647CEB"/>
    <w:rsid w:val="00650026"/>
    <w:rsid w:val="0065004A"/>
    <w:rsid w:val="006503AC"/>
    <w:rsid w:val="00650403"/>
    <w:rsid w:val="00650480"/>
    <w:rsid w:val="00651087"/>
    <w:rsid w:val="006518EB"/>
    <w:rsid w:val="00651B0F"/>
    <w:rsid w:val="00651F71"/>
    <w:rsid w:val="00652028"/>
    <w:rsid w:val="00652303"/>
    <w:rsid w:val="00652707"/>
    <w:rsid w:val="006527A9"/>
    <w:rsid w:val="00652BA1"/>
    <w:rsid w:val="00652F46"/>
    <w:rsid w:val="006530FA"/>
    <w:rsid w:val="00653132"/>
    <w:rsid w:val="006531B7"/>
    <w:rsid w:val="00653742"/>
    <w:rsid w:val="006538A9"/>
    <w:rsid w:val="00653CDC"/>
    <w:rsid w:val="00653F1B"/>
    <w:rsid w:val="00653F22"/>
    <w:rsid w:val="00654026"/>
    <w:rsid w:val="0065407D"/>
    <w:rsid w:val="00654118"/>
    <w:rsid w:val="006542A8"/>
    <w:rsid w:val="00654560"/>
    <w:rsid w:val="00654569"/>
    <w:rsid w:val="00654A2A"/>
    <w:rsid w:val="00654B2B"/>
    <w:rsid w:val="00654DA4"/>
    <w:rsid w:val="00654ED0"/>
    <w:rsid w:val="00654FD3"/>
    <w:rsid w:val="006550AD"/>
    <w:rsid w:val="00655146"/>
    <w:rsid w:val="00655B83"/>
    <w:rsid w:val="00655D6A"/>
    <w:rsid w:val="00656358"/>
    <w:rsid w:val="00656468"/>
    <w:rsid w:val="00656500"/>
    <w:rsid w:val="0065655F"/>
    <w:rsid w:val="006566BA"/>
    <w:rsid w:val="0065676B"/>
    <w:rsid w:val="00656AD0"/>
    <w:rsid w:val="00656F02"/>
    <w:rsid w:val="00657201"/>
    <w:rsid w:val="00657410"/>
    <w:rsid w:val="00657A52"/>
    <w:rsid w:val="00657D9F"/>
    <w:rsid w:val="00657F87"/>
    <w:rsid w:val="006602E0"/>
    <w:rsid w:val="00660329"/>
    <w:rsid w:val="0066036B"/>
    <w:rsid w:val="00660A0E"/>
    <w:rsid w:val="00660FCF"/>
    <w:rsid w:val="0066102B"/>
    <w:rsid w:val="0066112F"/>
    <w:rsid w:val="006611BD"/>
    <w:rsid w:val="0066124D"/>
    <w:rsid w:val="00661646"/>
    <w:rsid w:val="00661737"/>
    <w:rsid w:val="00661765"/>
    <w:rsid w:val="006618C2"/>
    <w:rsid w:val="00661B95"/>
    <w:rsid w:val="00661D00"/>
    <w:rsid w:val="00661D62"/>
    <w:rsid w:val="00661E25"/>
    <w:rsid w:val="0066234D"/>
    <w:rsid w:val="006627F1"/>
    <w:rsid w:val="00662B52"/>
    <w:rsid w:val="0066330D"/>
    <w:rsid w:val="00663375"/>
    <w:rsid w:val="0066349A"/>
    <w:rsid w:val="006636FE"/>
    <w:rsid w:val="0066378A"/>
    <w:rsid w:val="0066391D"/>
    <w:rsid w:val="00663AE8"/>
    <w:rsid w:val="00663D9E"/>
    <w:rsid w:val="00664602"/>
    <w:rsid w:val="0066469B"/>
    <w:rsid w:val="006648B8"/>
    <w:rsid w:val="00664ABF"/>
    <w:rsid w:val="006657CF"/>
    <w:rsid w:val="00665840"/>
    <w:rsid w:val="006658F1"/>
    <w:rsid w:val="00665EFB"/>
    <w:rsid w:val="0066659F"/>
    <w:rsid w:val="00666823"/>
    <w:rsid w:val="00666B4B"/>
    <w:rsid w:val="00666C3D"/>
    <w:rsid w:val="00666F61"/>
    <w:rsid w:val="00667150"/>
    <w:rsid w:val="00667241"/>
    <w:rsid w:val="00667265"/>
    <w:rsid w:val="00667397"/>
    <w:rsid w:val="0066750A"/>
    <w:rsid w:val="0066752C"/>
    <w:rsid w:val="0066764B"/>
    <w:rsid w:val="006701BB"/>
    <w:rsid w:val="006706A5"/>
    <w:rsid w:val="0067084E"/>
    <w:rsid w:val="0067099B"/>
    <w:rsid w:val="00670CF9"/>
    <w:rsid w:val="00671162"/>
    <w:rsid w:val="00671525"/>
    <w:rsid w:val="0067158C"/>
    <w:rsid w:val="006715C5"/>
    <w:rsid w:val="006715EE"/>
    <w:rsid w:val="00671806"/>
    <w:rsid w:val="0067199E"/>
    <w:rsid w:val="00671EE2"/>
    <w:rsid w:val="00671FD8"/>
    <w:rsid w:val="00672094"/>
    <w:rsid w:val="006720AA"/>
    <w:rsid w:val="0067210D"/>
    <w:rsid w:val="00672343"/>
    <w:rsid w:val="0067288F"/>
    <w:rsid w:val="00672987"/>
    <w:rsid w:val="00672B37"/>
    <w:rsid w:val="00672D91"/>
    <w:rsid w:val="00672E67"/>
    <w:rsid w:val="00673320"/>
    <w:rsid w:val="0067340C"/>
    <w:rsid w:val="0067345E"/>
    <w:rsid w:val="00673E1A"/>
    <w:rsid w:val="00674538"/>
    <w:rsid w:val="00674732"/>
    <w:rsid w:val="0067475F"/>
    <w:rsid w:val="00674B48"/>
    <w:rsid w:val="00674C6B"/>
    <w:rsid w:val="00675313"/>
    <w:rsid w:val="006757B8"/>
    <w:rsid w:val="00675811"/>
    <w:rsid w:val="00675965"/>
    <w:rsid w:val="00675C9A"/>
    <w:rsid w:val="00675E15"/>
    <w:rsid w:val="00675E53"/>
    <w:rsid w:val="00675FA3"/>
    <w:rsid w:val="00675FDA"/>
    <w:rsid w:val="006762D7"/>
    <w:rsid w:val="006764BC"/>
    <w:rsid w:val="006766D9"/>
    <w:rsid w:val="006768B6"/>
    <w:rsid w:val="00676A30"/>
    <w:rsid w:val="00676AEE"/>
    <w:rsid w:val="00676D84"/>
    <w:rsid w:val="006772B5"/>
    <w:rsid w:val="00677344"/>
    <w:rsid w:val="00677451"/>
    <w:rsid w:val="006778E6"/>
    <w:rsid w:val="00677AA2"/>
    <w:rsid w:val="00677C2F"/>
    <w:rsid w:val="00677E04"/>
    <w:rsid w:val="0068012C"/>
    <w:rsid w:val="006801E8"/>
    <w:rsid w:val="00680433"/>
    <w:rsid w:val="00680467"/>
    <w:rsid w:val="006804C4"/>
    <w:rsid w:val="00680558"/>
    <w:rsid w:val="006806B2"/>
    <w:rsid w:val="00680776"/>
    <w:rsid w:val="00680ABA"/>
    <w:rsid w:val="00680B14"/>
    <w:rsid w:val="00680BD6"/>
    <w:rsid w:val="00680DC6"/>
    <w:rsid w:val="00680E37"/>
    <w:rsid w:val="00680F4F"/>
    <w:rsid w:val="006810F0"/>
    <w:rsid w:val="0068113D"/>
    <w:rsid w:val="006812B1"/>
    <w:rsid w:val="00681392"/>
    <w:rsid w:val="006814D6"/>
    <w:rsid w:val="00681560"/>
    <w:rsid w:val="006815F9"/>
    <w:rsid w:val="00681AB9"/>
    <w:rsid w:val="00681FCA"/>
    <w:rsid w:val="006822EF"/>
    <w:rsid w:val="006823D8"/>
    <w:rsid w:val="006824BB"/>
    <w:rsid w:val="006826CA"/>
    <w:rsid w:val="00682931"/>
    <w:rsid w:val="00682A12"/>
    <w:rsid w:val="00682F1C"/>
    <w:rsid w:val="00683158"/>
    <w:rsid w:val="0068354F"/>
    <w:rsid w:val="006836A9"/>
    <w:rsid w:val="00683A7A"/>
    <w:rsid w:val="00683BC4"/>
    <w:rsid w:val="00683DE1"/>
    <w:rsid w:val="00683E27"/>
    <w:rsid w:val="0068423B"/>
    <w:rsid w:val="00684333"/>
    <w:rsid w:val="006843AF"/>
    <w:rsid w:val="006843C2"/>
    <w:rsid w:val="00684465"/>
    <w:rsid w:val="006844DA"/>
    <w:rsid w:val="006846C8"/>
    <w:rsid w:val="00684AE6"/>
    <w:rsid w:val="00684ECE"/>
    <w:rsid w:val="00685205"/>
    <w:rsid w:val="006852F6"/>
    <w:rsid w:val="00685844"/>
    <w:rsid w:val="0068594D"/>
    <w:rsid w:val="00685E9F"/>
    <w:rsid w:val="00685F85"/>
    <w:rsid w:val="00686080"/>
    <w:rsid w:val="00686102"/>
    <w:rsid w:val="00686402"/>
    <w:rsid w:val="006868C5"/>
    <w:rsid w:val="00686A35"/>
    <w:rsid w:val="00686BAC"/>
    <w:rsid w:val="00686BCA"/>
    <w:rsid w:val="00686C3C"/>
    <w:rsid w:val="00686FD7"/>
    <w:rsid w:val="006871AB"/>
    <w:rsid w:val="0068727C"/>
    <w:rsid w:val="0068748B"/>
    <w:rsid w:val="00687913"/>
    <w:rsid w:val="00687A97"/>
    <w:rsid w:val="006902E7"/>
    <w:rsid w:val="00690328"/>
    <w:rsid w:val="00690686"/>
    <w:rsid w:val="006908AE"/>
    <w:rsid w:val="00690C6D"/>
    <w:rsid w:val="00690C88"/>
    <w:rsid w:val="00690D58"/>
    <w:rsid w:val="006913B1"/>
    <w:rsid w:val="006914D3"/>
    <w:rsid w:val="00691576"/>
    <w:rsid w:val="006915AF"/>
    <w:rsid w:val="00691695"/>
    <w:rsid w:val="00691EAF"/>
    <w:rsid w:val="00692091"/>
    <w:rsid w:val="006921A2"/>
    <w:rsid w:val="006922EB"/>
    <w:rsid w:val="00692356"/>
    <w:rsid w:val="006923F3"/>
    <w:rsid w:val="00692454"/>
    <w:rsid w:val="0069272F"/>
    <w:rsid w:val="00692783"/>
    <w:rsid w:val="00692918"/>
    <w:rsid w:val="00692B7D"/>
    <w:rsid w:val="00692F77"/>
    <w:rsid w:val="0069301F"/>
    <w:rsid w:val="00693105"/>
    <w:rsid w:val="0069348B"/>
    <w:rsid w:val="006937B3"/>
    <w:rsid w:val="0069382E"/>
    <w:rsid w:val="00693A4A"/>
    <w:rsid w:val="00693A54"/>
    <w:rsid w:val="0069403C"/>
    <w:rsid w:val="006941CB"/>
    <w:rsid w:val="006945C9"/>
    <w:rsid w:val="006949AB"/>
    <w:rsid w:val="006949EF"/>
    <w:rsid w:val="00694AB8"/>
    <w:rsid w:val="00694B2F"/>
    <w:rsid w:val="00694E14"/>
    <w:rsid w:val="00694E53"/>
    <w:rsid w:val="00694E7A"/>
    <w:rsid w:val="00694E80"/>
    <w:rsid w:val="00694FB5"/>
    <w:rsid w:val="006952DC"/>
    <w:rsid w:val="00695389"/>
    <w:rsid w:val="00695624"/>
    <w:rsid w:val="00695898"/>
    <w:rsid w:val="00695CCA"/>
    <w:rsid w:val="00695F7D"/>
    <w:rsid w:val="006960B2"/>
    <w:rsid w:val="006961E8"/>
    <w:rsid w:val="0069626A"/>
    <w:rsid w:val="00696338"/>
    <w:rsid w:val="006966F8"/>
    <w:rsid w:val="00696888"/>
    <w:rsid w:val="00696D6E"/>
    <w:rsid w:val="00697530"/>
    <w:rsid w:val="006979B1"/>
    <w:rsid w:val="00697AD8"/>
    <w:rsid w:val="00697EEA"/>
    <w:rsid w:val="006A0238"/>
    <w:rsid w:val="006A030B"/>
    <w:rsid w:val="006A034A"/>
    <w:rsid w:val="006A03F8"/>
    <w:rsid w:val="006A05F7"/>
    <w:rsid w:val="006A0F0B"/>
    <w:rsid w:val="006A14F6"/>
    <w:rsid w:val="006A15EA"/>
    <w:rsid w:val="006A1705"/>
    <w:rsid w:val="006A19EE"/>
    <w:rsid w:val="006A1A34"/>
    <w:rsid w:val="006A1BF3"/>
    <w:rsid w:val="006A1CAB"/>
    <w:rsid w:val="006A1EED"/>
    <w:rsid w:val="006A25B6"/>
    <w:rsid w:val="006A2620"/>
    <w:rsid w:val="006A2959"/>
    <w:rsid w:val="006A3019"/>
    <w:rsid w:val="006A308C"/>
    <w:rsid w:val="006A30FB"/>
    <w:rsid w:val="006A31FB"/>
    <w:rsid w:val="006A32E7"/>
    <w:rsid w:val="006A3370"/>
    <w:rsid w:val="006A33CD"/>
    <w:rsid w:val="006A34B0"/>
    <w:rsid w:val="006A36DD"/>
    <w:rsid w:val="006A3803"/>
    <w:rsid w:val="006A3E44"/>
    <w:rsid w:val="006A4054"/>
    <w:rsid w:val="006A4248"/>
    <w:rsid w:val="006A4493"/>
    <w:rsid w:val="006A44E1"/>
    <w:rsid w:val="006A44F6"/>
    <w:rsid w:val="006A4B93"/>
    <w:rsid w:val="006A4C1E"/>
    <w:rsid w:val="006A50DC"/>
    <w:rsid w:val="006A5270"/>
    <w:rsid w:val="006A52DF"/>
    <w:rsid w:val="006A52E1"/>
    <w:rsid w:val="006A5523"/>
    <w:rsid w:val="006A56FF"/>
    <w:rsid w:val="006A592D"/>
    <w:rsid w:val="006A5C5A"/>
    <w:rsid w:val="006A5D7D"/>
    <w:rsid w:val="006A5E0D"/>
    <w:rsid w:val="006A5EDD"/>
    <w:rsid w:val="006A60F3"/>
    <w:rsid w:val="006A64E7"/>
    <w:rsid w:val="006A6600"/>
    <w:rsid w:val="006A675F"/>
    <w:rsid w:val="006A6A5F"/>
    <w:rsid w:val="006A6AFD"/>
    <w:rsid w:val="006A6CBF"/>
    <w:rsid w:val="006A6E8D"/>
    <w:rsid w:val="006A6FBF"/>
    <w:rsid w:val="006A7B97"/>
    <w:rsid w:val="006B0399"/>
    <w:rsid w:val="006B04BF"/>
    <w:rsid w:val="006B0708"/>
    <w:rsid w:val="006B0769"/>
    <w:rsid w:val="006B0A1E"/>
    <w:rsid w:val="006B0A7F"/>
    <w:rsid w:val="006B0BBB"/>
    <w:rsid w:val="006B0E7D"/>
    <w:rsid w:val="006B13F9"/>
    <w:rsid w:val="006B14CD"/>
    <w:rsid w:val="006B17C1"/>
    <w:rsid w:val="006B1AA1"/>
    <w:rsid w:val="006B200D"/>
    <w:rsid w:val="006B22E1"/>
    <w:rsid w:val="006B2562"/>
    <w:rsid w:val="006B2638"/>
    <w:rsid w:val="006B289F"/>
    <w:rsid w:val="006B2EA8"/>
    <w:rsid w:val="006B2F2B"/>
    <w:rsid w:val="006B3062"/>
    <w:rsid w:val="006B31D0"/>
    <w:rsid w:val="006B36F9"/>
    <w:rsid w:val="006B3850"/>
    <w:rsid w:val="006B3B0D"/>
    <w:rsid w:val="006B3EA5"/>
    <w:rsid w:val="006B432E"/>
    <w:rsid w:val="006B446F"/>
    <w:rsid w:val="006B4626"/>
    <w:rsid w:val="006B49F8"/>
    <w:rsid w:val="006B4A3E"/>
    <w:rsid w:val="006B4BDE"/>
    <w:rsid w:val="006B4FE4"/>
    <w:rsid w:val="006B5046"/>
    <w:rsid w:val="006B50AA"/>
    <w:rsid w:val="006B51E5"/>
    <w:rsid w:val="006B53EE"/>
    <w:rsid w:val="006B545E"/>
    <w:rsid w:val="006B5880"/>
    <w:rsid w:val="006B5A63"/>
    <w:rsid w:val="006B5EC6"/>
    <w:rsid w:val="006B60A7"/>
    <w:rsid w:val="006B626B"/>
    <w:rsid w:val="006B64BB"/>
    <w:rsid w:val="006B6575"/>
    <w:rsid w:val="006B6A31"/>
    <w:rsid w:val="006B7158"/>
    <w:rsid w:val="006B731A"/>
    <w:rsid w:val="006B743D"/>
    <w:rsid w:val="006B760C"/>
    <w:rsid w:val="006B76D2"/>
    <w:rsid w:val="006B7A4A"/>
    <w:rsid w:val="006B7B27"/>
    <w:rsid w:val="006B7F2E"/>
    <w:rsid w:val="006C006F"/>
    <w:rsid w:val="006C00E9"/>
    <w:rsid w:val="006C0582"/>
    <w:rsid w:val="006C0720"/>
    <w:rsid w:val="006C0854"/>
    <w:rsid w:val="006C0874"/>
    <w:rsid w:val="006C092E"/>
    <w:rsid w:val="006C0EDC"/>
    <w:rsid w:val="006C1028"/>
    <w:rsid w:val="006C1094"/>
    <w:rsid w:val="006C114C"/>
    <w:rsid w:val="006C14D6"/>
    <w:rsid w:val="006C1684"/>
    <w:rsid w:val="006C16CC"/>
    <w:rsid w:val="006C19FF"/>
    <w:rsid w:val="006C1A3A"/>
    <w:rsid w:val="006C1B33"/>
    <w:rsid w:val="006C1B4C"/>
    <w:rsid w:val="006C1B85"/>
    <w:rsid w:val="006C1C36"/>
    <w:rsid w:val="006C1DB3"/>
    <w:rsid w:val="006C1EA7"/>
    <w:rsid w:val="006C24F9"/>
    <w:rsid w:val="006C2552"/>
    <w:rsid w:val="006C279A"/>
    <w:rsid w:val="006C2D30"/>
    <w:rsid w:val="006C30A5"/>
    <w:rsid w:val="006C3189"/>
    <w:rsid w:val="006C34F0"/>
    <w:rsid w:val="006C3552"/>
    <w:rsid w:val="006C38E8"/>
    <w:rsid w:val="006C3B1A"/>
    <w:rsid w:val="006C3E77"/>
    <w:rsid w:val="006C3F1D"/>
    <w:rsid w:val="006C44CA"/>
    <w:rsid w:val="006C4815"/>
    <w:rsid w:val="006C50E7"/>
    <w:rsid w:val="006C51C3"/>
    <w:rsid w:val="006C5560"/>
    <w:rsid w:val="006C55B8"/>
    <w:rsid w:val="006C59CB"/>
    <w:rsid w:val="006C5A8B"/>
    <w:rsid w:val="006C5B86"/>
    <w:rsid w:val="006C60D3"/>
    <w:rsid w:val="006C61DE"/>
    <w:rsid w:val="006C6558"/>
    <w:rsid w:val="006C667A"/>
    <w:rsid w:val="006C6897"/>
    <w:rsid w:val="006C6975"/>
    <w:rsid w:val="006C6CDF"/>
    <w:rsid w:val="006C6D46"/>
    <w:rsid w:val="006C6E26"/>
    <w:rsid w:val="006C71D5"/>
    <w:rsid w:val="006C7248"/>
    <w:rsid w:val="006C7583"/>
    <w:rsid w:val="006C75CE"/>
    <w:rsid w:val="006C76E2"/>
    <w:rsid w:val="006C7919"/>
    <w:rsid w:val="006C7921"/>
    <w:rsid w:val="006C7B2C"/>
    <w:rsid w:val="006C7B7C"/>
    <w:rsid w:val="006C7B91"/>
    <w:rsid w:val="006C7E1B"/>
    <w:rsid w:val="006C7FF9"/>
    <w:rsid w:val="006D00E9"/>
    <w:rsid w:val="006D01F5"/>
    <w:rsid w:val="006D0B85"/>
    <w:rsid w:val="006D0C2A"/>
    <w:rsid w:val="006D0C72"/>
    <w:rsid w:val="006D0FA0"/>
    <w:rsid w:val="006D107E"/>
    <w:rsid w:val="006D130D"/>
    <w:rsid w:val="006D15EE"/>
    <w:rsid w:val="006D19AA"/>
    <w:rsid w:val="006D1A94"/>
    <w:rsid w:val="006D1CEE"/>
    <w:rsid w:val="006D1F9C"/>
    <w:rsid w:val="006D2015"/>
    <w:rsid w:val="006D227F"/>
    <w:rsid w:val="006D23FA"/>
    <w:rsid w:val="006D24AD"/>
    <w:rsid w:val="006D27FC"/>
    <w:rsid w:val="006D2821"/>
    <w:rsid w:val="006D2E73"/>
    <w:rsid w:val="006D2F83"/>
    <w:rsid w:val="006D2FF1"/>
    <w:rsid w:val="006D340D"/>
    <w:rsid w:val="006D350D"/>
    <w:rsid w:val="006D3903"/>
    <w:rsid w:val="006D3B05"/>
    <w:rsid w:val="006D3B53"/>
    <w:rsid w:val="006D3B8D"/>
    <w:rsid w:val="006D3C6F"/>
    <w:rsid w:val="006D3E24"/>
    <w:rsid w:val="006D42E0"/>
    <w:rsid w:val="006D42F7"/>
    <w:rsid w:val="006D442A"/>
    <w:rsid w:val="006D4699"/>
    <w:rsid w:val="006D49D0"/>
    <w:rsid w:val="006D501D"/>
    <w:rsid w:val="006D50DF"/>
    <w:rsid w:val="006D517D"/>
    <w:rsid w:val="006D5219"/>
    <w:rsid w:val="006D566F"/>
    <w:rsid w:val="006D5949"/>
    <w:rsid w:val="006D5A8E"/>
    <w:rsid w:val="006D5C04"/>
    <w:rsid w:val="006D5F52"/>
    <w:rsid w:val="006D60FB"/>
    <w:rsid w:val="006D63DE"/>
    <w:rsid w:val="006D6580"/>
    <w:rsid w:val="006D65C0"/>
    <w:rsid w:val="006D6AC5"/>
    <w:rsid w:val="006D6D7E"/>
    <w:rsid w:val="006D6F91"/>
    <w:rsid w:val="006D700E"/>
    <w:rsid w:val="006D727E"/>
    <w:rsid w:val="006D72C5"/>
    <w:rsid w:val="006D73E6"/>
    <w:rsid w:val="006D7730"/>
    <w:rsid w:val="006D7776"/>
    <w:rsid w:val="006D77ED"/>
    <w:rsid w:val="006D788F"/>
    <w:rsid w:val="006E0304"/>
    <w:rsid w:val="006E0406"/>
    <w:rsid w:val="006E0589"/>
    <w:rsid w:val="006E0739"/>
    <w:rsid w:val="006E08E9"/>
    <w:rsid w:val="006E09F4"/>
    <w:rsid w:val="006E0BAF"/>
    <w:rsid w:val="006E0BC6"/>
    <w:rsid w:val="006E0BCF"/>
    <w:rsid w:val="006E0F56"/>
    <w:rsid w:val="006E128A"/>
    <w:rsid w:val="006E1375"/>
    <w:rsid w:val="006E13A0"/>
    <w:rsid w:val="006E1470"/>
    <w:rsid w:val="006E189B"/>
    <w:rsid w:val="006E18B3"/>
    <w:rsid w:val="006E19F5"/>
    <w:rsid w:val="006E1A6A"/>
    <w:rsid w:val="006E1D82"/>
    <w:rsid w:val="006E1E49"/>
    <w:rsid w:val="006E20CB"/>
    <w:rsid w:val="006E2271"/>
    <w:rsid w:val="006E2469"/>
    <w:rsid w:val="006E27F9"/>
    <w:rsid w:val="006E2B7C"/>
    <w:rsid w:val="006E2C33"/>
    <w:rsid w:val="006E33A2"/>
    <w:rsid w:val="006E3528"/>
    <w:rsid w:val="006E3549"/>
    <w:rsid w:val="006E358A"/>
    <w:rsid w:val="006E36A0"/>
    <w:rsid w:val="006E37BB"/>
    <w:rsid w:val="006E37D4"/>
    <w:rsid w:val="006E38AA"/>
    <w:rsid w:val="006E38D5"/>
    <w:rsid w:val="006E3B86"/>
    <w:rsid w:val="006E46BA"/>
    <w:rsid w:val="006E4942"/>
    <w:rsid w:val="006E4E99"/>
    <w:rsid w:val="006E4FCF"/>
    <w:rsid w:val="006E526F"/>
    <w:rsid w:val="006E52D7"/>
    <w:rsid w:val="006E53DA"/>
    <w:rsid w:val="006E5486"/>
    <w:rsid w:val="006E56BD"/>
    <w:rsid w:val="006E5F45"/>
    <w:rsid w:val="006E609D"/>
    <w:rsid w:val="006E6195"/>
    <w:rsid w:val="006E6F9F"/>
    <w:rsid w:val="006E7220"/>
    <w:rsid w:val="006E7260"/>
    <w:rsid w:val="006E72AA"/>
    <w:rsid w:val="006E731B"/>
    <w:rsid w:val="006E7520"/>
    <w:rsid w:val="006E7569"/>
    <w:rsid w:val="006E7828"/>
    <w:rsid w:val="006E79AE"/>
    <w:rsid w:val="006E7AF3"/>
    <w:rsid w:val="006E7C27"/>
    <w:rsid w:val="006E7C8C"/>
    <w:rsid w:val="006E7D1E"/>
    <w:rsid w:val="006E7FED"/>
    <w:rsid w:val="006F011A"/>
    <w:rsid w:val="006F0134"/>
    <w:rsid w:val="006F03DB"/>
    <w:rsid w:val="006F0428"/>
    <w:rsid w:val="006F04AF"/>
    <w:rsid w:val="006F0918"/>
    <w:rsid w:val="006F092D"/>
    <w:rsid w:val="006F0966"/>
    <w:rsid w:val="006F0A9D"/>
    <w:rsid w:val="006F0BAF"/>
    <w:rsid w:val="006F17D6"/>
    <w:rsid w:val="006F1E5E"/>
    <w:rsid w:val="006F2549"/>
    <w:rsid w:val="006F2908"/>
    <w:rsid w:val="006F2DFA"/>
    <w:rsid w:val="006F302F"/>
    <w:rsid w:val="006F328B"/>
    <w:rsid w:val="006F35D4"/>
    <w:rsid w:val="006F36AB"/>
    <w:rsid w:val="006F38B8"/>
    <w:rsid w:val="006F3D09"/>
    <w:rsid w:val="006F4151"/>
    <w:rsid w:val="006F4323"/>
    <w:rsid w:val="006F4734"/>
    <w:rsid w:val="006F508F"/>
    <w:rsid w:val="006F51FD"/>
    <w:rsid w:val="006F5637"/>
    <w:rsid w:val="006F567B"/>
    <w:rsid w:val="006F5AC5"/>
    <w:rsid w:val="006F5E21"/>
    <w:rsid w:val="006F5F7A"/>
    <w:rsid w:val="006F6051"/>
    <w:rsid w:val="006F6105"/>
    <w:rsid w:val="006F6128"/>
    <w:rsid w:val="006F6136"/>
    <w:rsid w:val="006F6237"/>
    <w:rsid w:val="006F6643"/>
    <w:rsid w:val="006F67CB"/>
    <w:rsid w:val="006F6910"/>
    <w:rsid w:val="006F6B2E"/>
    <w:rsid w:val="006F6B4D"/>
    <w:rsid w:val="006F6DB5"/>
    <w:rsid w:val="006F707A"/>
    <w:rsid w:val="006F70D1"/>
    <w:rsid w:val="006F7363"/>
    <w:rsid w:val="006F7364"/>
    <w:rsid w:val="006F79CD"/>
    <w:rsid w:val="0070029A"/>
    <w:rsid w:val="0070032F"/>
    <w:rsid w:val="0070044E"/>
    <w:rsid w:val="007005B5"/>
    <w:rsid w:val="00700744"/>
    <w:rsid w:val="0070084E"/>
    <w:rsid w:val="00700895"/>
    <w:rsid w:val="00700E71"/>
    <w:rsid w:val="00700E78"/>
    <w:rsid w:val="00700FB3"/>
    <w:rsid w:val="00700FB6"/>
    <w:rsid w:val="00701075"/>
    <w:rsid w:val="007010F8"/>
    <w:rsid w:val="00701424"/>
    <w:rsid w:val="00701D41"/>
    <w:rsid w:val="00701E79"/>
    <w:rsid w:val="00702101"/>
    <w:rsid w:val="00702480"/>
    <w:rsid w:val="00702820"/>
    <w:rsid w:val="00702882"/>
    <w:rsid w:val="00702A00"/>
    <w:rsid w:val="00702EAE"/>
    <w:rsid w:val="00703922"/>
    <w:rsid w:val="00703979"/>
    <w:rsid w:val="007039E2"/>
    <w:rsid w:val="00703E4C"/>
    <w:rsid w:val="00704146"/>
    <w:rsid w:val="0070417D"/>
    <w:rsid w:val="0070426D"/>
    <w:rsid w:val="0070435A"/>
    <w:rsid w:val="0070445C"/>
    <w:rsid w:val="00704A42"/>
    <w:rsid w:val="00704DB1"/>
    <w:rsid w:val="00704E7C"/>
    <w:rsid w:val="00704F78"/>
    <w:rsid w:val="0070544E"/>
    <w:rsid w:val="00705592"/>
    <w:rsid w:val="007055A9"/>
    <w:rsid w:val="007055D9"/>
    <w:rsid w:val="0070594A"/>
    <w:rsid w:val="00705A83"/>
    <w:rsid w:val="00705BAA"/>
    <w:rsid w:val="00705CE4"/>
    <w:rsid w:val="00705DB4"/>
    <w:rsid w:val="00705E1F"/>
    <w:rsid w:val="007067E4"/>
    <w:rsid w:val="00706852"/>
    <w:rsid w:val="00706A20"/>
    <w:rsid w:val="00706DAD"/>
    <w:rsid w:val="00706EBD"/>
    <w:rsid w:val="00707222"/>
    <w:rsid w:val="007072B1"/>
    <w:rsid w:val="0070755E"/>
    <w:rsid w:val="007075D6"/>
    <w:rsid w:val="0070769E"/>
    <w:rsid w:val="007077E4"/>
    <w:rsid w:val="007079E8"/>
    <w:rsid w:val="00707AAF"/>
    <w:rsid w:val="00707BF0"/>
    <w:rsid w:val="00707D3D"/>
    <w:rsid w:val="00707DB1"/>
    <w:rsid w:val="00707FB5"/>
    <w:rsid w:val="0071062F"/>
    <w:rsid w:val="007107A9"/>
    <w:rsid w:val="0071088B"/>
    <w:rsid w:val="00710A1F"/>
    <w:rsid w:val="00710A70"/>
    <w:rsid w:val="00710BF2"/>
    <w:rsid w:val="007116DA"/>
    <w:rsid w:val="00711733"/>
    <w:rsid w:val="00711734"/>
    <w:rsid w:val="00711CEA"/>
    <w:rsid w:val="00711F1D"/>
    <w:rsid w:val="00711F27"/>
    <w:rsid w:val="0071228B"/>
    <w:rsid w:val="0071249F"/>
    <w:rsid w:val="00712611"/>
    <w:rsid w:val="007126AC"/>
    <w:rsid w:val="007126DF"/>
    <w:rsid w:val="007127E4"/>
    <w:rsid w:val="00712805"/>
    <w:rsid w:val="00712891"/>
    <w:rsid w:val="007129C4"/>
    <w:rsid w:val="00712A26"/>
    <w:rsid w:val="00712F75"/>
    <w:rsid w:val="0071339A"/>
    <w:rsid w:val="00713456"/>
    <w:rsid w:val="0071356D"/>
    <w:rsid w:val="00713642"/>
    <w:rsid w:val="0071387D"/>
    <w:rsid w:val="0071388D"/>
    <w:rsid w:val="00713B13"/>
    <w:rsid w:val="00713CF9"/>
    <w:rsid w:val="00714066"/>
    <w:rsid w:val="00714243"/>
    <w:rsid w:val="00714381"/>
    <w:rsid w:val="0071486E"/>
    <w:rsid w:val="00714982"/>
    <w:rsid w:val="00714989"/>
    <w:rsid w:val="00714AD0"/>
    <w:rsid w:val="00714D8E"/>
    <w:rsid w:val="00714DAA"/>
    <w:rsid w:val="00714FEE"/>
    <w:rsid w:val="007151F5"/>
    <w:rsid w:val="007152AD"/>
    <w:rsid w:val="007156E5"/>
    <w:rsid w:val="007158CE"/>
    <w:rsid w:val="00715ADD"/>
    <w:rsid w:val="00715B68"/>
    <w:rsid w:val="00715FE6"/>
    <w:rsid w:val="00716191"/>
    <w:rsid w:val="00716239"/>
    <w:rsid w:val="007162F6"/>
    <w:rsid w:val="00716354"/>
    <w:rsid w:val="00716524"/>
    <w:rsid w:val="007170EC"/>
    <w:rsid w:val="0071716A"/>
    <w:rsid w:val="007175D5"/>
    <w:rsid w:val="007179BE"/>
    <w:rsid w:val="00717A7F"/>
    <w:rsid w:val="00717B60"/>
    <w:rsid w:val="00717C19"/>
    <w:rsid w:val="00717C90"/>
    <w:rsid w:val="00717D4F"/>
    <w:rsid w:val="00717F49"/>
    <w:rsid w:val="0072085D"/>
    <w:rsid w:val="00720ADC"/>
    <w:rsid w:val="00720C51"/>
    <w:rsid w:val="0072146A"/>
    <w:rsid w:val="007214B4"/>
    <w:rsid w:val="007217BA"/>
    <w:rsid w:val="00721863"/>
    <w:rsid w:val="00721A5E"/>
    <w:rsid w:val="00721B5E"/>
    <w:rsid w:val="00721D2E"/>
    <w:rsid w:val="007220CA"/>
    <w:rsid w:val="0072227B"/>
    <w:rsid w:val="00722628"/>
    <w:rsid w:val="007226E3"/>
    <w:rsid w:val="00722920"/>
    <w:rsid w:val="00722951"/>
    <w:rsid w:val="00722D98"/>
    <w:rsid w:val="00722E59"/>
    <w:rsid w:val="0072303E"/>
    <w:rsid w:val="00723795"/>
    <w:rsid w:val="00723993"/>
    <w:rsid w:val="00723A00"/>
    <w:rsid w:val="00723A88"/>
    <w:rsid w:val="00723AB8"/>
    <w:rsid w:val="00723FC3"/>
    <w:rsid w:val="0072447A"/>
    <w:rsid w:val="007245A5"/>
    <w:rsid w:val="00724822"/>
    <w:rsid w:val="00724F50"/>
    <w:rsid w:val="007251D0"/>
    <w:rsid w:val="007256EB"/>
    <w:rsid w:val="00725C4E"/>
    <w:rsid w:val="00725DA9"/>
    <w:rsid w:val="00725DC2"/>
    <w:rsid w:val="0072604D"/>
    <w:rsid w:val="007262E9"/>
    <w:rsid w:val="00726344"/>
    <w:rsid w:val="0072634E"/>
    <w:rsid w:val="007263BF"/>
    <w:rsid w:val="00726847"/>
    <w:rsid w:val="00726890"/>
    <w:rsid w:val="007268C4"/>
    <w:rsid w:val="00726C71"/>
    <w:rsid w:val="00726DC3"/>
    <w:rsid w:val="00727015"/>
    <w:rsid w:val="00727BDD"/>
    <w:rsid w:val="00727BF0"/>
    <w:rsid w:val="00727D26"/>
    <w:rsid w:val="0073001E"/>
    <w:rsid w:val="0073007E"/>
    <w:rsid w:val="007301CF"/>
    <w:rsid w:val="00730331"/>
    <w:rsid w:val="00730EE4"/>
    <w:rsid w:val="00730F26"/>
    <w:rsid w:val="007311E9"/>
    <w:rsid w:val="00731515"/>
    <w:rsid w:val="00731D84"/>
    <w:rsid w:val="00732446"/>
    <w:rsid w:val="0073290E"/>
    <w:rsid w:val="00732C64"/>
    <w:rsid w:val="00732D59"/>
    <w:rsid w:val="00732E1C"/>
    <w:rsid w:val="00733580"/>
    <w:rsid w:val="00733597"/>
    <w:rsid w:val="00733887"/>
    <w:rsid w:val="00733EEC"/>
    <w:rsid w:val="0073407B"/>
    <w:rsid w:val="00734440"/>
    <w:rsid w:val="00734819"/>
    <w:rsid w:val="00734A3F"/>
    <w:rsid w:val="00734A4E"/>
    <w:rsid w:val="00734FC3"/>
    <w:rsid w:val="00735376"/>
    <w:rsid w:val="0073540D"/>
    <w:rsid w:val="0073559B"/>
    <w:rsid w:val="007355A6"/>
    <w:rsid w:val="007356D7"/>
    <w:rsid w:val="00735776"/>
    <w:rsid w:val="00735B8C"/>
    <w:rsid w:val="00735BF6"/>
    <w:rsid w:val="007363A9"/>
    <w:rsid w:val="007365F6"/>
    <w:rsid w:val="007366AE"/>
    <w:rsid w:val="007366C9"/>
    <w:rsid w:val="00736811"/>
    <w:rsid w:val="00736815"/>
    <w:rsid w:val="00736BCE"/>
    <w:rsid w:val="00737107"/>
    <w:rsid w:val="007371B0"/>
    <w:rsid w:val="007373BD"/>
    <w:rsid w:val="007374B6"/>
    <w:rsid w:val="00737525"/>
    <w:rsid w:val="00737622"/>
    <w:rsid w:val="00737EB0"/>
    <w:rsid w:val="00737EC5"/>
    <w:rsid w:val="00740518"/>
    <w:rsid w:val="00740594"/>
    <w:rsid w:val="007405FC"/>
    <w:rsid w:val="00740727"/>
    <w:rsid w:val="00740729"/>
    <w:rsid w:val="0074074E"/>
    <w:rsid w:val="00740BD8"/>
    <w:rsid w:val="00740E07"/>
    <w:rsid w:val="00741012"/>
    <w:rsid w:val="00741442"/>
    <w:rsid w:val="007417B5"/>
    <w:rsid w:val="00741B14"/>
    <w:rsid w:val="00741B77"/>
    <w:rsid w:val="00741EB9"/>
    <w:rsid w:val="0074216C"/>
    <w:rsid w:val="007422D7"/>
    <w:rsid w:val="007423DD"/>
    <w:rsid w:val="00742487"/>
    <w:rsid w:val="00742F94"/>
    <w:rsid w:val="0074309B"/>
    <w:rsid w:val="007433F2"/>
    <w:rsid w:val="00743608"/>
    <w:rsid w:val="00743747"/>
    <w:rsid w:val="007437BB"/>
    <w:rsid w:val="00743D13"/>
    <w:rsid w:val="00743D38"/>
    <w:rsid w:val="00743E48"/>
    <w:rsid w:val="00744834"/>
    <w:rsid w:val="00744997"/>
    <w:rsid w:val="00744AED"/>
    <w:rsid w:val="00744B56"/>
    <w:rsid w:val="0074500B"/>
    <w:rsid w:val="00745202"/>
    <w:rsid w:val="00745374"/>
    <w:rsid w:val="0074590F"/>
    <w:rsid w:val="00745A68"/>
    <w:rsid w:val="00745ACC"/>
    <w:rsid w:val="00745C28"/>
    <w:rsid w:val="00745CD4"/>
    <w:rsid w:val="00745F74"/>
    <w:rsid w:val="007466E3"/>
    <w:rsid w:val="00746DE0"/>
    <w:rsid w:val="00746EC0"/>
    <w:rsid w:val="007470D1"/>
    <w:rsid w:val="00747114"/>
    <w:rsid w:val="00747453"/>
    <w:rsid w:val="00747539"/>
    <w:rsid w:val="007475B2"/>
    <w:rsid w:val="00747BB5"/>
    <w:rsid w:val="00747D73"/>
    <w:rsid w:val="00747DFD"/>
    <w:rsid w:val="00747FFC"/>
    <w:rsid w:val="0075017A"/>
    <w:rsid w:val="007504D7"/>
    <w:rsid w:val="00750615"/>
    <w:rsid w:val="00750727"/>
    <w:rsid w:val="00750985"/>
    <w:rsid w:val="007509AB"/>
    <w:rsid w:val="00750B27"/>
    <w:rsid w:val="00750BB1"/>
    <w:rsid w:val="00750C59"/>
    <w:rsid w:val="00750C6B"/>
    <w:rsid w:val="00750FED"/>
    <w:rsid w:val="00751060"/>
    <w:rsid w:val="007511E5"/>
    <w:rsid w:val="007512AD"/>
    <w:rsid w:val="00751310"/>
    <w:rsid w:val="0075163C"/>
    <w:rsid w:val="00751A77"/>
    <w:rsid w:val="00751BAE"/>
    <w:rsid w:val="00751C6A"/>
    <w:rsid w:val="00751CB9"/>
    <w:rsid w:val="00751DDE"/>
    <w:rsid w:val="007520AA"/>
    <w:rsid w:val="007524DD"/>
    <w:rsid w:val="007526F0"/>
    <w:rsid w:val="0075271E"/>
    <w:rsid w:val="00752AE4"/>
    <w:rsid w:val="00752DE2"/>
    <w:rsid w:val="00752E40"/>
    <w:rsid w:val="00752E8E"/>
    <w:rsid w:val="007535E3"/>
    <w:rsid w:val="00753697"/>
    <w:rsid w:val="00753E2F"/>
    <w:rsid w:val="007545D9"/>
    <w:rsid w:val="007549B7"/>
    <w:rsid w:val="007549C8"/>
    <w:rsid w:val="00754A70"/>
    <w:rsid w:val="00754D6E"/>
    <w:rsid w:val="00754E4B"/>
    <w:rsid w:val="00754E9A"/>
    <w:rsid w:val="00755442"/>
    <w:rsid w:val="0075557C"/>
    <w:rsid w:val="0075568B"/>
    <w:rsid w:val="0075571D"/>
    <w:rsid w:val="00755888"/>
    <w:rsid w:val="007558AF"/>
    <w:rsid w:val="007559A9"/>
    <w:rsid w:val="00755B1C"/>
    <w:rsid w:val="00755B2B"/>
    <w:rsid w:val="00755DBB"/>
    <w:rsid w:val="007563F0"/>
    <w:rsid w:val="00756599"/>
    <w:rsid w:val="00756F69"/>
    <w:rsid w:val="007570C5"/>
    <w:rsid w:val="007572CE"/>
    <w:rsid w:val="007575CB"/>
    <w:rsid w:val="007577B8"/>
    <w:rsid w:val="00757A53"/>
    <w:rsid w:val="00757BB5"/>
    <w:rsid w:val="00757DEC"/>
    <w:rsid w:val="00757E8F"/>
    <w:rsid w:val="00757F0C"/>
    <w:rsid w:val="00757F15"/>
    <w:rsid w:val="007600D0"/>
    <w:rsid w:val="00760442"/>
    <w:rsid w:val="00760540"/>
    <w:rsid w:val="00760688"/>
    <w:rsid w:val="007607F7"/>
    <w:rsid w:val="007609B7"/>
    <w:rsid w:val="00760DFE"/>
    <w:rsid w:val="00760E62"/>
    <w:rsid w:val="00760EDF"/>
    <w:rsid w:val="00760FF4"/>
    <w:rsid w:val="00761024"/>
    <w:rsid w:val="00761625"/>
    <w:rsid w:val="00761703"/>
    <w:rsid w:val="00761901"/>
    <w:rsid w:val="00761D80"/>
    <w:rsid w:val="00761F9D"/>
    <w:rsid w:val="007620A5"/>
    <w:rsid w:val="007622CA"/>
    <w:rsid w:val="0076230F"/>
    <w:rsid w:val="007625D4"/>
    <w:rsid w:val="007628D1"/>
    <w:rsid w:val="007628E7"/>
    <w:rsid w:val="00762919"/>
    <w:rsid w:val="00762E97"/>
    <w:rsid w:val="00763308"/>
    <w:rsid w:val="00763422"/>
    <w:rsid w:val="007634FB"/>
    <w:rsid w:val="007635B9"/>
    <w:rsid w:val="00763785"/>
    <w:rsid w:val="007637A5"/>
    <w:rsid w:val="0076397C"/>
    <w:rsid w:val="00764013"/>
    <w:rsid w:val="007645A1"/>
    <w:rsid w:val="00764945"/>
    <w:rsid w:val="007649E3"/>
    <w:rsid w:val="00764D0D"/>
    <w:rsid w:val="00764F24"/>
    <w:rsid w:val="00765103"/>
    <w:rsid w:val="00765612"/>
    <w:rsid w:val="00765C9F"/>
    <w:rsid w:val="00765D3F"/>
    <w:rsid w:val="00765EF7"/>
    <w:rsid w:val="00765F7F"/>
    <w:rsid w:val="0076602D"/>
    <w:rsid w:val="00766094"/>
    <w:rsid w:val="0076635B"/>
    <w:rsid w:val="00766A7E"/>
    <w:rsid w:val="00766C14"/>
    <w:rsid w:val="00766CF0"/>
    <w:rsid w:val="00766DCE"/>
    <w:rsid w:val="00767212"/>
    <w:rsid w:val="0076773D"/>
    <w:rsid w:val="007677FD"/>
    <w:rsid w:val="00770662"/>
    <w:rsid w:val="007708C4"/>
    <w:rsid w:val="00770F59"/>
    <w:rsid w:val="0077135B"/>
    <w:rsid w:val="007714F0"/>
    <w:rsid w:val="00771627"/>
    <w:rsid w:val="00771734"/>
    <w:rsid w:val="0077176B"/>
    <w:rsid w:val="00771871"/>
    <w:rsid w:val="00771AE5"/>
    <w:rsid w:val="00771E4F"/>
    <w:rsid w:val="00772448"/>
    <w:rsid w:val="00772463"/>
    <w:rsid w:val="007724FE"/>
    <w:rsid w:val="00772901"/>
    <w:rsid w:val="00773045"/>
    <w:rsid w:val="00773194"/>
    <w:rsid w:val="0077382C"/>
    <w:rsid w:val="007738C6"/>
    <w:rsid w:val="0077398E"/>
    <w:rsid w:val="00773998"/>
    <w:rsid w:val="00773A91"/>
    <w:rsid w:val="00773B37"/>
    <w:rsid w:val="007741E9"/>
    <w:rsid w:val="0077420A"/>
    <w:rsid w:val="007744E1"/>
    <w:rsid w:val="00774813"/>
    <w:rsid w:val="00774B1F"/>
    <w:rsid w:val="00774DC0"/>
    <w:rsid w:val="0077528B"/>
    <w:rsid w:val="007755BC"/>
    <w:rsid w:val="007756D7"/>
    <w:rsid w:val="00775B0D"/>
    <w:rsid w:val="00776023"/>
    <w:rsid w:val="007765F2"/>
    <w:rsid w:val="007768BF"/>
    <w:rsid w:val="00776A25"/>
    <w:rsid w:val="00776BAE"/>
    <w:rsid w:val="00776C84"/>
    <w:rsid w:val="00777451"/>
    <w:rsid w:val="007774CA"/>
    <w:rsid w:val="00777918"/>
    <w:rsid w:val="007779CE"/>
    <w:rsid w:val="00777CE9"/>
    <w:rsid w:val="00780045"/>
    <w:rsid w:val="007805EA"/>
    <w:rsid w:val="00780823"/>
    <w:rsid w:val="007809A7"/>
    <w:rsid w:val="00781607"/>
    <w:rsid w:val="0078178A"/>
    <w:rsid w:val="007819A5"/>
    <w:rsid w:val="0078228B"/>
    <w:rsid w:val="007822A0"/>
    <w:rsid w:val="007829DD"/>
    <w:rsid w:val="00782CE5"/>
    <w:rsid w:val="00782E2A"/>
    <w:rsid w:val="00783059"/>
    <w:rsid w:val="0078311C"/>
    <w:rsid w:val="0078356D"/>
    <w:rsid w:val="007836AB"/>
    <w:rsid w:val="007838BC"/>
    <w:rsid w:val="00783AA3"/>
    <w:rsid w:val="00783B4C"/>
    <w:rsid w:val="00784013"/>
    <w:rsid w:val="00784365"/>
    <w:rsid w:val="007849AB"/>
    <w:rsid w:val="00784AD4"/>
    <w:rsid w:val="00784B6A"/>
    <w:rsid w:val="00784E8A"/>
    <w:rsid w:val="00784EEB"/>
    <w:rsid w:val="0078543E"/>
    <w:rsid w:val="00785564"/>
    <w:rsid w:val="007855EF"/>
    <w:rsid w:val="00785A5E"/>
    <w:rsid w:val="00785F0D"/>
    <w:rsid w:val="00786154"/>
    <w:rsid w:val="00786233"/>
    <w:rsid w:val="007863EB"/>
    <w:rsid w:val="007869FA"/>
    <w:rsid w:val="00786DC7"/>
    <w:rsid w:val="00786E4D"/>
    <w:rsid w:val="00786E96"/>
    <w:rsid w:val="007870B8"/>
    <w:rsid w:val="0078736F"/>
    <w:rsid w:val="0078743A"/>
    <w:rsid w:val="007877DE"/>
    <w:rsid w:val="007879EB"/>
    <w:rsid w:val="00787B2A"/>
    <w:rsid w:val="00787B4B"/>
    <w:rsid w:val="00787D72"/>
    <w:rsid w:val="00787F93"/>
    <w:rsid w:val="00790297"/>
    <w:rsid w:val="0079035A"/>
    <w:rsid w:val="007904DA"/>
    <w:rsid w:val="00790561"/>
    <w:rsid w:val="00790597"/>
    <w:rsid w:val="0079063F"/>
    <w:rsid w:val="00790697"/>
    <w:rsid w:val="007906B2"/>
    <w:rsid w:val="00790784"/>
    <w:rsid w:val="007907EF"/>
    <w:rsid w:val="00790C1B"/>
    <w:rsid w:val="00790DB5"/>
    <w:rsid w:val="00790E1F"/>
    <w:rsid w:val="00790E28"/>
    <w:rsid w:val="007910DE"/>
    <w:rsid w:val="00791189"/>
    <w:rsid w:val="00791244"/>
    <w:rsid w:val="007919C1"/>
    <w:rsid w:val="00791A81"/>
    <w:rsid w:val="00791D5E"/>
    <w:rsid w:val="00791E8A"/>
    <w:rsid w:val="00792023"/>
    <w:rsid w:val="007923A4"/>
    <w:rsid w:val="00792EB6"/>
    <w:rsid w:val="00792FBD"/>
    <w:rsid w:val="0079329A"/>
    <w:rsid w:val="0079376F"/>
    <w:rsid w:val="00793850"/>
    <w:rsid w:val="00793A37"/>
    <w:rsid w:val="00793DE8"/>
    <w:rsid w:val="00794309"/>
    <w:rsid w:val="0079452C"/>
    <w:rsid w:val="00794A0D"/>
    <w:rsid w:val="00794DDD"/>
    <w:rsid w:val="00794F14"/>
    <w:rsid w:val="00794F30"/>
    <w:rsid w:val="0079502F"/>
    <w:rsid w:val="00795270"/>
    <w:rsid w:val="00795686"/>
    <w:rsid w:val="00795743"/>
    <w:rsid w:val="00795A35"/>
    <w:rsid w:val="00795D7C"/>
    <w:rsid w:val="00795D88"/>
    <w:rsid w:val="0079621B"/>
    <w:rsid w:val="0079665A"/>
    <w:rsid w:val="00796DCA"/>
    <w:rsid w:val="00796E0A"/>
    <w:rsid w:val="007970F2"/>
    <w:rsid w:val="007971AF"/>
    <w:rsid w:val="007978B8"/>
    <w:rsid w:val="00797B45"/>
    <w:rsid w:val="00797B5D"/>
    <w:rsid w:val="00797C25"/>
    <w:rsid w:val="007A0330"/>
    <w:rsid w:val="007A04E9"/>
    <w:rsid w:val="007A0995"/>
    <w:rsid w:val="007A09C3"/>
    <w:rsid w:val="007A0B00"/>
    <w:rsid w:val="007A0CB2"/>
    <w:rsid w:val="007A0DE2"/>
    <w:rsid w:val="007A11B9"/>
    <w:rsid w:val="007A1235"/>
    <w:rsid w:val="007A1755"/>
    <w:rsid w:val="007A1B0B"/>
    <w:rsid w:val="007A215C"/>
    <w:rsid w:val="007A2250"/>
    <w:rsid w:val="007A269E"/>
    <w:rsid w:val="007A290B"/>
    <w:rsid w:val="007A2B0C"/>
    <w:rsid w:val="007A2B90"/>
    <w:rsid w:val="007A3237"/>
    <w:rsid w:val="007A3311"/>
    <w:rsid w:val="007A339D"/>
    <w:rsid w:val="007A3539"/>
    <w:rsid w:val="007A3939"/>
    <w:rsid w:val="007A3B7B"/>
    <w:rsid w:val="007A3B88"/>
    <w:rsid w:val="007A3F00"/>
    <w:rsid w:val="007A41B1"/>
    <w:rsid w:val="007A4AF6"/>
    <w:rsid w:val="007A4BA4"/>
    <w:rsid w:val="007A4D40"/>
    <w:rsid w:val="007A5251"/>
    <w:rsid w:val="007A5283"/>
    <w:rsid w:val="007A5560"/>
    <w:rsid w:val="007A5908"/>
    <w:rsid w:val="007A608E"/>
    <w:rsid w:val="007A630D"/>
    <w:rsid w:val="007A64EC"/>
    <w:rsid w:val="007A6557"/>
    <w:rsid w:val="007A669B"/>
    <w:rsid w:val="007A66BB"/>
    <w:rsid w:val="007A675E"/>
    <w:rsid w:val="007A6C8A"/>
    <w:rsid w:val="007A705C"/>
    <w:rsid w:val="007A7300"/>
    <w:rsid w:val="007A7513"/>
    <w:rsid w:val="007A77C8"/>
    <w:rsid w:val="007A7A62"/>
    <w:rsid w:val="007A7CBF"/>
    <w:rsid w:val="007B01CB"/>
    <w:rsid w:val="007B0698"/>
    <w:rsid w:val="007B097A"/>
    <w:rsid w:val="007B0A00"/>
    <w:rsid w:val="007B0A17"/>
    <w:rsid w:val="007B0A42"/>
    <w:rsid w:val="007B0A99"/>
    <w:rsid w:val="007B0AC4"/>
    <w:rsid w:val="007B0B1B"/>
    <w:rsid w:val="007B1552"/>
    <w:rsid w:val="007B1740"/>
    <w:rsid w:val="007B17D9"/>
    <w:rsid w:val="007B183F"/>
    <w:rsid w:val="007B19B1"/>
    <w:rsid w:val="007B1B2E"/>
    <w:rsid w:val="007B1CFF"/>
    <w:rsid w:val="007B2056"/>
    <w:rsid w:val="007B2162"/>
    <w:rsid w:val="007B2220"/>
    <w:rsid w:val="007B23EE"/>
    <w:rsid w:val="007B264C"/>
    <w:rsid w:val="007B298A"/>
    <w:rsid w:val="007B2B65"/>
    <w:rsid w:val="007B2BC6"/>
    <w:rsid w:val="007B2DFC"/>
    <w:rsid w:val="007B2F00"/>
    <w:rsid w:val="007B305E"/>
    <w:rsid w:val="007B3B0B"/>
    <w:rsid w:val="007B3EE1"/>
    <w:rsid w:val="007B405B"/>
    <w:rsid w:val="007B4400"/>
    <w:rsid w:val="007B461F"/>
    <w:rsid w:val="007B4666"/>
    <w:rsid w:val="007B468B"/>
    <w:rsid w:val="007B4711"/>
    <w:rsid w:val="007B4ABF"/>
    <w:rsid w:val="007B4C9F"/>
    <w:rsid w:val="007B4F2C"/>
    <w:rsid w:val="007B5314"/>
    <w:rsid w:val="007B544F"/>
    <w:rsid w:val="007B5526"/>
    <w:rsid w:val="007B55DA"/>
    <w:rsid w:val="007B57DD"/>
    <w:rsid w:val="007B5B24"/>
    <w:rsid w:val="007B6264"/>
    <w:rsid w:val="007B6522"/>
    <w:rsid w:val="007B711C"/>
    <w:rsid w:val="007B75CA"/>
    <w:rsid w:val="007B7791"/>
    <w:rsid w:val="007B7B0F"/>
    <w:rsid w:val="007C001C"/>
    <w:rsid w:val="007C01A1"/>
    <w:rsid w:val="007C04E7"/>
    <w:rsid w:val="007C0624"/>
    <w:rsid w:val="007C08D6"/>
    <w:rsid w:val="007C0E3C"/>
    <w:rsid w:val="007C0F81"/>
    <w:rsid w:val="007C0FA4"/>
    <w:rsid w:val="007C129A"/>
    <w:rsid w:val="007C1375"/>
    <w:rsid w:val="007C17E6"/>
    <w:rsid w:val="007C19E1"/>
    <w:rsid w:val="007C1BD8"/>
    <w:rsid w:val="007C2183"/>
    <w:rsid w:val="007C24E6"/>
    <w:rsid w:val="007C26BC"/>
    <w:rsid w:val="007C272C"/>
    <w:rsid w:val="007C275B"/>
    <w:rsid w:val="007C290F"/>
    <w:rsid w:val="007C2A5E"/>
    <w:rsid w:val="007C3267"/>
    <w:rsid w:val="007C3269"/>
    <w:rsid w:val="007C338D"/>
    <w:rsid w:val="007C35C4"/>
    <w:rsid w:val="007C3EFD"/>
    <w:rsid w:val="007C3F99"/>
    <w:rsid w:val="007C41A8"/>
    <w:rsid w:val="007C422A"/>
    <w:rsid w:val="007C4397"/>
    <w:rsid w:val="007C48AF"/>
    <w:rsid w:val="007C5112"/>
    <w:rsid w:val="007C531B"/>
    <w:rsid w:val="007C535E"/>
    <w:rsid w:val="007C58CE"/>
    <w:rsid w:val="007C59C7"/>
    <w:rsid w:val="007C5A09"/>
    <w:rsid w:val="007C5BEF"/>
    <w:rsid w:val="007C5D6C"/>
    <w:rsid w:val="007C5E70"/>
    <w:rsid w:val="007C5F6D"/>
    <w:rsid w:val="007C635C"/>
    <w:rsid w:val="007C63AE"/>
    <w:rsid w:val="007C675E"/>
    <w:rsid w:val="007C6B7F"/>
    <w:rsid w:val="007C6C71"/>
    <w:rsid w:val="007C6DF4"/>
    <w:rsid w:val="007C6F59"/>
    <w:rsid w:val="007C702B"/>
    <w:rsid w:val="007C7123"/>
    <w:rsid w:val="007C7227"/>
    <w:rsid w:val="007C794C"/>
    <w:rsid w:val="007C7B06"/>
    <w:rsid w:val="007C7BEB"/>
    <w:rsid w:val="007C7E74"/>
    <w:rsid w:val="007D021E"/>
    <w:rsid w:val="007D03B3"/>
    <w:rsid w:val="007D0E58"/>
    <w:rsid w:val="007D0E92"/>
    <w:rsid w:val="007D1206"/>
    <w:rsid w:val="007D13D1"/>
    <w:rsid w:val="007D1681"/>
    <w:rsid w:val="007D16F3"/>
    <w:rsid w:val="007D1C5B"/>
    <w:rsid w:val="007D1CC8"/>
    <w:rsid w:val="007D1E3F"/>
    <w:rsid w:val="007D22E7"/>
    <w:rsid w:val="007D24CB"/>
    <w:rsid w:val="007D276A"/>
    <w:rsid w:val="007D2775"/>
    <w:rsid w:val="007D2793"/>
    <w:rsid w:val="007D27BD"/>
    <w:rsid w:val="007D284A"/>
    <w:rsid w:val="007D295F"/>
    <w:rsid w:val="007D297D"/>
    <w:rsid w:val="007D2B95"/>
    <w:rsid w:val="007D2C8C"/>
    <w:rsid w:val="007D2C94"/>
    <w:rsid w:val="007D2CB7"/>
    <w:rsid w:val="007D2D67"/>
    <w:rsid w:val="007D33CE"/>
    <w:rsid w:val="007D38EE"/>
    <w:rsid w:val="007D393A"/>
    <w:rsid w:val="007D3B70"/>
    <w:rsid w:val="007D3C3F"/>
    <w:rsid w:val="007D3F6F"/>
    <w:rsid w:val="007D44A3"/>
    <w:rsid w:val="007D49A1"/>
    <w:rsid w:val="007D49B6"/>
    <w:rsid w:val="007D49E7"/>
    <w:rsid w:val="007D4D1C"/>
    <w:rsid w:val="007D4F3D"/>
    <w:rsid w:val="007D5669"/>
    <w:rsid w:val="007D58FB"/>
    <w:rsid w:val="007D59EA"/>
    <w:rsid w:val="007D5A13"/>
    <w:rsid w:val="007D67AB"/>
    <w:rsid w:val="007D67F0"/>
    <w:rsid w:val="007D6801"/>
    <w:rsid w:val="007D6844"/>
    <w:rsid w:val="007D6952"/>
    <w:rsid w:val="007D69DE"/>
    <w:rsid w:val="007D6E92"/>
    <w:rsid w:val="007D730A"/>
    <w:rsid w:val="007D743E"/>
    <w:rsid w:val="007D76BC"/>
    <w:rsid w:val="007D772D"/>
    <w:rsid w:val="007D7A0E"/>
    <w:rsid w:val="007D7A20"/>
    <w:rsid w:val="007D7E02"/>
    <w:rsid w:val="007D7EFB"/>
    <w:rsid w:val="007D7FAA"/>
    <w:rsid w:val="007E04A5"/>
    <w:rsid w:val="007E053C"/>
    <w:rsid w:val="007E0549"/>
    <w:rsid w:val="007E122E"/>
    <w:rsid w:val="007E1670"/>
    <w:rsid w:val="007E1956"/>
    <w:rsid w:val="007E1B6E"/>
    <w:rsid w:val="007E1D3D"/>
    <w:rsid w:val="007E1F9D"/>
    <w:rsid w:val="007E20CF"/>
    <w:rsid w:val="007E24BA"/>
    <w:rsid w:val="007E2946"/>
    <w:rsid w:val="007E2DE7"/>
    <w:rsid w:val="007E3066"/>
    <w:rsid w:val="007E328C"/>
    <w:rsid w:val="007E34B3"/>
    <w:rsid w:val="007E39CF"/>
    <w:rsid w:val="007E3BAF"/>
    <w:rsid w:val="007E3CCD"/>
    <w:rsid w:val="007E4348"/>
    <w:rsid w:val="007E4361"/>
    <w:rsid w:val="007E45CD"/>
    <w:rsid w:val="007E4612"/>
    <w:rsid w:val="007E4961"/>
    <w:rsid w:val="007E4CC2"/>
    <w:rsid w:val="007E5166"/>
    <w:rsid w:val="007E5495"/>
    <w:rsid w:val="007E5A65"/>
    <w:rsid w:val="007E5A6A"/>
    <w:rsid w:val="007E61D3"/>
    <w:rsid w:val="007E633B"/>
    <w:rsid w:val="007E6584"/>
    <w:rsid w:val="007E6876"/>
    <w:rsid w:val="007E687D"/>
    <w:rsid w:val="007E68F0"/>
    <w:rsid w:val="007E6A92"/>
    <w:rsid w:val="007E6C13"/>
    <w:rsid w:val="007E6D47"/>
    <w:rsid w:val="007E7120"/>
    <w:rsid w:val="007E712C"/>
    <w:rsid w:val="007E71B5"/>
    <w:rsid w:val="007E71F9"/>
    <w:rsid w:val="007E74BA"/>
    <w:rsid w:val="007E7513"/>
    <w:rsid w:val="007E77AA"/>
    <w:rsid w:val="007E7988"/>
    <w:rsid w:val="007E7AF0"/>
    <w:rsid w:val="007E7F2F"/>
    <w:rsid w:val="007E7FEB"/>
    <w:rsid w:val="007F00E1"/>
    <w:rsid w:val="007F0128"/>
    <w:rsid w:val="007F0757"/>
    <w:rsid w:val="007F0D45"/>
    <w:rsid w:val="007F0E4C"/>
    <w:rsid w:val="007F138C"/>
    <w:rsid w:val="007F13BA"/>
    <w:rsid w:val="007F151B"/>
    <w:rsid w:val="007F15AB"/>
    <w:rsid w:val="007F17BB"/>
    <w:rsid w:val="007F1905"/>
    <w:rsid w:val="007F1C24"/>
    <w:rsid w:val="007F1CC6"/>
    <w:rsid w:val="007F1F7E"/>
    <w:rsid w:val="007F256A"/>
    <w:rsid w:val="007F25EF"/>
    <w:rsid w:val="007F2670"/>
    <w:rsid w:val="007F27DF"/>
    <w:rsid w:val="007F28A4"/>
    <w:rsid w:val="007F2900"/>
    <w:rsid w:val="007F2909"/>
    <w:rsid w:val="007F2920"/>
    <w:rsid w:val="007F2C7A"/>
    <w:rsid w:val="007F2D9A"/>
    <w:rsid w:val="007F3124"/>
    <w:rsid w:val="007F31B8"/>
    <w:rsid w:val="007F33EE"/>
    <w:rsid w:val="007F367B"/>
    <w:rsid w:val="007F369F"/>
    <w:rsid w:val="007F38B4"/>
    <w:rsid w:val="007F4535"/>
    <w:rsid w:val="007F45EB"/>
    <w:rsid w:val="007F4C44"/>
    <w:rsid w:val="007F4C8A"/>
    <w:rsid w:val="007F4EE0"/>
    <w:rsid w:val="007F50A3"/>
    <w:rsid w:val="007F58CA"/>
    <w:rsid w:val="007F600A"/>
    <w:rsid w:val="007F6134"/>
    <w:rsid w:val="007F632D"/>
    <w:rsid w:val="007F642E"/>
    <w:rsid w:val="007F6504"/>
    <w:rsid w:val="007F6853"/>
    <w:rsid w:val="007F686D"/>
    <w:rsid w:val="007F69B1"/>
    <w:rsid w:val="007F6BE6"/>
    <w:rsid w:val="007F6CE1"/>
    <w:rsid w:val="007F6D68"/>
    <w:rsid w:val="007F6D8E"/>
    <w:rsid w:val="007F741D"/>
    <w:rsid w:val="007F742B"/>
    <w:rsid w:val="007F754E"/>
    <w:rsid w:val="007F7619"/>
    <w:rsid w:val="007F7C50"/>
    <w:rsid w:val="007F7D15"/>
    <w:rsid w:val="007F7E52"/>
    <w:rsid w:val="007F7F28"/>
    <w:rsid w:val="00800006"/>
    <w:rsid w:val="0080038D"/>
    <w:rsid w:val="00800C2C"/>
    <w:rsid w:val="00800DE9"/>
    <w:rsid w:val="00800E14"/>
    <w:rsid w:val="008010B4"/>
    <w:rsid w:val="0080115E"/>
    <w:rsid w:val="008014EE"/>
    <w:rsid w:val="00801619"/>
    <w:rsid w:val="00801DCC"/>
    <w:rsid w:val="0080205E"/>
    <w:rsid w:val="008020C9"/>
    <w:rsid w:val="0080212A"/>
    <w:rsid w:val="00802254"/>
    <w:rsid w:val="00802615"/>
    <w:rsid w:val="0080287C"/>
    <w:rsid w:val="008029BA"/>
    <w:rsid w:val="00802A4D"/>
    <w:rsid w:val="00802CFD"/>
    <w:rsid w:val="00802F7E"/>
    <w:rsid w:val="00802FB9"/>
    <w:rsid w:val="008030C7"/>
    <w:rsid w:val="0080322D"/>
    <w:rsid w:val="00803268"/>
    <w:rsid w:val="00803318"/>
    <w:rsid w:val="00803437"/>
    <w:rsid w:val="0080346B"/>
    <w:rsid w:val="0080350E"/>
    <w:rsid w:val="008035ED"/>
    <w:rsid w:val="00803817"/>
    <w:rsid w:val="00803937"/>
    <w:rsid w:val="00803A93"/>
    <w:rsid w:val="00803CCF"/>
    <w:rsid w:val="00804152"/>
    <w:rsid w:val="0080415E"/>
    <w:rsid w:val="00804177"/>
    <w:rsid w:val="008044CA"/>
    <w:rsid w:val="0080458C"/>
    <w:rsid w:val="00804840"/>
    <w:rsid w:val="00804E2F"/>
    <w:rsid w:val="008052D5"/>
    <w:rsid w:val="00805416"/>
    <w:rsid w:val="00805763"/>
    <w:rsid w:val="008057A9"/>
    <w:rsid w:val="00805881"/>
    <w:rsid w:val="00805C31"/>
    <w:rsid w:val="00805E6D"/>
    <w:rsid w:val="00806078"/>
    <w:rsid w:val="008062C1"/>
    <w:rsid w:val="008062D0"/>
    <w:rsid w:val="008066E4"/>
    <w:rsid w:val="008066F3"/>
    <w:rsid w:val="00806976"/>
    <w:rsid w:val="00806A91"/>
    <w:rsid w:val="00806DF9"/>
    <w:rsid w:val="0080711A"/>
    <w:rsid w:val="0080721E"/>
    <w:rsid w:val="00807639"/>
    <w:rsid w:val="00807CCE"/>
    <w:rsid w:val="0081023C"/>
    <w:rsid w:val="0081051E"/>
    <w:rsid w:val="0081061F"/>
    <w:rsid w:val="008107A8"/>
    <w:rsid w:val="00810B2A"/>
    <w:rsid w:val="00810BAC"/>
    <w:rsid w:val="00810F87"/>
    <w:rsid w:val="00811088"/>
    <w:rsid w:val="008113BD"/>
    <w:rsid w:val="0081161C"/>
    <w:rsid w:val="00811822"/>
    <w:rsid w:val="00811AC7"/>
    <w:rsid w:val="00811E03"/>
    <w:rsid w:val="008121F9"/>
    <w:rsid w:val="0081231C"/>
    <w:rsid w:val="0081232B"/>
    <w:rsid w:val="0081290F"/>
    <w:rsid w:val="0081299E"/>
    <w:rsid w:val="00812A70"/>
    <w:rsid w:val="00812AD9"/>
    <w:rsid w:val="00812D05"/>
    <w:rsid w:val="0081308F"/>
    <w:rsid w:val="008130E2"/>
    <w:rsid w:val="00813308"/>
    <w:rsid w:val="0081365A"/>
    <w:rsid w:val="008138D6"/>
    <w:rsid w:val="008138FC"/>
    <w:rsid w:val="00813EE1"/>
    <w:rsid w:val="008143F5"/>
    <w:rsid w:val="00814552"/>
    <w:rsid w:val="00814D64"/>
    <w:rsid w:val="00814DDC"/>
    <w:rsid w:val="008153E9"/>
    <w:rsid w:val="00815488"/>
    <w:rsid w:val="008154F7"/>
    <w:rsid w:val="00815647"/>
    <w:rsid w:val="008159D1"/>
    <w:rsid w:val="00815C1B"/>
    <w:rsid w:val="00816A30"/>
    <w:rsid w:val="00816E59"/>
    <w:rsid w:val="00817229"/>
    <w:rsid w:val="0081741B"/>
    <w:rsid w:val="0081755E"/>
    <w:rsid w:val="00817952"/>
    <w:rsid w:val="00817B71"/>
    <w:rsid w:val="00817C6B"/>
    <w:rsid w:val="00817CE7"/>
    <w:rsid w:val="00817E4E"/>
    <w:rsid w:val="008201B5"/>
    <w:rsid w:val="0082024A"/>
    <w:rsid w:val="0082079D"/>
    <w:rsid w:val="008207B6"/>
    <w:rsid w:val="00820A77"/>
    <w:rsid w:val="00820AFC"/>
    <w:rsid w:val="00820B0C"/>
    <w:rsid w:val="00820E44"/>
    <w:rsid w:val="00820E61"/>
    <w:rsid w:val="00820F99"/>
    <w:rsid w:val="00821121"/>
    <w:rsid w:val="008211C3"/>
    <w:rsid w:val="008213AF"/>
    <w:rsid w:val="008213DB"/>
    <w:rsid w:val="0082199F"/>
    <w:rsid w:val="008219B9"/>
    <w:rsid w:val="00821D48"/>
    <w:rsid w:val="00821D83"/>
    <w:rsid w:val="00821DB2"/>
    <w:rsid w:val="0082209A"/>
    <w:rsid w:val="00822908"/>
    <w:rsid w:val="00822B49"/>
    <w:rsid w:val="00822C70"/>
    <w:rsid w:val="00822E05"/>
    <w:rsid w:val="00822E72"/>
    <w:rsid w:val="00823186"/>
    <w:rsid w:val="008232CF"/>
    <w:rsid w:val="00823516"/>
    <w:rsid w:val="00823525"/>
    <w:rsid w:val="00823581"/>
    <w:rsid w:val="0082372E"/>
    <w:rsid w:val="008237B0"/>
    <w:rsid w:val="008238B9"/>
    <w:rsid w:val="00823978"/>
    <w:rsid w:val="00823A3C"/>
    <w:rsid w:val="00823A4D"/>
    <w:rsid w:val="00823B34"/>
    <w:rsid w:val="00823D8E"/>
    <w:rsid w:val="00823E51"/>
    <w:rsid w:val="00823ED7"/>
    <w:rsid w:val="00824047"/>
    <w:rsid w:val="008240D6"/>
    <w:rsid w:val="008240DE"/>
    <w:rsid w:val="0082410C"/>
    <w:rsid w:val="0082415F"/>
    <w:rsid w:val="008242F7"/>
    <w:rsid w:val="008246DC"/>
    <w:rsid w:val="00824CCD"/>
    <w:rsid w:val="00824F34"/>
    <w:rsid w:val="0082527F"/>
    <w:rsid w:val="008254DC"/>
    <w:rsid w:val="00825B6B"/>
    <w:rsid w:val="00825C44"/>
    <w:rsid w:val="00825C74"/>
    <w:rsid w:val="00825CF3"/>
    <w:rsid w:val="00825E2A"/>
    <w:rsid w:val="00826308"/>
    <w:rsid w:val="008265F0"/>
    <w:rsid w:val="0082668E"/>
    <w:rsid w:val="0082681C"/>
    <w:rsid w:val="00826854"/>
    <w:rsid w:val="00826B6C"/>
    <w:rsid w:val="00826EA9"/>
    <w:rsid w:val="00826EF8"/>
    <w:rsid w:val="008273C2"/>
    <w:rsid w:val="00827A23"/>
    <w:rsid w:val="00827CD7"/>
    <w:rsid w:val="00827CEF"/>
    <w:rsid w:val="00827E42"/>
    <w:rsid w:val="0083016C"/>
    <w:rsid w:val="008302E4"/>
    <w:rsid w:val="00830345"/>
    <w:rsid w:val="008303A0"/>
    <w:rsid w:val="008303F3"/>
    <w:rsid w:val="00830B5A"/>
    <w:rsid w:val="00830F4F"/>
    <w:rsid w:val="00831045"/>
    <w:rsid w:val="00831550"/>
    <w:rsid w:val="008315D0"/>
    <w:rsid w:val="00831648"/>
    <w:rsid w:val="0083174E"/>
    <w:rsid w:val="00831D03"/>
    <w:rsid w:val="00832029"/>
    <w:rsid w:val="008321DD"/>
    <w:rsid w:val="0083229C"/>
    <w:rsid w:val="00832484"/>
    <w:rsid w:val="00832714"/>
    <w:rsid w:val="0083273F"/>
    <w:rsid w:val="008328C3"/>
    <w:rsid w:val="00832972"/>
    <w:rsid w:val="00832A08"/>
    <w:rsid w:val="00832A58"/>
    <w:rsid w:val="00832CA0"/>
    <w:rsid w:val="00832D49"/>
    <w:rsid w:val="00832DB5"/>
    <w:rsid w:val="00832E1A"/>
    <w:rsid w:val="00832FFA"/>
    <w:rsid w:val="008330DC"/>
    <w:rsid w:val="0083314E"/>
    <w:rsid w:val="0083325F"/>
    <w:rsid w:val="00833611"/>
    <w:rsid w:val="00833EA3"/>
    <w:rsid w:val="008342A5"/>
    <w:rsid w:val="008344A5"/>
    <w:rsid w:val="00834541"/>
    <w:rsid w:val="00834A28"/>
    <w:rsid w:val="00834A6F"/>
    <w:rsid w:val="00834ADB"/>
    <w:rsid w:val="00834AFD"/>
    <w:rsid w:val="00834C7B"/>
    <w:rsid w:val="00834D96"/>
    <w:rsid w:val="00834EC3"/>
    <w:rsid w:val="00834F7B"/>
    <w:rsid w:val="00835139"/>
    <w:rsid w:val="00835399"/>
    <w:rsid w:val="008354C3"/>
    <w:rsid w:val="00835507"/>
    <w:rsid w:val="00835783"/>
    <w:rsid w:val="00835A06"/>
    <w:rsid w:val="00835CA8"/>
    <w:rsid w:val="008361B1"/>
    <w:rsid w:val="008365DB"/>
    <w:rsid w:val="0083686F"/>
    <w:rsid w:val="0083697A"/>
    <w:rsid w:val="00836F5A"/>
    <w:rsid w:val="008373FB"/>
    <w:rsid w:val="0084058A"/>
    <w:rsid w:val="008406D9"/>
    <w:rsid w:val="00840863"/>
    <w:rsid w:val="008409BD"/>
    <w:rsid w:val="00840BEF"/>
    <w:rsid w:val="00840D10"/>
    <w:rsid w:val="00841084"/>
    <w:rsid w:val="00841132"/>
    <w:rsid w:val="008412CF"/>
    <w:rsid w:val="00841307"/>
    <w:rsid w:val="00841491"/>
    <w:rsid w:val="00841694"/>
    <w:rsid w:val="00841A10"/>
    <w:rsid w:val="00841FA7"/>
    <w:rsid w:val="008420F8"/>
    <w:rsid w:val="008420FD"/>
    <w:rsid w:val="0084231C"/>
    <w:rsid w:val="008426B2"/>
    <w:rsid w:val="0084299E"/>
    <w:rsid w:val="00842B41"/>
    <w:rsid w:val="00842C49"/>
    <w:rsid w:val="00842E39"/>
    <w:rsid w:val="00842EE6"/>
    <w:rsid w:val="00842FDE"/>
    <w:rsid w:val="008430B3"/>
    <w:rsid w:val="008434CB"/>
    <w:rsid w:val="00843998"/>
    <w:rsid w:val="00843D85"/>
    <w:rsid w:val="0084407A"/>
    <w:rsid w:val="00844360"/>
    <w:rsid w:val="00844414"/>
    <w:rsid w:val="00844C8A"/>
    <w:rsid w:val="00844EFA"/>
    <w:rsid w:val="008451D2"/>
    <w:rsid w:val="008451ED"/>
    <w:rsid w:val="0084543E"/>
    <w:rsid w:val="00845728"/>
    <w:rsid w:val="0084586C"/>
    <w:rsid w:val="00845996"/>
    <w:rsid w:val="008459E6"/>
    <w:rsid w:val="00845CC0"/>
    <w:rsid w:val="00845FD5"/>
    <w:rsid w:val="00846073"/>
    <w:rsid w:val="0084618C"/>
    <w:rsid w:val="00846347"/>
    <w:rsid w:val="0084656E"/>
    <w:rsid w:val="0084675D"/>
    <w:rsid w:val="008468DF"/>
    <w:rsid w:val="00846BD5"/>
    <w:rsid w:val="00846E25"/>
    <w:rsid w:val="008472B9"/>
    <w:rsid w:val="00847660"/>
    <w:rsid w:val="00847869"/>
    <w:rsid w:val="00847BD0"/>
    <w:rsid w:val="00847BDD"/>
    <w:rsid w:val="00847CAA"/>
    <w:rsid w:val="00847DB1"/>
    <w:rsid w:val="00847E9B"/>
    <w:rsid w:val="0085002E"/>
    <w:rsid w:val="008501A0"/>
    <w:rsid w:val="008501BE"/>
    <w:rsid w:val="008505A9"/>
    <w:rsid w:val="0085064F"/>
    <w:rsid w:val="00850A29"/>
    <w:rsid w:val="00851087"/>
    <w:rsid w:val="008511DF"/>
    <w:rsid w:val="0085128E"/>
    <w:rsid w:val="00851445"/>
    <w:rsid w:val="008514CC"/>
    <w:rsid w:val="0085150B"/>
    <w:rsid w:val="008516AC"/>
    <w:rsid w:val="00851A5C"/>
    <w:rsid w:val="00851C0F"/>
    <w:rsid w:val="00851EF4"/>
    <w:rsid w:val="008520AD"/>
    <w:rsid w:val="008521EA"/>
    <w:rsid w:val="008525FD"/>
    <w:rsid w:val="0085275C"/>
    <w:rsid w:val="00852B7F"/>
    <w:rsid w:val="00852BCC"/>
    <w:rsid w:val="0085327A"/>
    <w:rsid w:val="008533DB"/>
    <w:rsid w:val="00853432"/>
    <w:rsid w:val="0085348A"/>
    <w:rsid w:val="008534E7"/>
    <w:rsid w:val="0085353B"/>
    <w:rsid w:val="008536B0"/>
    <w:rsid w:val="00853995"/>
    <w:rsid w:val="00853D6B"/>
    <w:rsid w:val="00853DE1"/>
    <w:rsid w:val="00854071"/>
    <w:rsid w:val="00854192"/>
    <w:rsid w:val="0085432A"/>
    <w:rsid w:val="00854558"/>
    <w:rsid w:val="00854D17"/>
    <w:rsid w:val="00855177"/>
    <w:rsid w:val="00855402"/>
    <w:rsid w:val="008555AF"/>
    <w:rsid w:val="008556B5"/>
    <w:rsid w:val="00855992"/>
    <w:rsid w:val="00855FB0"/>
    <w:rsid w:val="00856194"/>
    <w:rsid w:val="0085634F"/>
    <w:rsid w:val="008563EE"/>
    <w:rsid w:val="00856AD6"/>
    <w:rsid w:val="00856C2D"/>
    <w:rsid w:val="00856C99"/>
    <w:rsid w:val="00856C9B"/>
    <w:rsid w:val="00856CB3"/>
    <w:rsid w:val="00856E4B"/>
    <w:rsid w:val="0085702D"/>
    <w:rsid w:val="00857047"/>
    <w:rsid w:val="0085704B"/>
    <w:rsid w:val="00857272"/>
    <w:rsid w:val="00857684"/>
    <w:rsid w:val="008576E2"/>
    <w:rsid w:val="00857F3D"/>
    <w:rsid w:val="00860088"/>
    <w:rsid w:val="008600DE"/>
    <w:rsid w:val="00860519"/>
    <w:rsid w:val="00860B93"/>
    <w:rsid w:val="00860CE6"/>
    <w:rsid w:val="00860E37"/>
    <w:rsid w:val="00860EF6"/>
    <w:rsid w:val="00861381"/>
    <w:rsid w:val="00861510"/>
    <w:rsid w:val="0086154F"/>
    <w:rsid w:val="00861703"/>
    <w:rsid w:val="00861811"/>
    <w:rsid w:val="00861907"/>
    <w:rsid w:val="0086196E"/>
    <w:rsid w:val="00861A88"/>
    <w:rsid w:val="00861CC0"/>
    <w:rsid w:val="00861CDF"/>
    <w:rsid w:val="00861E6B"/>
    <w:rsid w:val="00862433"/>
    <w:rsid w:val="0086245F"/>
    <w:rsid w:val="00862530"/>
    <w:rsid w:val="00862A86"/>
    <w:rsid w:val="00862AE8"/>
    <w:rsid w:val="00862CB1"/>
    <w:rsid w:val="00862DBF"/>
    <w:rsid w:val="00862E31"/>
    <w:rsid w:val="00862FB0"/>
    <w:rsid w:val="0086314E"/>
    <w:rsid w:val="008631A5"/>
    <w:rsid w:val="00863A73"/>
    <w:rsid w:val="00863F64"/>
    <w:rsid w:val="00864502"/>
    <w:rsid w:val="0086461D"/>
    <w:rsid w:val="00864652"/>
    <w:rsid w:val="00864897"/>
    <w:rsid w:val="00864FCD"/>
    <w:rsid w:val="0086533B"/>
    <w:rsid w:val="0086546F"/>
    <w:rsid w:val="00865616"/>
    <w:rsid w:val="00865774"/>
    <w:rsid w:val="008659EF"/>
    <w:rsid w:val="00865A9E"/>
    <w:rsid w:val="00865C9D"/>
    <w:rsid w:val="00865CC7"/>
    <w:rsid w:val="00865CD7"/>
    <w:rsid w:val="00865DF5"/>
    <w:rsid w:val="00866380"/>
    <w:rsid w:val="008663B6"/>
    <w:rsid w:val="00866484"/>
    <w:rsid w:val="00866609"/>
    <w:rsid w:val="008668EA"/>
    <w:rsid w:val="00866B2D"/>
    <w:rsid w:val="00866DE0"/>
    <w:rsid w:val="00866EA2"/>
    <w:rsid w:val="00866FBA"/>
    <w:rsid w:val="008673B9"/>
    <w:rsid w:val="008674B5"/>
    <w:rsid w:val="008674F3"/>
    <w:rsid w:val="00867613"/>
    <w:rsid w:val="0086778B"/>
    <w:rsid w:val="00867A3E"/>
    <w:rsid w:val="00867CFE"/>
    <w:rsid w:val="00867F23"/>
    <w:rsid w:val="00870227"/>
    <w:rsid w:val="00870EC7"/>
    <w:rsid w:val="00870FDC"/>
    <w:rsid w:val="00871080"/>
    <w:rsid w:val="00871172"/>
    <w:rsid w:val="0087125A"/>
    <w:rsid w:val="0087131A"/>
    <w:rsid w:val="00871377"/>
    <w:rsid w:val="00871771"/>
    <w:rsid w:val="00872078"/>
    <w:rsid w:val="00872081"/>
    <w:rsid w:val="00872CBC"/>
    <w:rsid w:val="00872DB0"/>
    <w:rsid w:val="00872F2B"/>
    <w:rsid w:val="00872FAA"/>
    <w:rsid w:val="00873519"/>
    <w:rsid w:val="0087367F"/>
    <w:rsid w:val="00873967"/>
    <w:rsid w:val="008739E1"/>
    <w:rsid w:val="00873CC8"/>
    <w:rsid w:val="00873D3A"/>
    <w:rsid w:val="008743A8"/>
    <w:rsid w:val="008745F5"/>
    <w:rsid w:val="008746AC"/>
    <w:rsid w:val="00874A5B"/>
    <w:rsid w:val="00874AF9"/>
    <w:rsid w:val="00875076"/>
    <w:rsid w:val="008751A6"/>
    <w:rsid w:val="00875A66"/>
    <w:rsid w:val="00876178"/>
    <w:rsid w:val="00876741"/>
    <w:rsid w:val="00876E64"/>
    <w:rsid w:val="008775B1"/>
    <w:rsid w:val="008776AA"/>
    <w:rsid w:val="00877A77"/>
    <w:rsid w:val="00877BF0"/>
    <w:rsid w:val="00877DE8"/>
    <w:rsid w:val="0088000B"/>
    <w:rsid w:val="008801CA"/>
    <w:rsid w:val="00880491"/>
    <w:rsid w:val="00880AB3"/>
    <w:rsid w:val="00880BE6"/>
    <w:rsid w:val="00880BFF"/>
    <w:rsid w:val="00880E58"/>
    <w:rsid w:val="0088127D"/>
    <w:rsid w:val="008814EE"/>
    <w:rsid w:val="00881608"/>
    <w:rsid w:val="008817F9"/>
    <w:rsid w:val="00881896"/>
    <w:rsid w:val="008819A3"/>
    <w:rsid w:val="00881B95"/>
    <w:rsid w:val="00881CC7"/>
    <w:rsid w:val="00881EB1"/>
    <w:rsid w:val="00882362"/>
    <w:rsid w:val="00882464"/>
    <w:rsid w:val="008824CA"/>
    <w:rsid w:val="00882584"/>
    <w:rsid w:val="00882975"/>
    <w:rsid w:val="00882C16"/>
    <w:rsid w:val="00883156"/>
    <w:rsid w:val="008834E6"/>
    <w:rsid w:val="00883515"/>
    <w:rsid w:val="0088393C"/>
    <w:rsid w:val="00883B06"/>
    <w:rsid w:val="00883B97"/>
    <w:rsid w:val="00883CC0"/>
    <w:rsid w:val="00883D04"/>
    <w:rsid w:val="00883DAF"/>
    <w:rsid w:val="00883DB1"/>
    <w:rsid w:val="00883E8B"/>
    <w:rsid w:val="00884097"/>
    <w:rsid w:val="00884395"/>
    <w:rsid w:val="008846AA"/>
    <w:rsid w:val="008848AA"/>
    <w:rsid w:val="0088499F"/>
    <w:rsid w:val="00884D16"/>
    <w:rsid w:val="00884DDD"/>
    <w:rsid w:val="00884E84"/>
    <w:rsid w:val="00884E91"/>
    <w:rsid w:val="00885639"/>
    <w:rsid w:val="00885772"/>
    <w:rsid w:val="00885947"/>
    <w:rsid w:val="0088598E"/>
    <w:rsid w:val="00885BB3"/>
    <w:rsid w:val="00885CC7"/>
    <w:rsid w:val="00885D14"/>
    <w:rsid w:val="00885F31"/>
    <w:rsid w:val="00886202"/>
    <w:rsid w:val="00886F22"/>
    <w:rsid w:val="008870FD"/>
    <w:rsid w:val="008872F6"/>
    <w:rsid w:val="0088741D"/>
    <w:rsid w:val="00887D1F"/>
    <w:rsid w:val="00887DB3"/>
    <w:rsid w:val="00887F92"/>
    <w:rsid w:val="008901C9"/>
    <w:rsid w:val="008903B9"/>
    <w:rsid w:val="008903C7"/>
    <w:rsid w:val="008904B1"/>
    <w:rsid w:val="008905F7"/>
    <w:rsid w:val="008907C6"/>
    <w:rsid w:val="0089093C"/>
    <w:rsid w:val="008909C1"/>
    <w:rsid w:val="00890A61"/>
    <w:rsid w:val="00890B3D"/>
    <w:rsid w:val="00890C5E"/>
    <w:rsid w:val="00890FB2"/>
    <w:rsid w:val="00891335"/>
    <w:rsid w:val="008913BE"/>
    <w:rsid w:val="008916D6"/>
    <w:rsid w:val="0089178A"/>
    <w:rsid w:val="008919F3"/>
    <w:rsid w:val="00891B15"/>
    <w:rsid w:val="00891B51"/>
    <w:rsid w:val="00891D09"/>
    <w:rsid w:val="00892005"/>
    <w:rsid w:val="008921E3"/>
    <w:rsid w:val="008923CA"/>
    <w:rsid w:val="00892526"/>
    <w:rsid w:val="0089277E"/>
    <w:rsid w:val="00892AF3"/>
    <w:rsid w:val="00892B67"/>
    <w:rsid w:val="00892F15"/>
    <w:rsid w:val="00893305"/>
    <w:rsid w:val="0089372B"/>
    <w:rsid w:val="00893CA7"/>
    <w:rsid w:val="00894562"/>
    <w:rsid w:val="00894628"/>
    <w:rsid w:val="0089468E"/>
    <w:rsid w:val="008946E9"/>
    <w:rsid w:val="00894D93"/>
    <w:rsid w:val="00894E2E"/>
    <w:rsid w:val="00895975"/>
    <w:rsid w:val="00895C2F"/>
    <w:rsid w:val="00895D44"/>
    <w:rsid w:val="008960E0"/>
    <w:rsid w:val="008961A6"/>
    <w:rsid w:val="008962D0"/>
    <w:rsid w:val="0089660C"/>
    <w:rsid w:val="00896643"/>
    <w:rsid w:val="00896762"/>
    <w:rsid w:val="00896A32"/>
    <w:rsid w:val="00896C97"/>
    <w:rsid w:val="00896E9F"/>
    <w:rsid w:val="008970E5"/>
    <w:rsid w:val="0089714C"/>
    <w:rsid w:val="00897393"/>
    <w:rsid w:val="00897404"/>
    <w:rsid w:val="00897479"/>
    <w:rsid w:val="008974BD"/>
    <w:rsid w:val="008978FF"/>
    <w:rsid w:val="00897D87"/>
    <w:rsid w:val="00897F80"/>
    <w:rsid w:val="008A01A8"/>
    <w:rsid w:val="008A0249"/>
    <w:rsid w:val="008A0550"/>
    <w:rsid w:val="008A06AA"/>
    <w:rsid w:val="008A0B5D"/>
    <w:rsid w:val="008A0EC5"/>
    <w:rsid w:val="008A105C"/>
    <w:rsid w:val="008A1111"/>
    <w:rsid w:val="008A122A"/>
    <w:rsid w:val="008A16EA"/>
    <w:rsid w:val="008A1AE9"/>
    <w:rsid w:val="008A20E1"/>
    <w:rsid w:val="008A22A9"/>
    <w:rsid w:val="008A24AC"/>
    <w:rsid w:val="008A2664"/>
    <w:rsid w:val="008A2766"/>
    <w:rsid w:val="008A2818"/>
    <w:rsid w:val="008A2856"/>
    <w:rsid w:val="008A29E1"/>
    <w:rsid w:val="008A31AE"/>
    <w:rsid w:val="008A3203"/>
    <w:rsid w:val="008A35CB"/>
    <w:rsid w:val="008A3C4A"/>
    <w:rsid w:val="008A40AD"/>
    <w:rsid w:val="008A4225"/>
    <w:rsid w:val="008A47FB"/>
    <w:rsid w:val="008A4F6D"/>
    <w:rsid w:val="008A503A"/>
    <w:rsid w:val="008A53FE"/>
    <w:rsid w:val="008A5602"/>
    <w:rsid w:val="008A5759"/>
    <w:rsid w:val="008A57F7"/>
    <w:rsid w:val="008A5CB9"/>
    <w:rsid w:val="008A5DCE"/>
    <w:rsid w:val="008A5F68"/>
    <w:rsid w:val="008A6489"/>
    <w:rsid w:val="008A6528"/>
    <w:rsid w:val="008A6B2F"/>
    <w:rsid w:val="008A6CA3"/>
    <w:rsid w:val="008A709C"/>
    <w:rsid w:val="008A73AF"/>
    <w:rsid w:val="008A7B34"/>
    <w:rsid w:val="008A7C48"/>
    <w:rsid w:val="008A7C9A"/>
    <w:rsid w:val="008A7DBF"/>
    <w:rsid w:val="008A7DF4"/>
    <w:rsid w:val="008A7EB4"/>
    <w:rsid w:val="008B0330"/>
    <w:rsid w:val="008B033E"/>
    <w:rsid w:val="008B0353"/>
    <w:rsid w:val="008B0476"/>
    <w:rsid w:val="008B07C0"/>
    <w:rsid w:val="008B07FA"/>
    <w:rsid w:val="008B0846"/>
    <w:rsid w:val="008B0F86"/>
    <w:rsid w:val="008B1313"/>
    <w:rsid w:val="008B13B9"/>
    <w:rsid w:val="008B1752"/>
    <w:rsid w:val="008B1CCA"/>
    <w:rsid w:val="008B2237"/>
    <w:rsid w:val="008B247B"/>
    <w:rsid w:val="008B27E2"/>
    <w:rsid w:val="008B2946"/>
    <w:rsid w:val="008B2BEC"/>
    <w:rsid w:val="008B2D01"/>
    <w:rsid w:val="008B2F7F"/>
    <w:rsid w:val="008B31F7"/>
    <w:rsid w:val="008B32C2"/>
    <w:rsid w:val="008B3560"/>
    <w:rsid w:val="008B35D8"/>
    <w:rsid w:val="008B3665"/>
    <w:rsid w:val="008B3DB8"/>
    <w:rsid w:val="008B40FC"/>
    <w:rsid w:val="008B42C2"/>
    <w:rsid w:val="008B43DB"/>
    <w:rsid w:val="008B4576"/>
    <w:rsid w:val="008B4638"/>
    <w:rsid w:val="008B478E"/>
    <w:rsid w:val="008B47F9"/>
    <w:rsid w:val="008B4B13"/>
    <w:rsid w:val="008B4B2A"/>
    <w:rsid w:val="008B4B38"/>
    <w:rsid w:val="008B4CE4"/>
    <w:rsid w:val="008B4F8F"/>
    <w:rsid w:val="008B4FD6"/>
    <w:rsid w:val="008B52EE"/>
    <w:rsid w:val="008B53FD"/>
    <w:rsid w:val="008B5764"/>
    <w:rsid w:val="008B5809"/>
    <w:rsid w:val="008B5AC0"/>
    <w:rsid w:val="008B5BCD"/>
    <w:rsid w:val="008B5E44"/>
    <w:rsid w:val="008B5F49"/>
    <w:rsid w:val="008B603E"/>
    <w:rsid w:val="008B60E0"/>
    <w:rsid w:val="008B62E3"/>
    <w:rsid w:val="008B6641"/>
    <w:rsid w:val="008B69CA"/>
    <w:rsid w:val="008B6C1F"/>
    <w:rsid w:val="008B6C29"/>
    <w:rsid w:val="008B6E3B"/>
    <w:rsid w:val="008B708A"/>
    <w:rsid w:val="008B733C"/>
    <w:rsid w:val="008B7BA0"/>
    <w:rsid w:val="008B7C5D"/>
    <w:rsid w:val="008B7DD4"/>
    <w:rsid w:val="008B7F61"/>
    <w:rsid w:val="008C013A"/>
    <w:rsid w:val="008C0402"/>
    <w:rsid w:val="008C059A"/>
    <w:rsid w:val="008C086D"/>
    <w:rsid w:val="008C0CAB"/>
    <w:rsid w:val="008C0D0A"/>
    <w:rsid w:val="008C0D64"/>
    <w:rsid w:val="008C0DAA"/>
    <w:rsid w:val="008C0E91"/>
    <w:rsid w:val="008C0FAE"/>
    <w:rsid w:val="008C1068"/>
    <w:rsid w:val="008C14D0"/>
    <w:rsid w:val="008C1623"/>
    <w:rsid w:val="008C1635"/>
    <w:rsid w:val="008C18E5"/>
    <w:rsid w:val="008C199F"/>
    <w:rsid w:val="008C1D01"/>
    <w:rsid w:val="008C1E8A"/>
    <w:rsid w:val="008C276C"/>
    <w:rsid w:val="008C2999"/>
    <w:rsid w:val="008C29C5"/>
    <w:rsid w:val="008C2A35"/>
    <w:rsid w:val="008C2E12"/>
    <w:rsid w:val="008C2E74"/>
    <w:rsid w:val="008C2F3E"/>
    <w:rsid w:val="008C2FCD"/>
    <w:rsid w:val="008C3452"/>
    <w:rsid w:val="008C367F"/>
    <w:rsid w:val="008C3863"/>
    <w:rsid w:val="008C38D0"/>
    <w:rsid w:val="008C3BE8"/>
    <w:rsid w:val="008C3C32"/>
    <w:rsid w:val="008C3F63"/>
    <w:rsid w:val="008C4157"/>
    <w:rsid w:val="008C421E"/>
    <w:rsid w:val="008C4478"/>
    <w:rsid w:val="008C4526"/>
    <w:rsid w:val="008C48E1"/>
    <w:rsid w:val="008C4D79"/>
    <w:rsid w:val="008C4F90"/>
    <w:rsid w:val="008C5A29"/>
    <w:rsid w:val="008C5DC7"/>
    <w:rsid w:val="008C5F74"/>
    <w:rsid w:val="008C630E"/>
    <w:rsid w:val="008C672A"/>
    <w:rsid w:val="008C6F03"/>
    <w:rsid w:val="008C6F19"/>
    <w:rsid w:val="008C6F35"/>
    <w:rsid w:val="008C6FEF"/>
    <w:rsid w:val="008C702E"/>
    <w:rsid w:val="008C7128"/>
    <w:rsid w:val="008C71CF"/>
    <w:rsid w:val="008C7A92"/>
    <w:rsid w:val="008C7B41"/>
    <w:rsid w:val="008C7F8D"/>
    <w:rsid w:val="008D005A"/>
    <w:rsid w:val="008D00F6"/>
    <w:rsid w:val="008D04A4"/>
    <w:rsid w:val="008D0613"/>
    <w:rsid w:val="008D0635"/>
    <w:rsid w:val="008D063D"/>
    <w:rsid w:val="008D0681"/>
    <w:rsid w:val="008D072E"/>
    <w:rsid w:val="008D08A6"/>
    <w:rsid w:val="008D0A5A"/>
    <w:rsid w:val="008D0FAD"/>
    <w:rsid w:val="008D0FDE"/>
    <w:rsid w:val="008D1101"/>
    <w:rsid w:val="008D1120"/>
    <w:rsid w:val="008D1172"/>
    <w:rsid w:val="008D1513"/>
    <w:rsid w:val="008D1615"/>
    <w:rsid w:val="008D1850"/>
    <w:rsid w:val="008D1BD2"/>
    <w:rsid w:val="008D1EE9"/>
    <w:rsid w:val="008D2588"/>
    <w:rsid w:val="008D2DD3"/>
    <w:rsid w:val="008D2E9D"/>
    <w:rsid w:val="008D2FBC"/>
    <w:rsid w:val="008D31C0"/>
    <w:rsid w:val="008D31DD"/>
    <w:rsid w:val="008D3730"/>
    <w:rsid w:val="008D3751"/>
    <w:rsid w:val="008D381D"/>
    <w:rsid w:val="008D3836"/>
    <w:rsid w:val="008D3C16"/>
    <w:rsid w:val="008D4016"/>
    <w:rsid w:val="008D40D7"/>
    <w:rsid w:val="008D4416"/>
    <w:rsid w:val="008D4A04"/>
    <w:rsid w:val="008D4CDB"/>
    <w:rsid w:val="008D50C1"/>
    <w:rsid w:val="008D5111"/>
    <w:rsid w:val="008D562F"/>
    <w:rsid w:val="008D563A"/>
    <w:rsid w:val="008D5A1E"/>
    <w:rsid w:val="008D616C"/>
    <w:rsid w:val="008D6253"/>
    <w:rsid w:val="008D657B"/>
    <w:rsid w:val="008D65CF"/>
    <w:rsid w:val="008D6940"/>
    <w:rsid w:val="008D6F8D"/>
    <w:rsid w:val="008D6FB8"/>
    <w:rsid w:val="008D710E"/>
    <w:rsid w:val="008D7371"/>
    <w:rsid w:val="008D75DD"/>
    <w:rsid w:val="008D764C"/>
    <w:rsid w:val="008D79C8"/>
    <w:rsid w:val="008D7B14"/>
    <w:rsid w:val="008D7BD7"/>
    <w:rsid w:val="008D7C4B"/>
    <w:rsid w:val="008E01F5"/>
    <w:rsid w:val="008E0434"/>
    <w:rsid w:val="008E0467"/>
    <w:rsid w:val="008E04A4"/>
    <w:rsid w:val="008E05DA"/>
    <w:rsid w:val="008E08DF"/>
    <w:rsid w:val="008E0C37"/>
    <w:rsid w:val="008E0F17"/>
    <w:rsid w:val="008E0F7F"/>
    <w:rsid w:val="008E1272"/>
    <w:rsid w:val="008E177B"/>
    <w:rsid w:val="008E17C9"/>
    <w:rsid w:val="008E1C6A"/>
    <w:rsid w:val="008E1CA6"/>
    <w:rsid w:val="008E1E56"/>
    <w:rsid w:val="008E1E7C"/>
    <w:rsid w:val="008E1EAB"/>
    <w:rsid w:val="008E1F31"/>
    <w:rsid w:val="008E1F6D"/>
    <w:rsid w:val="008E2128"/>
    <w:rsid w:val="008E29FF"/>
    <w:rsid w:val="008E2A0D"/>
    <w:rsid w:val="008E2B3B"/>
    <w:rsid w:val="008E2B67"/>
    <w:rsid w:val="008E2D1F"/>
    <w:rsid w:val="008E3AEC"/>
    <w:rsid w:val="008E3C4E"/>
    <w:rsid w:val="008E3DA0"/>
    <w:rsid w:val="008E3E88"/>
    <w:rsid w:val="008E40AC"/>
    <w:rsid w:val="008E4476"/>
    <w:rsid w:val="008E4537"/>
    <w:rsid w:val="008E45D7"/>
    <w:rsid w:val="008E4762"/>
    <w:rsid w:val="008E48FD"/>
    <w:rsid w:val="008E4B2F"/>
    <w:rsid w:val="008E4CD3"/>
    <w:rsid w:val="008E4D65"/>
    <w:rsid w:val="008E4DA8"/>
    <w:rsid w:val="008E4DC3"/>
    <w:rsid w:val="008E4DE3"/>
    <w:rsid w:val="008E4FB1"/>
    <w:rsid w:val="008E4FD7"/>
    <w:rsid w:val="008E5049"/>
    <w:rsid w:val="008E5130"/>
    <w:rsid w:val="008E527F"/>
    <w:rsid w:val="008E5775"/>
    <w:rsid w:val="008E581B"/>
    <w:rsid w:val="008E5C92"/>
    <w:rsid w:val="008E62DF"/>
    <w:rsid w:val="008E6367"/>
    <w:rsid w:val="008E6958"/>
    <w:rsid w:val="008E6DCD"/>
    <w:rsid w:val="008E6E91"/>
    <w:rsid w:val="008E7003"/>
    <w:rsid w:val="008E7091"/>
    <w:rsid w:val="008E70D6"/>
    <w:rsid w:val="008E70E5"/>
    <w:rsid w:val="008E739D"/>
    <w:rsid w:val="008E7917"/>
    <w:rsid w:val="008E79A0"/>
    <w:rsid w:val="008E7AAA"/>
    <w:rsid w:val="008E7B2B"/>
    <w:rsid w:val="008E7D0A"/>
    <w:rsid w:val="008E7EE1"/>
    <w:rsid w:val="008F05A3"/>
    <w:rsid w:val="008F06FC"/>
    <w:rsid w:val="008F0763"/>
    <w:rsid w:val="008F084B"/>
    <w:rsid w:val="008F0BB7"/>
    <w:rsid w:val="008F0C1A"/>
    <w:rsid w:val="008F0CE7"/>
    <w:rsid w:val="008F0ECB"/>
    <w:rsid w:val="008F114E"/>
    <w:rsid w:val="008F13F0"/>
    <w:rsid w:val="008F1566"/>
    <w:rsid w:val="008F15A5"/>
    <w:rsid w:val="008F15F5"/>
    <w:rsid w:val="008F199B"/>
    <w:rsid w:val="008F1A2B"/>
    <w:rsid w:val="008F21BA"/>
    <w:rsid w:val="008F23EA"/>
    <w:rsid w:val="008F253A"/>
    <w:rsid w:val="008F27B8"/>
    <w:rsid w:val="008F29DB"/>
    <w:rsid w:val="008F2CBB"/>
    <w:rsid w:val="008F2D81"/>
    <w:rsid w:val="008F3031"/>
    <w:rsid w:val="008F3049"/>
    <w:rsid w:val="008F31EC"/>
    <w:rsid w:val="008F3353"/>
    <w:rsid w:val="008F33E7"/>
    <w:rsid w:val="008F3473"/>
    <w:rsid w:val="008F4118"/>
    <w:rsid w:val="008F4166"/>
    <w:rsid w:val="008F4406"/>
    <w:rsid w:val="008F49A4"/>
    <w:rsid w:val="008F4BB4"/>
    <w:rsid w:val="008F4BBC"/>
    <w:rsid w:val="008F4BEA"/>
    <w:rsid w:val="008F4DBB"/>
    <w:rsid w:val="008F50E2"/>
    <w:rsid w:val="008F52D1"/>
    <w:rsid w:val="008F5E49"/>
    <w:rsid w:val="008F607E"/>
    <w:rsid w:val="008F6350"/>
    <w:rsid w:val="008F657B"/>
    <w:rsid w:val="008F6AA0"/>
    <w:rsid w:val="008F6AE0"/>
    <w:rsid w:val="008F6B48"/>
    <w:rsid w:val="008F6CE1"/>
    <w:rsid w:val="008F6D4D"/>
    <w:rsid w:val="008F6E84"/>
    <w:rsid w:val="008F736F"/>
    <w:rsid w:val="008F73CC"/>
    <w:rsid w:val="008F77B9"/>
    <w:rsid w:val="008F789B"/>
    <w:rsid w:val="008F795D"/>
    <w:rsid w:val="008F7C82"/>
    <w:rsid w:val="008F7F34"/>
    <w:rsid w:val="0090011C"/>
    <w:rsid w:val="0090020E"/>
    <w:rsid w:val="0090025A"/>
    <w:rsid w:val="009003D0"/>
    <w:rsid w:val="00900469"/>
    <w:rsid w:val="009004B1"/>
    <w:rsid w:val="00900896"/>
    <w:rsid w:val="009008DE"/>
    <w:rsid w:val="00900910"/>
    <w:rsid w:val="00900C58"/>
    <w:rsid w:val="00900D37"/>
    <w:rsid w:val="00900FAC"/>
    <w:rsid w:val="00901272"/>
    <w:rsid w:val="00901299"/>
    <w:rsid w:val="009012DC"/>
    <w:rsid w:val="009018F1"/>
    <w:rsid w:val="00901C70"/>
    <w:rsid w:val="00901DF1"/>
    <w:rsid w:val="00902120"/>
    <w:rsid w:val="00902463"/>
    <w:rsid w:val="00902540"/>
    <w:rsid w:val="0090262A"/>
    <w:rsid w:val="00902A91"/>
    <w:rsid w:val="00902AA6"/>
    <w:rsid w:val="00902EAA"/>
    <w:rsid w:val="00903105"/>
    <w:rsid w:val="00903164"/>
    <w:rsid w:val="00903644"/>
    <w:rsid w:val="0090388A"/>
    <w:rsid w:val="0090396B"/>
    <w:rsid w:val="00903B45"/>
    <w:rsid w:val="00903DA4"/>
    <w:rsid w:val="00903EA6"/>
    <w:rsid w:val="00903F04"/>
    <w:rsid w:val="00904187"/>
    <w:rsid w:val="009045BF"/>
    <w:rsid w:val="009046F9"/>
    <w:rsid w:val="009049E0"/>
    <w:rsid w:val="00904A0A"/>
    <w:rsid w:val="00904D95"/>
    <w:rsid w:val="00904FF1"/>
    <w:rsid w:val="00905181"/>
    <w:rsid w:val="00905328"/>
    <w:rsid w:val="0090591A"/>
    <w:rsid w:val="009059C9"/>
    <w:rsid w:val="00905A1F"/>
    <w:rsid w:val="00905A98"/>
    <w:rsid w:val="00905C81"/>
    <w:rsid w:val="00906247"/>
    <w:rsid w:val="0090650C"/>
    <w:rsid w:val="0090656B"/>
    <w:rsid w:val="00906834"/>
    <w:rsid w:val="00906C8E"/>
    <w:rsid w:val="00906C98"/>
    <w:rsid w:val="00906EDA"/>
    <w:rsid w:val="00907286"/>
    <w:rsid w:val="0090735F"/>
    <w:rsid w:val="0090782C"/>
    <w:rsid w:val="00907B18"/>
    <w:rsid w:val="00907FCB"/>
    <w:rsid w:val="00910277"/>
    <w:rsid w:val="0091046D"/>
    <w:rsid w:val="009104B4"/>
    <w:rsid w:val="00910750"/>
    <w:rsid w:val="00910A04"/>
    <w:rsid w:val="0091172A"/>
    <w:rsid w:val="00911754"/>
    <w:rsid w:val="009117FE"/>
    <w:rsid w:val="00911BC3"/>
    <w:rsid w:val="009123AF"/>
    <w:rsid w:val="00912451"/>
    <w:rsid w:val="0091247F"/>
    <w:rsid w:val="00912486"/>
    <w:rsid w:val="0091278D"/>
    <w:rsid w:val="00912B43"/>
    <w:rsid w:val="00912D75"/>
    <w:rsid w:val="00912FF4"/>
    <w:rsid w:val="00913123"/>
    <w:rsid w:val="0091319F"/>
    <w:rsid w:val="00913268"/>
    <w:rsid w:val="00913B6B"/>
    <w:rsid w:val="00913C3D"/>
    <w:rsid w:val="00913E2C"/>
    <w:rsid w:val="00913FD5"/>
    <w:rsid w:val="009141CE"/>
    <w:rsid w:val="00914258"/>
    <w:rsid w:val="0091456E"/>
    <w:rsid w:val="0091499A"/>
    <w:rsid w:val="00914A9F"/>
    <w:rsid w:val="00914B3F"/>
    <w:rsid w:val="00914C5D"/>
    <w:rsid w:val="00914FA1"/>
    <w:rsid w:val="00915269"/>
    <w:rsid w:val="009153D0"/>
    <w:rsid w:val="009159BD"/>
    <w:rsid w:val="00915B72"/>
    <w:rsid w:val="00915DE1"/>
    <w:rsid w:val="00915F4B"/>
    <w:rsid w:val="0091615B"/>
    <w:rsid w:val="00916356"/>
    <w:rsid w:val="009164C1"/>
    <w:rsid w:val="0091678C"/>
    <w:rsid w:val="00916A8B"/>
    <w:rsid w:val="00916AF8"/>
    <w:rsid w:val="00916BE6"/>
    <w:rsid w:val="00916C28"/>
    <w:rsid w:val="00916CCD"/>
    <w:rsid w:val="00916EBE"/>
    <w:rsid w:val="0091704C"/>
    <w:rsid w:val="00917126"/>
    <w:rsid w:val="00917176"/>
    <w:rsid w:val="00917247"/>
    <w:rsid w:val="009173E7"/>
    <w:rsid w:val="00917687"/>
    <w:rsid w:val="00917FF9"/>
    <w:rsid w:val="0092012D"/>
    <w:rsid w:val="00920329"/>
    <w:rsid w:val="00920AA8"/>
    <w:rsid w:val="00920CAB"/>
    <w:rsid w:val="00920E81"/>
    <w:rsid w:val="00920F1A"/>
    <w:rsid w:val="00920FD6"/>
    <w:rsid w:val="00921334"/>
    <w:rsid w:val="0092139F"/>
    <w:rsid w:val="0092160B"/>
    <w:rsid w:val="009217C0"/>
    <w:rsid w:val="0092194C"/>
    <w:rsid w:val="00921D72"/>
    <w:rsid w:val="00922001"/>
    <w:rsid w:val="0092249B"/>
    <w:rsid w:val="00922B2C"/>
    <w:rsid w:val="00922DAA"/>
    <w:rsid w:val="00923011"/>
    <w:rsid w:val="0092317F"/>
    <w:rsid w:val="00923273"/>
    <w:rsid w:val="00923429"/>
    <w:rsid w:val="009234EA"/>
    <w:rsid w:val="0092358D"/>
    <w:rsid w:val="00923694"/>
    <w:rsid w:val="00923A49"/>
    <w:rsid w:val="00923A55"/>
    <w:rsid w:val="00923B17"/>
    <w:rsid w:val="00923B41"/>
    <w:rsid w:val="00923D01"/>
    <w:rsid w:val="00923EF8"/>
    <w:rsid w:val="00924459"/>
    <w:rsid w:val="00924530"/>
    <w:rsid w:val="0092468D"/>
    <w:rsid w:val="009247BF"/>
    <w:rsid w:val="009249B8"/>
    <w:rsid w:val="00924C3F"/>
    <w:rsid w:val="00924DE0"/>
    <w:rsid w:val="009250F3"/>
    <w:rsid w:val="00925373"/>
    <w:rsid w:val="0092568C"/>
    <w:rsid w:val="009257DA"/>
    <w:rsid w:val="009259F0"/>
    <w:rsid w:val="00925A57"/>
    <w:rsid w:val="00925C3E"/>
    <w:rsid w:val="00925E7C"/>
    <w:rsid w:val="009260F9"/>
    <w:rsid w:val="009264B5"/>
    <w:rsid w:val="00926548"/>
    <w:rsid w:val="0092658B"/>
    <w:rsid w:val="0092698E"/>
    <w:rsid w:val="0092708D"/>
    <w:rsid w:val="009270C6"/>
    <w:rsid w:val="00927287"/>
    <w:rsid w:val="00927308"/>
    <w:rsid w:val="009275F9"/>
    <w:rsid w:val="00927690"/>
    <w:rsid w:val="0092770C"/>
    <w:rsid w:val="00927D04"/>
    <w:rsid w:val="00930240"/>
    <w:rsid w:val="00930A50"/>
    <w:rsid w:val="00930CAB"/>
    <w:rsid w:val="00930E8E"/>
    <w:rsid w:val="00930EAF"/>
    <w:rsid w:val="009311FA"/>
    <w:rsid w:val="00931238"/>
    <w:rsid w:val="00931B45"/>
    <w:rsid w:val="00931C9A"/>
    <w:rsid w:val="00931E16"/>
    <w:rsid w:val="00931EF7"/>
    <w:rsid w:val="0093246F"/>
    <w:rsid w:val="009324F1"/>
    <w:rsid w:val="00932677"/>
    <w:rsid w:val="00932A60"/>
    <w:rsid w:val="00932AB6"/>
    <w:rsid w:val="00932C7F"/>
    <w:rsid w:val="00932DBC"/>
    <w:rsid w:val="00933189"/>
    <w:rsid w:val="009331A5"/>
    <w:rsid w:val="009333AC"/>
    <w:rsid w:val="009333DE"/>
    <w:rsid w:val="009333FE"/>
    <w:rsid w:val="0093344A"/>
    <w:rsid w:val="00933751"/>
    <w:rsid w:val="00933D35"/>
    <w:rsid w:val="00933F5D"/>
    <w:rsid w:val="009342C7"/>
    <w:rsid w:val="0093455B"/>
    <w:rsid w:val="009348D1"/>
    <w:rsid w:val="00934911"/>
    <w:rsid w:val="009349B1"/>
    <w:rsid w:val="00934D61"/>
    <w:rsid w:val="00934E98"/>
    <w:rsid w:val="00935029"/>
    <w:rsid w:val="009353DD"/>
    <w:rsid w:val="00935494"/>
    <w:rsid w:val="009357BD"/>
    <w:rsid w:val="0093591E"/>
    <w:rsid w:val="00935AD2"/>
    <w:rsid w:val="00935F88"/>
    <w:rsid w:val="00935FD9"/>
    <w:rsid w:val="009360F2"/>
    <w:rsid w:val="00936274"/>
    <w:rsid w:val="009363E5"/>
    <w:rsid w:val="009364A0"/>
    <w:rsid w:val="00936630"/>
    <w:rsid w:val="00936A96"/>
    <w:rsid w:val="00936DC9"/>
    <w:rsid w:val="00936ECD"/>
    <w:rsid w:val="00936FD1"/>
    <w:rsid w:val="00937034"/>
    <w:rsid w:val="0093719F"/>
    <w:rsid w:val="00937549"/>
    <w:rsid w:val="009375A2"/>
    <w:rsid w:val="009378AC"/>
    <w:rsid w:val="00937B2C"/>
    <w:rsid w:val="00937B3F"/>
    <w:rsid w:val="00937CEE"/>
    <w:rsid w:val="00937DF1"/>
    <w:rsid w:val="009400F3"/>
    <w:rsid w:val="009400F4"/>
    <w:rsid w:val="00940264"/>
    <w:rsid w:val="00940487"/>
    <w:rsid w:val="00940818"/>
    <w:rsid w:val="009409C7"/>
    <w:rsid w:val="00940A74"/>
    <w:rsid w:val="00940C4A"/>
    <w:rsid w:val="00940E61"/>
    <w:rsid w:val="00940FBE"/>
    <w:rsid w:val="0094100A"/>
    <w:rsid w:val="009411BA"/>
    <w:rsid w:val="00941872"/>
    <w:rsid w:val="00941B73"/>
    <w:rsid w:val="00941DA0"/>
    <w:rsid w:val="00941E6B"/>
    <w:rsid w:val="00941F96"/>
    <w:rsid w:val="0094207F"/>
    <w:rsid w:val="009420F6"/>
    <w:rsid w:val="009421BC"/>
    <w:rsid w:val="00942707"/>
    <w:rsid w:val="00942867"/>
    <w:rsid w:val="00942964"/>
    <w:rsid w:val="00942965"/>
    <w:rsid w:val="00942ABA"/>
    <w:rsid w:val="00942B21"/>
    <w:rsid w:val="00942E0B"/>
    <w:rsid w:val="00942F39"/>
    <w:rsid w:val="00943047"/>
    <w:rsid w:val="00943329"/>
    <w:rsid w:val="00943356"/>
    <w:rsid w:val="009434D5"/>
    <w:rsid w:val="00943566"/>
    <w:rsid w:val="009436B6"/>
    <w:rsid w:val="009439F6"/>
    <w:rsid w:val="00943E70"/>
    <w:rsid w:val="00944047"/>
    <w:rsid w:val="00944451"/>
    <w:rsid w:val="009444C4"/>
    <w:rsid w:val="0094450B"/>
    <w:rsid w:val="009448A6"/>
    <w:rsid w:val="009449D7"/>
    <w:rsid w:val="00944A0A"/>
    <w:rsid w:val="00944B14"/>
    <w:rsid w:val="00944BD5"/>
    <w:rsid w:val="0094503B"/>
    <w:rsid w:val="009457CD"/>
    <w:rsid w:val="00945A10"/>
    <w:rsid w:val="00945C80"/>
    <w:rsid w:val="00945F0E"/>
    <w:rsid w:val="009460A6"/>
    <w:rsid w:val="00946554"/>
    <w:rsid w:val="00946891"/>
    <w:rsid w:val="00946AE0"/>
    <w:rsid w:val="0094729E"/>
    <w:rsid w:val="009473D9"/>
    <w:rsid w:val="00947577"/>
    <w:rsid w:val="00947689"/>
    <w:rsid w:val="009478A8"/>
    <w:rsid w:val="00947BDE"/>
    <w:rsid w:val="00947EA3"/>
    <w:rsid w:val="00950796"/>
    <w:rsid w:val="00950A44"/>
    <w:rsid w:val="00950A93"/>
    <w:rsid w:val="00950AA9"/>
    <w:rsid w:val="00950B13"/>
    <w:rsid w:val="00950B80"/>
    <w:rsid w:val="00950CA3"/>
    <w:rsid w:val="00950DDC"/>
    <w:rsid w:val="00950DF1"/>
    <w:rsid w:val="00951590"/>
    <w:rsid w:val="009519E7"/>
    <w:rsid w:val="00951B80"/>
    <w:rsid w:val="00951B99"/>
    <w:rsid w:val="00951BA2"/>
    <w:rsid w:val="00951C37"/>
    <w:rsid w:val="0095210B"/>
    <w:rsid w:val="00952298"/>
    <w:rsid w:val="009525F8"/>
    <w:rsid w:val="009526A6"/>
    <w:rsid w:val="00952D1A"/>
    <w:rsid w:val="00952D82"/>
    <w:rsid w:val="00952DB5"/>
    <w:rsid w:val="00952FA2"/>
    <w:rsid w:val="00952FC0"/>
    <w:rsid w:val="009531F1"/>
    <w:rsid w:val="009533B0"/>
    <w:rsid w:val="009533F6"/>
    <w:rsid w:val="009535A1"/>
    <w:rsid w:val="00953BB2"/>
    <w:rsid w:val="00954020"/>
    <w:rsid w:val="00954308"/>
    <w:rsid w:val="009548C2"/>
    <w:rsid w:val="009549AA"/>
    <w:rsid w:val="009549ED"/>
    <w:rsid w:val="00954AA8"/>
    <w:rsid w:val="00954C4F"/>
    <w:rsid w:val="00954D60"/>
    <w:rsid w:val="00955480"/>
    <w:rsid w:val="009554DD"/>
    <w:rsid w:val="009554DF"/>
    <w:rsid w:val="00955936"/>
    <w:rsid w:val="00955941"/>
    <w:rsid w:val="00955972"/>
    <w:rsid w:val="00956131"/>
    <w:rsid w:val="0095621C"/>
    <w:rsid w:val="00956393"/>
    <w:rsid w:val="009564DA"/>
    <w:rsid w:val="0095659F"/>
    <w:rsid w:val="009565A6"/>
    <w:rsid w:val="009565E4"/>
    <w:rsid w:val="00956619"/>
    <w:rsid w:val="009568C4"/>
    <w:rsid w:val="009568D3"/>
    <w:rsid w:val="00956D58"/>
    <w:rsid w:val="009575E9"/>
    <w:rsid w:val="00957694"/>
    <w:rsid w:val="00957AB6"/>
    <w:rsid w:val="00957AD0"/>
    <w:rsid w:val="00957AF1"/>
    <w:rsid w:val="00960044"/>
    <w:rsid w:val="00960059"/>
    <w:rsid w:val="009603BF"/>
    <w:rsid w:val="009606B7"/>
    <w:rsid w:val="0096095E"/>
    <w:rsid w:val="00960B76"/>
    <w:rsid w:val="00960D47"/>
    <w:rsid w:val="00960E49"/>
    <w:rsid w:val="00960E4E"/>
    <w:rsid w:val="00960E5A"/>
    <w:rsid w:val="009614FC"/>
    <w:rsid w:val="009617A3"/>
    <w:rsid w:val="00961828"/>
    <w:rsid w:val="00961A40"/>
    <w:rsid w:val="00961B9B"/>
    <w:rsid w:val="00961D0F"/>
    <w:rsid w:val="0096219E"/>
    <w:rsid w:val="0096252C"/>
    <w:rsid w:val="00962655"/>
    <w:rsid w:val="00962669"/>
    <w:rsid w:val="009626AD"/>
    <w:rsid w:val="009629D1"/>
    <w:rsid w:val="00962AE5"/>
    <w:rsid w:val="00962CBD"/>
    <w:rsid w:val="00962CEF"/>
    <w:rsid w:val="00962E8F"/>
    <w:rsid w:val="00963071"/>
    <w:rsid w:val="00963100"/>
    <w:rsid w:val="00963231"/>
    <w:rsid w:val="00963821"/>
    <w:rsid w:val="00963FFF"/>
    <w:rsid w:val="009642BB"/>
    <w:rsid w:val="009644C7"/>
    <w:rsid w:val="0096467E"/>
    <w:rsid w:val="009646CA"/>
    <w:rsid w:val="00964978"/>
    <w:rsid w:val="00964985"/>
    <w:rsid w:val="00964CE2"/>
    <w:rsid w:val="00964F2B"/>
    <w:rsid w:val="00965286"/>
    <w:rsid w:val="009653C8"/>
    <w:rsid w:val="009655B1"/>
    <w:rsid w:val="00965677"/>
    <w:rsid w:val="0096596F"/>
    <w:rsid w:val="0096598B"/>
    <w:rsid w:val="009662E5"/>
    <w:rsid w:val="009662EA"/>
    <w:rsid w:val="00966455"/>
    <w:rsid w:val="009665B0"/>
    <w:rsid w:val="009667A5"/>
    <w:rsid w:val="009670D3"/>
    <w:rsid w:val="00967333"/>
    <w:rsid w:val="00967694"/>
    <w:rsid w:val="00967754"/>
    <w:rsid w:val="009677B4"/>
    <w:rsid w:val="009679A0"/>
    <w:rsid w:val="009700C4"/>
    <w:rsid w:val="00970296"/>
    <w:rsid w:val="0097032F"/>
    <w:rsid w:val="0097041E"/>
    <w:rsid w:val="00970698"/>
    <w:rsid w:val="00970B90"/>
    <w:rsid w:val="00970E85"/>
    <w:rsid w:val="009710D1"/>
    <w:rsid w:val="0097159C"/>
    <w:rsid w:val="00971893"/>
    <w:rsid w:val="00971C42"/>
    <w:rsid w:val="00971E7E"/>
    <w:rsid w:val="0097214A"/>
    <w:rsid w:val="00972426"/>
    <w:rsid w:val="00972445"/>
    <w:rsid w:val="0097255F"/>
    <w:rsid w:val="0097298B"/>
    <w:rsid w:val="0097309D"/>
    <w:rsid w:val="009733AD"/>
    <w:rsid w:val="00973557"/>
    <w:rsid w:val="00973832"/>
    <w:rsid w:val="00973EA4"/>
    <w:rsid w:val="00973F30"/>
    <w:rsid w:val="00974228"/>
    <w:rsid w:val="00974281"/>
    <w:rsid w:val="009742AD"/>
    <w:rsid w:val="00974351"/>
    <w:rsid w:val="009744FE"/>
    <w:rsid w:val="0097495E"/>
    <w:rsid w:val="00974B47"/>
    <w:rsid w:val="00974D0F"/>
    <w:rsid w:val="009753C2"/>
    <w:rsid w:val="0097572B"/>
    <w:rsid w:val="009759B3"/>
    <w:rsid w:val="00975ACB"/>
    <w:rsid w:val="00975BDF"/>
    <w:rsid w:val="00975CE2"/>
    <w:rsid w:val="00975FCE"/>
    <w:rsid w:val="0097642C"/>
    <w:rsid w:val="009765AE"/>
    <w:rsid w:val="00976602"/>
    <w:rsid w:val="009766AE"/>
    <w:rsid w:val="009769D7"/>
    <w:rsid w:val="00976AC6"/>
    <w:rsid w:val="00976B17"/>
    <w:rsid w:val="00976E5D"/>
    <w:rsid w:val="00977080"/>
    <w:rsid w:val="00977196"/>
    <w:rsid w:val="009772AA"/>
    <w:rsid w:val="00977347"/>
    <w:rsid w:val="009777D6"/>
    <w:rsid w:val="009778A8"/>
    <w:rsid w:val="00977A7D"/>
    <w:rsid w:val="00977C7E"/>
    <w:rsid w:val="009800C1"/>
    <w:rsid w:val="00980678"/>
    <w:rsid w:val="009808C6"/>
    <w:rsid w:val="00980DEB"/>
    <w:rsid w:val="00980F78"/>
    <w:rsid w:val="00981098"/>
    <w:rsid w:val="009811C4"/>
    <w:rsid w:val="009811E7"/>
    <w:rsid w:val="0098149A"/>
    <w:rsid w:val="0098149F"/>
    <w:rsid w:val="0098155A"/>
    <w:rsid w:val="00981CDB"/>
    <w:rsid w:val="00982073"/>
    <w:rsid w:val="009825DE"/>
    <w:rsid w:val="009826B6"/>
    <w:rsid w:val="0098270D"/>
    <w:rsid w:val="00982940"/>
    <w:rsid w:val="00982A1A"/>
    <w:rsid w:val="00982CAD"/>
    <w:rsid w:val="00982DB4"/>
    <w:rsid w:val="00982E1F"/>
    <w:rsid w:val="009830D0"/>
    <w:rsid w:val="00983493"/>
    <w:rsid w:val="009835F6"/>
    <w:rsid w:val="00983AAF"/>
    <w:rsid w:val="00983B9A"/>
    <w:rsid w:val="00983F76"/>
    <w:rsid w:val="00984025"/>
    <w:rsid w:val="009840A5"/>
    <w:rsid w:val="00984690"/>
    <w:rsid w:val="00984870"/>
    <w:rsid w:val="00984896"/>
    <w:rsid w:val="00984E37"/>
    <w:rsid w:val="00984E92"/>
    <w:rsid w:val="00985006"/>
    <w:rsid w:val="0098565D"/>
    <w:rsid w:val="00985919"/>
    <w:rsid w:val="00985BAF"/>
    <w:rsid w:val="00985F2D"/>
    <w:rsid w:val="00986231"/>
    <w:rsid w:val="00986330"/>
    <w:rsid w:val="0098634B"/>
    <w:rsid w:val="00986587"/>
    <w:rsid w:val="009868A1"/>
    <w:rsid w:val="00986A8C"/>
    <w:rsid w:val="00986B6E"/>
    <w:rsid w:val="00986F07"/>
    <w:rsid w:val="00987174"/>
    <w:rsid w:val="009872F6"/>
    <w:rsid w:val="00987A71"/>
    <w:rsid w:val="00987AB4"/>
    <w:rsid w:val="00987DFB"/>
    <w:rsid w:val="00990484"/>
    <w:rsid w:val="009904AF"/>
    <w:rsid w:val="00990DA1"/>
    <w:rsid w:val="0099119D"/>
    <w:rsid w:val="009912F3"/>
    <w:rsid w:val="009913A3"/>
    <w:rsid w:val="009914EC"/>
    <w:rsid w:val="00991579"/>
    <w:rsid w:val="00991657"/>
    <w:rsid w:val="0099175A"/>
    <w:rsid w:val="00991895"/>
    <w:rsid w:val="00991B35"/>
    <w:rsid w:val="00991B94"/>
    <w:rsid w:val="00991E63"/>
    <w:rsid w:val="00991FCD"/>
    <w:rsid w:val="00992447"/>
    <w:rsid w:val="009927AE"/>
    <w:rsid w:val="00992B67"/>
    <w:rsid w:val="00992B82"/>
    <w:rsid w:val="00992BEC"/>
    <w:rsid w:val="00993024"/>
    <w:rsid w:val="0099337C"/>
    <w:rsid w:val="0099350F"/>
    <w:rsid w:val="00993A69"/>
    <w:rsid w:val="00993C9F"/>
    <w:rsid w:val="00993DE0"/>
    <w:rsid w:val="00994284"/>
    <w:rsid w:val="009943B6"/>
    <w:rsid w:val="0099486E"/>
    <w:rsid w:val="00994B1C"/>
    <w:rsid w:val="00994C3A"/>
    <w:rsid w:val="00994F93"/>
    <w:rsid w:val="00995151"/>
    <w:rsid w:val="0099516D"/>
    <w:rsid w:val="009951C0"/>
    <w:rsid w:val="00995390"/>
    <w:rsid w:val="00995691"/>
    <w:rsid w:val="009958EC"/>
    <w:rsid w:val="0099592C"/>
    <w:rsid w:val="00995990"/>
    <w:rsid w:val="009959B3"/>
    <w:rsid w:val="00995AE9"/>
    <w:rsid w:val="00995BF9"/>
    <w:rsid w:val="0099601C"/>
    <w:rsid w:val="0099608C"/>
    <w:rsid w:val="009960CA"/>
    <w:rsid w:val="009960CB"/>
    <w:rsid w:val="009964F8"/>
    <w:rsid w:val="009968A4"/>
    <w:rsid w:val="009968B1"/>
    <w:rsid w:val="00996A60"/>
    <w:rsid w:val="00996B4E"/>
    <w:rsid w:val="00996D6B"/>
    <w:rsid w:val="00996F4D"/>
    <w:rsid w:val="00997069"/>
    <w:rsid w:val="009970D6"/>
    <w:rsid w:val="009977D2"/>
    <w:rsid w:val="00997947"/>
    <w:rsid w:val="00997A1B"/>
    <w:rsid w:val="00997A31"/>
    <w:rsid w:val="00997B84"/>
    <w:rsid w:val="00997C1E"/>
    <w:rsid w:val="00997D52"/>
    <w:rsid w:val="009A00BB"/>
    <w:rsid w:val="009A0560"/>
    <w:rsid w:val="009A078D"/>
    <w:rsid w:val="009A0819"/>
    <w:rsid w:val="009A0833"/>
    <w:rsid w:val="009A0BA1"/>
    <w:rsid w:val="009A106A"/>
    <w:rsid w:val="009A1338"/>
    <w:rsid w:val="009A1347"/>
    <w:rsid w:val="009A17CB"/>
    <w:rsid w:val="009A1B3F"/>
    <w:rsid w:val="009A1C45"/>
    <w:rsid w:val="009A1F07"/>
    <w:rsid w:val="009A21F1"/>
    <w:rsid w:val="009A2434"/>
    <w:rsid w:val="009A2453"/>
    <w:rsid w:val="009A24DB"/>
    <w:rsid w:val="009A29E6"/>
    <w:rsid w:val="009A2B44"/>
    <w:rsid w:val="009A2EEC"/>
    <w:rsid w:val="009A2F36"/>
    <w:rsid w:val="009A3143"/>
    <w:rsid w:val="009A31AA"/>
    <w:rsid w:val="009A3864"/>
    <w:rsid w:val="009A3964"/>
    <w:rsid w:val="009A3A7F"/>
    <w:rsid w:val="009A3CA4"/>
    <w:rsid w:val="009A3FF7"/>
    <w:rsid w:val="009A4064"/>
    <w:rsid w:val="009A40D5"/>
    <w:rsid w:val="009A428C"/>
    <w:rsid w:val="009A44CF"/>
    <w:rsid w:val="009A475F"/>
    <w:rsid w:val="009A4AC0"/>
    <w:rsid w:val="009A4B61"/>
    <w:rsid w:val="009A4E2B"/>
    <w:rsid w:val="009A4FDF"/>
    <w:rsid w:val="009A509B"/>
    <w:rsid w:val="009A52D3"/>
    <w:rsid w:val="009A5533"/>
    <w:rsid w:val="009A572C"/>
    <w:rsid w:val="009A5778"/>
    <w:rsid w:val="009A590B"/>
    <w:rsid w:val="009A5BD5"/>
    <w:rsid w:val="009A604F"/>
    <w:rsid w:val="009A6473"/>
    <w:rsid w:val="009A6727"/>
    <w:rsid w:val="009A705F"/>
    <w:rsid w:val="009A741D"/>
    <w:rsid w:val="009A762B"/>
    <w:rsid w:val="009A78FB"/>
    <w:rsid w:val="009A7BC8"/>
    <w:rsid w:val="009A7FE3"/>
    <w:rsid w:val="009B01A8"/>
    <w:rsid w:val="009B05D0"/>
    <w:rsid w:val="009B0D9C"/>
    <w:rsid w:val="009B0EBA"/>
    <w:rsid w:val="009B11E3"/>
    <w:rsid w:val="009B12C3"/>
    <w:rsid w:val="009B151C"/>
    <w:rsid w:val="009B17F8"/>
    <w:rsid w:val="009B18D8"/>
    <w:rsid w:val="009B1B67"/>
    <w:rsid w:val="009B1C87"/>
    <w:rsid w:val="009B1DFE"/>
    <w:rsid w:val="009B1EA8"/>
    <w:rsid w:val="009B1F66"/>
    <w:rsid w:val="009B24D8"/>
    <w:rsid w:val="009B250D"/>
    <w:rsid w:val="009B2877"/>
    <w:rsid w:val="009B2A62"/>
    <w:rsid w:val="009B2B5B"/>
    <w:rsid w:val="009B2B8A"/>
    <w:rsid w:val="009B2F2F"/>
    <w:rsid w:val="009B31E3"/>
    <w:rsid w:val="009B3235"/>
    <w:rsid w:val="009B378C"/>
    <w:rsid w:val="009B3B18"/>
    <w:rsid w:val="009B3B27"/>
    <w:rsid w:val="009B41D3"/>
    <w:rsid w:val="009B4225"/>
    <w:rsid w:val="009B428E"/>
    <w:rsid w:val="009B4608"/>
    <w:rsid w:val="009B4954"/>
    <w:rsid w:val="009B5084"/>
    <w:rsid w:val="009B50E6"/>
    <w:rsid w:val="009B5813"/>
    <w:rsid w:val="009B5949"/>
    <w:rsid w:val="009B5A46"/>
    <w:rsid w:val="009B5E03"/>
    <w:rsid w:val="009B5E91"/>
    <w:rsid w:val="009B5F63"/>
    <w:rsid w:val="009B6024"/>
    <w:rsid w:val="009B6075"/>
    <w:rsid w:val="009B628F"/>
    <w:rsid w:val="009B6411"/>
    <w:rsid w:val="009B697A"/>
    <w:rsid w:val="009B6A64"/>
    <w:rsid w:val="009B6AEC"/>
    <w:rsid w:val="009B6FA2"/>
    <w:rsid w:val="009B6FB3"/>
    <w:rsid w:val="009B6FC7"/>
    <w:rsid w:val="009B7137"/>
    <w:rsid w:val="009B71B4"/>
    <w:rsid w:val="009B7213"/>
    <w:rsid w:val="009B724F"/>
    <w:rsid w:val="009B72B3"/>
    <w:rsid w:val="009B737F"/>
    <w:rsid w:val="009B761F"/>
    <w:rsid w:val="009B7725"/>
    <w:rsid w:val="009B784B"/>
    <w:rsid w:val="009B7890"/>
    <w:rsid w:val="009B7959"/>
    <w:rsid w:val="009B7DA6"/>
    <w:rsid w:val="009C0B44"/>
    <w:rsid w:val="009C0D33"/>
    <w:rsid w:val="009C0D83"/>
    <w:rsid w:val="009C0D93"/>
    <w:rsid w:val="009C0DEE"/>
    <w:rsid w:val="009C1192"/>
    <w:rsid w:val="009C1215"/>
    <w:rsid w:val="009C155C"/>
    <w:rsid w:val="009C18B5"/>
    <w:rsid w:val="009C1B53"/>
    <w:rsid w:val="009C1B85"/>
    <w:rsid w:val="009C1CD8"/>
    <w:rsid w:val="009C1EBD"/>
    <w:rsid w:val="009C1FE1"/>
    <w:rsid w:val="009C1FEA"/>
    <w:rsid w:val="009C2432"/>
    <w:rsid w:val="009C25D9"/>
    <w:rsid w:val="009C2877"/>
    <w:rsid w:val="009C2BAB"/>
    <w:rsid w:val="009C2FF1"/>
    <w:rsid w:val="009C308A"/>
    <w:rsid w:val="009C3118"/>
    <w:rsid w:val="009C351E"/>
    <w:rsid w:val="009C372D"/>
    <w:rsid w:val="009C3A8A"/>
    <w:rsid w:val="009C3D6A"/>
    <w:rsid w:val="009C3F02"/>
    <w:rsid w:val="009C3F5E"/>
    <w:rsid w:val="009C44B3"/>
    <w:rsid w:val="009C4523"/>
    <w:rsid w:val="009C4B89"/>
    <w:rsid w:val="009C4F26"/>
    <w:rsid w:val="009C4FA4"/>
    <w:rsid w:val="009C4FBC"/>
    <w:rsid w:val="009C5265"/>
    <w:rsid w:val="009C5451"/>
    <w:rsid w:val="009C575C"/>
    <w:rsid w:val="009C5889"/>
    <w:rsid w:val="009C5924"/>
    <w:rsid w:val="009C5BBA"/>
    <w:rsid w:val="009C5C23"/>
    <w:rsid w:val="009C5FAD"/>
    <w:rsid w:val="009C62E9"/>
    <w:rsid w:val="009C6623"/>
    <w:rsid w:val="009C668D"/>
    <w:rsid w:val="009C692B"/>
    <w:rsid w:val="009C6A40"/>
    <w:rsid w:val="009C7AF8"/>
    <w:rsid w:val="009C7D70"/>
    <w:rsid w:val="009D004D"/>
    <w:rsid w:val="009D01B4"/>
    <w:rsid w:val="009D0264"/>
    <w:rsid w:val="009D03E8"/>
    <w:rsid w:val="009D0B31"/>
    <w:rsid w:val="009D114B"/>
    <w:rsid w:val="009D17BE"/>
    <w:rsid w:val="009D18C1"/>
    <w:rsid w:val="009D1B2F"/>
    <w:rsid w:val="009D1DE5"/>
    <w:rsid w:val="009D2049"/>
    <w:rsid w:val="009D2404"/>
    <w:rsid w:val="009D2610"/>
    <w:rsid w:val="009D28D9"/>
    <w:rsid w:val="009D2BB2"/>
    <w:rsid w:val="009D2D01"/>
    <w:rsid w:val="009D2E46"/>
    <w:rsid w:val="009D318A"/>
    <w:rsid w:val="009D31F8"/>
    <w:rsid w:val="009D326F"/>
    <w:rsid w:val="009D32F8"/>
    <w:rsid w:val="009D3379"/>
    <w:rsid w:val="009D354B"/>
    <w:rsid w:val="009D3720"/>
    <w:rsid w:val="009D3AB1"/>
    <w:rsid w:val="009D3AC1"/>
    <w:rsid w:val="009D3B5B"/>
    <w:rsid w:val="009D3DB5"/>
    <w:rsid w:val="009D3F39"/>
    <w:rsid w:val="009D3FCB"/>
    <w:rsid w:val="009D41FC"/>
    <w:rsid w:val="009D4875"/>
    <w:rsid w:val="009D4B07"/>
    <w:rsid w:val="009D4CA6"/>
    <w:rsid w:val="009D5107"/>
    <w:rsid w:val="009D517F"/>
    <w:rsid w:val="009D5353"/>
    <w:rsid w:val="009D545E"/>
    <w:rsid w:val="009D59F7"/>
    <w:rsid w:val="009D5B1C"/>
    <w:rsid w:val="009D5C5E"/>
    <w:rsid w:val="009D5D77"/>
    <w:rsid w:val="009D5DCD"/>
    <w:rsid w:val="009D5FBC"/>
    <w:rsid w:val="009D600A"/>
    <w:rsid w:val="009D6359"/>
    <w:rsid w:val="009D658F"/>
    <w:rsid w:val="009D65B0"/>
    <w:rsid w:val="009D674B"/>
    <w:rsid w:val="009D67E0"/>
    <w:rsid w:val="009D68F8"/>
    <w:rsid w:val="009D69AF"/>
    <w:rsid w:val="009D6C2F"/>
    <w:rsid w:val="009D7100"/>
    <w:rsid w:val="009D71F0"/>
    <w:rsid w:val="009D72DB"/>
    <w:rsid w:val="009D7820"/>
    <w:rsid w:val="009D7BAC"/>
    <w:rsid w:val="009D7E3C"/>
    <w:rsid w:val="009D7E93"/>
    <w:rsid w:val="009D7F80"/>
    <w:rsid w:val="009E0196"/>
    <w:rsid w:val="009E06E1"/>
    <w:rsid w:val="009E0801"/>
    <w:rsid w:val="009E0D89"/>
    <w:rsid w:val="009E0DE6"/>
    <w:rsid w:val="009E0F35"/>
    <w:rsid w:val="009E1773"/>
    <w:rsid w:val="009E17AD"/>
    <w:rsid w:val="009E1878"/>
    <w:rsid w:val="009E1A07"/>
    <w:rsid w:val="009E1E99"/>
    <w:rsid w:val="009E2221"/>
    <w:rsid w:val="009E24EC"/>
    <w:rsid w:val="009E286D"/>
    <w:rsid w:val="009E2967"/>
    <w:rsid w:val="009E2993"/>
    <w:rsid w:val="009E3083"/>
    <w:rsid w:val="009E3304"/>
    <w:rsid w:val="009E382A"/>
    <w:rsid w:val="009E42CB"/>
    <w:rsid w:val="009E474D"/>
    <w:rsid w:val="009E4979"/>
    <w:rsid w:val="009E4981"/>
    <w:rsid w:val="009E4FEE"/>
    <w:rsid w:val="009E539D"/>
    <w:rsid w:val="009E54FA"/>
    <w:rsid w:val="009E5763"/>
    <w:rsid w:val="009E5865"/>
    <w:rsid w:val="009E5AD0"/>
    <w:rsid w:val="009E5E12"/>
    <w:rsid w:val="009E5ECD"/>
    <w:rsid w:val="009E5EE3"/>
    <w:rsid w:val="009E5F49"/>
    <w:rsid w:val="009E5F5B"/>
    <w:rsid w:val="009E6015"/>
    <w:rsid w:val="009E61DB"/>
    <w:rsid w:val="009E6248"/>
    <w:rsid w:val="009E6300"/>
    <w:rsid w:val="009E6678"/>
    <w:rsid w:val="009E68D1"/>
    <w:rsid w:val="009E6C6F"/>
    <w:rsid w:val="009E6EE6"/>
    <w:rsid w:val="009E6FF7"/>
    <w:rsid w:val="009E743A"/>
    <w:rsid w:val="009E7449"/>
    <w:rsid w:val="009E7811"/>
    <w:rsid w:val="009E7834"/>
    <w:rsid w:val="009E79DE"/>
    <w:rsid w:val="009E7EB6"/>
    <w:rsid w:val="009F0278"/>
    <w:rsid w:val="009F02F8"/>
    <w:rsid w:val="009F0429"/>
    <w:rsid w:val="009F0582"/>
    <w:rsid w:val="009F0629"/>
    <w:rsid w:val="009F0630"/>
    <w:rsid w:val="009F0A54"/>
    <w:rsid w:val="009F0A77"/>
    <w:rsid w:val="009F0C95"/>
    <w:rsid w:val="009F0CEF"/>
    <w:rsid w:val="009F102B"/>
    <w:rsid w:val="009F12DE"/>
    <w:rsid w:val="009F1E7A"/>
    <w:rsid w:val="009F1FC0"/>
    <w:rsid w:val="009F20D1"/>
    <w:rsid w:val="009F22B1"/>
    <w:rsid w:val="009F2657"/>
    <w:rsid w:val="009F2995"/>
    <w:rsid w:val="009F2A89"/>
    <w:rsid w:val="009F3244"/>
    <w:rsid w:val="009F3743"/>
    <w:rsid w:val="009F3A07"/>
    <w:rsid w:val="009F3DEE"/>
    <w:rsid w:val="009F4046"/>
    <w:rsid w:val="009F42F4"/>
    <w:rsid w:val="009F4386"/>
    <w:rsid w:val="009F446B"/>
    <w:rsid w:val="009F45E4"/>
    <w:rsid w:val="009F4616"/>
    <w:rsid w:val="009F462E"/>
    <w:rsid w:val="009F4867"/>
    <w:rsid w:val="009F498D"/>
    <w:rsid w:val="009F4A5C"/>
    <w:rsid w:val="009F4C82"/>
    <w:rsid w:val="009F4C93"/>
    <w:rsid w:val="009F4F58"/>
    <w:rsid w:val="009F4F86"/>
    <w:rsid w:val="009F5086"/>
    <w:rsid w:val="009F53AE"/>
    <w:rsid w:val="009F53F7"/>
    <w:rsid w:val="009F554C"/>
    <w:rsid w:val="009F5682"/>
    <w:rsid w:val="009F57C3"/>
    <w:rsid w:val="009F5AB9"/>
    <w:rsid w:val="009F5C05"/>
    <w:rsid w:val="009F5DCF"/>
    <w:rsid w:val="009F5EA0"/>
    <w:rsid w:val="009F5F98"/>
    <w:rsid w:val="009F60F6"/>
    <w:rsid w:val="009F6464"/>
    <w:rsid w:val="009F6657"/>
    <w:rsid w:val="009F677C"/>
    <w:rsid w:val="009F67A6"/>
    <w:rsid w:val="009F6C16"/>
    <w:rsid w:val="009F6EA9"/>
    <w:rsid w:val="009F71EE"/>
    <w:rsid w:val="009F73EE"/>
    <w:rsid w:val="009F7700"/>
    <w:rsid w:val="009F776D"/>
    <w:rsid w:val="009F7803"/>
    <w:rsid w:val="009F7DC6"/>
    <w:rsid w:val="009F7E2F"/>
    <w:rsid w:val="009F7F91"/>
    <w:rsid w:val="00A0044A"/>
    <w:rsid w:val="00A005FB"/>
    <w:rsid w:val="00A00672"/>
    <w:rsid w:val="00A0094A"/>
    <w:rsid w:val="00A00961"/>
    <w:rsid w:val="00A00A17"/>
    <w:rsid w:val="00A00F8E"/>
    <w:rsid w:val="00A00FE7"/>
    <w:rsid w:val="00A00FF3"/>
    <w:rsid w:val="00A01328"/>
    <w:rsid w:val="00A0133C"/>
    <w:rsid w:val="00A01454"/>
    <w:rsid w:val="00A016B0"/>
    <w:rsid w:val="00A016EC"/>
    <w:rsid w:val="00A01970"/>
    <w:rsid w:val="00A01F80"/>
    <w:rsid w:val="00A022B7"/>
    <w:rsid w:val="00A0261C"/>
    <w:rsid w:val="00A0286F"/>
    <w:rsid w:val="00A02CAE"/>
    <w:rsid w:val="00A02E2C"/>
    <w:rsid w:val="00A02F05"/>
    <w:rsid w:val="00A02FFE"/>
    <w:rsid w:val="00A0327A"/>
    <w:rsid w:val="00A0385B"/>
    <w:rsid w:val="00A03A0E"/>
    <w:rsid w:val="00A03B28"/>
    <w:rsid w:val="00A03C04"/>
    <w:rsid w:val="00A0402D"/>
    <w:rsid w:val="00A04471"/>
    <w:rsid w:val="00A0472B"/>
    <w:rsid w:val="00A05052"/>
    <w:rsid w:val="00A05334"/>
    <w:rsid w:val="00A05354"/>
    <w:rsid w:val="00A05369"/>
    <w:rsid w:val="00A05460"/>
    <w:rsid w:val="00A055C0"/>
    <w:rsid w:val="00A056F3"/>
    <w:rsid w:val="00A05A97"/>
    <w:rsid w:val="00A05AED"/>
    <w:rsid w:val="00A05F9D"/>
    <w:rsid w:val="00A06019"/>
    <w:rsid w:val="00A0637F"/>
    <w:rsid w:val="00A06664"/>
    <w:rsid w:val="00A06C9E"/>
    <w:rsid w:val="00A06DC1"/>
    <w:rsid w:val="00A06E51"/>
    <w:rsid w:val="00A07086"/>
    <w:rsid w:val="00A07406"/>
    <w:rsid w:val="00A074FC"/>
    <w:rsid w:val="00A0753F"/>
    <w:rsid w:val="00A07599"/>
    <w:rsid w:val="00A075C4"/>
    <w:rsid w:val="00A075EC"/>
    <w:rsid w:val="00A0762F"/>
    <w:rsid w:val="00A077B6"/>
    <w:rsid w:val="00A079A7"/>
    <w:rsid w:val="00A101B2"/>
    <w:rsid w:val="00A10223"/>
    <w:rsid w:val="00A103F8"/>
    <w:rsid w:val="00A105C5"/>
    <w:rsid w:val="00A10803"/>
    <w:rsid w:val="00A109BC"/>
    <w:rsid w:val="00A10BB3"/>
    <w:rsid w:val="00A10DD1"/>
    <w:rsid w:val="00A10F01"/>
    <w:rsid w:val="00A10F14"/>
    <w:rsid w:val="00A10F9A"/>
    <w:rsid w:val="00A10FCB"/>
    <w:rsid w:val="00A11694"/>
    <w:rsid w:val="00A116CE"/>
    <w:rsid w:val="00A116EF"/>
    <w:rsid w:val="00A117BA"/>
    <w:rsid w:val="00A118BF"/>
    <w:rsid w:val="00A11CC9"/>
    <w:rsid w:val="00A11E18"/>
    <w:rsid w:val="00A11FBE"/>
    <w:rsid w:val="00A11FE1"/>
    <w:rsid w:val="00A120F9"/>
    <w:rsid w:val="00A122C8"/>
    <w:rsid w:val="00A12415"/>
    <w:rsid w:val="00A12537"/>
    <w:rsid w:val="00A1277C"/>
    <w:rsid w:val="00A12836"/>
    <w:rsid w:val="00A128EA"/>
    <w:rsid w:val="00A12BC6"/>
    <w:rsid w:val="00A12BE8"/>
    <w:rsid w:val="00A12E88"/>
    <w:rsid w:val="00A12EFC"/>
    <w:rsid w:val="00A1342E"/>
    <w:rsid w:val="00A136EB"/>
    <w:rsid w:val="00A1383B"/>
    <w:rsid w:val="00A13C9D"/>
    <w:rsid w:val="00A13D0A"/>
    <w:rsid w:val="00A13EBE"/>
    <w:rsid w:val="00A13EE2"/>
    <w:rsid w:val="00A1402E"/>
    <w:rsid w:val="00A14B38"/>
    <w:rsid w:val="00A14DE8"/>
    <w:rsid w:val="00A14DFA"/>
    <w:rsid w:val="00A153FA"/>
    <w:rsid w:val="00A15417"/>
    <w:rsid w:val="00A154B2"/>
    <w:rsid w:val="00A15725"/>
    <w:rsid w:val="00A157D0"/>
    <w:rsid w:val="00A159E5"/>
    <w:rsid w:val="00A15B2F"/>
    <w:rsid w:val="00A15C83"/>
    <w:rsid w:val="00A15E7A"/>
    <w:rsid w:val="00A16047"/>
    <w:rsid w:val="00A16267"/>
    <w:rsid w:val="00A16509"/>
    <w:rsid w:val="00A16818"/>
    <w:rsid w:val="00A16A75"/>
    <w:rsid w:val="00A16F12"/>
    <w:rsid w:val="00A170AF"/>
    <w:rsid w:val="00A17123"/>
    <w:rsid w:val="00A17425"/>
    <w:rsid w:val="00A1747F"/>
    <w:rsid w:val="00A1765D"/>
    <w:rsid w:val="00A17989"/>
    <w:rsid w:val="00A17A67"/>
    <w:rsid w:val="00A17BA9"/>
    <w:rsid w:val="00A17EF7"/>
    <w:rsid w:val="00A2004C"/>
    <w:rsid w:val="00A2009B"/>
    <w:rsid w:val="00A2013D"/>
    <w:rsid w:val="00A2052B"/>
    <w:rsid w:val="00A205F3"/>
    <w:rsid w:val="00A20624"/>
    <w:rsid w:val="00A20709"/>
    <w:rsid w:val="00A207E1"/>
    <w:rsid w:val="00A20893"/>
    <w:rsid w:val="00A20A5B"/>
    <w:rsid w:val="00A20BA5"/>
    <w:rsid w:val="00A20ED2"/>
    <w:rsid w:val="00A20F19"/>
    <w:rsid w:val="00A21141"/>
    <w:rsid w:val="00A2121A"/>
    <w:rsid w:val="00A21349"/>
    <w:rsid w:val="00A216E1"/>
    <w:rsid w:val="00A2184D"/>
    <w:rsid w:val="00A21E08"/>
    <w:rsid w:val="00A21F55"/>
    <w:rsid w:val="00A223D0"/>
    <w:rsid w:val="00A22437"/>
    <w:rsid w:val="00A224E8"/>
    <w:rsid w:val="00A22511"/>
    <w:rsid w:val="00A225DF"/>
    <w:rsid w:val="00A22639"/>
    <w:rsid w:val="00A226B9"/>
    <w:rsid w:val="00A2271B"/>
    <w:rsid w:val="00A2284A"/>
    <w:rsid w:val="00A22A17"/>
    <w:rsid w:val="00A22AAA"/>
    <w:rsid w:val="00A23190"/>
    <w:rsid w:val="00A233AC"/>
    <w:rsid w:val="00A233B5"/>
    <w:rsid w:val="00A23474"/>
    <w:rsid w:val="00A2374A"/>
    <w:rsid w:val="00A2388A"/>
    <w:rsid w:val="00A239E7"/>
    <w:rsid w:val="00A23AEC"/>
    <w:rsid w:val="00A24268"/>
    <w:rsid w:val="00A24315"/>
    <w:rsid w:val="00A2457C"/>
    <w:rsid w:val="00A2482E"/>
    <w:rsid w:val="00A24854"/>
    <w:rsid w:val="00A24904"/>
    <w:rsid w:val="00A24D09"/>
    <w:rsid w:val="00A24E87"/>
    <w:rsid w:val="00A24EB5"/>
    <w:rsid w:val="00A24FE3"/>
    <w:rsid w:val="00A251FB"/>
    <w:rsid w:val="00A252D5"/>
    <w:rsid w:val="00A254F8"/>
    <w:rsid w:val="00A2565B"/>
    <w:rsid w:val="00A25685"/>
    <w:rsid w:val="00A258BC"/>
    <w:rsid w:val="00A25B82"/>
    <w:rsid w:val="00A25C35"/>
    <w:rsid w:val="00A25EFA"/>
    <w:rsid w:val="00A25FED"/>
    <w:rsid w:val="00A26053"/>
    <w:rsid w:val="00A26055"/>
    <w:rsid w:val="00A2610E"/>
    <w:rsid w:val="00A262AA"/>
    <w:rsid w:val="00A264AF"/>
    <w:rsid w:val="00A2651D"/>
    <w:rsid w:val="00A2669A"/>
    <w:rsid w:val="00A268FD"/>
    <w:rsid w:val="00A26EBA"/>
    <w:rsid w:val="00A2768A"/>
    <w:rsid w:val="00A279B7"/>
    <w:rsid w:val="00A27DE3"/>
    <w:rsid w:val="00A27F02"/>
    <w:rsid w:val="00A30014"/>
    <w:rsid w:val="00A30566"/>
    <w:rsid w:val="00A3074D"/>
    <w:rsid w:val="00A308B7"/>
    <w:rsid w:val="00A309EF"/>
    <w:rsid w:val="00A30B6B"/>
    <w:rsid w:val="00A30EC0"/>
    <w:rsid w:val="00A31383"/>
    <w:rsid w:val="00A316C3"/>
    <w:rsid w:val="00A317BF"/>
    <w:rsid w:val="00A31909"/>
    <w:rsid w:val="00A31AB2"/>
    <w:rsid w:val="00A322DC"/>
    <w:rsid w:val="00A322F5"/>
    <w:rsid w:val="00A32331"/>
    <w:rsid w:val="00A32807"/>
    <w:rsid w:val="00A3289D"/>
    <w:rsid w:val="00A3298C"/>
    <w:rsid w:val="00A32995"/>
    <w:rsid w:val="00A32A2A"/>
    <w:rsid w:val="00A32A4F"/>
    <w:rsid w:val="00A32FDA"/>
    <w:rsid w:val="00A33075"/>
    <w:rsid w:val="00A33121"/>
    <w:rsid w:val="00A33302"/>
    <w:rsid w:val="00A335FC"/>
    <w:rsid w:val="00A3365C"/>
    <w:rsid w:val="00A33B75"/>
    <w:rsid w:val="00A33E6F"/>
    <w:rsid w:val="00A33E85"/>
    <w:rsid w:val="00A3431E"/>
    <w:rsid w:val="00A345E5"/>
    <w:rsid w:val="00A34999"/>
    <w:rsid w:val="00A34EB7"/>
    <w:rsid w:val="00A34F4A"/>
    <w:rsid w:val="00A34FA0"/>
    <w:rsid w:val="00A350C4"/>
    <w:rsid w:val="00A35114"/>
    <w:rsid w:val="00A353FE"/>
    <w:rsid w:val="00A35555"/>
    <w:rsid w:val="00A355F3"/>
    <w:rsid w:val="00A357E0"/>
    <w:rsid w:val="00A35A27"/>
    <w:rsid w:val="00A35F1F"/>
    <w:rsid w:val="00A361A1"/>
    <w:rsid w:val="00A36280"/>
    <w:rsid w:val="00A36606"/>
    <w:rsid w:val="00A36623"/>
    <w:rsid w:val="00A36783"/>
    <w:rsid w:val="00A369FE"/>
    <w:rsid w:val="00A36D39"/>
    <w:rsid w:val="00A3701B"/>
    <w:rsid w:val="00A3734C"/>
    <w:rsid w:val="00A373F0"/>
    <w:rsid w:val="00A37422"/>
    <w:rsid w:val="00A37CC7"/>
    <w:rsid w:val="00A37FC2"/>
    <w:rsid w:val="00A4087F"/>
    <w:rsid w:val="00A409D8"/>
    <w:rsid w:val="00A40BA1"/>
    <w:rsid w:val="00A40EBC"/>
    <w:rsid w:val="00A410B2"/>
    <w:rsid w:val="00A4130C"/>
    <w:rsid w:val="00A41746"/>
    <w:rsid w:val="00A41AD3"/>
    <w:rsid w:val="00A41B43"/>
    <w:rsid w:val="00A41FD5"/>
    <w:rsid w:val="00A426B5"/>
    <w:rsid w:val="00A42960"/>
    <w:rsid w:val="00A42D2A"/>
    <w:rsid w:val="00A43C55"/>
    <w:rsid w:val="00A44245"/>
    <w:rsid w:val="00A442FD"/>
    <w:rsid w:val="00A44324"/>
    <w:rsid w:val="00A443C1"/>
    <w:rsid w:val="00A444AC"/>
    <w:rsid w:val="00A445CA"/>
    <w:rsid w:val="00A4465D"/>
    <w:rsid w:val="00A44702"/>
    <w:rsid w:val="00A44AE4"/>
    <w:rsid w:val="00A45216"/>
    <w:rsid w:val="00A4524F"/>
    <w:rsid w:val="00A45602"/>
    <w:rsid w:val="00A456D7"/>
    <w:rsid w:val="00A4599C"/>
    <w:rsid w:val="00A45A9A"/>
    <w:rsid w:val="00A45BFD"/>
    <w:rsid w:val="00A45CA6"/>
    <w:rsid w:val="00A45EB8"/>
    <w:rsid w:val="00A45F19"/>
    <w:rsid w:val="00A45FEA"/>
    <w:rsid w:val="00A46695"/>
    <w:rsid w:val="00A468D1"/>
    <w:rsid w:val="00A46975"/>
    <w:rsid w:val="00A46D71"/>
    <w:rsid w:val="00A46E72"/>
    <w:rsid w:val="00A470B2"/>
    <w:rsid w:val="00A47141"/>
    <w:rsid w:val="00A472A8"/>
    <w:rsid w:val="00A473A4"/>
    <w:rsid w:val="00A47D70"/>
    <w:rsid w:val="00A47DAF"/>
    <w:rsid w:val="00A47E77"/>
    <w:rsid w:val="00A50030"/>
    <w:rsid w:val="00A50515"/>
    <w:rsid w:val="00A5058B"/>
    <w:rsid w:val="00A509DB"/>
    <w:rsid w:val="00A50B05"/>
    <w:rsid w:val="00A50CAE"/>
    <w:rsid w:val="00A513C4"/>
    <w:rsid w:val="00A51580"/>
    <w:rsid w:val="00A515F7"/>
    <w:rsid w:val="00A51944"/>
    <w:rsid w:val="00A51DBA"/>
    <w:rsid w:val="00A51ED1"/>
    <w:rsid w:val="00A51F72"/>
    <w:rsid w:val="00A520E2"/>
    <w:rsid w:val="00A52144"/>
    <w:rsid w:val="00A5231C"/>
    <w:rsid w:val="00A5238A"/>
    <w:rsid w:val="00A524D2"/>
    <w:rsid w:val="00A526BA"/>
    <w:rsid w:val="00A5281C"/>
    <w:rsid w:val="00A52B52"/>
    <w:rsid w:val="00A52E23"/>
    <w:rsid w:val="00A5344D"/>
    <w:rsid w:val="00A5370A"/>
    <w:rsid w:val="00A53817"/>
    <w:rsid w:val="00A539A0"/>
    <w:rsid w:val="00A53C59"/>
    <w:rsid w:val="00A53C79"/>
    <w:rsid w:val="00A53D90"/>
    <w:rsid w:val="00A53DB9"/>
    <w:rsid w:val="00A5414D"/>
    <w:rsid w:val="00A54266"/>
    <w:rsid w:val="00A54470"/>
    <w:rsid w:val="00A5450E"/>
    <w:rsid w:val="00A546C9"/>
    <w:rsid w:val="00A5485D"/>
    <w:rsid w:val="00A54866"/>
    <w:rsid w:val="00A548AC"/>
    <w:rsid w:val="00A54D6F"/>
    <w:rsid w:val="00A54DB4"/>
    <w:rsid w:val="00A54EBB"/>
    <w:rsid w:val="00A55051"/>
    <w:rsid w:val="00A5535F"/>
    <w:rsid w:val="00A55BAB"/>
    <w:rsid w:val="00A55CB3"/>
    <w:rsid w:val="00A55E0C"/>
    <w:rsid w:val="00A55E25"/>
    <w:rsid w:val="00A560C3"/>
    <w:rsid w:val="00A56875"/>
    <w:rsid w:val="00A56999"/>
    <w:rsid w:val="00A56BF7"/>
    <w:rsid w:val="00A56D5D"/>
    <w:rsid w:val="00A578CA"/>
    <w:rsid w:val="00A57A5F"/>
    <w:rsid w:val="00A57D28"/>
    <w:rsid w:val="00A57D74"/>
    <w:rsid w:val="00A60056"/>
    <w:rsid w:val="00A60397"/>
    <w:rsid w:val="00A60A5A"/>
    <w:rsid w:val="00A60A90"/>
    <w:rsid w:val="00A60ACF"/>
    <w:rsid w:val="00A60E06"/>
    <w:rsid w:val="00A6150A"/>
    <w:rsid w:val="00A61B1D"/>
    <w:rsid w:val="00A61C43"/>
    <w:rsid w:val="00A61CF4"/>
    <w:rsid w:val="00A6267B"/>
    <w:rsid w:val="00A6284D"/>
    <w:rsid w:val="00A62DC8"/>
    <w:rsid w:val="00A6329F"/>
    <w:rsid w:val="00A63483"/>
    <w:rsid w:val="00A63538"/>
    <w:rsid w:val="00A63A18"/>
    <w:rsid w:val="00A63F66"/>
    <w:rsid w:val="00A642A7"/>
    <w:rsid w:val="00A6439E"/>
    <w:rsid w:val="00A644F3"/>
    <w:rsid w:val="00A645AB"/>
    <w:rsid w:val="00A64932"/>
    <w:rsid w:val="00A64D2D"/>
    <w:rsid w:val="00A64E12"/>
    <w:rsid w:val="00A65046"/>
    <w:rsid w:val="00A6556A"/>
    <w:rsid w:val="00A658E5"/>
    <w:rsid w:val="00A66158"/>
    <w:rsid w:val="00A66594"/>
    <w:rsid w:val="00A66813"/>
    <w:rsid w:val="00A66A87"/>
    <w:rsid w:val="00A66D8E"/>
    <w:rsid w:val="00A67044"/>
    <w:rsid w:val="00A67152"/>
    <w:rsid w:val="00A671CD"/>
    <w:rsid w:val="00A6726E"/>
    <w:rsid w:val="00A6779F"/>
    <w:rsid w:val="00A677BC"/>
    <w:rsid w:val="00A67879"/>
    <w:rsid w:val="00A67A9A"/>
    <w:rsid w:val="00A67AB1"/>
    <w:rsid w:val="00A67E1B"/>
    <w:rsid w:val="00A67F3C"/>
    <w:rsid w:val="00A7008D"/>
    <w:rsid w:val="00A701BC"/>
    <w:rsid w:val="00A704FD"/>
    <w:rsid w:val="00A70E62"/>
    <w:rsid w:val="00A711AB"/>
    <w:rsid w:val="00A715AB"/>
    <w:rsid w:val="00A7170A"/>
    <w:rsid w:val="00A71754"/>
    <w:rsid w:val="00A721C8"/>
    <w:rsid w:val="00A722F2"/>
    <w:rsid w:val="00A7272F"/>
    <w:rsid w:val="00A72F75"/>
    <w:rsid w:val="00A72FB9"/>
    <w:rsid w:val="00A73078"/>
    <w:rsid w:val="00A73266"/>
    <w:rsid w:val="00A732B9"/>
    <w:rsid w:val="00A73868"/>
    <w:rsid w:val="00A73A6B"/>
    <w:rsid w:val="00A73C84"/>
    <w:rsid w:val="00A73CD6"/>
    <w:rsid w:val="00A73D0E"/>
    <w:rsid w:val="00A7411A"/>
    <w:rsid w:val="00A743C5"/>
    <w:rsid w:val="00A7484E"/>
    <w:rsid w:val="00A74E0E"/>
    <w:rsid w:val="00A750FC"/>
    <w:rsid w:val="00A7513F"/>
    <w:rsid w:val="00A75163"/>
    <w:rsid w:val="00A75251"/>
    <w:rsid w:val="00A75572"/>
    <w:rsid w:val="00A75A23"/>
    <w:rsid w:val="00A75AEA"/>
    <w:rsid w:val="00A75B17"/>
    <w:rsid w:val="00A75B3A"/>
    <w:rsid w:val="00A75CA3"/>
    <w:rsid w:val="00A75CB5"/>
    <w:rsid w:val="00A75EC0"/>
    <w:rsid w:val="00A75F02"/>
    <w:rsid w:val="00A7634A"/>
    <w:rsid w:val="00A76429"/>
    <w:rsid w:val="00A76492"/>
    <w:rsid w:val="00A76943"/>
    <w:rsid w:val="00A76973"/>
    <w:rsid w:val="00A76A0D"/>
    <w:rsid w:val="00A76AB5"/>
    <w:rsid w:val="00A77109"/>
    <w:rsid w:val="00A77468"/>
    <w:rsid w:val="00A77506"/>
    <w:rsid w:val="00A776B4"/>
    <w:rsid w:val="00A77706"/>
    <w:rsid w:val="00A7791E"/>
    <w:rsid w:val="00A77A5F"/>
    <w:rsid w:val="00A77A91"/>
    <w:rsid w:val="00A77BCC"/>
    <w:rsid w:val="00A77D20"/>
    <w:rsid w:val="00A8003D"/>
    <w:rsid w:val="00A80040"/>
    <w:rsid w:val="00A809FA"/>
    <w:rsid w:val="00A80E81"/>
    <w:rsid w:val="00A80ECE"/>
    <w:rsid w:val="00A811D3"/>
    <w:rsid w:val="00A81418"/>
    <w:rsid w:val="00A81496"/>
    <w:rsid w:val="00A814AE"/>
    <w:rsid w:val="00A814B4"/>
    <w:rsid w:val="00A816E5"/>
    <w:rsid w:val="00A8177D"/>
    <w:rsid w:val="00A81915"/>
    <w:rsid w:val="00A81AAB"/>
    <w:rsid w:val="00A81D10"/>
    <w:rsid w:val="00A82060"/>
    <w:rsid w:val="00A821BC"/>
    <w:rsid w:val="00A8224B"/>
    <w:rsid w:val="00A82405"/>
    <w:rsid w:val="00A8246E"/>
    <w:rsid w:val="00A825B8"/>
    <w:rsid w:val="00A82843"/>
    <w:rsid w:val="00A82A88"/>
    <w:rsid w:val="00A82B25"/>
    <w:rsid w:val="00A82BD9"/>
    <w:rsid w:val="00A82BF3"/>
    <w:rsid w:val="00A82C48"/>
    <w:rsid w:val="00A83A25"/>
    <w:rsid w:val="00A83A71"/>
    <w:rsid w:val="00A83B92"/>
    <w:rsid w:val="00A83C73"/>
    <w:rsid w:val="00A83F32"/>
    <w:rsid w:val="00A83FA6"/>
    <w:rsid w:val="00A83FEB"/>
    <w:rsid w:val="00A840B4"/>
    <w:rsid w:val="00A840E1"/>
    <w:rsid w:val="00A8416E"/>
    <w:rsid w:val="00A84566"/>
    <w:rsid w:val="00A8463A"/>
    <w:rsid w:val="00A846DD"/>
    <w:rsid w:val="00A8492F"/>
    <w:rsid w:val="00A84C23"/>
    <w:rsid w:val="00A850CE"/>
    <w:rsid w:val="00A85628"/>
    <w:rsid w:val="00A858BD"/>
    <w:rsid w:val="00A85985"/>
    <w:rsid w:val="00A859E8"/>
    <w:rsid w:val="00A85B0E"/>
    <w:rsid w:val="00A85B56"/>
    <w:rsid w:val="00A85DE2"/>
    <w:rsid w:val="00A86180"/>
    <w:rsid w:val="00A868A9"/>
    <w:rsid w:val="00A86A7C"/>
    <w:rsid w:val="00A86AB5"/>
    <w:rsid w:val="00A86E8B"/>
    <w:rsid w:val="00A8712A"/>
    <w:rsid w:val="00A871D1"/>
    <w:rsid w:val="00A87436"/>
    <w:rsid w:val="00A874C7"/>
    <w:rsid w:val="00A87503"/>
    <w:rsid w:val="00A8764E"/>
    <w:rsid w:val="00A8774B"/>
    <w:rsid w:val="00A878A9"/>
    <w:rsid w:val="00A87C2C"/>
    <w:rsid w:val="00A87DD2"/>
    <w:rsid w:val="00A87E00"/>
    <w:rsid w:val="00A87EE3"/>
    <w:rsid w:val="00A900C6"/>
    <w:rsid w:val="00A902E1"/>
    <w:rsid w:val="00A903D0"/>
    <w:rsid w:val="00A90413"/>
    <w:rsid w:val="00A90575"/>
    <w:rsid w:val="00A90682"/>
    <w:rsid w:val="00A907C0"/>
    <w:rsid w:val="00A90830"/>
    <w:rsid w:val="00A908D0"/>
    <w:rsid w:val="00A90A35"/>
    <w:rsid w:val="00A90BAE"/>
    <w:rsid w:val="00A9141E"/>
    <w:rsid w:val="00A9179C"/>
    <w:rsid w:val="00A917CD"/>
    <w:rsid w:val="00A917D6"/>
    <w:rsid w:val="00A91A1F"/>
    <w:rsid w:val="00A91BAC"/>
    <w:rsid w:val="00A91EC5"/>
    <w:rsid w:val="00A91F39"/>
    <w:rsid w:val="00A91F7E"/>
    <w:rsid w:val="00A91FE3"/>
    <w:rsid w:val="00A92B81"/>
    <w:rsid w:val="00A92EE9"/>
    <w:rsid w:val="00A93240"/>
    <w:rsid w:val="00A9369B"/>
    <w:rsid w:val="00A936CA"/>
    <w:rsid w:val="00A9398D"/>
    <w:rsid w:val="00A93BC5"/>
    <w:rsid w:val="00A93D93"/>
    <w:rsid w:val="00A93F32"/>
    <w:rsid w:val="00A94098"/>
    <w:rsid w:val="00A941D2"/>
    <w:rsid w:val="00A94301"/>
    <w:rsid w:val="00A94724"/>
    <w:rsid w:val="00A947CA"/>
    <w:rsid w:val="00A94D7E"/>
    <w:rsid w:val="00A9500B"/>
    <w:rsid w:val="00A95166"/>
    <w:rsid w:val="00A957F0"/>
    <w:rsid w:val="00A959E4"/>
    <w:rsid w:val="00A95C94"/>
    <w:rsid w:val="00A95EFD"/>
    <w:rsid w:val="00A96048"/>
    <w:rsid w:val="00A96183"/>
    <w:rsid w:val="00A962ED"/>
    <w:rsid w:val="00A9652E"/>
    <w:rsid w:val="00A96755"/>
    <w:rsid w:val="00A968EC"/>
    <w:rsid w:val="00A96B96"/>
    <w:rsid w:val="00A96F2C"/>
    <w:rsid w:val="00A97065"/>
    <w:rsid w:val="00A9713A"/>
    <w:rsid w:val="00A97230"/>
    <w:rsid w:val="00A97339"/>
    <w:rsid w:val="00A97391"/>
    <w:rsid w:val="00A974D1"/>
    <w:rsid w:val="00A97636"/>
    <w:rsid w:val="00A978AF"/>
    <w:rsid w:val="00A97CB2"/>
    <w:rsid w:val="00A97E58"/>
    <w:rsid w:val="00AA0062"/>
    <w:rsid w:val="00AA00CF"/>
    <w:rsid w:val="00AA046A"/>
    <w:rsid w:val="00AA0970"/>
    <w:rsid w:val="00AA0A5F"/>
    <w:rsid w:val="00AA0A8B"/>
    <w:rsid w:val="00AA0B98"/>
    <w:rsid w:val="00AA106C"/>
    <w:rsid w:val="00AA13DB"/>
    <w:rsid w:val="00AA1470"/>
    <w:rsid w:val="00AA154B"/>
    <w:rsid w:val="00AA15A6"/>
    <w:rsid w:val="00AA16A2"/>
    <w:rsid w:val="00AA1E57"/>
    <w:rsid w:val="00AA1FE5"/>
    <w:rsid w:val="00AA1FFD"/>
    <w:rsid w:val="00AA2052"/>
    <w:rsid w:val="00AA2172"/>
    <w:rsid w:val="00AA2631"/>
    <w:rsid w:val="00AA2646"/>
    <w:rsid w:val="00AA2750"/>
    <w:rsid w:val="00AA2F53"/>
    <w:rsid w:val="00AA30E9"/>
    <w:rsid w:val="00AA3704"/>
    <w:rsid w:val="00AA380F"/>
    <w:rsid w:val="00AA3B5A"/>
    <w:rsid w:val="00AA4120"/>
    <w:rsid w:val="00AA414A"/>
    <w:rsid w:val="00AA4599"/>
    <w:rsid w:val="00AA4DD5"/>
    <w:rsid w:val="00AA542F"/>
    <w:rsid w:val="00AA5551"/>
    <w:rsid w:val="00AA578D"/>
    <w:rsid w:val="00AA57D7"/>
    <w:rsid w:val="00AA57F1"/>
    <w:rsid w:val="00AA5959"/>
    <w:rsid w:val="00AA5E92"/>
    <w:rsid w:val="00AA619D"/>
    <w:rsid w:val="00AA6607"/>
    <w:rsid w:val="00AA6675"/>
    <w:rsid w:val="00AA6689"/>
    <w:rsid w:val="00AA6BEF"/>
    <w:rsid w:val="00AA6FC0"/>
    <w:rsid w:val="00AA73B1"/>
    <w:rsid w:val="00AA748C"/>
    <w:rsid w:val="00AA749D"/>
    <w:rsid w:val="00AA79BA"/>
    <w:rsid w:val="00AA7A6F"/>
    <w:rsid w:val="00AA7C24"/>
    <w:rsid w:val="00AA7D6B"/>
    <w:rsid w:val="00AA7E30"/>
    <w:rsid w:val="00AA7F24"/>
    <w:rsid w:val="00AA7FD4"/>
    <w:rsid w:val="00AB008A"/>
    <w:rsid w:val="00AB03FE"/>
    <w:rsid w:val="00AB0968"/>
    <w:rsid w:val="00AB0988"/>
    <w:rsid w:val="00AB0C60"/>
    <w:rsid w:val="00AB0D1A"/>
    <w:rsid w:val="00AB0FA3"/>
    <w:rsid w:val="00AB1304"/>
    <w:rsid w:val="00AB1645"/>
    <w:rsid w:val="00AB175D"/>
    <w:rsid w:val="00AB1D70"/>
    <w:rsid w:val="00AB1D85"/>
    <w:rsid w:val="00AB1E8D"/>
    <w:rsid w:val="00AB2421"/>
    <w:rsid w:val="00AB2476"/>
    <w:rsid w:val="00AB2667"/>
    <w:rsid w:val="00AB2A46"/>
    <w:rsid w:val="00AB2B6D"/>
    <w:rsid w:val="00AB2CFD"/>
    <w:rsid w:val="00AB2DE2"/>
    <w:rsid w:val="00AB2EDC"/>
    <w:rsid w:val="00AB301D"/>
    <w:rsid w:val="00AB342D"/>
    <w:rsid w:val="00AB344E"/>
    <w:rsid w:val="00AB35C1"/>
    <w:rsid w:val="00AB3660"/>
    <w:rsid w:val="00AB36FE"/>
    <w:rsid w:val="00AB3700"/>
    <w:rsid w:val="00AB37B5"/>
    <w:rsid w:val="00AB38DD"/>
    <w:rsid w:val="00AB3A72"/>
    <w:rsid w:val="00AB3A8F"/>
    <w:rsid w:val="00AB3ACC"/>
    <w:rsid w:val="00AB3E3C"/>
    <w:rsid w:val="00AB3F6E"/>
    <w:rsid w:val="00AB42BC"/>
    <w:rsid w:val="00AB4546"/>
    <w:rsid w:val="00AB4B0B"/>
    <w:rsid w:val="00AB4C78"/>
    <w:rsid w:val="00AB4EB9"/>
    <w:rsid w:val="00AB508D"/>
    <w:rsid w:val="00AB5349"/>
    <w:rsid w:val="00AB53F2"/>
    <w:rsid w:val="00AB5520"/>
    <w:rsid w:val="00AB563E"/>
    <w:rsid w:val="00AB56A7"/>
    <w:rsid w:val="00AB5C0F"/>
    <w:rsid w:val="00AB69C9"/>
    <w:rsid w:val="00AB6AA2"/>
    <w:rsid w:val="00AB6C11"/>
    <w:rsid w:val="00AB6E55"/>
    <w:rsid w:val="00AB6F66"/>
    <w:rsid w:val="00AB6FA2"/>
    <w:rsid w:val="00AB7120"/>
    <w:rsid w:val="00AB7779"/>
    <w:rsid w:val="00AB77C7"/>
    <w:rsid w:val="00AB7851"/>
    <w:rsid w:val="00AB78BE"/>
    <w:rsid w:val="00AB7B6C"/>
    <w:rsid w:val="00AB7C3C"/>
    <w:rsid w:val="00AB7E62"/>
    <w:rsid w:val="00AC0009"/>
    <w:rsid w:val="00AC04B4"/>
    <w:rsid w:val="00AC05CB"/>
    <w:rsid w:val="00AC0939"/>
    <w:rsid w:val="00AC0E8B"/>
    <w:rsid w:val="00AC0ECB"/>
    <w:rsid w:val="00AC0F46"/>
    <w:rsid w:val="00AC1010"/>
    <w:rsid w:val="00AC1374"/>
    <w:rsid w:val="00AC13BC"/>
    <w:rsid w:val="00AC1676"/>
    <w:rsid w:val="00AC16A6"/>
    <w:rsid w:val="00AC16CE"/>
    <w:rsid w:val="00AC1721"/>
    <w:rsid w:val="00AC19E2"/>
    <w:rsid w:val="00AC1B3B"/>
    <w:rsid w:val="00AC2022"/>
    <w:rsid w:val="00AC2513"/>
    <w:rsid w:val="00AC2527"/>
    <w:rsid w:val="00AC2711"/>
    <w:rsid w:val="00AC2D8D"/>
    <w:rsid w:val="00AC2E2A"/>
    <w:rsid w:val="00AC3114"/>
    <w:rsid w:val="00AC33E0"/>
    <w:rsid w:val="00AC36E9"/>
    <w:rsid w:val="00AC370B"/>
    <w:rsid w:val="00AC37AA"/>
    <w:rsid w:val="00AC37BA"/>
    <w:rsid w:val="00AC3A5F"/>
    <w:rsid w:val="00AC41D3"/>
    <w:rsid w:val="00AC41E7"/>
    <w:rsid w:val="00AC48E7"/>
    <w:rsid w:val="00AC4AD7"/>
    <w:rsid w:val="00AC4B34"/>
    <w:rsid w:val="00AC4DC6"/>
    <w:rsid w:val="00AC500C"/>
    <w:rsid w:val="00AC50BD"/>
    <w:rsid w:val="00AC5320"/>
    <w:rsid w:val="00AC543B"/>
    <w:rsid w:val="00AC5711"/>
    <w:rsid w:val="00AC5AF1"/>
    <w:rsid w:val="00AC5B90"/>
    <w:rsid w:val="00AC5F6E"/>
    <w:rsid w:val="00AC63A4"/>
    <w:rsid w:val="00AC64DB"/>
    <w:rsid w:val="00AC656B"/>
    <w:rsid w:val="00AC6673"/>
    <w:rsid w:val="00AC6972"/>
    <w:rsid w:val="00AC6B82"/>
    <w:rsid w:val="00AC6D9D"/>
    <w:rsid w:val="00AC730B"/>
    <w:rsid w:val="00AC73DF"/>
    <w:rsid w:val="00AC74F6"/>
    <w:rsid w:val="00AC7523"/>
    <w:rsid w:val="00AC77BC"/>
    <w:rsid w:val="00AC78FA"/>
    <w:rsid w:val="00AC7A81"/>
    <w:rsid w:val="00AC7BE1"/>
    <w:rsid w:val="00AD0077"/>
    <w:rsid w:val="00AD009E"/>
    <w:rsid w:val="00AD0783"/>
    <w:rsid w:val="00AD0A8B"/>
    <w:rsid w:val="00AD0D71"/>
    <w:rsid w:val="00AD0D9D"/>
    <w:rsid w:val="00AD0ED8"/>
    <w:rsid w:val="00AD10D6"/>
    <w:rsid w:val="00AD1747"/>
    <w:rsid w:val="00AD1981"/>
    <w:rsid w:val="00AD1AE0"/>
    <w:rsid w:val="00AD1C3F"/>
    <w:rsid w:val="00AD21AC"/>
    <w:rsid w:val="00AD2541"/>
    <w:rsid w:val="00AD28B9"/>
    <w:rsid w:val="00AD29CB"/>
    <w:rsid w:val="00AD2BA0"/>
    <w:rsid w:val="00AD30F2"/>
    <w:rsid w:val="00AD322E"/>
    <w:rsid w:val="00AD3379"/>
    <w:rsid w:val="00AD3C9F"/>
    <w:rsid w:val="00AD3E99"/>
    <w:rsid w:val="00AD3FE1"/>
    <w:rsid w:val="00AD417C"/>
    <w:rsid w:val="00AD45A1"/>
    <w:rsid w:val="00AD50E2"/>
    <w:rsid w:val="00AD5390"/>
    <w:rsid w:val="00AD5B46"/>
    <w:rsid w:val="00AD64B6"/>
    <w:rsid w:val="00AD64D2"/>
    <w:rsid w:val="00AD64DB"/>
    <w:rsid w:val="00AD652B"/>
    <w:rsid w:val="00AD66A7"/>
    <w:rsid w:val="00AD66D3"/>
    <w:rsid w:val="00AD6C34"/>
    <w:rsid w:val="00AD6ED0"/>
    <w:rsid w:val="00AD6F64"/>
    <w:rsid w:val="00AD6FDB"/>
    <w:rsid w:val="00AD70E4"/>
    <w:rsid w:val="00AD78A0"/>
    <w:rsid w:val="00AE0140"/>
    <w:rsid w:val="00AE04E9"/>
    <w:rsid w:val="00AE0C2D"/>
    <w:rsid w:val="00AE114D"/>
    <w:rsid w:val="00AE1157"/>
    <w:rsid w:val="00AE1240"/>
    <w:rsid w:val="00AE157A"/>
    <w:rsid w:val="00AE17A3"/>
    <w:rsid w:val="00AE18D1"/>
    <w:rsid w:val="00AE1B95"/>
    <w:rsid w:val="00AE1C33"/>
    <w:rsid w:val="00AE1CA0"/>
    <w:rsid w:val="00AE203B"/>
    <w:rsid w:val="00AE2221"/>
    <w:rsid w:val="00AE25CB"/>
    <w:rsid w:val="00AE2977"/>
    <w:rsid w:val="00AE297E"/>
    <w:rsid w:val="00AE2982"/>
    <w:rsid w:val="00AE29C7"/>
    <w:rsid w:val="00AE2CC0"/>
    <w:rsid w:val="00AE2CD6"/>
    <w:rsid w:val="00AE336E"/>
    <w:rsid w:val="00AE376C"/>
    <w:rsid w:val="00AE3C91"/>
    <w:rsid w:val="00AE471F"/>
    <w:rsid w:val="00AE48DA"/>
    <w:rsid w:val="00AE49DE"/>
    <w:rsid w:val="00AE4A20"/>
    <w:rsid w:val="00AE4AFE"/>
    <w:rsid w:val="00AE4B35"/>
    <w:rsid w:val="00AE4E5C"/>
    <w:rsid w:val="00AE5684"/>
    <w:rsid w:val="00AE5726"/>
    <w:rsid w:val="00AE57D9"/>
    <w:rsid w:val="00AE5D38"/>
    <w:rsid w:val="00AE5D5A"/>
    <w:rsid w:val="00AE64D2"/>
    <w:rsid w:val="00AE6A8C"/>
    <w:rsid w:val="00AE6B05"/>
    <w:rsid w:val="00AE728C"/>
    <w:rsid w:val="00AE731F"/>
    <w:rsid w:val="00AE7498"/>
    <w:rsid w:val="00AE7555"/>
    <w:rsid w:val="00AE768E"/>
    <w:rsid w:val="00AE788D"/>
    <w:rsid w:val="00AE7961"/>
    <w:rsid w:val="00AE79D3"/>
    <w:rsid w:val="00AE7B90"/>
    <w:rsid w:val="00AE7BE0"/>
    <w:rsid w:val="00AE7C00"/>
    <w:rsid w:val="00AE7D4B"/>
    <w:rsid w:val="00AE7E98"/>
    <w:rsid w:val="00AF0083"/>
    <w:rsid w:val="00AF0129"/>
    <w:rsid w:val="00AF0252"/>
    <w:rsid w:val="00AF068F"/>
    <w:rsid w:val="00AF0696"/>
    <w:rsid w:val="00AF097D"/>
    <w:rsid w:val="00AF0B17"/>
    <w:rsid w:val="00AF0D7B"/>
    <w:rsid w:val="00AF0D8E"/>
    <w:rsid w:val="00AF0DC8"/>
    <w:rsid w:val="00AF11B5"/>
    <w:rsid w:val="00AF1256"/>
    <w:rsid w:val="00AF1357"/>
    <w:rsid w:val="00AF1F09"/>
    <w:rsid w:val="00AF1FAA"/>
    <w:rsid w:val="00AF20EC"/>
    <w:rsid w:val="00AF248E"/>
    <w:rsid w:val="00AF24F2"/>
    <w:rsid w:val="00AF29B9"/>
    <w:rsid w:val="00AF29E9"/>
    <w:rsid w:val="00AF2A5E"/>
    <w:rsid w:val="00AF2B2D"/>
    <w:rsid w:val="00AF2D1A"/>
    <w:rsid w:val="00AF3151"/>
    <w:rsid w:val="00AF32C6"/>
    <w:rsid w:val="00AF3522"/>
    <w:rsid w:val="00AF3AC9"/>
    <w:rsid w:val="00AF3C38"/>
    <w:rsid w:val="00AF3DF5"/>
    <w:rsid w:val="00AF3F1C"/>
    <w:rsid w:val="00AF3FBD"/>
    <w:rsid w:val="00AF454A"/>
    <w:rsid w:val="00AF493E"/>
    <w:rsid w:val="00AF4A4D"/>
    <w:rsid w:val="00AF4AEA"/>
    <w:rsid w:val="00AF4CED"/>
    <w:rsid w:val="00AF4FE5"/>
    <w:rsid w:val="00AF50D5"/>
    <w:rsid w:val="00AF5317"/>
    <w:rsid w:val="00AF55A2"/>
    <w:rsid w:val="00AF55B3"/>
    <w:rsid w:val="00AF55F7"/>
    <w:rsid w:val="00AF58A1"/>
    <w:rsid w:val="00AF631A"/>
    <w:rsid w:val="00AF68B6"/>
    <w:rsid w:val="00AF69ED"/>
    <w:rsid w:val="00AF6A1D"/>
    <w:rsid w:val="00AF6B9A"/>
    <w:rsid w:val="00AF6CB0"/>
    <w:rsid w:val="00AF7107"/>
    <w:rsid w:val="00AF730D"/>
    <w:rsid w:val="00AF732B"/>
    <w:rsid w:val="00AF73A5"/>
    <w:rsid w:val="00AF7742"/>
    <w:rsid w:val="00B0028D"/>
    <w:rsid w:val="00B0047B"/>
    <w:rsid w:val="00B00785"/>
    <w:rsid w:val="00B00EE5"/>
    <w:rsid w:val="00B01754"/>
    <w:rsid w:val="00B01F46"/>
    <w:rsid w:val="00B02012"/>
    <w:rsid w:val="00B02210"/>
    <w:rsid w:val="00B022F3"/>
    <w:rsid w:val="00B029B6"/>
    <w:rsid w:val="00B02A8C"/>
    <w:rsid w:val="00B02ACF"/>
    <w:rsid w:val="00B0302D"/>
    <w:rsid w:val="00B0307C"/>
    <w:rsid w:val="00B031F7"/>
    <w:rsid w:val="00B03417"/>
    <w:rsid w:val="00B03666"/>
    <w:rsid w:val="00B03A71"/>
    <w:rsid w:val="00B03C15"/>
    <w:rsid w:val="00B03D6A"/>
    <w:rsid w:val="00B03E75"/>
    <w:rsid w:val="00B03F28"/>
    <w:rsid w:val="00B040FD"/>
    <w:rsid w:val="00B04370"/>
    <w:rsid w:val="00B044EF"/>
    <w:rsid w:val="00B0462D"/>
    <w:rsid w:val="00B047B2"/>
    <w:rsid w:val="00B04A5C"/>
    <w:rsid w:val="00B04B3B"/>
    <w:rsid w:val="00B05115"/>
    <w:rsid w:val="00B05381"/>
    <w:rsid w:val="00B05658"/>
    <w:rsid w:val="00B057A4"/>
    <w:rsid w:val="00B058CD"/>
    <w:rsid w:val="00B05A57"/>
    <w:rsid w:val="00B0602D"/>
    <w:rsid w:val="00B063A8"/>
    <w:rsid w:val="00B0645D"/>
    <w:rsid w:val="00B0647A"/>
    <w:rsid w:val="00B064F7"/>
    <w:rsid w:val="00B06830"/>
    <w:rsid w:val="00B06F19"/>
    <w:rsid w:val="00B06FAA"/>
    <w:rsid w:val="00B07076"/>
    <w:rsid w:val="00B073FC"/>
    <w:rsid w:val="00B07451"/>
    <w:rsid w:val="00B074C6"/>
    <w:rsid w:val="00B07822"/>
    <w:rsid w:val="00B07A7A"/>
    <w:rsid w:val="00B07ADC"/>
    <w:rsid w:val="00B07D7D"/>
    <w:rsid w:val="00B07E13"/>
    <w:rsid w:val="00B07E7B"/>
    <w:rsid w:val="00B07EDA"/>
    <w:rsid w:val="00B1003C"/>
    <w:rsid w:val="00B10126"/>
    <w:rsid w:val="00B10982"/>
    <w:rsid w:val="00B10E43"/>
    <w:rsid w:val="00B11205"/>
    <w:rsid w:val="00B1121D"/>
    <w:rsid w:val="00B11239"/>
    <w:rsid w:val="00B113D1"/>
    <w:rsid w:val="00B113D8"/>
    <w:rsid w:val="00B11452"/>
    <w:rsid w:val="00B114AD"/>
    <w:rsid w:val="00B11A40"/>
    <w:rsid w:val="00B11B10"/>
    <w:rsid w:val="00B11DC7"/>
    <w:rsid w:val="00B11F60"/>
    <w:rsid w:val="00B122FF"/>
    <w:rsid w:val="00B12807"/>
    <w:rsid w:val="00B12A59"/>
    <w:rsid w:val="00B12A82"/>
    <w:rsid w:val="00B12AE8"/>
    <w:rsid w:val="00B12B40"/>
    <w:rsid w:val="00B12B5B"/>
    <w:rsid w:val="00B12FEC"/>
    <w:rsid w:val="00B131F5"/>
    <w:rsid w:val="00B13587"/>
    <w:rsid w:val="00B13667"/>
    <w:rsid w:val="00B13700"/>
    <w:rsid w:val="00B13D67"/>
    <w:rsid w:val="00B13F00"/>
    <w:rsid w:val="00B14018"/>
    <w:rsid w:val="00B140A5"/>
    <w:rsid w:val="00B14584"/>
    <w:rsid w:val="00B1489F"/>
    <w:rsid w:val="00B1491E"/>
    <w:rsid w:val="00B1588E"/>
    <w:rsid w:val="00B15C44"/>
    <w:rsid w:val="00B1605B"/>
    <w:rsid w:val="00B160DA"/>
    <w:rsid w:val="00B16144"/>
    <w:rsid w:val="00B161BE"/>
    <w:rsid w:val="00B165B1"/>
    <w:rsid w:val="00B1661B"/>
    <w:rsid w:val="00B166AA"/>
    <w:rsid w:val="00B166AC"/>
    <w:rsid w:val="00B1673D"/>
    <w:rsid w:val="00B167F3"/>
    <w:rsid w:val="00B168D5"/>
    <w:rsid w:val="00B16924"/>
    <w:rsid w:val="00B16A63"/>
    <w:rsid w:val="00B17226"/>
    <w:rsid w:val="00B17291"/>
    <w:rsid w:val="00B17521"/>
    <w:rsid w:val="00B176F0"/>
    <w:rsid w:val="00B176FF"/>
    <w:rsid w:val="00B17702"/>
    <w:rsid w:val="00B178C5"/>
    <w:rsid w:val="00B17C73"/>
    <w:rsid w:val="00B17CD7"/>
    <w:rsid w:val="00B17D4C"/>
    <w:rsid w:val="00B17F52"/>
    <w:rsid w:val="00B200E6"/>
    <w:rsid w:val="00B203E8"/>
    <w:rsid w:val="00B20D36"/>
    <w:rsid w:val="00B211D8"/>
    <w:rsid w:val="00B21364"/>
    <w:rsid w:val="00B2136E"/>
    <w:rsid w:val="00B2140C"/>
    <w:rsid w:val="00B2145F"/>
    <w:rsid w:val="00B2161C"/>
    <w:rsid w:val="00B216DB"/>
    <w:rsid w:val="00B217E9"/>
    <w:rsid w:val="00B21AEF"/>
    <w:rsid w:val="00B21B70"/>
    <w:rsid w:val="00B21C45"/>
    <w:rsid w:val="00B21D19"/>
    <w:rsid w:val="00B21F77"/>
    <w:rsid w:val="00B2240E"/>
    <w:rsid w:val="00B224D4"/>
    <w:rsid w:val="00B22523"/>
    <w:rsid w:val="00B22A27"/>
    <w:rsid w:val="00B22B18"/>
    <w:rsid w:val="00B22B3F"/>
    <w:rsid w:val="00B22B80"/>
    <w:rsid w:val="00B22F38"/>
    <w:rsid w:val="00B232FF"/>
    <w:rsid w:val="00B23381"/>
    <w:rsid w:val="00B23558"/>
    <w:rsid w:val="00B237DB"/>
    <w:rsid w:val="00B23836"/>
    <w:rsid w:val="00B23856"/>
    <w:rsid w:val="00B244ED"/>
    <w:rsid w:val="00B246C6"/>
    <w:rsid w:val="00B24776"/>
    <w:rsid w:val="00B24C9E"/>
    <w:rsid w:val="00B24CD2"/>
    <w:rsid w:val="00B254C3"/>
    <w:rsid w:val="00B2560F"/>
    <w:rsid w:val="00B259C8"/>
    <w:rsid w:val="00B262CB"/>
    <w:rsid w:val="00B26739"/>
    <w:rsid w:val="00B26C38"/>
    <w:rsid w:val="00B27176"/>
    <w:rsid w:val="00B271C0"/>
    <w:rsid w:val="00B271EB"/>
    <w:rsid w:val="00B274C7"/>
    <w:rsid w:val="00B2755B"/>
    <w:rsid w:val="00B27EED"/>
    <w:rsid w:val="00B300B6"/>
    <w:rsid w:val="00B300CE"/>
    <w:rsid w:val="00B301B6"/>
    <w:rsid w:val="00B3055B"/>
    <w:rsid w:val="00B30800"/>
    <w:rsid w:val="00B30897"/>
    <w:rsid w:val="00B30ADD"/>
    <w:rsid w:val="00B30B16"/>
    <w:rsid w:val="00B30BB8"/>
    <w:rsid w:val="00B30F30"/>
    <w:rsid w:val="00B310D6"/>
    <w:rsid w:val="00B31407"/>
    <w:rsid w:val="00B317D8"/>
    <w:rsid w:val="00B31A0A"/>
    <w:rsid w:val="00B320E7"/>
    <w:rsid w:val="00B323A9"/>
    <w:rsid w:val="00B327E8"/>
    <w:rsid w:val="00B32863"/>
    <w:rsid w:val="00B332E9"/>
    <w:rsid w:val="00B3335C"/>
    <w:rsid w:val="00B33665"/>
    <w:rsid w:val="00B337E8"/>
    <w:rsid w:val="00B33896"/>
    <w:rsid w:val="00B339C8"/>
    <w:rsid w:val="00B33D0C"/>
    <w:rsid w:val="00B33D48"/>
    <w:rsid w:val="00B34301"/>
    <w:rsid w:val="00B34390"/>
    <w:rsid w:val="00B3459E"/>
    <w:rsid w:val="00B34C6C"/>
    <w:rsid w:val="00B34DF5"/>
    <w:rsid w:val="00B34E92"/>
    <w:rsid w:val="00B34F30"/>
    <w:rsid w:val="00B35233"/>
    <w:rsid w:val="00B358BA"/>
    <w:rsid w:val="00B35AA3"/>
    <w:rsid w:val="00B35D05"/>
    <w:rsid w:val="00B35D6C"/>
    <w:rsid w:val="00B35DA1"/>
    <w:rsid w:val="00B35E13"/>
    <w:rsid w:val="00B35F72"/>
    <w:rsid w:val="00B360E9"/>
    <w:rsid w:val="00B362EC"/>
    <w:rsid w:val="00B362FA"/>
    <w:rsid w:val="00B3660C"/>
    <w:rsid w:val="00B36742"/>
    <w:rsid w:val="00B36965"/>
    <w:rsid w:val="00B36A4F"/>
    <w:rsid w:val="00B36ED2"/>
    <w:rsid w:val="00B3704F"/>
    <w:rsid w:val="00B3709F"/>
    <w:rsid w:val="00B3741A"/>
    <w:rsid w:val="00B3744B"/>
    <w:rsid w:val="00B37485"/>
    <w:rsid w:val="00B376A0"/>
    <w:rsid w:val="00B37934"/>
    <w:rsid w:val="00B37C22"/>
    <w:rsid w:val="00B37E2B"/>
    <w:rsid w:val="00B40299"/>
    <w:rsid w:val="00B402EF"/>
    <w:rsid w:val="00B4035C"/>
    <w:rsid w:val="00B404BE"/>
    <w:rsid w:val="00B40573"/>
    <w:rsid w:val="00B40998"/>
    <w:rsid w:val="00B40BA3"/>
    <w:rsid w:val="00B41074"/>
    <w:rsid w:val="00B4114A"/>
    <w:rsid w:val="00B41233"/>
    <w:rsid w:val="00B41327"/>
    <w:rsid w:val="00B41371"/>
    <w:rsid w:val="00B41396"/>
    <w:rsid w:val="00B41757"/>
    <w:rsid w:val="00B41802"/>
    <w:rsid w:val="00B4185B"/>
    <w:rsid w:val="00B4202F"/>
    <w:rsid w:val="00B420F2"/>
    <w:rsid w:val="00B4257B"/>
    <w:rsid w:val="00B425B6"/>
    <w:rsid w:val="00B427C5"/>
    <w:rsid w:val="00B429E8"/>
    <w:rsid w:val="00B42A01"/>
    <w:rsid w:val="00B43102"/>
    <w:rsid w:val="00B4323E"/>
    <w:rsid w:val="00B434E6"/>
    <w:rsid w:val="00B43740"/>
    <w:rsid w:val="00B43880"/>
    <w:rsid w:val="00B43C60"/>
    <w:rsid w:val="00B43C9F"/>
    <w:rsid w:val="00B43FC6"/>
    <w:rsid w:val="00B440C8"/>
    <w:rsid w:val="00B4422B"/>
    <w:rsid w:val="00B44427"/>
    <w:rsid w:val="00B44526"/>
    <w:rsid w:val="00B4456D"/>
    <w:rsid w:val="00B447A3"/>
    <w:rsid w:val="00B447C3"/>
    <w:rsid w:val="00B44A28"/>
    <w:rsid w:val="00B44CF8"/>
    <w:rsid w:val="00B44D89"/>
    <w:rsid w:val="00B45268"/>
    <w:rsid w:val="00B45316"/>
    <w:rsid w:val="00B45A57"/>
    <w:rsid w:val="00B45D27"/>
    <w:rsid w:val="00B45DB5"/>
    <w:rsid w:val="00B46141"/>
    <w:rsid w:val="00B4635F"/>
    <w:rsid w:val="00B46730"/>
    <w:rsid w:val="00B46DBD"/>
    <w:rsid w:val="00B46F5C"/>
    <w:rsid w:val="00B46F82"/>
    <w:rsid w:val="00B47293"/>
    <w:rsid w:val="00B47391"/>
    <w:rsid w:val="00B473CA"/>
    <w:rsid w:val="00B474FE"/>
    <w:rsid w:val="00B47A02"/>
    <w:rsid w:val="00B47D22"/>
    <w:rsid w:val="00B47D29"/>
    <w:rsid w:val="00B47FF7"/>
    <w:rsid w:val="00B50672"/>
    <w:rsid w:val="00B50C48"/>
    <w:rsid w:val="00B50D87"/>
    <w:rsid w:val="00B50F6E"/>
    <w:rsid w:val="00B51065"/>
    <w:rsid w:val="00B512C5"/>
    <w:rsid w:val="00B5176B"/>
    <w:rsid w:val="00B5178E"/>
    <w:rsid w:val="00B519AE"/>
    <w:rsid w:val="00B52322"/>
    <w:rsid w:val="00B52635"/>
    <w:rsid w:val="00B52646"/>
    <w:rsid w:val="00B52738"/>
    <w:rsid w:val="00B52ED1"/>
    <w:rsid w:val="00B530AF"/>
    <w:rsid w:val="00B5388F"/>
    <w:rsid w:val="00B538BE"/>
    <w:rsid w:val="00B53A60"/>
    <w:rsid w:val="00B53A70"/>
    <w:rsid w:val="00B53D82"/>
    <w:rsid w:val="00B53EAD"/>
    <w:rsid w:val="00B53FA5"/>
    <w:rsid w:val="00B53FED"/>
    <w:rsid w:val="00B54055"/>
    <w:rsid w:val="00B542B5"/>
    <w:rsid w:val="00B5449E"/>
    <w:rsid w:val="00B545D1"/>
    <w:rsid w:val="00B54AD1"/>
    <w:rsid w:val="00B54EA0"/>
    <w:rsid w:val="00B54EF4"/>
    <w:rsid w:val="00B54F44"/>
    <w:rsid w:val="00B551A0"/>
    <w:rsid w:val="00B55457"/>
    <w:rsid w:val="00B554FD"/>
    <w:rsid w:val="00B55510"/>
    <w:rsid w:val="00B557B3"/>
    <w:rsid w:val="00B55C6A"/>
    <w:rsid w:val="00B55D26"/>
    <w:rsid w:val="00B55D27"/>
    <w:rsid w:val="00B561B7"/>
    <w:rsid w:val="00B56506"/>
    <w:rsid w:val="00B5651E"/>
    <w:rsid w:val="00B5666F"/>
    <w:rsid w:val="00B56886"/>
    <w:rsid w:val="00B56984"/>
    <w:rsid w:val="00B56D76"/>
    <w:rsid w:val="00B56FF0"/>
    <w:rsid w:val="00B57271"/>
    <w:rsid w:val="00B57365"/>
    <w:rsid w:val="00B573AA"/>
    <w:rsid w:val="00B5756E"/>
    <w:rsid w:val="00B57643"/>
    <w:rsid w:val="00B5784A"/>
    <w:rsid w:val="00B57A05"/>
    <w:rsid w:val="00B57ED4"/>
    <w:rsid w:val="00B6006A"/>
    <w:rsid w:val="00B600AC"/>
    <w:rsid w:val="00B6024E"/>
    <w:rsid w:val="00B602EA"/>
    <w:rsid w:val="00B6039E"/>
    <w:rsid w:val="00B6084F"/>
    <w:rsid w:val="00B6088E"/>
    <w:rsid w:val="00B60A14"/>
    <w:rsid w:val="00B60BEB"/>
    <w:rsid w:val="00B61179"/>
    <w:rsid w:val="00B61246"/>
    <w:rsid w:val="00B61888"/>
    <w:rsid w:val="00B61A6F"/>
    <w:rsid w:val="00B61A9D"/>
    <w:rsid w:val="00B61AFE"/>
    <w:rsid w:val="00B61F91"/>
    <w:rsid w:val="00B62155"/>
    <w:rsid w:val="00B6216F"/>
    <w:rsid w:val="00B62368"/>
    <w:rsid w:val="00B62924"/>
    <w:rsid w:val="00B62993"/>
    <w:rsid w:val="00B62D54"/>
    <w:rsid w:val="00B63262"/>
    <w:rsid w:val="00B634A6"/>
    <w:rsid w:val="00B634D5"/>
    <w:rsid w:val="00B6362A"/>
    <w:rsid w:val="00B63C60"/>
    <w:rsid w:val="00B63F42"/>
    <w:rsid w:val="00B63F69"/>
    <w:rsid w:val="00B64238"/>
    <w:rsid w:val="00B64381"/>
    <w:rsid w:val="00B644FE"/>
    <w:rsid w:val="00B64785"/>
    <w:rsid w:val="00B649C4"/>
    <w:rsid w:val="00B64E65"/>
    <w:rsid w:val="00B64F34"/>
    <w:rsid w:val="00B64FAF"/>
    <w:rsid w:val="00B65138"/>
    <w:rsid w:val="00B6513C"/>
    <w:rsid w:val="00B6523B"/>
    <w:rsid w:val="00B65569"/>
    <w:rsid w:val="00B65735"/>
    <w:rsid w:val="00B658FE"/>
    <w:rsid w:val="00B65AA6"/>
    <w:rsid w:val="00B65C31"/>
    <w:rsid w:val="00B660BF"/>
    <w:rsid w:val="00B663E1"/>
    <w:rsid w:val="00B66474"/>
    <w:rsid w:val="00B66737"/>
    <w:rsid w:val="00B66869"/>
    <w:rsid w:val="00B669A1"/>
    <w:rsid w:val="00B66AA1"/>
    <w:rsid w:val="00B66E0C"/>
    <w:rsid w:val="00B66E57"/>
    <w:rsid w:val="00B6735A"/>
    <w:rsid w:val="00B673B8"/>
    <w:rsid w:val="00B675BC"/>
    <w:rsid w:val="00B676EA"/>
    <w:rsid w:val="00B678A7"/>
    <w:rsid w:val="00B67ACB"/>
    <w:rsid w:val="00B67BDA"/>
    <w:rsid w:val="00B67CA8"/>
    <w:rsid w:val="00B67D4C"/>
    <w:rsid w:val="00B67D55"/>
    <w:rsid w:val="00B700A6"/>
    <w:rsid w:val="00B702FC"/>
    <w:rsid w:val="00B70359"/>
    <w:rsid w:val="00B70364"/>
    <w:rsid w:val="00B70576"/>
    <w:rsid w:val="00B70FC2"/>
    <w:rsid w:val="00B712F0"/>
    <w:rsid w:val="00B7130C"/>
    <w:rsid w:val="00B71630"/>
    <w:rsid w:val="00B7168E"/>
    <w:rsid w:val="00B71795"/>
    <w:rsid w:val="00B71A0C"/>
    <w:rsid w:val="00B71B5B"/>
    <w:rsid w:val="00B71BD6"/>
    <w:rsid w:val="00B7214D"/>
    <w:rsid w:val="00B72691"/>
    <w:rsid w:val="00B7285A"/>
    <w:rsid w:val="00B72993"/>
    <w:rsid w:val="00B72CF0"/>
    <w:rsid w:val="00B72D06"/>
    <w:rsid w:val="00B73079"/>
    <w:rsid w:val="00B730D1"/>
    <w:rsid w:val="00B730F4"/>
    <w:rsid w:val="00B7339E"/>
    <w:rsid w:val="00B7362A"/>
    <w:rsid w:val="00B7391F"/>
    <w:rsid w:val="00B743DE"/>
    <w:rsid w:val="00B7456A"/>
    <w:rsid w:val="00B749AA"/>
    <w:rsid w:val="00B749B0"/>
    <w:rsid w:val="00B7509F"/>
    <w:rsid w:val="00B75357"/>
    <w:rsid w:val="00B75438"/>
    <w:rsid w:val="00B75BD0"/>
    <w:rsid w:val="00B75C54"/>
    <w:rsid w:val="00B75E64"/>
    <w:rsid w:val="00B76111"/>
    <w:rsid w:val="00B76457"/>
    <w:rsid w:val="00B764AC"/>
    <w:rsid w:val="00B7664B"/>
    <w:rsid w:val="00B7687B"/>
    <w:rsid w:val="00B769E4"/>
    <w:rsid w:val="00B76AA2"/>
    <w:rsid w:val="00B76AF8"/>
    <w:rsid w:val="00B76C7C"/>
    <w:rsid w:val="00B76CD9"/>
    <w:rsid w:val="00B76E97"/>
    <w:rsid w:val="00B76EB6"/>
    <w:rsid w:val="00B7708F"/>
    <w:rsid w:val="00B774A5"/>
    <w:rsid w:val="00B7754E"/>
    <w:rsid w:val="00B77677"/>
    <w:rsid w:val="00B778DA"/>
    <w:rsid w:val="00B77917"/>
    <w:rsid w:val="00B77F76"/>
    <w:rsid w:val="00B80078"/>
    <w:rsid w:val="00B80329"/>
    <w:rsid w:val="00B803AA"/>
    <w:rsid w:val="00B8043D"/>
    <w:rsid w:val="00B80937"/>
    <w:rsid w:val="00B809D6"/>
    <w:rsid w:val="00B809EB"/>
    <w:rsid w:val="00B80B66"/>
    <w:rsid w:val="00B8107E"/>
    <w:rsid w:val="00B8116F"/>
    <w:rsid w:val="00B812F7"/>
    <w:rsid w:val="00B813A0"/>
    <w:rsid w:val="00B814B0"/>
    <w:rsid w:val="00B81583"/>
    <w:rsid w:val="00B81871"/>
    <w:rsid w:val="00B8189C"/>
    <w:rsid w:val="00B81A3C"/>
    <w:rsid w:val="00B81E36"/>
    <w:rsid w:val="00B822E2"/>
    <w:rsid w:val="00B823C9"/>
    <w:rsid w:val="00B828E1"/>
    <w:rsid w:val="00B82B79"/>
    <w:rsid w:val="00B82F70"/>
    <w:rsid w:val="00B83038"/>
    <w:rsid w:val="00B83394"/>
    <w:rsid w:val="00B833E3"/>
    <w:rsid w:val="00B8358D"/>
    <w:rsid w:val="00B835C7"/>
    <w:rsid w:val="00B83751"/>
    <w:rsid w:val="00B83821"/>
    <w:rsid w:val="00B8389C"/>
    <w:rsid w:val="00B8391B"/>
    <w:rsid w:val="00B840C7"/>
    <w:rsid w:val="00B844DC"/>
    <w:rsid w:val="00B846A5"/>
    <w:rsid w:val="00B8472D"/>
    <w:rsid w:val="00B84740"/>
    <w:rsid w:val="00B8474C"/>
    <w:rsid w:val="00B84A7C"/>
    <w:rsid w:val="00B84B7C"/>
    <w:rsid w:val="00B84F60"/>
    <w:rsid w:val="00B85199"/>
    <w:rsid w:val="00B852B0"/>
    <w:rsid w:val="00B85692"/>
    <w:rsid w:val="00B857E9"/>
    <w:rsid w:val="00B85A30"/>
    <w:rsid w:val="00B85FF1"/>
    <w:rsid w:val="00B861B1"/>
    <w:rsid w:val="00B861ED"/>
    <w:rsid w:val="00B86561"/>
    <w:rsid w:val="00B8672B"/>
    <w:rsid w:val="00B8693A"/>
    <w:rsid w:val="00B86BB4"/>
    <w:rsid w:val="00B86C48"/>
    <w:rsid w:val="00B86D6B"/>
    <w:rsid w:val="00B86D81"/>
    <w:rsid w:val="00B86E3D"/>
    <w:rsid w:val="00B87644"/>
    <w:rsid w:val="00B87A4E"/>
    <w:rsid w:val="00B87AD5"/>
    <w:rsid w:val="00B87CC7"/>
    <w:rsid w:val="00B90254"/>
    <w:rsid w:val="00B9041A"/>
    <w:rsid w:val="00B90495"/>
    <w:rsid w:val="00B90665"/>
    <w:rsid w:val="00B90777"/>
    <w:rsid w:val="00B908C6"/>
    <w:rsid w:val="00B90903"/>
    <w:rsid w:val="00B909F8"/>
    <w:rsid w:val="00B90CD6"/>
    <w:rsid w:val="00B90E4E"/>
    <w:rsid w:val="00B90F51"/>
    <w:rsid w:val="00B90FB8"/>
    <w:rsid w:val="00B91245"/>
    <w:rsid w:val="00B91A9E"/>
    <w:rsid w:val="00B91B1B"/>
    <w:rsid w:val="00B91FB2"/>
    <w:rsid w:val="00B92439"/>
    <w:rsid w:val="00B92703"/>
    <w:rsid w:val="00B9288B"/>
    <w:rsid w:val="00B92AA0"/>
    <w:rsid w:val="00B92D98"/>
    <w:rsid w:val="00B92DF0"/>
    <w:rsid w:val="00B92FFD"/>
    <w:rsid w:val="00B93130"/>
    <w:rsid w:val="00B93135"/>
    <w:rsid w:val="00B9324F"/>
    <w:rsid w:val="00B9329C"/>
    <w:rsid w:val="00B9335B"/>
    <w:rsid w:val="00B93464"/>
    <w:rsid w:val="00B939E7"/>
    <w:rsid w:val="00B93D09"/>
    <w:rsid w:val="00B93D45"/>
    <w:rsid w:val="00B93E32"/>
    <w:rsid w:val="00B940BF"/>
    <w:rsid w:val="00B941A9"/>
    <w:rsid w:val="00B941EA"/>
    <w:rsid w:val="00B94274"/>
    <w:rsid w:val="00B947E5"/>
    <w:rsid w:val="00B9481F"/>
    <w:rsid w:val="00B948DE"/>
    <w:rsid w:val="00B948EC"/>
    <w:rsid w:val="00B94A2A"/>
    <w:rsid w:val="00B94C60"/>
    <w:rsid w:val="00B94FEB"/>
    <w:rsid w:val="00B95015"/>
    <w:rsid w:val="00B9514B"/>
    <w:rsid w:val="00B95205"/>
    <w:rsid w:val="00B954EF"/>
    <w:rsid w:val="00B95810"/>
    <w:rsid w:val="00B95B92"/>
    <w:rsid w:val="00B95E04"/>
    <w:rsid w:val="00B95FD1"/>
    <w:rsid w:val="00B96026"/>
    <w:rsid w:val="00B9616D"/>
    <w:rsid w:val="00B969E1"/>
    <w:rsid w:val="00B96D58"/>
    <w:rsid w:val="00B96E5F"/>
    <w:rsid w:val="00B96F1E"/>
    <w:rsid w:val="00B970F1"/>
    <w:rsid w:val="00B9747B"/>
    <w:rsid w:val="00B9782C"/>
    <w:rsid w:val="00B978CA"/>
    <w:rsid w:val="00B97C8D"/>
    <w:rsid w:val="00B97CFC"/>
    <w:rsid w:val="00B97D3B"/>
    <w:rsid w:val="00B97F83"/>
    <w:rsid w:val="00BA0058"/>
    <w:rsid w:val="00BA008E"/>
    <w:rsid w:val="00BA05E8"/>
    <w:rsid w:val="00BA088D"/>
    <w:rsid w:val="00BA0AD0"/>
    <w:rsid w:val="00BA0B0C"/>
    <w:rsid w:val="00BA0C9B"/>
    <w:rsid w:val="00BA0EDD"/>
    <w:rsid w:val="00BA1045"/>
    <w:rsid w:val="00BA1081"/>
    <w:rsid w:val="00BA129F"/>
    <w:rsid w:val="00BA12A9"/>
    <w:rsid w:val="00BA16E7"/>
    <w:rsid w:val="00BA1A78"/>
    <w:rsid w:val="00BA232A"/>
    <w:rsid w:val="00BA23AF"/>
    <w:rsid w:val="00BA2A81"/>
    <w:rsid w:val="00BA2BB2"/>
    <w:rsid w:val="00BA2E16"/>
    <w:rsid w:val="00BA2F94"/>
    <w:rsid w:val="00BA3315"/>
    <w:rsid w:val="00BA3346"/>
    <w:rsid w:val="00BA34AC"/>
    <w:rsid w:val="00BA37B3"/>
    <w:rsid w:val="00BA3FE5"/>
    <w:rsid w:val="00BA42E2"/>
    <w:rsid w:val="00BA43D7"/>
    <w:rsid w:val="00BA4434"/>
    <w:rsid w:val="00BA4590"/>
    <w:rsid w:val="00BA4D05"/>
    <w:rsid w:val="00BA52EC"/>
    <w:rsid w:val="00BA53DF"/>
    <w:rsid w:val="00BA5569"/>
    <w:rsid w:val="00BA5940"/>
    <w:rsid w:val="00BA5C3E"/>
    <w:rsid w:val="00BA5DA0"/>
    <w:rsid w:val="00BA6813"/>
    <w:rsid w:val="00BA6A37"/>
    <w:rsid w:val="00BA6AFC"/>
    <w:rsid w:val="00BA7152"/>
    <w:rsid w:val="00BA732E"/>
    <w:rsid w:val="00BA76CB"/>
    <w:rsid w:val="00BA77E9"/>
    <w:rsid w:val="00BA7AEA"/>
    <w:rsid w:val="00BA7C81"/>
    <w:rsid w:val="00BB03DA"/>
    <w:rsid w:val="00BB07B8"/>
    <w:rsid w:val="00BB08F3"/>
    <w:rsid w:val="00BB0A94"/>
    <w:rsid w:val="00BB0B73"/>
    <w:rsid w:val="00BB0BCA"/>
    <w:rsid w:val="00BB0C43"/>
    <w:rsid w:val="00BB0C59"/>
    <w:rsid w:val="00BB0CC9"/>
    <w:rsid w:val="00BB0FE9"/>
    <w:rsid w:val="00BB1089"/>
    <w:rsid w:val="00BB10B0"/>
    <w:rsid w:val="00BB1100"/>
    <w:rsid w:val="00BB1517"/>
    <w:rsid w:val="00BB1949"/>
    <w:rsid w:val="00BB1BD1"/>
    <w:rsid w:val="00BB1C64"/>
    <w:rsid w:val="00BB251C"/>
    <w:rsid w:val="00BB252C"/>
    <w:rsid w:val="00BB2637"/>
    <w:rsid w:val="00BB2668"/>
    <w:rsid w:val="00BB324D"/>
    <w:rsid w:val="00BB374A"/>
    <w:rsid w:val="00BB3EE0"/>
    <w:rsid w:val="00BB4089"/>
    <w:rsid w:val="00BB4631"/>
    <w:rsid w:val="00BB46A9"/>
    <w:rsid w:val="00BB481C"/>
    <w:rsid w:val="00BB48DA"/>
    <w:rsid w:val="00BB4B13"/>
    <w:rsid w:val="00BB4DBE"/>
    <w:rsid w:val="00BB4E87"/>
    <w:rsid w:val="00BB5232"/>
    <w:rsid w:val="00BB5295"/>
    <w:rsid w:val="00BB529C"/>
    <w:rsid w:val="00BB5308"/>
    <w:rsid w:val="00BB56C1"/>
    <w:rsid w:val="00BB57CE"/>
    <w:rsid w:val="00BB58AA"/>
    <w:rsid w:val="00BB59B5"/>
    <w:rsid w:val="00BB5A26"/>
    <w:rsid w:val="00BB5BA3"/>
    <w:rsid w:val="00BB5BB2"/>
    <w:rsid w:val="00BB627E"/>
    <w:rsid w:val="00BB648E"/>
    <w:rsid w:val="00BB6A8C"/>
    <w:rsid w:val="00BB6B1F"/>
    <w:rsid w:val="00BB72E3"/>
    <w:rsid w:val="00BB735D"/>
    <w:rsid w:val="00BB73A5"/>
    <w:rsid w:val="00BB761C"/>
    <w:rsid w:val="00BB775E"/>
    <w:rsid w:val="00BB7A4A"/>
    <w:rsid w:val="00BB7C26"/>
    <w:rsid w:val="00BB7C2C"/>
    <w:rsid w:val="00BB7EE6"/>
    <w:rsid w:val="00BC0076"/>
    <w:rsid w:val="00BC02F9"/>
    <w:rsid w:val="00BC0862"/>
    <w:rsid w:val="00BC087F"/>
    <w:rsid w:val="00BC092B"/>
    <w:rsid w:val="00BC0B59"/>
    <w:rsid w:val="00BC0BBE"/>
    <w:rsid w:val="00BC142E"/>
    <w:rsid w:val="00BC1477"/>
    <w:rsid w:val="00BC1A74"/>
    <w:rsid w:val="00BC1E9C"/>
    <w:rsid w:val="00BC27FE"/>
    <w:rsid w:val="00BC2AEA"/>
    <w:rsid w:val="00BC2C46"/>
    <w:rsid w:val="00BC2DA1"/>
    <w:rsid w:val="00BC35B8"/>
    <w:rsid w:val="00BC35CB"/>
    <w:rsid w:val="00BC3777"/>
    <w:rsid w:val="00BC38EE"/>
    <w:rsid w:val="00BC3AC4"/>
    <w:rsid w:val="00BC3C06"/>
    <w:rsid w:val="00BC3FA6"/>
    <w:rsid w:val="00BC4273"/>
    <w:rsid w:val="00BC4D1E"/>
    <w:rsid w:val="00BC4D2A"/>
    <w:rsid w:val="00BC4D7F"/>
    <w:rsid w:val="00BC4FC1"/>
    <w:rsid w:val="00BC502B"/>
    <w:rsid w:val="00BC5171"/>
    <w:rsid w:val="00BC53C4"/>
    <w:rsid w:val="00BC5796"/>
    <w:rsid w:val="00BC59C4"/>
    <w:rsid w:val="00BC6249"/>
    <w:rsid w:val="00BC67A7"/>
    <w:rsid w:val="00BC686E"/>
    <w:rsid w:val="00BC6D55"/>
    <w:rsid w:val="00BC6F04"/>
    <w:rsid w:val="00BC710B"/>
    <w:rsid w:val="00BC71A0"/>
    <w:rsid w:val="00BC752F"/>
    <w:rsid w:val="00BC762D"/>
    <w:rsid w:val="00BC7893"/>
    <w:rsid w:val="00BC78B6"/>
    <w:rsid w:val="00BC7AAA"/>
    <w:rsid w:val="00BC7D6D"/>
    <w:rsid w:val="00BC7E3F"/>
    <w:rsid w:val="00BD04F4"/>
    <w:rsid w:val="00BD069F"/>
    <w:rsid w:val="00BD06DD"/>
    <w:rsid w:val="00BD0854"/>
    <w:rsid w:val="00BD091C"/>
    <w:rsid w:val="00BD0D31"/>
    <w:rsid w:val="00BD11AF"/>
    <w:rsid w:val="00BD162F"/>
    <w:rsid w:val="00BD1675"/>
    <w:rsid w:val="00BD186A"/>
    <w:rsid w:val="00BD193C"/>
    <w:rsid w:val="00BD1A36"/>
    <w:rsid w:val="00BD1AC1"/>
    <w:rsid w:val="00BD1BD0"/>
    <w:rsid w:val="00BD24DC"/>
    <w:rsid w:val="00BD25E4"/>
    <w:rsid w:val="00BD29E2"/>
    <w:rsid w:val="00BD2F4D"/>
    <w:rsid w:val="00BD326B"/>
    <w:rsid w:val="00BD336C"/>
    <w:rsid w:val="00BD348C"/>
    <w:rsid w:val="00BD35B4"/>
    <w:rsid w:val="00BD383B"/>
    <w:rsid w:val="00BD3CC7"/>
    <w:rsid w:val="00BD4273"/>
    <w:rsid w:val="00BD4420"/>
    <w:rsid w:val="00BD44D5"/>
    <w:rsid w:val="00BD45E5"/>
    <w:rsid w:val="00BD4871"/>
    <w:rsid w:val="00BD4D21"/>
    <w:rsid w:val="00BD5340"/>
    <w:rsid w:val="00BD569D"/>
    <w:rsid w:val="00BD5938"/>
    <w:rsid w:val="00BD59A7"/>
    <w:rsid w:val="00BD5B1C"/>
    <w:rsid w:val="00BD5B41"/>
    <w:rsid w:val="00BD5BAC"/>
    <w:rsid w:val="00BD5BCF"/>
    <w:rsid w:val="00BD5EC0"/>
    <w:rsid w:val="00BD6024"/>
    <w:rsid w:val="00BD630F"/>
    <w:rsid w:val="00BD6752"/>
    <w:rsid w:val="00BD6797"/>
    <w:rsid w:val="00BD694C"/>
    <w:rsid w:val="00BD6AF3"/>
    <w:rsid w:val="00BD6F9B"/>
    <w:rsid w:val="00BD6FE8"/>
    <w:rsid w:val="00BD7060"/>
    <w:rsid w:val="00BD707B"/>
    <w:rsid w:val="00BD72EB"/>
    <w:rsid w:val="00BD75E7"/>
    <w:rsid w:val="00BD77BF"/>
    <w:rsid w:val="00BD7C7D"/>
    <w:rsid w:val="00BD7E69"/>
    <w:rsid w:val="00BE0414"/>
    <w:rsid w:val="00BE04DC"/>
    <w:rsid w:val="00BE0509"/>
    <w:rsid w:val="00BE0902"/>
    <w:rsid w:val="00BE0935"/>
    <w:rsid w:val="00BE0FF2"/>
    <w:rsid w:val="00BE1073"/>
    <w:rsid w:val="00BE109C"/>
    <w:rsid w:val="00BE1276"/>
    <w:rsid w:val="00BE15C4"/>
    <w:rsid w:val="00BE161E"/>
    <w:rsid w:val="00BE1BF6"/>
    <w:rsid w:val="00BE1C27"/>
    <w:rsid w:val="00BE1CFB"/>
    <w:rsid w:val="00BE1D31"/>
    <w:rsid w:val="00BE2070"/>
    <w:rsid w:val="00BE245D"/>
    <w:rsid w:val="00BE2538"/>
    <w:rsid w:val="00BE25ED"/>
    <w:rsid w:val="00BE27AD"/>
    <w:rsid w:val="00BE2C76"/>
    <w:rsid w:val="00BE2CBB"/>
    <w:rsid w:val="00BE2D74"/>
    <w:rsid w:val="00BE2F57"/>
    <w:rsid w:val="00BE3082"/>
    <w:rsid w:val="00BE32D4"/>
    <w:rsid w:val="00BE334E"/>
    <w:rsid w:val="00BE34BA"/>
    <w:rsid w:val="00BE34ED"/>
    <w:rsid w:val="00BE39A9"/>
    <w:rsid w:val="00BE3C23"/>
    <w:rsid w:val="00BE4129"/>
    <w:rsid w:val="00BE41B0"/>
    <w:rsid w:val="00BE43AB"/>
    <w:rsid w:val="00BE471C"/>
    <w:rsid w:val="00BE4766"/>
    <w:rsid w:val="00BE4842"/>
    <w:rsid w:val="00BE49BC"/>
    <w:rsid w:val="00BE4D47"/>
    <w:rsid w:val="00BE4F7E"/>
    <w:rsid w:val="00BE531F"/>
    <w:rsid w:val="00BE53A5"/>
    <w:rsid w:val="00BE5686"/>
    <w:rsid w:val="00BE5A35"/>
    <w:rsid w:val="00BE5B29"/>
    <w:rsid w:val="00BE5B69"/>
    <w:rsid w:val="00BE5C95"/>
    <w:rsid w:val="00BE6405"/>
    <w:rsid w:val="00BE6503"/>
    <w:rsid w:val="00BE6539"/>
    <w:rsid w:val="00BE671A"/>
    <w:rsid w:val="00BE6AAD"/>
    <w:rsid w:val="00BE78A1"/>
    <w:rsid w:val="00BE7B1D"/>
    <w:rsid w:val="00BE7E06"/>
    <w:rsid w:val="00BF00CD"/>
    <w:rsid w:val="00BF013B"/>
    <w:rsid w:val="00BF0580"/>
    <w:rsid w:val="00BF090F"/>
    <w:rsid w:val="00BF0B84"/>
    <w:rsid w:val="00BF0E02"/>
    <w:rsid w:val="00BF0EF5"/>
    <w:rsid w:val="00BF1054"/>
    <w:rsid w:val="00BF10F5"/>
    <w:rsid w:val="00BF153C"/>
    <w:rsid w:val="00BF18F7"/>
    <w:rsid w:val="00BF1930"/>
    <w:rsid w:val="00BF1B2E"/>
    <w:rsid w:val="00BF1C09"/>
    <w:rsid w:val="00BF1E01"/>
    <w:rsid w:val="00BF1F7D"/>
    <w:rsid w:val="00BF202E"/>
    <w:rsid w:val="00BF21D7"/>
    <w:rsid w:val="00BF23C6"/>
    <w:rsid w:val="00BF28A0"/>
    <w:rsid w:val="00BF2E22"/>
    <w:rsid w:val="00BF3337"/>
    <w:rsid w:val="00BF3645"/>
    <w:rsid w:val="00BF38C8"/>
    <w:rsid w:val="00BF3A31"/>
    <w:rsid w:val="00BF3E22"/>
    <w:rsid w:val="00BF4426"/>
    <w:rsid w:val="00BF45BE"/>
    <w:rsid w:val="00BF49BE"/>
    <w:rsid w:val="00BF5612"/>
    <w:rsid w:val="00BF591D"/>
    <w:rsid w:val="00BF59BF"/>
    <w:rsid w:val="00BF5B6D"/>
    <w:rsid w:val="00BF5E64"/>
    <w:rsid w:val="00BF5F0B"/>
    <w:rsid w:val="00BF601B"/>
    <w:rsid w:val="00BF613B"/>
    <w:rsid w:val="00BF652C"/>
    <w:rsid w:val="00BF685E"/>
    <w:rsid w:val="00BF6CDA"/>
    <w:rsid w:val="00BF7003"/>
    <w:rsid w:val="00BF714F"/>
    <w:rsid w:val="00BF7563"/>
    <w:rsid w:val="00BF7AA9"/>
    <w:rsid w:val="00BF7C36"/>
    <w:rsid w:val="00BF7D2D"/>
    <w:rsid w:val="00C001D9"/>
    <w:rsid w:val="00C0023D"/>
    <w:rsid w:val="00C00558"/>
    <w:rsid w:val="00C007CA"/>
    <w:rsid w:val="00C0095C"/>
    <w:rsid w:val="00C00964"/>
    <w:rsid w:val="00C00B2A"/>
    <w:rsid w:val="00C00C91"/>
    <w:rsid w:val="00C00DEC"/>
    <w:rsid w:val="00C011FF"/>
    <w:rsid w:val="00C018FF"/>
    <w:rsid w:val="00C01DD6"/>
    <w:rsid w:val="00C01F4D"/>
    <w:rsid w:val="00C01F73"/>
    <w:rsid w:val="00C02520"/>
    <w:rsid w:val="00C025F0"/>
    <w:rsid w:val="00C026E1"/>
    <w:rsid w:val="00C0294B"/>
    <w:rsid w:val="00C02A09"/>
    <w:rsid w:val="00C03084"/>
    <w:rsid w:val="00C0321A"/>
    <w:rsid w:val="00C032EF"/>
    <w:rsid w:val="00C036CC"/>
    <w:rsid w:val="00C03801"/>
    <w:rsid w:val="00C0387D"/>
    <w:rsid w:val="00C03AE2"/>
    <w:rsid w:val="00C03AE9"/>
    <w:rsid w:val="00C03B15"/>
    <w:rsid w:val="00C03F9C"/>
    <w:rsid w:val="00C04C0B"/>
    <w:rsid w:val="00C04CD9"/>
    <w:rsid w:val="00C04F8C"/>
    <w:rsid w:val="00C050ED"/>
    <w:rsid w:val="00C05430"/>
    <w:rsid w:val="00C0551B"/>
    <w:rsid w:val="00C0595E"/>
    <w:rsid w:val="00C05DB5"/>
    <w:rsid w:val="00C06463"/>
    <w:rsid w:val="00C0657F"/>
    <w:rsid w:val="00C06850"/>
    <w:rsid w:val="00C06C4D"/>
    <w:rsid w:val="00C06F5D"/>
    <w:rsid w:val="00C07707"/>
    <w:rsid w:val="00C07F71"/>
    <w:rsid w:val="00C1037F"/>
    <w:rsid w:val="00C10814"/>
    <w:rsid w:val="00C10B80"/>
    <w:rsid w:val="00C10B81"/>
    <w:rsid w:val="00C10BAE"/>
    <w:rsid w:val="00C10F26"/>
    <w:rsid w:val="00C10F7A"/>
    <w:rsid w:val="00C11014"/>
    <w:rsid w:val="00C110AF"/>
    <w:rsid w:val="00C11120"/>
    <w:rsid w:val="00C1114A"/>
    <w:rsid w:val="00C11312"/>
    <w:rsid w:val="00C11611"/>
    <w:rsid w:val="00C116A3"/>
    <w:rsid w:val="00C116B9"/>
    <w:rsid w:val="00C118D5"/>
    <w:rsid w:val="00C119BC"/>
    <w:rsid w:val="00C11B91"/>
    <w:rsid w:val="00C11C01"/>
    <w:rsid w:val="00C11DF4"/>
    <w:rsid w:val="00C11F6F"/>
    <w:rsid w:val="00C11F97"/>
    <w:rsid w:val="00C120C8"/>
    <w:rsid w:val="00C12143"/>
    <w:rsid w:val="00C12227"/>
    <w:rsid w:val="00C1290B"/>
    <w:rsid w:val="00C12960"/>
    <w:rsid w:val="00C1298A"/>
    <w:rsid w:val="00C12C0C"/>
    <w:rsid w:val="00C12CB6"/>
    <w:rsid w:val="00C12D74"/>
    <w:rsid w:val="00C12D95"/>
    <w:rsid w:val="00C13041"/>
    <w:rsid w:val="00C13500"/>
    <w:rsid w:val="00C13666"/>
    <w:rsid w:val="00C136FB"/>
    <w:rsid w:val="00C137DD"/>
    <w:rsid w:val="00C13966"/>
    <w:rsid w:val="00C139AA"/>
    <w:rsid w:val="00C14177"/>
    <w:rsid w:val="00C143B4"/>
    <w:rsid w:val="00C14593"/>
    <w:rsid w:val="00C14677"/>
    <w:rsid w:val="00C1482C"/>
    <w:rsid w:val="00C14A43"/>
    <w:rsid w:val="00C14D57"/>
    <w:rsid w:val="00C14DC5"/>
    <w:rsid w:val="00C150A9"/>
    <w:rsid w:val="00C153FA"/>
    <w:rsid w:val="00C15448"/>
    <w:rsid w:val="00C156D9"/>
    <w:rsid w:val="00C15A20"/>
    <w:rsid w:val="00C15B8E"/>
    <w:rsid w:val="00C1600F"/>
    <w:rsid w:val="00C161D2"/>
    <w:rsid w:val="00C1620A"/>
    <w:rsid w:val="00C16301"/>
    <w:rsid w:val="00C16566"/>
    <w:rsid w:val="00C166B4"/>
    <w:rsid w:val="00C16849"/>
    <w:rsid w:val="00C16D21"/>
    <w:rsid w:val="00C17032"/>
    <w:rsid w:val="00C171F8"/>
    <w:rsid w:val="00C1721D"/>
    <w:rsid w:val="00C173E9"/>
    <w:rsid w:val="00C173F2"/>
    <w:rsid w:val="00C174D4"/>
    <w:rsid w:val="00C1757F"/>
    <w:rsid w:val="00C1764D"/>
    <w:rsid w:val="00C178B9"/>
    <w:rsid w:val="00C179C6"/>
    <w:rsid w:val="00C17BAD"/>
    <w:rsid w:val="00C17C40"/>
    <w:rsid w:val="00C17EA3"/>
    <w:rsid w:val="00C20028"/>
    <w:rsid w:val="00C2062B"/>
    <w:rsid w:val="00C206BB"/>
    <w:rsid w:val="00C2078A"/>
    <w:rsid w:val="00C20A97"/>
    <w:rsid w:val="00C20DAF"/>
    <w:rsid w:val="00C20DBF"/>
    <w:rsid w:val="00C20ED1"/>
    <w:rsid w:val="00C20F2C"/>
    <w:rsid w:val="00C2100C"/>
    <w:rsid w:val="00C210E1"/>
    <w:rsid w:val="00C2130E"/>
    <w:rsid w:val="00C21353"/>
    <w:rsid w:val="00C21F25"/>
    <w:rsid w:val="00C21FAA"/>
    <w:rsid w:val="00C22170"/>
    <w:rsid w:val="00C22720"/>
    <w:rsid w:val="00C22880"/>
    <w:rsid w:val="00C233CD"/>
    <w:rsid w:val="00C237AA"/>
    <w:rsid w:val="00C23A52"/>
    <w:rsid w:val="00C23B71"/>
    <w:rsid w:val="00C23CD2"/>
    <w:rsid w:val="00C23EB6"/>
    <w:rsid w:val="00C2425A"/>
    <w:rsid w:val="00C2464B"/>
    <w:rsid w:val="00C24C82"/>
    <w:rsid w:val="00C24D3A"/>
    <w:rsid w:val="00C253DB"/>
    <w:rsid w:val="00C256A4"/>
    <w:rsid w:val="00C25941"/>
    <w:rsid w:val="00C25985"/>
    <w:rsid w:val="00C25AA6"/>
    <w:rsid w:val="00C25B84"/>
    <w:rsid w:val="00C25CB6"/>
    <w:rsid w:val="00C25F5F"/>
    <w:rsid w:val="00C25F61"/>
    <w:rsid w:val="00C26153"/>
    <w:rsid w:val="00C266DE"/>
    <w:rsid w:val="00C26720"/>
    <w:rsid w:val="00C269D1"/>
    <w:rsid w:val="00C26BEF"/>
    <w:rsid w:val="00C26E53"/>
    <w:rsid w:val="00C26F12"/>
    <w:rsid w:val="00C2709D"/>
    <w:rsid w:val="00C27301"/>
    <w:rsid w:val="00C27404"/>
    <w:rsid w:val="00C27421"/>
    <w:rsid w:val="00C27487"/>
    <w:rsid w:val="00C2771E"/>
    <w:rsid w:val="00C277C5"/>
    <w:rsid w:val="00C27980"/>
    <w:rsid w:val="00C27FB6"/>
    <w:rsid w:val="00C30120"/>
    <w:rsid w:val="00C301F7"/>
    <w:rsid w:val="00C30230"/>
    <w:rsid w:val="00C3083B"/>
    <w:rsid w:val="00C30B4A"/>
    <w:rsid w:val="00C30BE2"/>
    <w:rsid w:val="00C30E0E"/>
    <w:rsid w:val="00C31131"/>
    <w:rsid w:val="00C315E1"/>
    <w:rsid w:val="00C31B1F"/>
    <w:rsid w:val="00C31C60"/>
    <w:rsid w:val="00C320C3"/>
    <w:rsid w:val="00C3212E"/>
    <w:rsid w:val="00C3238C"/>
    <w:rsid w:val="00C328B3"/>
    <w:rsid w:val="00C32EB3"/>
    <w:rsid w:val="00C32FEF"/>
    <w:rsid w:val="00C33284"/>
    <w:rsid w:val="00C33398"/>
    <w:rsid w:val="00C337E2"/>
    <w:rsid w:val="00C339EA"/>
    <w:rsid w:val="00C33BB4"/>
    <w:rsid w:val="00C33C56"/>
    <w:rsid w:val="00C33F1C"/>
    <w:rsid w:val="00C34284"/>
    <w:rsid w:val="00C3449F"/>
    <w:rsid w:val="00C348E9"/>
    <w:rsid w:val="00C349E4"/>
    <w:rsid w:val="00C34E33"/>
    <w:rsid w:val="00C350EE"/>
    <w:rsid w:val="00C35212"/>
    <w:rsid w:val="00C357BD"/>
    <w:rsid w:val="00C35C35"/>
    <w:rsid w:val="00C35CB9"/>
    <w:rsid w:val="00C35DED"/>
    <w:rsid w:val="00C35F32"/>
    <w:rsid w:val="00C3613F"/>
    <w:rsid w:val="00C36257"/>
    <w:rsid w:val="00C369AB"/>
    <w:rsid w:val="00C36A29"/>
    <w:rsid w:val="00C36B71"/>
    <w:rsid w:val="00C36BD6"/>
    <w:rsid w:val="00C36E38"/>
    <w:rsid w:val="00C37107"/>
    <w:rsid w:val="00C37501"/>
    <w:rsid w:val="00C375DB"/>
    <w:rsid w:val="00C3766C"/>
    <w:rsid w:val="00C376CF"/>
    <w:rsid w:val="00C37830"/>
    <w:rsid w:val="00C379A2"/>
    <w:rsid w:val="00C37B4C"/>
    <w:rsid w:val="00C37E2D"/>
    <w:rsid w:val="00C37F68"/>
    <w:rsid w:val="00C401C1"/>
    <w:rsid w:val="00C401EA"/>
    <w:rsid w:val="00C40708"/>
    <w:rsid w:val="00C409B6"/>
    <w:rsid w:val="00C40E7B"/>
    <w:rsid w:val="00C40EAE"/>
    <w:rsid w:val="00C40FDF"/>
    <w:rsid w:val="00C41349"/>
    <w:rsid w:val="00C4163A"/>
    <w:rsid w:val="00C416BC"/>
    <w:rsid w:val="00C4191B"/>
    <w:rsid w:val="00C41B48"/>
    <w:rsid w:val="00C41C73"/>
    <w:rsid w:val="00C41CD3"/>
    <w:rsid w:val="00C420A1"/>
    <w:rsid w:val="00C42187"/>
    <w:rsid w:val="00C4224A"/>
    <w:rsid w:val="00C4248E"/>
    <w:rsid w:val="00C428E0"/>
    <w:rsid w:val="00C4296B"/>
    <w:rsid w:val="00C42AD5"/>
    <w:rsid w:val="00C42F0D"/>
    <w:rsid w:val="00C4313E"/>
    <w:rsid w:val="00C43418"/>
    <w:rsid w:val="00C43900"/>
    <w:rsid w:val="00C4397F"/>
    <w:rsid w:val="00C43A18"/>
    <w:rsid w:val="00C43B09"/>
    <w:rsid w:val="00C44345"/>
    <w:rsid w:val="00C44562"/>
    <w:rsid w:val="00C446ED"/>
    <w:rsid w:val="00C446FC"/>
    <w:rsid w:val="00C44715"/>
    <w:rsid w:val="00C44951"/>
    <w:rsid w:val="00C44A02"/>
    <w:rsid w:val="00C44BBC"/>
    <w:rsid w:val="00C44BC9"/>
    <w:rsid w:val="00C44D12"/>
    <w:rsid w:val="00C44D13"/>
    <w:rsid w:val="00C451C0"/>
    <w:rsid w:val="00C453B6"/>
    <w:rsid w:val="00C4544A"/>
    <w:rsid w:val="00C459A9"/>
    <w:rsid w:val="00C459C1"/>
    <w:rsid w:val="00C45A43"/>
    <w:rsid w:val="00C4620D"/>
    <w:rsid w:val="00C46317"/>
    <w:rsid w:val="00C4656A"/>
    <w:rsid w:val="00C4666F"/>
    <w:rsid w:val="00C466FC"/>
    <w:rsid w:val="00C46940"/>
    <w:rsid w:val="00C46B8C"/>
    <w:rsid w:val="00C46CD2"/>
    <w:rsid w:val="00C4708A"/>
    <w:rsid w:val="00C4726F"/>
    <w:rsid w:val="00C474AC"/>
    <w:rsid w:val="00C474B4"/>
    <w:rsid w:val="00C477FB"/>
    <w:rsid w:val="00C479EB"/>
    <w:rsid w:val="00C47B91"/>
    <w:rsid w:val="00C47DED"/>
    <w:rsid w:val="00C5005E"/>
    <w:rsid w:val="00C505CC"/>
    <w:rsid w:val="00C507A1"/>
    <w:rsid w:val="00C50BDF"/>
    <w:rsid w:val="00C50CC1"/>
    <w:rsid w:val="00C50D72"/>
    <w:rsid w:val="00C50DB9"/>
    <w:rsid w:val="00C5107E"/>
    <w:rsid w:val="00C515A6"/>
    <w:rsid w:val="00C51683"/>
    <w:rsid w:val="00C517E1"/>
    <w:rsid w:val="00C51802"/>
    <w:rsid w:val="00C519CB"/>
    <w:rsid w:val="00C51DEA"/>
    <w:rsid w:val="00C51E16"/>
    <w:rsid w:val="00C520B6"/>
    <w:rsid w:val="00C5236F"/>
    <w:rsid w:val="00C526D7"/>
    <w:rsid w:val="00C52718"/>
    <w:rsid w:val="00C52849"/>
    <w:rsid w:val="00C528EA"/>
    <w:rsid w:val="00C52C3A"/>
    <w:rsid w:val="00C52C8C"/>
    <w:rsid w:val="00C5307F"/>
    <w:rsid w:val="00C530B1"/>
    <w:rsid w:val="00C53305"/>
    <w:rsid w:val="00C53506"/>
    <w:rsid w:val="00C53608"/>
    <w:rsid w:val="00C537DD"/>
    <w:rsid w:val="00C53B91"/>
    <w:rsid w:val="00C53F5F"/>
    <w:rsid w:val="00C540B2"/>
    <w:rsid w:val="00C540C8"/>
    <w:rsid w:val="00C54827"/>
    <w:rsid w:val="00C54C9F"/>
    <w:rsid w:val="00C54DAC"/>
    <w:rsid w:val="00C54EB0"/>
    <w:rsid w:val="00C54F48"/>
    <w:rsid w:val="00C54F7F"/>
    <w:rsid w:val="00C55287"/>
    <w:rsid w:val="00C555EB"/>
    <w:rsid w:val="00C557B7"/>
    <w:rsid w:val="00C55999"/>
    <w:rsid w:val="00C55AE6"/>
    <w:rsid w:val="00C55E28"/>
    <w:rsid w:val="00C55FC0"/>
    <w:rsid w:val="00C5639A"/>
    <w:rsid w:val="00C56540"/>
    <w:rsid w:val="00C565FC"/>
    <w:rsid w:val="00C56617"/>
    <w:rsid w:val="00C56A0A"/>
    <w:rsid w:val="00C56B29"/>
    <w:rsid w:val="00C56C11"/>
    <w:rsid w:val="00C56FE1"/>
    <w:rsid w:val="00C57291"/>
    <w:rsid w:val="00C572A8"/>
    <w:rsid w:val="00C573EB"/>
    <w:rsid w:val="00C57701"/>
    <w:rsid w:val="00C57868"/>
    <w:rsid w:val="00C600CB"/>
    <w:rsid w:val="00C6060E"/>
    <w:rsid w:val="00C6073A"/>
    <w:rsid w:val="00C60831"/>
    <w:rsid w:val="00C60A4A"/>
    <w:rsid w:val="00C60FA8"/>
    <w:rsid w:val="00C61407"/>
    <w:rsid w:val="00C615E6"/>
    <w:rsid w:val="00C618F0"/>
    <w:rsid w:val="00C6199B"/>
    <w:rsid w:val="00C619B6"/>
    <w:rsid w:val="00C61A83"/>
    <w:rsid w:val="00C61D41"/>
    <w:rsid w:val="00C620E3"/>
    <w:rsid w:val="00C620F8"/>
    <w:rsid w:val="00C621E3"/>
    <w:rsid w:val="00C625B8"/>
    <w:rsid w:val="00C62AB8"/>
    <w:rsid w:val="00C62C9E"/>
    <w:rsid w:val="00C62CE4"/>
    <w:rsid w:val="00C62E03"/>
    <w:rsid w:val="00C62E6E"/>
    <w:rsid w:val="00C62F77"/>
    <w:rsid w:val="00C63439"/>
    <w:rsid w:val="00C634E4"/>
    <w:rsid w:val="00C63590"/>
    <w:rsid w:val="00C63972"/>
    <w:rsid w:val="00C63B69"/>
    <w:rsid w:val="00C63BA3"/>
    <w:rsid w:val="00C63BAE"/>
    <w:rsid w:val="00C640FC"/>
    <w:rsid w:val="00C6425B"/>
    <w:rsid w:val="00C644AE"/>
    <w:rsid w:val="00C64602"/>
    <w:rsid w:val="00C648B4"/>
    <w:rsid w:val="00C64AA9"/>
    <w:rsid w:val="00C650E4"/>
    <w:rsid w:val="00C65731"/>
    <w:rsid w:val="00C65996"/>
    <w:rsid w:val="00C65AD4"/>
    <w:rsid w:val="00C65CF1"/>
    <w:rsid w:val="00C65D97"/>
    <w:rsid w:val="00C668DB"/>
    <w:rsid w:val="00C669C0"/>
    <w:rsid w:val="00C669D3"/>
    <w:rsid w:val="00C66A29"/>
    <w:rsid w:val="00C66B6F"/>
    <w:rsid w:val="00C66DBA"/>
    <w:rsid w:val="00C67423"/>
    <w:rsid w:val="00C67650"/>
    <w:rsid w:val="00C67689"/>
    <w:rsid w:val="00C67735"/>
    <w:rsid w:val="00C67879"/>
    <w:rsid w:val="00C67B06"/>
    <w:rsid w:val="00C67CC3"/>
    <w:rsid w:val="00C67E1A"/>
    <w:rsid w:val="00C70021"/>
    <w:rsid w:val="00C70117"/>
    <w:rsid w:val="00C70483"/>
    <w:rsid w:val="00C70531"/>
    <w:rsid w:val="00C709E9"/>
    <w:rsid w:val="00C70DB6"/>
    <w:rsid w:val="00C7104D"/>
    <w:rsid w:val="00C71348"/>
    <w:rsid w:val="00C7140D"/>
    <w:rsid w:val="00C71643"/>
    <w:rsid w:val="00C717EF"/>
    <w:rsid w:val="00C717F5"/>
    <w:rsid w:val="00C71A39"/>
    <w:rsid w:val="00C71B22"/>
    <w:rsid w:val="00C71F2B"/>
    <w:rsid w:val="00C7238A"/>
    <w:rsid w:val="00C7257D"/>
    <w:rsid w:val="00C725F7"/>
    <w:rsid w:val="00C7273A"/>
    <w:rsid w:val="00C72E0B"/>
    <w:rsid w:val="00C72E21"/>
    <w:rsid w:val="00C72F59"/>
    <w:rsid w:val="00C730BF"/>
    <w:rsid w:val="00C7317D"/>
    <w:rsid w:val="00C73187"/>
    <w:rsid w:val="00C73253"/>
    <w:rsid w:val="00C73810"/>
    <w:rsid w:val="00C73863"/>
    <w:rsid w:val="00C7397B"/>
    <w:rsid w:val="00C73B91"/>
    <w:rsid w:val="00C73BD1"/>
    <w:rsid w:val="00C73CFD"/>
    <w:rsid w:val="00C73EBD"/>
    <w:rsid w:val="00C73ECE"/>
    <w:rsid w:val="00C7480D"/>
    <w:rsid w:val="00C74A17"/>
    <w:rsid w:val="00C74ABA"/>
    <w:rsid w:val="00C74F4E"/>
    <w:rsid w:val="00C750C2"/>
    <w:rsid w:val="00C751A9"/>
    <w:rsid w:val="00C754E8"/>
    <w:rsid w:val="00C755B5"/>
    <w:rsid w:val="00C75ABE"/>
    <w:rsid w:val="00C75B43"/>
    <w:rsid w:val="00C75C43"/>
    <w:rsid w:val="00C76092"/>
    <w:rsid w:val="00C76206"/>
    <w:rsid w:val="00C76476"/>
    <w:rsid w:val="00C767AC"/>
    <w:rsid w:val="00C76D16"/>
    <w:rsid w:val="00C76E9D"/>
    <w:rsid w:val="00C76F60"/>
    <w:rsid w:val="00C76F97"/>
    <w:rsid w:val="00C77053"/>
    <w:rsid w:val="00C77486"/>
    <w:rsid w:val="00C777C8"/>
    <w:rsid w:val="00C778CF"/>
    <w:rsid w:val="00C77A24"/>
    <w:rsid w:val="00C77CC1"/>
    <w:rsid w:val="00C77CCD"/>
    <w:rsid w:val="00C77D2D"/>
    <w:rsid w:val="00C77D76"/>
    <w:rsid w:val="00C80340"/>
    <w:rsid w:val="00C80AE9"/>
    <w:rsid w:val="00C80BC5"/>
    <w:rsid w:val="00C80E62"/>
    <w:rsid w:val="00C8113B"/>
    <w:rsid w:val="00C81302"/>
    <w:rsid w:val="00C8145C"/>
    <w:rsid w:val="00C8154B"/>
    <w:rsid w:val="00C815BB"/>
    <w:rsid w:val="00C8192E"/>
    <w:rsid w:val="00C81C6E"/>
    <w:rsid w:val="00C82107"/>
    <w:rsid w:val="00C823F8"/>
    <w:rsid w:val="00C828ED"/>
    <w:rsid w:val="00C82AD2"/>
    <w:rsid w:val="00C83147"/>
    <w:rsid w:val="00C83610"/>
    <w:rsid w:val="00C837BD"/>
    <w:rsid w:val="00C83B4A"/>
    <w:rsid w:val="00C83BFC"/>
    <w:rsid w:val="00C83F3D"/>
    <w:rsid w:val="00C8415B"/>
    <w:rsid w:val="00C84402"/>
    <w:rsid w:val="00C844CD"/>
    <w:rsid w:val="00C8464F"/>
    <w:rsid w:val="00C8467C"/>
    <w:rsid w:val="00C84844"/>
    <w:rsid w:val="00C84B18"/>
    <w:rsid w:val="00C84D54"/>
    <w:rsid w:val="00C84E5E"/>
    <w:rsid w:val="00C84F2C"/>
    <w:rsid w:val="00C84FCB"/>
    <w:rsid w:val="00C85204"/>
    <w:rsid w:val="00C8548D"/>
    <w:rsid w:val="00C85587"/>
    <w:rsid w:val="00C857A6"/>
    <w:rsid w:val="00C85B53"/>
    <w:rsid w:val="00C85D81"/>
    <w:rsid w:val="00C867A9"/>
    <w:rsid w:val="00C86967"/>
    <w:rsid w:val="00C86C24"/>
    <w:rsid w:val="00C86C6A"/>
    <w:rsid w:val="00C86D32"/>
    <w:rsid w:val="00C87199"/>
    <w:rsid w:val="00C8720B"/>
    <w:rsid w:val="00C872D5"/>
    <w:rsid w:val="00C876FB"/>
    <w:rsid w:val="00C8777E"/>
    <w:rsid w:val="00C87BDB"/>
    <w:rsid w:val="00C87C3F"/>
    <w:rsid w:val="00C900C5"/>
    <w:rsid w:val="00C902D4"/>
    <w:rsid w:val="00C90AB1"/>
    <w:rsid w:val="00C90ADD"/>
    <w:rsid w:val="00C90C38"/>
    <w:rsid w:val="00C9100F"/>
    <w:rsid w:val="00C911CA"/>
    <w:rsid w:val="00C91909"/>
    <w:rsid w:val="00C9231E"/>
    <w:rsid w:val="00C9235D"/>
    <w:rsid w:val="00C92715"/>
    <w:rsid w:val="00C928C5"/>
    <w:rsid w:val="00C928F0"/>
    <w:rsid w:val="00C92A52"/>
    <w:rsid w:val="00C92A9A"/>
    <w:rsid w:val="00C92CAD"/>
    <w:rsid w:val="00C93088"/>
    <w:rsid w:val="00C9338B"/>
    <w:rsid w:val="00C9363D"/>
    <w:rsid w:val="00C93995"/>
    <w:rsid w:val="00C93D48"/>
    <w:rsid w:val="00C93DCA"/>
    <w:rsid w:val="00C93FB2"/>
    <w:rsid w:val="00C94147"/>
    <w:rsid w:val="00C94166"/>
    <w:rsid w:val="00C94247"/>
    <w:rsid w:val="00C94845"/>
    <w:rsid w:val="00C948FD"/>
    <w:rsid w:val="00C94BF3"/>
    <w:rsid w:val="00C9527F"/>
    <w:rsid w:val="00C95965"/>
    <w:rsid w:val="00C95C49"/>
    <w:rsid w:val="00C96223"/>
    <w:rsid w:val="00C96642"/>
    <w:rsid w:val="00C96BCD"/>
    <w:rsid w:val="00C96D1F"/>
    <w:rsid w:val="00C96E2B"/>
    <w:rsid w:val="00C96E77"/>
    <w:rsid w:val="00C9705F"/>
    <w:rsid w:val="00C9755E"/>
    <w:rsid w:val="00C979AE"/>
    <w:rsid w:val="00C97C29"/>
    <w:rsid w:val="00C97E10"/>
    <w:rsid w:val="00CA02AD"/>
    <w:rsid w:val="00CA04AB"/>
    <w:rsid w:val="00CA0547"/>
    <w:rsid w:val="00CA0553"/>
    <w:rsid w:val="00CA0614"/>
    <w:rsid w:val="00CA0907"/>
    <w:rsid w:val="00CA090B"/>
    <w:rsid w:val="00CA0A41"/>
    <w:rsid w:val="00CA0FEA"/>
    <w:rsid w:val="00CA11A1"/>
    <w:rsid w:val="00CA16E5"/>
    <w:rsid w:val="00CA1A0B"/>
    <w:rsid w:val="00CA1CEF"/>
    <w:rsid w:val="00CA2123"/>
    <w:rsid w:val="00CA2623"/>
    <w:rsid w:val="00CA286A"/>
    <w:rsid w:val="00CA2C00"/>
    <w:rsid w:val="00CA2C1B"/>
    <w:rsid w:val="00CA2C84"/>
    <w:rsid w:val="00CA2D09"/>
    <w:rsid w:val="00CA2D95"/>
    <w:rsid w:val="00CA2E2A"/>
    <w:rsid w:val="00CA2FD0"/>
    <w:rsid w:val="00CA3362"/>
    <w:rsid w:val="00CA3418"/>
    <w:rsid w:val="00CA3503"/>
    <w:rsid w:val="00CA35CB"/>
    <w:rsid w:val="00CA4130"/>
    <w:rsid w:val="00CA4133"/>
    <w:rsid w:val="00CA4328"/>
    <w:rsid w:val="00CA44BA"/>
    <w:rsid w:val="00CA4651"/>
    <w:rsid w:val="00CA4B48"/>
    <w:rsid w:val="00CA5053"/>
    <w:rsid w:val="00CA525D"/>
    <w:rsid w:val="00CA58B3"/>
    <w:rsid w:val="00CA59C4"/>
    <w:rsid w:val="00CA5A6F"/>
    <w:rsid w:val="00CA5CD0"/>
    <w:rsid w:val="00CA5D16"/>
    <w:rsid w:val="00CA6058"/>
    <w:rsid w:val="00CA6105"/>
    <w:rsid w:val="00CA612E"/>
    <w:rsid w:val="00CA6237"/>
    <w:rsid w:val="00CA6410"/>
    <w:rsid w:val="00CA6512"/>
    <w:rsid w:val="00CA6A51"/>
    <w:rsid w:val="00CA6DB2"/>
    <w:rsid w:val="00CA729B"/>
    <w:rsid w:val="00CA7387"/>
    <w:rsid w:val="00CA78E7"/>
    <w:rsid w:val="00CA7B04"/>
    <w:rsid w:val="00CA7B37"/>
    <w:rsid w:val="00CA7E08"/>
    <w:rsid w:val="00CB0251"/>
    <w:rsid w:val="00CB0266"/>
    <w:rsid w:val="00CB03DB"/>
    <w:rsid w:val="00CB0513"/>
    <w:rsid w:val="00CB06EB"/>
    <w:rsid w:val="00CB08B2"/>
    <w:rsid w:val="00CB098E"/>
    <w:rsid w:val="00CB0B10"/>
    <w:rsid w:val="00CB0C1B"/>
    <w:rsid w:val="00CB0CF3"/>
    <w:rsid w:val="00CB1390"/>
    <w:rsid w:val="00CB1400"/>
    <w:rsid w:val="00CB16BD"/>
    <w:rsid w:val="00CB1B88"/>
    <w:rsid w:val="00CB1F84"/>
    <w:rsid w:val="00CB202D"/>
    <w:rsid w:val="00CB22AC"/>
    <w:rsid w:val="00CB2345"/>
    <w:rsid w:val="00CB2853"/>
    <w:rsid w:val="00CB2A1C"/>
    <w:rsid w:val="00CB2ADC"/>
    <w:rsid w:val="00CB2B5F"/>
    <w:rsid w:val="00CB2BBB"/>
    <w:rsid w:val="00CB2C47"/>
    <w:rsid w:val="00CB2FDD"/>
    <w:rsid w:val="00CB2FFE"/>
    <w:rsid w:val="00CB3031"/>
    <w:rsid w:val="00CB3047"/>
    <w:rsid w:val="00CB3122"/>
    <w:rsid w:val="00CB3388"/>
    <w:rsid w:val="00CB3393"/>
    <w:rsid w:val="00CB3411"/>
    <w:rsid w:val="00CB3E0F"/>
    <w:rsid w:val="00CB4234"/>
    <w:rsid w:val="00CB4603"/>
    <w:rsid w:val="00CB48FB"/>
    <w:rsid w:val="00CB4E5E"/>
    <w:rsid w:val="00CB5450"/>
    <w:rsid w:val="00CB54F4"/>
    <w:rsid w:val="00CB5722"/>
    <w:rsid w:val="00CB5D13"/>
    <w:rsid w:val="00CB5E67"/>
    <w:rsid w:val="00CB6625"/>
    <w:rsid w:val="00CB66B1"/>
    <w:rsid w:val="00CB6751"/>
    <w:rsid w:val="00CB68E4"/>
    <w:rsid w:val="00CB6BA8"/>
    <w:rsid w:val="00CB727F"/>
    <w:rsid w:val="00CB72CC"/>
    <w:rsid w:val="00CB746C"/>
    <w:rsid w:val="00CB7534"/>
    <w:rsid w:val="00CB755D"/>
    <w:rsid w:val="00CB7831"/>
    <w:rsid w:val="00CB7A46"/>
    <w:rsid w:val="00CB7C87"/>
    <w:rsid w:val="00CB7CDA"/>
    <w:rsid w:val="00CB7DAE"/>
    <w:rsid w:val="00CB7DB3"/>
    <w:rsid w:val="00CB7DD1"/>
    <w:rsid w:val="00CB7FD6"/>
    <w:rsid w:val="00CC0027"/>
    <w:rsid w:val="00CC0052"/>
    <w:rsid w:val="00CC0238"/>
    <w:rsid w:val="00CC04A2"/>
    <w:rsid w:val="00CC0888"/>
    <w:rsid w:val="00CC0913"/>
    <w:rsid w:val="00CC0F4F"/>
    <w:rsid w:val="00CC0F55"/>
    <w:rsid w:val="00CC13BB"/>
    <w:rsid w:val="00CC14FF"/>
    <w:rsid w:val="00CC1C52"/>
    <w:rsid w:val="00CC270B"/>
    <w:rsid w:val="00CC2846"/>
    <w:rsid w:val="00CC2923"/>
    <w:rsid w:val="00CC2B13"/>
    <w:rsid w:val="00CC2EAB"/>
    <w:rsid w:val="00CC325B"/>
    <w:rsid w:val="00CC33D0"/>
    <w:rsid w:val="00CC34ED"/>
    <w:rsid w:val="00CC35E2"/>
    <w:rsid w:val="00CC35E8"/>
    <w:rsid w:val="00CC376F"/>
    <w:rsid w:val="00CC38CC"/>
    <w:rsid w:val="00CC3ACA"/>
    <w:rsid w:val="00CC3DF9"/>
    <w:rsid w:val="00CC3F68"/>
    <w:rsid w:val="00CC43DA"/>
    <w:rsid w:val="00CC44B2"/>
    <w:rsid w:val="00CC4685"/>
    <w:rsid w:val="00CC46E1"/>
    <w:rsid w:val="00CC492D"/>
    <w:rsid w:val="00CC4CF8"/>
    <w:rsid w:val="00CC503F"/>
    <w:rsid w:val="00CC506F"/>
    <w:rsid w:val="00CC515D"/>
    <w:rsid w:val="00CC53E9"/>
    <w:rsid w:val="00CC57F2"/>
    <w:rsid w:val="00CC6121"/>
    <w:rsid w:val="00CC6336"/>
    <w:rsid w:val="00CC660E"/>
    <w:rsid w:val="00CC680A"/>
    <w:rsid w:val="00CC6A49"/>
    <w:rsid w:val="00CC6AA5"/>
    <w:rsid w:val="00CC6FA4"/>
    <w:rsid w:val="00CC702F"/>
    <w:rsid w:val="00CC71EC"/>
    <w:rsid w:val="00CC7398"/>
    <w:rsid w:val="00CC7554"/>
    <w:rsid w:val="00CC7677"/>
    <w:rsid w:val="00CC76E5"/>
    <w:rsid w:val="00CC7796"/>
    <w:rsid w:val="00CC77E5"/>
    <w:rsid w:val="00CC7876"/>
    <w:rsid w:val="00CC7C5E"/>
    <w:rsid w:val="00CC7DCC"/>
    <w:rsid w:val="00CD0175"/>
    <w:rsid w:val="00CD0826"/>
    <w:rsid w:val="00CD0C88"/>
    <w:rsid w:val="00CD0E4B"/>
    <w:rsid w:val="00CD13E3"/>
    <w:rsid w:val="00CD1DA7"/>
    <w:rsid w:val="00CD2072"/>
    <w:rsid w:val="00CD20B3"/>
    <w:rsid w:val="00CD21A1"/>
    <w:rsid w:val="00CD2362"/>
    <w:rsid w:val="00CD240B"/>
    <w:rsid w:val="00CD24F8"/>
    <w:rsid w:val="00CD28D7"/>
    <w:rsid w:val="00CD2924"/>
    <w:rsid w:val="00CD2A09"/>
    <w:rsid w:val="00CD2E3D"/>
    <w:rsid w:val="00CD3205"/>
    <w:rsid w:val="00CD322C"/>
    <w:rsid w:val="00CD3CB2"/>
    <w:rsid w:val="00CD3CB6"/>
    <w:rsid w:val="00CD418B"/>
    <w:rsid w:val="00CD41C9"/>
    <w:rsid w:val="00CD4389"/>
    <w:rsid w:val="00CD47E4"/>
    <w:rsid w:val="00CD4B3F"/>
    <w:rsid w:val="00CD4B87"/>
    <w:rsid w:val="00CD4D0C"/>
    <w:rsid w:val="00CD4E85"/>
    <w:rsid w:val="00CD501B"/>
    <w:rsid w:val="00CD519E"/>
    <w:rsid w:val="00CD5470"/>
    <w:rsid w:val="00CD553B"/>
    <w:rsid w:val="00CD56AD"/>
    <w:rsid w:val="00CD5991"/>
    <w:rsid w:val="00CD5C2A"/>
    <w:rsid w:val="00CD5D27"/>
    <w:rsid w:val="00CD5DF7"/>
    <w:rsid w:val="00CD5E7E"/>
    <w:rsid w:val="00CD60E7"/>
    <w:rsid w:val="00CD6431"/>
    <w:rsid w:val="00CD6607"/>
    <w:rsid w:val="00CD6AA9"/>
    <w:rsid w:val="00CD6BC9"/>
    <w:rsid w:val="00CD77A9"/>
    <w:rsid w:val="00CD7B41"/>
    <w:rsid w:val="00CD7BD0"/>
    <w:rsid w:val="00CD7DA2"/>
    <w:rsid w:val="00CE01CE"/>
    <w:rsid w:val="00CE0383"/>
    <w:rsid w:val="00CE0510"/>
    <w:rsid w:val="00CE0694"/>
    <w:rsid w:val="00CE089A"/>
    <w:rsid w:val="00CE0E6A"/>
    <w:rsid w:val="00CE0F9D"/>
    <w:rsid w:val="00CE19A1"/>
    <w:rsid w:val="00CE1A5C"/>
    <w:rsid w:val="00CE1A7E"/>
    <w:rsid w:val="00CE1B4B"/>
    <w:rsid w:val="00CE200C"/>
    <w:rsid w:val="00CE210F"/>
    <w:rsid w:val="00CE24BF"/>
    <w:rsid w:val="00CE2A23"/>
    <w:rsid w:val="00CE2C8D"/>
    <w:rsid w:val="00CE2CCB"/>
    <w:rsid w:val="00CE3047"/>
    <w:rsid w:val="00CE327E"/>
    <w:rsid w:val="00CE33B5"/>
    <w:rsid w:val="00CE373A"/>
    <w:rsid w:val="00CE3919"/>
    <w:rsid w:val="00CE39F0"/>
    <w:rsid w:val="00CE3ED4"/>
    <w:rsid w:val="00CE428B"/>
    <w:rsid w:val="00CE444A"/>
    <w:rsid w:val="00CE44A1"/>
    <w:rsid w:val="00CE45B1"/>
    <w:rsid w:val="00CE4804"/>
    <w:rsid w:val="00CE4ED2"/>
    <w:rsid w:val="00CE52C2"/>
    <w:rsid w:val="00CE5845"/>
    <w:rsid w:val="00CE5917"/>
    <w:rsid w:val="00CE5A0E"/>
    <w:rsid w:val="00CE5B03"/>
    <w:rsid w:val="00CE5B35"/>
    <w:rsid w:val="00CE69A0"/>
    <w:rsid w:val="00CE69ED"/>
    <w:rsid w:val="00CE6ED7"/>
    <w:rsid w:val="00CE72CA"/>
    <w:rsid w:val="00CE7A93"/>
    <w:rsid w:val="00CE7AEC"/>
    <w:rsid w:val="00CE7C3D"/>
    <w:rsid w:val="00CF01EF"/>
    <w:rsid w:val="00CF0258"/>
    <w:rsid w:val="00CF0397"/>
    <w:rsid w:val="00CF0619"/>
    <w:rsid w:val="00CF0807"/>
    <w:rsid w:val="00CF09FA"/>
    <w:rsid w:val="00CF0CC5"/>
    <w:rsid w:val="00CF0E3E"/>
    <w:rsid w:val="00CF0EA2"/>
    <w:rsid w:val="00CF1027"/>
    <w:rsid w:val="00CF1294"/>
    <w:rsid w:val="00CF13E8"/>
    <w:rsid w:val="00CF1440"/>
    <w:rsid w:val="00CF1595"/>
    <w:rsid w:val="00CF15CA"/>
    <w:rsid w:val="00CF16CB"/>
    <w:rsid w:val="00CF1704"/>
    <w:rsid w:val="00CF1760"/>
    <w:rsid w:val="00CF17CE"/>
    <w:rsid w:val="00CF197F"/>
    <w:rsid w:val="00CF1BF9"/>
    <w:rsid w:val="00CF1D22"/>
    <w:rsid w:val="00CF1DB2"/>
    <w:rsid w:val="00CF24EC"/>
    <w:rsid w:val="00CF284B"/>
    <w:rsid w:val="00CF2DB0"/>
    <w:rsid w:val="00CF2DF9"/>
    <w:rsid w:val="00CF3515"/>
    <w:rsid w:val="00CF351C"/>
    <w:rsid w:val="00CF3889"/>
    <w:rsid w:val="00CF39FE"/>
    <w:rsid w:val="00CF3BEA"/>
    <w:rsid w:val="00CF3C77"/>
    <w:rsid w:val="00CF3EB8"/>
    <w:rsid w:val="00CF3F7D"/>
    <w:rsid w:val="00CF45E6"/>
    <w:rsid w:val="00CF4604"/>
    <w:rsid w:val="00CF48F3"/>
    <w:rsid w:val="00CF490D"/>
    <w:rsid w:val="00CF4995"/>
    <w:rsid w:val="00CF4EAE"/>
    <w:rsid w:val="00CF4F96"/>
    <w:rsid w:val="00CF4F98"/>
    <w:rsid w:val="00CF51FD"/>
    <w:rsid w:val="00CF5344"/>
    <w:rsid w:val="00CF54A3"/>
    <w:rsid w:val="00CF55F5"/>
    <w:rsid w:val="00CF566F"/>
    <w:rsid w:val="00CF57C2"/>
    <w:rsid w:val="00CF58F0"/>
    <w:rsid w:val="00CF5939"/>
    <w:rsid w:val="00CF5BE9"/>
    <w:rsid w:val="00CF5CBE"/>
    <w:rsid w:val="00CF61A9"/>
    <w:rsid w:val="00CF61B2"/>
    <w:rsid w:val="00CF662E"/>
    <w:rsid w:val="00CF684B"/>
    <w:rsid w:val="00CF6A00"/>
    <w:rsid w:val="00CF6CD9"/>
    <w:rsid w:val="00CF709A"/>
    <w:rsid w:val="00CF70DE"/>
    <w:rsid w:val="00CF7271"/>
    <w:rsid w:val="00CF75B8"/>
    <w:rsid w:val="00CF75E1"/>
    <w:rsid w:val="00CF77C9"/>
    <w:rsid w:val="00CF7A08"/>
    <w:rsid w:val="00CF7A44"/>
    <w:rsid w:val="00CF7B09"/>
    <w:rsid w:val="00CF7BFC"/>
    <w:rsid w:val="00CF7DC7"/>
    <w:rsid w:val="00CF7EA3"/>
    <w:rsid w:val="00D004A1"/>
    <w:rsid w:val="00D0057D"/>
    <w:rsid w:val="00D006E3"/>
    <w:rsid w:val="00D00C4C"/>
    <w:rsid w:val="00D00CA2"/>
    <w:rsid w:val="00D00FDC"/>
    <w:rsid w:val="00D00FF5"/>
    <w:rsid w:val="00D01063"/>
    <w:rsid w:val="00D01341"/>
    <w:rsid w:val="00D01541"/>
    <w:rsid w:val="00D01712"/>
    <w:rsid w:val="00D018B8"/>
    <w:rsid w:val="00D01938"/>
    <w:rsid w:val="00D0194E"/>
    <w:rsid w:val="00D019D4"/>
    <w:rsid w:val="00D01CA5"/>
    <w:rsid w:val="00D01D5C"/>
    <w:rsid w:val="00D01F76"/>
    <w:rsid w:val="00D02384"/>
    <w:rsid w:val="00D024FB"/>
    <w:rsid w:val="00D02699"/>
    <w:rsid w:val="00D026DC"/>
    <w:rsid w:val="00D02772"/>
    <w:rsid w:val="00D027EF"/>
    <w:rsid w:val="00D0285C"/>
    <w:rsid w:val="00D02914"/>
    <w:rsid w:val="00D029F4"/>
    <w:rsid w:val="00D02DB9"/>
    <w:rsid w:val="00D02E9D"/>
    <w:rsid w:val="00D02F1D"/>
    <w:rsid w:val="00D0339E"/>
    <w:rsid w:val="00D03577"/>
    <w:rsid w:val="00D037DD"/>
    <w:rsid w:val="00D039D2"/>
    <w:rsid w:val="00D03BFA"/>
    <w:rsid w:val="00D03C6D"/>
    <w:rsid w:val="00D04310"/>
    <w:rsid w:val="00D04457"/>
    <w:rsid w:val="00D0498C"/>
    <w:rsid w:val="00D04ACD"/>
    <w:rsid w:val="00D04B94"/>
    <w:rsid w:val="00D04C29"/>
    <w:rsid w:val="00D04C36"/>
    <w:rsid w:val="00D04F24"/>
    <w:rsid w:val="00D0533E"/>
    <w:rsid w:val="00D053A5"/>
    <w:rsid w:val="00D05410"/>
    <w:rsid w:val="00D05533"/>
    <w:rsid w:val="00D05A07"/>
    <w:rsid w:val="00D05B1C"/>
    <w:rsid w:val="00D05B28"/>
    <w:rsid w:val="00D05D2A"/>
    <w:rsid w:val="00D06148"/>
    <w:rsid w:val="00D062FF"/>
    <w:rsid w:val="00D06426"/>
    <w:rsid w:val="00D06451"/>
    <w:rsid w:val="00D064C7"/>
    <w:rsid w:val="00D06562"/>
    <w:rsid w:val="00D06818"/>
    <w:rsid w:val="00D06EC6"/>
    <w:rsid w:val="00D06F38"/>
    <w:rsid w:val="00D06F92"/>
    <w:rsid w:val="00D07260"/>
    <w:rsid w:val="00D0755B"/>
    <w:rsid w:val="00D075AB"/>
    <w:rsid w:val="00D07797"/>
    <w:rsid w:val="00D079E7"/>
    <w:rsid w:val="00D1067D"/>
    <w:rsid w:val="00D10729"/>
    <w:rsid w:val="00D10833"/>
    <w:rsid w:val="00D109FB"/>
    <w:rsid w:val="00D11129"/>
    <w:rsid w:val="00D11210"/>
    <w:rsid w:val="00D11286"/>
    <w:rsid w:val="00D1163F"/>
    <w:rsid w:val="00D1183C"/>
    <w:rsid w:val="00D11849"/>
    <w:rsid w:val="00D11BD0"/>
    <w:rsid w:val="00D11CBD"/>
    <w:rsid w:val="00D11E9E"/>
    <w:rsid w:val="00D12715"/>
    <w:rsid w:val="00D12AAA"/>
    <w:rsid w:val="00D13470"/>
    <w:rsid w:val="00D134A3"/>
    <w:rsid w:val="00D13604"/>
    <w:rsid w:val="00D13782"/>
    <w:rsid w:val="00D137A1"/>
    <w:rsid w:val="00D137EE"/>
    <w:rsid w:val="00D13897"/>
    <w:rsid w:val="00D138BC"/>
    <w:rsid w:val="00D138E9"/>
    <w:rsid w:val="00D13ADA"/>
    <w:rsid w:val="00D13AFA"/>
    <w:rsid w:val="00D13D81"/>
    <w:rsid w:val="00D13FA3"/>
    <w:rsid w:val="00D13FC4"/>
    <w:rsid w:val="00D14321"/>
    <w:rsid w:val="00D14369"/>
    <w:rsid w:val="00D144B9"/>
    <w:rsid w:val="00D14579"/>
    <w:rsid w:val="00D145AA"/>
    <w:rsid w:val="00D1477F"/>
    <w:rsid w:val="00D14857"/>
    <w:rsid w:val="00D14934"/>
    <w:rsid w:val="00D149CC"/>
    <w:rsid w:val="00D14A33"/>
    <w:rsid w:val="00D14B3B"/>
    <w:rsid w:val="00D14C91"/>
    <w:rsid w:val="00D14CCB"/>
    <w:rsid w:val="00D14FE5"/>
    <w:rsid w:val="00D1501D"/>
    <w:rsid w:val="00D151F9"/>
    <w:rsid w:val="00D15815"/>
    <w:rsid w:val="00D1594C"/>
    <w:rsid w:val="00D15ADB"/>
    <w:rsid w:val="00D16138"/>
    <w:rsid w:val="00D16225"/>
    <w:rsid w:val="00D168B8"/>
    <w:rsid w:val="00D1691F"/>
    <w:rsid w:val="00D16B87"/>
    <w:rsid w:val="00D17110"/>
    <w:rsid w:val="00D174AC"/>
    <w:rsid w:val="00D174B8"/>
    <w:rsid w:val="00D174E3"/>
    <w:rsid w:val="00D17509"/>
    <w:rsid w:val="00D177B8"/>
    <w:rsid w:val="00D17BC9"/>
    <w:rsid w:val="00D202A0"/>
    <w:rsid w:val="00D205EE"/>
    <w:rsid w:val="00D2073E"/>
    <w:rsid w:val="00D20819"/>
    <w:rsid w:val="00D208A0"/>
    <w:rsid w:val="00D20A25"/>
    <w:rsid w:val="00D20A47"/>
    <w:rsid w:val="00D20C1A"/>
    <w:rsid w:val="00D20EB6"/>
    <w:rsid w:val="00D21136"/>
    <w:rsid w:val="00D2119F"/>
    <w:rsid w:val="00D21213"/>
    <w:rsid w:val="00D2144D"/>
    <w:rsid w:val="00D215F6"/>
    <w:rsid w:val="00D21647"/>
    <w:rsid w:val="00D21763"/>
    <w:rsid w:val="00D21849"/>
    <w:rsid w:val="00D2192B"/>
    <w:rsid w:val="00D21AE3"/>
    <w:rsid w:val="00D21C3F"/>
    <w:rsid w:val="00D21C9E"/>
    <w:rsid w:val="00D21DA3"/>
    <w:rsid w:val="00D21DDA"/>
    <w:rsid w:val="00D221D7"/>
    <w:rsid w:val="00D22398"/>
    <w:rsid w:val="00D22495"/>
    <w:rsid w:val="00D22FCE"/>
    <w:rsid w:val="00D2307B"/>
    <w:rsid w:val="00D23188"/>
    <w:rsid w:val="00D23A0B"/>
    <w:rsid w:val="00D23BB9"/>
    <w:rsid w:val="00D23C56"/>
    <w:rsid w:val="00D23E0C"/>
    <w:rsid w:val="00D23F84"/>
    <w:rsid w:val="00D24168"/>
    <w:rsid w:val="00D244F2"/>
    <w:rsid w:val="00D246CF"/>
    <w:rsid w:val="00D249D4"/>
    <w:rsid w:val="00D24A9A"/>
    <w:rsid w:val="00D24C51"/>
    <w:rsid w:val="00D24E7D"/>
    <w:rsid w:val="00D24EBB"/>
    <w:rsid w:val="00D24EBD"/>
    <w:rsid w:val="00D24F15"/>
    <w:rsid w:val="00D24F3C"/>
    <w:rsid w:val="00D251AA"/>
    <w:rsid w:val="00D251E1"/>
    <w:rsid w:val="00D25323"/>
    <w:rsid w:val="00D25464"/>
    <w:rsid w:val="00D2555B"/>
    <w:rsid w:val="00D2592D"/>
    <w:rsid w:val="00D25AD6"/>
    <w:rsid w:val="00D25D2D"/>
    <w:rsid w:val="00D26431"/>
    <w:rsid w:val="00D26832"/>
    <w:rsid w:val="00D268DC"/>
    <w:rsid w:val="00D26A74"/>
    <w:rsid w:val="00D26CE8"/>
    <w:rsid w:val="00D2746F"/>
    <w:rsid w:val="00D274B4"/>
    <w:rsid w:val="00D27836"/>
    <w:rsid w:val="00D27E24"/>
    <w:rsid w:val="00D27ED5"/>
    <w:rsid w:val="00D302E5"/>
    <w:rsid w:val="00D302E6"/>
    <w:rsid w:val="00D30443"/>
    <w:rsid w:val="00D30493"/>
    <w:rsid w:val="00D304A7"/>
    <w:rsid w:val="00D308B5"/>
    <w:rsid w:val="00D30942"/>
    <w:rsid w:val="00D30D37"/>
    <w:rsid w:val="00D30D9C"/>
    <w:rsid w:val="00D30DC5"/>
    <w:rsid w:val="00D30E37"/>
    <w:rsid w:val="00D31175"/>
    <w:rsid w:val="00D314B0"/>
    <w:rsid w:val="00D314ED"/>
    <w:rsid w:val="00D3190F"/>
    <w:rsid w:val="00D31943"/>
    <w:rsid w:val="00D31DDE"/>
    <w:rsid w:val="00D321CA"/>
    <w:rsid w:val="00D323D1"/>
    <w:rsid w:val="00D32518"/>
    <w:rsid w:val="00D32D87"/>
    <w:rsid w:val="00D32F6D"/>
    <w:rsid w:val="00D33518"/>
    <w:rsid w:val="00D336E7"/>
    <w:rsid w:val="00D336EF"/>
    <w:rsid w:val="00D338AB"/>
    <w:rsid w:val="00D338D3"/>
    <w:rsid w:val="00D339BD"/>
    <w:rsid w:val="00D33AFA"/>
    <w:rsid w:val="00D33B0E"/>
    <w:rsid w:val="00D33B33"/>
    <w:rsid w:val="00D33C1E"/>
    <w:rsid w:val="00D33C56"/>
    <w:rsid w:val="00D33F38"/>
    <w:rsid w:val="00D3438D"/>
    <w:rsid w:val="00D3444B"/>
    <w:rsid w:val="00D34755"/>
    <w:rsid w:val="00D349BB"/>
    <w:rsid w:val="00D34A17"/>
    <w:rsid w:val="00D34B29"/>
    <w:rsid w:val="00D34CEC"/>
    <w:rsid w:val="00D34EA7"/>
    <w:rsid w:val="00D35197"/>
    <w:rsid w:val="00D352C9"/>
    <w:rsid w:val="00D35975"/>
    <w:rsid w:val="00D35B36"/>
    <w:rsid w:val="00D35B52"/>
    <w:rsid w:val="00D35CEE"/>
    <w:rsid w:val="00D35D15"/>
    <w:rsid w:val="00D35D73"/>
    <w:rsid w:val="00D35E6C"/>
    <w:rsid w:val="00D35EC6"/>
    <w:rsid w:val="00D35F21"/>
    <w:rsid w:val="00D361B9"/>
    <w:rsid w:val="00D362C1"/>
    <w:rsid w:val="00D362C7"/>
    <w:rsid w:val="00D362C8"/>
    <w:rsid w:val="00D362DD"/>
    <w:rsid w:val="00D36439"/>
    <w:rsid w:val="00D367A0"/>
    <w:rsid w:val="00D367F8"/>
    <w:rsid w:val="00D3680B"/>
    <w:rsid w:val="00D36A9A"/>
    <w:rsid w:val="00D36B3E"/>
    <w:rsid w:val="00D36DB5"/>
    <w:rsid w:val="00D3799A"/>
    <w:rsid w:val="00D37AB1"/>
    <w:rsid w:val="00D37C2B"/>
    <w:rsid w:val="00D37C7C"/>
    <w:rsid w:val="00D37CA2"/>
    <w:rsid w:val="00D37D06"/>
    <w:rsid w:val="00D4005A"/>
    <w:rsid w:val="00D40650"/>
    <w:rsid w:val="00D4088F"/>
    <w:rsid w:val="00D40A5F"/>
    <w:rsid w:val="00D40A7B"/>
    <w:rsid w:val="00D40A9D"/>
    <w:rsid w:val="00D41006"/>
    <w:rsid w:val="00D412F1"/>
    <w:rsid w:val="00D4147A"/>
    <w:rsid w:val="00D41750"/>
    <w:rsid w:val="00D41B3F"/>
    <w:rsid w:val="00D41BDF"/>
    <w:rsid w:val="00D420A8"/>
    <w:rsid w:val="00D4251D"/>
    <w:rsid w:val="00D427AF"/>
    <w:rsid w:val="00D4286E"/>
    <w:rsid w:val="00D428AB"/>
    <w:rsid w:val="00D42CAE"/>
    <w:rsid w:val="00D43884"/>
    <w:rsid w:val="00D43C3D"/>
    <w:rsid w:val="00D43D88"/>
    <w:rsid w:val="00D4404E"/>
    <w:rsid w:val="00D4456F"/>
    <w:rsid w:val="00D4486C"/>
    <w:rsid w:val="00D44BBC"/>
    <w:rsid w:val="00D452C2"/>
    <w:rsid w:val="00D454E9"/>
    <w:rsid w:val="00D454FE"/>
    <w:rsid w:val="00D45650"/>
    <w:rsid w:val="00D4582D"/>
    <w:rsid w:val="00D45BB1"/>
    <w:rsid w:val="00D45EF5"/>
    <w:rsid w:val="00D4608C"/>
    <w:rsid w:val="00D460C7"/>
    <w:rsid w:val="00D4618E"/>
    <w:rsid w:val="00D4643C"/>
    <w:rsid w:val="00D46542"/>
    <w:rsid w:val="00D469CB"/>
    <w:rsid w:val="00D46B1E"/>
    <w:rsid w:val="00D46BD3"/>
    <w:rsid w:val="00D46DB8"/>
    <w:rsid w:val="00D46DCE"/>
    <w:rsid w:val="00D46FA7"/>
    <w:rsid w:val="00D47222"/>
    <w:rsid w:val="00D475BB"/>
    <w:rsid w:val="00D47D5F"/>
    <w:rsid w:val="00D47F20"/>
    <w:rsid w:val="00D50303"/>
    <w:rsid w:val="00D50458"/>
    <w:rsid w:val="00D507CF"/>
    <w:rsid w:val="00D508BA"/>
    <w:rsid w:val="00D50B7D"/>
    <w:rsid w:val="00D50CCA"/>
    <w:rsid w:val="00D50E63"/>
    <w:rsid w:val="00D50E86"/>
    <w:rsid w:val="00D51226"/>
    <w:rsid w:val="00D51453"/>
    <w:rsid w:val="00D5146C"/>
    <w:rsid w:val="00D51621"/>
    <w:rsid w:val="00D517A6"/>
    <w:rsid w:val="00D51BAE"/>
    <w:rsid w:val="00D51CB9"/>
    <w:rsid w:val="00D522D4"/>
    <w:rsid w:val="00D524CF"/>
    <w:rsid w:val="00D52608"/>
    <w:rsid w:val="00D52A35"/>
    <w:rsid w:val="00D52AC4"/>
    <w:rsid w:val="00D52E10"/>
    <w:rsid w:val="00D53356"/>
    <w:rsid w:val="00D536FF"/>
    <w:rsid w:val="00D53C55"/>
    <w:rsid w:val="00D53DAB"/>
    <w:rsid w:val="00D5437C"/>
    <w:rsid w:val="00D54799"/>
    <w:rsid w:val="00D547D2"/>
    <w:rsid w:val="00D5482D"/>
    <w:rsid w:val="00D54931"/>
    <w:rsid w:val="00D54B9A"/>
    <w:rsid w:val="00D54C32"/>
    <w:rsid w:val="00D54DB4"/>
    <w:rsid w:val="00D54E78"/>
    <w:rsid w:val="00D54F45"/>
    <w:rsid w:val="00D55195"/>
    <w:rsid w:val="00D5525E"/>
    <w:rsid w:val="00D55413"/>
    <w:rsid w:val="00D55602"/>
    <w:rsid w:val="00D55874"/>
    <w:rsid w:val="00D5590A"/>
    <w:rsid w:val="00D559B4"/>
    <w:rsid w:val="00D55C4D"/>
    <w:rsid w:val="00D55E45"/>
    <w:rsid w:val="00D560E7"/>
    <w:rsid w:val="00D5646F"/>
    <w:rsid w:val="00D5654E"/>
    <w:rsid w:val="00D566E3"/>
    <w:rsid w:val="00D56C19"/>
    <w:rsid w:val="00D56C1F"/>
    <w:rsid w:val="00D57335"/>
    <w:rsid w:val="00D57558"/>
    <w:rsid w:val="00D5766C"/>
    <w:rsid w:val="00D576C8"/>
    <w:rsid w:val="00D57B60"/>
    <w:rsid w:val="00D57F29"/>
    <w:rsid w:val="00D57FC7"/>
    <w:rsid w:val="00D57FD4"/>
    <w:rsid w:val="00D6014D"/>
    <w:rsid w:val="00D6086D"/>
    <w:rsid w:val="00D60ACE"/>
    <w:rsid w:val="00D60C9E"/>
    <w:rsid w:val="00D60E0F"/>
    <w:rsid w:val="00D61057"/>
    <w:rsid w:val="00D6139B"/>
    <w:rsid w:val="00D614F0"/>
    <w:rsid w:val="00D61685"/>
    <w:rsid w:val="00D6176A"/>
    <w:rsid w:val="00D61924"/>
    <w:rsid w:val="00D619B3"/>
    <w:rsid w:val="00D61BC5"/>
    <w:rsid w:val="00D61DF1"/>
    <w:rsid w:val="00D6209E"/>
    <w:rsid w:val="00D621C7"/>
    <w:rsid w:val="00D62409"/>
    <w:rsid w:val="00D6249E"/>
    <w:rsid w:val="00D62538"/>
    <w:rsid w:val="00D62A65"/>
    <w:rsid w:val="00D62C2E"/>
    <w:rsid w:val="00D631FB"/>
    <w:rsid w:val="00D633BA"/>
    <w:rsid w:val="00D637DA"/>
    <w:rsid w:val="00D63941"/>
    <w:rsid w:val="00D63983"/>
    <w:rsid w:val="00D63F36"/>
    <w:rsid w:val="00D645C6"/>
    <w:rsid w:val="00D6487C"/>
    <w:rsid w:val="00D6490D"/>
    <w:rsid w:val="00D64C75"/>
    <w:rsid w:val="00D64D68"/>
    <w:rsid w:val="00D65438"/>
    <w:rsid w:val="00D656F3"/>
    <w:rsid w:val="00D6577A"/>
    <w:rsid w:val="00D657FE"/>
    <w:rsid w:val="00D65B37"/>
    <w:rsid w:val="00D66FC3"/>
    <w:rsid w:val="00D6711F"/>
    <w:rsid w:val="00D6738C"/>
    <w:rsid w:val="00D67846"/>
    <w:rsid w:val="00D67B62"/>
    <w:rsid w:val="00D67BBC"/>
    <w:rsid w:val="00D67CFC"/>
    <w:rsid w:val="00D67FBF"/>
    <w:rsid w:val="00D702FC"/>
    <w:rsid w:val="00D7043D"/>
    <w:rsid w:val="00D70529"/>
    <w:rsid w:val="00D70574"/>
    <w:rsid w:val="00D70A58"/>
    <w:rsid w:val="00D70DAD"/>
    <w:rsid w:val="00D70ED9"/>
    <w:rsid w:val="00D70FC7"/>
    <w:rsid w:val="00D7103B"/>
    <w:rsid w:val="00D712D6"/>
    <w:rsid w:val="00D71835"/>
    <w:rsid w:val="00D71A06"/>
    <w:rsid w:val="00D71C6A"/>
    <w:rsid w:val="00D71CE7"/>
    <w:rsid w:val="00D71D40"/>
    <w:rsid w:val="00D71F67"/>
    <w:rsid w:val="00D71FBA"/>
    <w:rsid w:val="00D71FEC"/>
    <w:rsid w:val="00D722B3"/>
    <w:rsid w:val="00D7248E"/>
    <w:rsid w:val="00D72771"/>
    <w:rsid w:val="00D72A13"/>
    <w:rsid w:val="00D72B23"/>
    <w:rsid w:val="00D72B5E"/>
    <w:rsid w:val="00D72D23"/>
    <w:rsid w:val="00D72E1A"/>
    <w:rsid w:val="00D73120"/>
    <w:rsid w:val="00D7346C"/>
    <w:rsid w:val="00D739F5"/>
    <w:rsid w:val="00D7402E"/>
    <w:rsid w:val="00D74170"/>
    <w:rsid w:val="00D74629"/>
    <w:rsid w:val="00D74681"/>
    <w:rsid w:val="00D74712"/>
    <w:rsid w:val="00D748D2"/>
    <w:rsid w:val="00D74981"/>
    <w:rsid w:val="00D74D14"/>
    <w:rsid w:val="00D754E1"/>
    <w:rsid w:val="00D7584E"/>
    <w:rsid w:val="00D75861"/>
    <w:rsid w:val="00D75DF3"/>
    <w:rsid w:val="00D76476"/>
    <w:rsid w:val="00D764F0"/>
    <w:rsid w:val="00D764F6"/>
    <w:rsid w:val="00D7657B"/>
    <w:rsid w:val="00D76693"/>
    <w:rsid w:val="00D76749"/>
    <w:rsid w:val="00D76ED3"/>
    <w:rsid w:val="00D76F6D"/>
    <w:rsid w:val="00D76F7E"/>
    <w:rsid w:val="00D770F7"/>
    <w:rsid w:val="00D7726F"/>
    <w:rsid w:val="00D777DF"/>
    <w:rsid w:val="00D77ED3"/>
    <w:rsid w:val="00D80279"/>
    <w:rsid w:val="00D80537"/>
    <w:rsid w:val="00D809E2"/>
    <w:rsid w:val="00D80C98"/>
    <w:rsid w:val="00D80D5C"/>
    <w:rsid w:val="00D80DAC"/>
    <w:rsid w:val="00D8173D"/>
    <w:rsid w:val="00D81A2A"/>
    <w:rsid w:val="00D8201D"/>
    <w:rsid w:val="00D820BD"/>
    <w:rsid w:val="00D8236D"/>
    <w:rsid w:val="00D823EA"/>
    <w:rsid w:val="00D82D45"/>
    <w:rsid w:val="00D82DF9"/>
    <w:rsid w:val="00D82E14"/>
    <w:rsid w:val="00D83001"/>
    <w:rsid w:val="00D83255"/>
    <w:rsid w:val="00D8356B"/>
    <w:rsid w:val="00D83877"/>
    <w:rsid w:val="00D838A5"/>
    <w:rsid w:val="00D8392A"/>
    <w:rsid w:val="00D840E0"/>
    <w:rsid w:val="00D841A2"/>
    <w:rsid w:val="00D843E2"/>
    <w:rsid w:val="00D84461"/>
    <w:rsid w:val="00D84560"/>
    <w:rsid w:val="00D846D7"/>
    <w:rsid w:val="00D848E3"/>
    <w:rsid w:val="00D84ADA"/>
    <w:rsid w:val="00D85035"/>
    <w:rsid w:val="00D85155"/>
    <w:rsid w:val="00D85377"/>
    <w:rsid w:val="00D858C9"/>
    <w:rsid w:val="00D85961"/>
    <w:rsid w:val="00D85AE8"/>
    <w:rsid w:val="00D85B1B"/>
    <w:rsid w:val="00D85D03"/>
    <w:rsid w:val="00D85F4D"/>
    <w:rsid w:val="00D8600B"/>
    <w:rsid w:val="00D86155"/>
    <w:rsid w:val="00D862A9"/>
    <w:rsid w:val="00D86793"/>
    <w:rsid w:val="00D869AC"/>
    <w:rsid w:val="00D869F5"/>
    <w:rsid w:val="00D86BE7"/>
    <w:rsid w:val="00D86EFF"/>
    <w:rsid w:val="00D86F99"/>
    <w:rsid w:val="00D87572"/>
    <w:rsid w:val="00D8759F"/>
    <w:rsid w:val="00D8776B"/>
    <w:rsid w:val="00D87829"/>
    <w:rsid w:val="00D878BD"/>
    <w:rsid w:val="00D879B9"/>
    <w:rsid w:val="00D87B72"/>
    <w:rsid w:val="00D87E54"/>
    <w:rsid w:val="00D902F7"/>
    <w:rsid w:val="00D90495"/>
    <w:rsid w:val="00D90647"/>
    <w:rsid w:val="00D9078A"/>
    <w:rsid w:val="00D9095F"/>
    <w:rsid w:val="00D90DF6"/>
    <w:rsid w:val="00D910CE"/>
    <w:rsid w:val="00D91101"/>
    <w:rsid w:val="00D914B5"/>
    <w:rsid w:val="00D91573"/>
    <w:rsid w:val="00D91687"/>
    <w:rsid w:val="00D91EA4"/>
    <w:rsid w:val="00D92040"/>
    <w:rsid w:val="00D9254D"/>
    <w:rsid w:val="00D926F1"/>
    <w:rsid w:val="00D9290F"/>
    <w:rsid w:val="00D92DE2"/>
    <w:rsid w:val="00D93464"/>
    <w:rsid w:val="00D936CE"/>
    <w:rsid w:val="00D9371F"/>
    <w:rsid w:val="00D93C36"/>
    <w:rsid w:val="00D93CC6"/>
    <w:rsid w:val="00D93D28"/>
    <w:rsid w:val="00D93D36"/>
    <w:rsid w:val="00D93E01"/>
    <w:rsid w:val="00D94084"/>
    <w:rsid w:val="00D9425D"/>
    <w:rsid w:val="00D9485E"/>
    <w:rsid w:val="00D94B69"/>
    <w:rsid w:val="00D94BB9"/>
    <w:rsid w:val="00D94C75"/>
    <w:rsid w:val="00D94CF3"/>
    <w:rsid w:val="00D94D5E"/>
    <w:rsid w:val="00D95102"/>
    <w:rsid w:val="00D95293"/>
    <w:rsid w:val="00D95316"/>
    <w:rsid w:val="00D95488"/>
    <w:rsid w:val="00D954CD"/>
    <w:rsid w:val="00D95879"/>
    <w:rsid w:val="00D95931"/>
    <w:rsid w:val="00D95B36"/>
    <w:rsid w:val="00D95C26"/>
    <w:rsid w:val="00D95D21"/>
    <w:rsid w:val="00D96183"/>
    <w:rsid w:val="00D9653B"/>
    <w:rsid w:val="00D96ED1"/>
    <w:rsid w:val="00D9715F"/>
    <w:rsid w:val="00D9721C"/>
    <w:rsid w:val="00D9730E"/>
    <w:rsid w:val="00D97358"/>
    <w:rsid w:val="00D975D8"/>
    <w:rsid w:val="00D9786A"/>
    <w:rsid w:val="00D97A5C"/>
    <w:rsid w:val="00D97A88"/>
    <w:rsid w:val="00D97D8C"/>
    <w:rsid w:val="00D97F54"/>
    <w:rsid w:val="00DA023D"/>
    <w:rsid w:val="00DA07C3"/>
    <w:rsid w:val="00DA0CBA"/>
    <w:rsid w:val="00DA0DDE"/>
    <w:rsid w:val="00DA0E99"/>
    <w:rsid w:val="00DA0F33"/>
    <w:rsid w:val="00DA10E3"/>
    <w:rsid w:val="00DA1121"/>
    <w:rsid w:val="00DA151B"/>
    <w:rsid w:val="00DA1859"/>
    <w:rsid w:val="00DA18E0"/>
    <w:rsid w:val="00DA1E8F"/>
    <w:rsid w:val="00DA216D"/>
    <w:rsid w:val="00DA2239"/>
    <w:rsid w:val="00DA25F8"/>
    <w:rsid w:val="00DA264C"/>
    <w:rsid w:val="00DA27A0"/>
    <w:rsid w:val="00DA2A89"/>
    <w:rsid w:val="00DA2B2E"/>
    <w:rsid w:val="00DA2E7C"/>
    <w:rsid w:val="00DA2E9D"/>
    <w:rsid w:val="00DA2EE3"/>
    <w:rsid w:val="00DA2F0E"/>
    <w:rsid w:val="00DA300B"/>
    <w:rsid w:val="00DA3085"/>
    <w:rsid w:val="00DA3159"/>
    <w:rsid w:val="00DA3409"/>
    <w:rsid w:val="00DA35ED"/>
    <w:rsid w:val="00DA3B7B"/>
    <w:rsid w:val="00DA3C7D"/>
    <w:rsid w:val="00DA3E5C"/>
    <w:rsid w:val="00DA3F05"/>
    <w:rsid w:val="00DA4073"/>
    <w:rsid w:val="00DA40C3"/>
    <w:rsid w:val="00DA47F3"/>
    <w:rsid w:val="00DA4D57"/>
    <w:rsid w:val="00DA57F7"/>
    <w:rsid w:val="00DA5CD6"/>
    <w:rsid w:val="00DA5E90"/>
    <w:rsid w:val="00DA5F7C"/>
    <w:rsid w:val="00DA6040"/>
    <w:rsid w:val="00DA64B4"/>
    <w:rsid w:val="00DA64D8"/>
    <w:rsid w:val="00DA6C1E"/>
    <w:rsid w:val="00DA6D70"/>
    <w:rsid w:val="00DA6F13"/>
    <w:rsid w:val="00DA7B05"/>
    <w:rsid w:val="00DA7B83"/>
    <w:rsid w:val="00DA7C02"/>
    <w:rsid w:val="00DA7C6E"/>
    <w:rsid w:val="00DA7D3B"/>
    <w:rsid w:val="00DB0174"/>
    <w:rsid w:val="00DB01AC"/>
    <w:rsid w:val="00DB01CA"/>
    <w:rsid w:val="00DB0279"/>
    <w:rsid w:val="00DB03F0"/>
    <w:rsid w:val="00DB04DF"/>
    <w:rsid w:val="00DB0966"/>
    <w:rsid w:val="00DB0AB3"/>
    <w:rsid w:val="00DB0B3D"/>
    <w:rsid w:val="00DB0E38"/>
    <w:rsid w:val="00DB10E5"/>
    <w:rsid w:val="00DB1452"/>
    <w:rsid w:val="00DB18CB"/>
    <w:rsid w:val="00DB19F3"/>
    <w:rsid w:val="00DB1A65"/>
    <w:rsid w:val="00DB1BCF"/>
    <w:rsid w:val="00DB1E99"/>
    <w:rsid w:val="00DB1F21"/>
    <w:rsid w:val="00DB22B8"/>
    <w:rsid w:val="00DB238C"/>
    <w:rsid w:val="00DB2744"/>
    <w:rsid w:val="00DB2E58"/>
    <w:rsid w:val="00DB2E7B"/>
    <w:rsid w:val="00DB2F7D"/>
    <w:rsid w:val="00DB3629"/>
    <w:rsid w:val="00DB3652"/>
    <w:rsid w:val="00DB365F"/>
    <w:rsid w:val="00DB39FA"/>
    <w:rsid w:val="00DB3B86"/>
    <w:rsid w:val="00DB3B9C"/>
    <w:rsid w:val="00DB3D29"/>
    <w:rsid w:val="00DB3FCA"/>
    <w:rsid w:val="00DB4227"/>
    <w:rsid w:val="00DB432B"/>
    <w:rsid w:val="00DB44D8"/>
    <w:rsid w:val="00DB4667"/>
    <w:rsid w:val="00DB48C2"/>
    <w:rsid w:val="00DB499E"/>
    <w:rsid w:val="00DB4A6A"/>
    <w:rsid w:val="00DB4B3E"/>
    <w:rsid w:val="00DB4B5F"/>
    <w:rsid w:val="00DB5015"/>
    <w:rsid w:val="00DB5571"/>
    <w:rsid w:val="00DB56B9"/>
    <w:rsid w:val="00DB5887"/>
    <w:rsid w:val="00DB58AB"/>
    <w:rsid w:val="00DB599F"/>
    <w:rsid w:val="00DB5A70"/>
    <w:rsid w:val="00DB64CF"/>
    <w:rsid w:val="00DB6780"/>
    <w:rsid w:val="00DB6891"/>
    <w:rsid w:val="00DB6AB8"/>
    <w:rsid w:val="00DB70E2"/>
    <w:rsid w:val="00DB72B3"/>
    <w:rsid w:val="00DB76D9"/>
    <w:rsid w:val="00DB76F9"/>
    <w:rsid w:val="00DB776C"/>
    <w:rsid w:val="00DB7B87"/>
    <w:rsid w:val="00DB7D59"/>
    <w:rsid w:val="00DB7E30"/>
    <w:rsid w:val="00DB7F6D"/>
    <w:rsid w:val="00DC008B"/>
    <w:rsid w:val="00DC033F"/>
    <w:rsid w:val="00DC0560"/>
    <w:rsid w:val="00DC0582"/>
    <w:rsid w:val="00DC0C38"/>
    <w:rsid w:val="00DC0D51"/>
    <w:rsid w:val="00DC0E6A"/>
    <w:rsid w:val="00DC125E"/>
    <w:rsid w:val="00DC1375"/>
    <w:rsid w:val="00DC1679"/>
    <w:rsid w:val="00DC1733"/>
    <w:rsid w:val="00DC1924"/>
    <w:rsid w:val="00DC1E49"/>
    <w:rsid w:val="00DC226E"/>
    <w:rsid w:val="00DC22D8"/>
    <w:rsid w:val="00DC25E7"/>
    <w:rsid w:val="00DC2639"/>
    <w:rsid w:val="00DC271B"/>
    <w:rsid w:val="00DC292D"/>
    <w:rsid w:val="00DC2DDC"/>
    <w:rsid w:val="00DC2E39"/>
    <w:rsid w:val="00DC2E61"/>
    <w:rsid w:val="00DC3222"/>
    <w:rsid w:val="00DC33B4"/>
    <w:rsid w:val="00DC374E"/>
    <w:rsid w:val="00DC3C8C"/>
    <w:rsid w:val="00DC4332"/>
    <w:rsid w:val="00DC441B"/>
    <w:rsid w:val="00DC4613"/>
    <w:rsid w:val="00DC47AF"/>
    <w:rsid w:val="00DC4968"/>
    <w:rsid w:val="00DC4BDC"/>
    <w:rsid w:val="00DC4C2E"/>
    <w:rsid w:val="00DC4E0C"/>
    <w:rsid w:val="00DC4F79"/>
    <w:rsid w:val="00DC5020"/>
    <w:rsid w:val="00DC5024"/>
    <w:rsid w:val="00DC510C"/>
    <w:rsid w:val="00DC59F2"/>
    <w:rsid w:val="00DC5BD9"/>
    <w:rsid w:val="00DC5D0C"/>
    <w:rsid w:val="00DC5D69"/>
    <w:rsid w:val="00DC5D8A"/>
    <w:rsid w:val="00DC5EAC"/>
    <w:rsid w:val="00DC600C"/>
    <w:rsid w:val="00DC61E7"/>
    <w:rsid w:val="00DC652B"/>
    <w:rsid w:val="00DC695F"/>
    <w:rsid w:val="00DC6E45"/>
    <w:rsid w:val="00DC6F05"/>
    <w:rsid w:val="00DC6FF6"/>
    <w:rsid w:val="00DC7384"/>
    <w:rsid w:val="00DC762E"/>
    <w:rsid w:val="00DC7951"/>
    <w:rsid w:val="00DC79A5"/>
    <w:rsid w:val="00DC7C8E"/>
    <w:rsid w:val="00DC7DF0"/>
    <w:rsid w:val="00DD0104"/>
    <w:rsid w:val="00DD069F"/>
    <w:rsid w:val="00DD0B52"/>
    <w:rsid w:val="00DD0CCA"/>
    <w:rsid w:val="00DD0D30"/>
    <w:rsid w:val="00DD0E12"/>
    <w:rsid w:val="00DD1027"/>
    <w:rsid w:val="00DD114E"/>
    <w:rsid w:val="00DD11AC"/>
    <w:rsid w:val="00DD15B7"/>
    <w:rsid w:val="00DD18A1"/>
    <w:rsid w:val="00DD1A95"/>
    <w:rsid w:val="00DD1F93"/>
    <w:rsid w:val="00DD1FCC"/>
    <w:rsid w:val="00DD203F"/>
    <w:rsid w:val="00DD2285"/>
    <w:rsid w:val="00DD23A8"/>
    <w:rsid w:val="00DD2A28"/>
    <w:rsid w:val="00DD2DDD"/>
    <w:rsid w:val="00DD2DE7"/>
    <w:rsid w:val="00DD3233"/>
    <w:rsid w:val="00DD3325"/>
    <w:rsid w:val="00DD33C7"/>
    <w:rsid w:val="00DD37A8"/>
    <w:rsid w:val="00DD3C26"/>
    <w:rsid w:val="00DD3EBE"/>
    <w:rsid w:val="00DD4053"/>
    <w:rsid w:val="00DD418F"/>
    <w:rsid w:val="00DD4435"/>
    <w:rsid w:val="00DD4923"/>
    <w:rsid w:val="00DD494A"/>
    <w:rsid w:val="00DD4E1A"/>
    <w:rsid w:val="00DD50DD"/>
    <w:rsid w:val="00DD537B"/>
    <w:rsid w:val="00DD558E"/>
    <w:rsid w:val="00DD5697"/>
    <w:rsid w:val="00DD580E"/>
    <w:rsid w:val="00DD58E3"/>
    <w:rsid w:val="00DD5B48"/>
    <w:rsid w:val="00DD5E54"/>
    <w:rsid w:val="00DD5FB9"/>
    <w:rsid w:val="00DD619B"/>
    <w:rsid w:val="00DD61C1"/>
    <w:rsid w:val="00DD68C9"/>
    <w:rsid w:val="00DD6983"/>
    <w:rsid w:val="00DD6CC1"/>
    <w:rsid w:val="00DD729F"/>
    <w:rsid w:val="00DD7483"/>
    <w:rsid w:val="00DD753C"/>
    <w:rsid w:val="00DD758B"/>
    <w:rsid w:val="00DD7F42"/>
    <w:rsid w:val="00DE04DB"/>
    <w:rsid w:val="00DE0789"/>
    <w:rsid w:val="00DE08DA"/>
    <w:rsid w:val="00DE0A32"/>
    <w:rsid w:val="00DE0A38"/>
    <w:rsid w:val="00DE1428"/>
    <w:rsid w:val="00DE17D6"/>
    <w:rsid w:val="00DE1805"/>
    <w:rsid w:val="00DE1A34"/>
    <w:rsid w:val="00DE1F6F"/>
    <w:rsid w:val="00DE20CD"/>
    <w:rsid w:val="00DE230F"/>
    <w:rsid w:val="00DE2337"/>
    <w:rsid w:val="00DE2380"/>
    <w:rsid w:val="00DE244F"/>
    <w:rsid w:val="00DE2647"/>
    <w:rsid w:val="00DE28BC"/>
    <w:rsid w:val="00DE2966"/>
    <w:rsid w:val="00DE29D2"/>
    <w:rsid w:val="00DE2C68"/>
    <w:rsid w:val="00DE2CB1"/>
    <w:rsid w:val="00DE3948"/>
    <w:rsid w:val="00DE3A9B"/>
    <w:rsid w:val="00DE3AE5"/>
    <w:rsid w:val="00DE3B75"/>
    <w:rsid w:val="00DE3CF5"/>
    <w:rsid w:val="00DE3E94"/>
    <w:rsid w:val="00DE422F"/>
    <w:rsid w:val="00DE468D"/>
    <w:rsid w:val="00DE47C5"/>
    <w:rsid w:val="00DE4E50"/>
    <w:rsid w:val="00DE4EDF"/>
    <w:rsid w:val="00DE5105"/>
    <w:rsid w:val="00DE52D6"/>
    <w:rsid w:val="00DE5B59"/>
    <w:rsid w:val="00DE5C14"/>
    <w:rsid w:val="00DE5E8B"/>
    <w:rsid w:val="00DE604D"/>
    <w:rsid w:val="00DE6375"/>
    <w:rsid w:val="00DE6509"/>
    <w:rsid w:val="00DE6557"/>
    <w:rsid w:val="00DE6634"/>
    <w:rsid w:val="00DE691B"/>
    <w:rsid w:val="00DE6B19"/>
    <w:rsid w:val="00DE6F15"/>
    <w:rsid w:val="00DE7A96"/>
    <w:rsid w:val="00DE7BF1"/>
    <w:rsid w:val="00DE7DC8"/>
    <w:rsid w:val="00DF0068"/>
    <w:rsid w:val="00DF0291"/>
    <w:rsid w:val="00DF055F"/>
    <w:rsid w:val="00DF0A5E"/>
    <w:rsid w:val="00DF0A72"/>
    <w:rsid w:val="00DF0BC2"/>
    <w:rsid w:val="00DF0E89"/>
    <w:rsid w:val="00DF0EC0"/>
    <w:rsid w:val="00DF1107"/>
    <w:rsid w:val="00DF125B"/>
    <w:rsid w:val="00DF133F"/>
    <w:rsid w:val="00DF143E"/>
    <w:rsid w:val="00DF14A0"/>
    <w:rsid w:val="00DF14A9"/>
    <w:rsid w:val="00DF161E"/>
    <w:rsid w:val="00DF1819"/>
    <w:rsid w:val="00DF1D06"/>
    <w:rsid w:val="00DF1EDA"/>
    <w:rsid w:val="00DF23EE"/>
    <w:rsid w:val="00DF2430"/>
    <w:rsid w:val="00DF259A"/>
    <w:rsid w:val="00DF282A"/>
    <w:rsid w:val="00DF2D2B"/>
    <w:rsid w:val="00DF2D3A"/>
    <w:rsid w:val="00DF2DF1"/>
    <w:rsid w:val="00DF303C"/>
    <w:rsid w:val="00DF31EB"/>
    <w:rsid w:val="00DF3763"/>
    <w:rsid w:val="00DF3B5E"/>
    <w:rsid w:val="00DF3CFF"/>
    <w:rsid w:val="00DF3D22"/>
    <w:rsid w:val="00DF3DFB"/>
    <w:rsid w:val="00DF3F55"/>
    <w:rsid w:val="00DF4121"/>
    <w:rsid w:val="00DF435D"/>
    <w:rsid w:val="00DF483F"/>
    <w:rsid w:val="00DF4EA3"/>
    <w:rsid w:val="00DF51C5"/>
    <w:rsid w:val="00DF53EF"/>
    <w:rsid w:val="00DF58AC"/>
    <w:rsid w:val="00DF5BBF"/>
    <w:rsid w:val="00DF5C33"/>
    <w:rsid w:val="00DF5C91"/>
    <w:rsid w:val="00DF5E43"/>
    <w:rsid w:val="00DF60D8"/>
    <w:rsid w:val="00DF6297"/>
    <w:rsid w:val="00DF6656"/>
    <w:rsid w:val="00DF6B94"/>
    <w:rsid w:val="00DF6C4D"/>
    <w:rsid w:val="00DF6D87"/>
    <w:rsid w:val="00DF6F34"/>
    <w:rsid w:val="00DF722B"/>
    <w:rsid w:val="00DF7553"/>
    <w:rsid w:val="00DF759D"/>
    <w:rsid w:val="00DF75F4"/>
    <w:rsid w:val="00DF7754"/>
    <w:rsid w:val="00DF7A78"/>
    <w:rsid w:val="00DF7C2A"/>
    <w:rsid w:val="00DF7D5F"/>
    <w:rsid w:val="00E00276"/>
    <w:rsid w:val="00E00D8A"/>
    <w:rsid w:val="00E00DB4"/>
    <w:rsid w:val="00E01097"/>
    <w:rsid w:val="00E0110A"/>
    <w:rsid w:val="00E01482"/>
    <w:rsid w:val="00E01666"/>
    <w:rsid w:val="00E017F6"/>
    <w:rsid w:val="00E01A4D"/>
    <w:rsid w:val="00E01C23"/>
    <w:rsid w:val="00E01F32"/>
    <w:rsid w:val="00E01FC8"/>
    <w:rsid w:val="00E023A0"/>
    <w:rsid w:val="00E0290E"/>
    <w:rsid w:val="00E02B23"/>
    <w:rsid w:val="00E02B74"/>
    <w:rsid w:val="00E02BC4"/>
    <w:rsid w:val="00E02C49"/>
    <w:rsid w:val="00E02D70"/>
    <w:rsid w:val="00E02E31"/>
    <w:rsid w:val="00E03113"/>
    <w:rsid w:val="00E033F7"/>
    <w:rsid w:val="00E03405"/>
    <w:rsid w:val="00E0352D"/>
    <w:rsid w:val="00E03B3C"/>
    <w:rsid w:val="00E03C08"/>
    <w:rsid w:val="00E03DFB"/>
    <w:rsid w:val="00E03E2F"/>
    <w:rsid w:val="00E043D8"/>
    <w:rsid w:val="00E0446C"/>
    <w:rsid w:val="00E0453A"/>
    <w:rsid w:val="00E045BA"/>
    <w:rsid w:val="00E04750"/>
    <w:rsid w:val="00E047BD"/>
    <w:rsid w:val="00E04877"/>
    <w:rsid w:val="00E04F6D"/>
    <w:rsid w:val="00E059BA"/>
    <w:rsid w:val="00E05CD7"/>
    <w:rsid w:val="00E05D66"/>
    <w:rsid w:val="00E05F6A"/>
    <w:rsid w:val="00E06110"/>
    <w:rsid w:val="00E061D4"/>
    <w:rsid w:val="00E062C1"/>
    <w:rsid w:val="00E06389"/>
    <w:rsid w:val="00E064E9"/>
    <w:rsid w:val="00E06610"/>
    <w:rsid w:val="00E0681C"/>
    <w:rsid w:val="00E06B49"/>
    <w:rsid w:val="00E06EB4"/>
    <w:rsid w:val="00E06F13"/>
    <w:rsid w:val="00E06F4E"/>
    <w:rsid w:val="00E072EF"/>
    <w:rsid w:val="00E075FA"/>
    <w:rsid w:val="00E079A5"/>
    <w:rsid w:val="00E1045C"/>
    <w:rsid w:val="00E104BE"/>
    <w:rsid w:val="00E10861"/>
    <w:rsid w:val="00E108A8"/>
    <w:rsid w:val="00E1093F"/>
    <w:rsid w:val="00E109A7"/>
    <w:rsid w:val="00E10A9D"/>
    <w:rsid w:val="00E10E1F"/>
    <w:rsid w:val="00E10ECD"/>
    <w:rsid w:val="00E112A4"/>
    <w:rsid w:val="00E112B8"/>
    <w:rsid w:val="00E11387"/>
    <w:rsid w:val="00E11394"/>
    <w:rsid w:val="00E115EB"/>
    <w:rsid w:val="00E11698"/>
    <w:rsid w:val="00E117C1"/>
    <w:rsid w:val="00E11AD7"/>
    <w:rsid w:val="00E124DD"/>
    <w:rsid w:val="00E124F8"/>
    <w:rsid w:val="00E12730"/>
    <w:rsid w:val="00E12BAD"/>
    <w:rsid w:val="00E12BB6"/>
    <w:rsid w:val="00E12E28"/>
    <w:rsid w:val="00E12E6B"/>
    <w:rsid w:val="00E12EF5"/>
    <w:rsid w:val="00E13144"/>
    <w:rsid w:val="00E1323D"/>
    <w:rsid w:val="00E134E3"/>
    <w:rsid w:val="00E13515"/>
    <w:rsid w:val="00E137D0"/>
    <w:rsid w:val="00E137DF"/>
    <w:rsid w:val="00E13993"/>
    <w:rsid w:val="00E139FA"/>
    <w:rsid w:val="00E13B45"/>
    <w:rsid w:val="00E14033"/>
    <w:rsid w:val="00E140F9"/>
    <w:rsid w:val="00E14118"/>
    <w:rsid w:val="00E14273"/>
    <w:rsid w:val="00E149D2"/>
    <w:rsid w:val="00E15AC9"/>
    <w:rsid w:val="00E15B56"/>
    <w:rsid w:val="00E15E24"/>
    <w:rsid w:val="00E1641A"/>
    <w:rsid w:val="00E165F0"/>
    <w:rsid w:val="00E166EB"/>
    <w:rsid w:val="00E16995"/>
    <w:rsid w:val="00E16AD8"/>
    <w:rsid w:val="00E170FD"/>
    <w:rsid w:val="00E17127"/>
    <w:rsid w:val="00E1718C"/>
    <w:rsid w:val="00E17452"/>
    <w:rsid w:val="00E1752C"/>
    <w:rsid w:val="00E1774E"/>
    <w:rsid w:val="00E17801"/>
    <w:rsid w:val="00E17A0C"/>
    <w:rsid w:val="00E20064"/>
    <w:rsid w:val="00E205C3"/>
    <w:rsid w:val="00E20612"/>
    <w:rsid w:val="00E20635"/>
    <w:rsid w:val="00E206B7"/>
    <w:rsid w:val="00E206C6"/>
    <w:rsid w:val="00E207CA"/>
    <w:rsid w:val="00E209A9"/>
    <w:rsid w:val="00E20CBA"/>
    <w:rsid w:val="00E20F7F"/>
    <w:rsid w:val="00E21424"/>
    <w:rsid w:val="00E21438"/>
    <w:rsid w:val="00E21624"/>
    <w:rsid w:val="00E216D1"/>
    <w:rsid w:val="00E219F6"/>
    <w:rsid w:val="00E21A6A"/>
    <w:rsid w:val="00E21A7E"/>
    <w:rsid w:val="00E21A8D"/>
    <w:rsid w:val="00E21ED3"/>
    <w:rsid w:val="00E2209F"/>
    <w:rsid w:val="00E222D5"/>
    <w:rsid w:val="00E223A4"/>
    <w:rsid w:val="00E2246F"/>
    <w:rsid w:val="00E226A0"/>
    <w:rsid w:val="00E2284F"/>
    <w:rsid w:val="00E22A21"/>
    <w:rsid w:val="00E22B4C"/>
    <w:rsid w:val="00E22DCC"/>
    <w:rsid w:val="00E22E89"/>
    <w:rsid w:val="00E2304F"/>
    <w:rsid w:val="00E23381"/>
    <w:rsid w:val="00E236F4"/>
    <w:rsid w:val="00E23815"/>
    <w:rsid w:val="00E23B5D"/>
    <w:rsid w:val="00E23BB0"/>
    <w:rsid w:val="00E23BBE"/>
    <w:rsid w:val="00E23C7B"/>
    <w:rsid w:val="00E246DF"/>
    <w:rsid w:val="00E2488D"/>
    <w:rsid w:val="00E2488E"/>
    <w:rsid w:val="00E248B9"/>
    <w:rsid w:val="00E2580F"/>
    <w:rsid w:val="00E2591E"/>
    <w:rsid w:val="00E261DF"/>
    <w:rsid w:val="00E2658F"/>
    <w:rsid w:val="00E2665B"/>
    <w:rsid w:val="00E26679"/>
    <w:rsid w:val="00E266F1"/>
    <w:rsid w:val="00E26944"/>
    <w:rsid w:val="00E26BB3"/>
    <w:rsid w:val="00E26F47"/>
    <w:rsid w:val="00E273EA"/>
    <w:rsid w:val="00E27624"/>
    <w:rsid w:val="00E27825"/>
    <w:rsid w:val="00E279C8"/>
    <w:rsid w:val="00E27C10"/>
    <w:rsid w:val="00E27C9C"/>
    <w:rsid w:val="00E27D79"/>
    <w:rsid w:val="00E27DFD"/>
    <w:rsid w:val="00E30200"/>
    <w:rsid w:val="00E30C1E"/>
    <w:rsid w:val="00E30D0A"/>
    <w:rsid w:val="00E30D37"/>
    <w:rsid w:val="00E30D4D"/>
    <w:rsid w:val="00E30FCE"/>
    <w:rsid w:val="00E31172"/>
    <w:rsid w:val="00E31228"/>
    <w:rsid w:val="00E314A7"/>
    <w:rsid w:val="00E31A32"/>
    <w:rsid w:val="00E3227D"/>
    <w:rsid w:val="00E3227E"/>
    <w:rsid w:val="00E32343"/>
    <w:rsid w:val="00E32A87"/>
    <w:rsid w:val="00E32CFE"/>
    <w:rsid w:val="00E32F58"/>
    <w:rsid w:val="00E33001"/>
    <w:rsid w:val="00E330A1"/>
    <w:rsid w:val="00E33199"/>
    <w:rsid w:val="00E331F4"/>
    <w:rsid w:val="00E331FB"/>
    <w:rsid w:val="00E33686"/>
    <w:rsid w:val="00E3370A"/>
    <w:rsid w:val="00E33831"/>
    <w:rsid w:val="00E33AAB"/>
    <w:rsid w:val="00E33FF3"/>
    <w:rsid w:val="00E340C5"/>
    <w:rsid w:val="00E340E7"/>
    <w:rsid w:val="00E3423C"/>
    <w:rsid w:val="00E34456"/>
    <w:rsid w:val="00E34A07"/>
    <w:rsid w:val="00E34C00"/>
    <w:rsid w:val="00E34D8A"/>
    <w:rsid w:val="00E34F65"/>
    <w:rsid w:val="00E3516B"/>
    <w:rsid w:val="00E352D8"/>
    <w:rsid w:val="00E355A9"/>
    <w:rsid w:val="00E355AF"/>
    <w:rsid w:val="00E35ADA"/>
    <w:rsid w:val="00E36B5C"/>
    <w:rsid w:val="00E36EC2"/>
    <w:rsid w:val="00E36FA6"/>
    <w:rsid w:val="00E370F3"/>
    <w:rsid w:val="00E37313"/>
    <w:rsid w:val="00E37372"/>
    <w:rsid w:val="00E3785D"/>
    <w:rsid w:val="00E37BAD"/>
    <w:rsid w:val="00E37EF3"/>
    <w:rsid w:val="00E404C4"/>
    <w:rsid w:val="00E40585"/>
    <w:rsid w:val="00E40738"/>
    <w:rsid w:val="00E4075F"/>
    <w:rsid w:val="00E407B2"/>
    <w:rsid w:val="00E40E87"/>
    <w:rsid w:val="00E40F89"/>
    <w:rsid w:val="00E411D8"/>
    <w:rsid w:val="00E414F7"/>
    <w:rsid w:val="00E41620"/>
    <w:rsid w:val="00E4169F"/>
    <w:rsid w:val="00E41A73"/>
    <w:rsid w:val="00E41DFC"/>
    <w:rsid w:val="00E41E07"/>
    <w:rsid w:val="00E41EAF"/>
    <w:rsid w:val="00E41ECC"/>
    <w:rsid w:val="00E42094"/>
    <w:rsid w:val="00E420A7"/>
    <w:rsid w:val="00E4210F"/>
    <w:rsid w:val="00E42342"/>
    <w:rsid w:val="00E42465"/>
    <w:rsid w:val="00E425D4"/>
    <w:rsid w:val="00E42605"/>
    <w:rsid w:val="00E4283B"/>
    <w:rsid w:val="00E42A1B"/>
    <w:rsid w:val="00E42CE5"/>
    <w:rsid w:val="00E42CE8"/>
    <w:rsid w:val="00E42D19"/>
    <w:rsid w:val="00E42F5B"/>
    <w:rsid w:val="00E430E4"/>
    <w:rsid w:val="00E4342B"/>
    <w:rsid w:val="00E43755"/>
    <w:rsid w:val="00E43960"/>
    <w:rsid w:val="00E44107"/>
    <w:rsid w:val="00E443E9"/>
    <w:rsid w:val="00E44542"/>
    <w:rsid w:val="00E445A0"/>
    <w:rsid w:val="00E44807"/>
    <w:rsid w:val="00E44892"/>
    <w:rsid w:val="00E44B6C"/>
    <w:rsid w:val="00E44D0A"/>
    <w:rsid w:val="00E45078"/>
    <w:rsid w:val="00E4508D"/>
    <w:rsid w:val="00E453CD"/>
    <w:rsid w:val="00E45582"/>
    <w:rsid w:val="00E4571D"/>
    <w:rsid w:val="00E45865"/>
    <w:rsid w:val="00E459F7"/>
    <w:rsid w:val="00E45D66"/>
    <w:rsid w:val="00E467A9"/>
    <w:rsid w:val="00E4685F"/>
    <w:rsid w:val="00E46936"/>
    <w:rsid w:val="00E46E17"/>
    <w:rsid w:val="00E473FB"/>
    <w:rsid w:val="00E47431"/>
    <w:rsid w:val="00E474D4"/>
    <w:rsid w:val="00E47E07"/>
    <w:rsid w:val="00E47EF4"/>
    <w:rsid w:val="00E503C7"/>
    <w:rsid w:val="00E50469"/>
    <w:rsid w:val="00E5060C"/>
    <w:rsid w:val="00E50B36"/>
    <w:rsid w:val="00E50BA7"/>
    <w:rsid w:val="00E510B4"/>
    <w:rsid w:val="00E51546"/>
    <w:rsid w:val="00E515E0"/>
    <w:rsid w:val="00E51821"/>
    <w:rsid w:val="00E51C46"/>
    <w:rsid w:val="00E51DAE"/>
    <w:rsid w:val="00E51E41"/>
    <w:rsid w:val="00E51EE0"/>
    <w:rsid w:val="00E5216B"/>
    <w:rsid w:val="00E52298"/>
    <w:rsid w:val="00E524A0"/>
    <w:rsid w:val="00E524C7"/>
    <w:rsid w:val="00E52768"/>
    <w:rsid w:val="00E5298D"/>
    <w:rsid w:val="00E52CA3"/>
    <w:rsid w:val="00E52D66"/>
    <w:rsid w:val="00E5302A"/>
    <w:rsid w:val="00E53095"/>
    <w:rsid w:val="00E5324D"/>
    <w:rsid w:val="00E532E9"/>
    <w:rsid w:val="00E53355"/>
    <w:rsid w:val="00E534A1"/>
    <w:rsid w:val="00E5388C"/>
    <w:rsid w:val="00E5393D"/>
    <w:rsid w:val="00E540DA"/>
    <w:rsid w:val="00E54B5E"/>
    <w:rsid w:val="00E54E6E"/>
    <w:rsid w:val="00E55201"/>
    <w:rsid w:val="00E55318"/>
    <w:rsid w:val="00E55323"/>
    <w:rsid w:val="00E553D7"/>
    <w:rsid w:val="00E555FE"/>
    <w:rsid w:val="00E55687"/>
    <w:rsid w:val="00E5585E"/>
    <w:rsid w:val="00E55932"/>
    <w:rsid w:val="00E55981"/>
    <w:rsid w:val="00E55F97"/>
    <w:rsid w:val="00E56124"/>
    <w:rsid w:val="00E56410"/>
    <w:rsid w:val="00E56755"/>
    <w:rsid w:val="00E5678D"/>
    <w:rsid w:val="00E56952"/>
    <w:rsid w:val="00E56A96"/>
    <w:rsid w:val="00E56B36"/>
    <w:rsid w:val="00E56C10"/>
    <w:rsid w:val="00E56DE9"/>
    <w:rsid w:val="00E56E27"/>
    <w:rsid w:val="00E56FCB"/>
    <w:rsid w:val="00E5751F"/>
    <w:rsid w:val="00E57655"/>
    <w:rsid w:val="00E577FB"/>
    <w:rsid w:val="00E57B43"/>
    <w:rsid w:val="00E57C75"/>
    <w:rsid w:val="00E57E1E"/>
    <w:rsid w:val="00E57F26"/>
    <w:rsid w:val="00E600B2"/>
    <w:rsid w:val="00E60361"/>
    <w:rsid w:val="00E60406"/>
    <w:rsid w:val="00E60691"/>
    <w:rsid w:val="00E6071A"/>
    <w:rsid w:val="00E607FA"/>
    <w:rsid w:val="00E6168F"/>
    <w:rsid w:val="00E61EBD"/>
    <w:rsid w:val="00E628D1"/>
    <w:rsid w:val="00E62909"/>
    <w:rsid w:val="00E629C9"/>
    <w:rsid w:val="00E62A71"/>
    <w:rsid w:val="00E63080"/>
    <w:rsid w:val="00E63928"/>
    <w:rsid w:val="00E63AE7"/>
    <w:rsid w:val="00E6415D"/>
    <w:rsid w:val="00E645D8"/>
    <w:rsid w:val="00E648CD"/>
    <w:rsid w:val="00E648EA"/>
    <w:rsid w:val="00E64EA9"/>
    <w:rsid w:val="00E64EC5"/>
    <w:rsid w:val="00E65141"/>
    <w:rsid w:val="00E6593D"/>
    <w:rsid w:val="00E65C09"/>
    <w:rsid w:val="00E65C76"/>
    <w:rsid w:val="00E6630F"/>
    <w:rsid w:val="00E663B4"/>
    <w:rsid w:val="00E6645A"/>
    <w:rsid w:val="00E6666B"/>
    <w:rsid w:val="00E66775"/>
    <w:rsid w:val="00E66BFD"/>
    <w:rsid w:val="00E66C0C"/>
    <w:rsid w:val="00E66F0C"/>
    <w:rsid w:val="00E66FA3"/>
    <w:rsid w:val="00E67044"/>
    <w:rsid w:val="00E67109"/>
    <w:rsid w:val="00E673F5"/>
    <w:rsid w:val="00E67467"/>
    <w:rsid w:val="00E674EA"/>
    <w:rsid w:val="00E67545"/>
    <w:rsid w:val="00E6760F"/>
    <w:rsid w:val="00E67722"/>
    <w:rsid w:val="00E702FC"/>
    <w:rsid w:val="00E70437"/>
    <w:rsid w:val="00E704B3"/>
    <w:rsid w:val="00E704FB"/>
    <w:rsid w:val="00E7093B"/>
    <w:rsid w:val="00E70A74"/>
    <w:rsid w:val="00E70AC0"/>
    <w:rsid w:val="00E70AD9"/>
    <w:rsid w:val="00E70C57"/>
    <w:rsid w:val="00E70CFC"/>
    <w:rsid w:val="00E70D4B"/>
    <w:rsid w:val="00E70FF2"/>
    <w:rsid w:val="00E711E0"/>
    <w:rsid w:val="00E712A2"/>
    <w:rsid w:val="00E712CD"/>
    <w:rsid w:val="00E71357"/>
    <w:rsid w:val="00E71613"/>
    <w:rsid w:val="00E71763"/>
    <w:rsid w:val="00E71805"/>
    <w:rsid w:val="00E71AB3"/>
    <w:rsid w:val="00E7208F"/>
    <w:rsid w:val="00E72112"/>
    <w:rsid w:val="00E722D0"/>
    <w:rsid w:val="00E72412"/>
    <w:rsid w:val="00E725AB"/>
    <w:rsid w:val="00E725C2"/>
    <w:rsid w:val="00E727A8"/>
    <w:rsid w:val="00E72BB6"/>
    <w:rsid w:val="00E72BFB"/>
    <w:rsid w:val="00E72CDD"/>
    <w:rsid w:val="00E72E63"/>
    <w:rsid w:val="00E7327C"/>
    <w:rsid w:val="00E73282"/>
    <w:rsid w:val="00E73290"/>
    <w:rsid w:val="00E73326"/>
    <w:rsid w:val="00E733C1"/>
    <w:rsid w:val="00E73A33"/>
    <w:rsid w:val="00E73B13"/>
    <w:rsid w:val="00E73B72"/>
    <w:rsid w:val="00E73D57"/>
    <w:rsid w:val="00E73E07"/>
    <w:rsid w:val="00E73F5B"/>
    <w:rsid w:val="00E7415A"/>
    <w:rsid w:val="00E74294"/>
    <w:rsid w:val="00E7472C"/>
    <w:rsid w:val="00E74B71"/>
    <w:rsid w:val="00E74CA0"/>
    <w:rsid w:val="00E74E85"/>
    <w:rsid w:val="00E757A9"/>
    <w:rsid w:val="00E761C1"/>
    <w:rsid w:val="00E761C9"/>
    <w:rsid w:val="00E7632A"/>
    <w:rsid w:val="00E763FC"/>
    <w:rsid w:val="00E764DE"/>
    <w:rsid w:val="00E7654A"/>
    <w:rsid w:val="00E7684D"/>
    <w:rsid w:val="00E769C5"/>
    <w:rsid w:val="00E76C2B"/>
    <w:rsid w:val="00E76C90"/>
    <w:rsid w:val="00E76CB9"/>
    <w:rsid w:val="00E76CD7"/>
    <w:rsid w:val="00E76ED0"/>
    <w:rsid w:val="00E770EF"/>
    <w:rsid w:val="00E771F4"/>
    <w:rsid w:val="00E775A3"/>
    <w:rsid w:val="00E77CE0"/>
    <w:rsid w:val="00E77F53"/>
    <w:rsid w:val="00E80766"/>
    <w:rsid w:val="00E80851"/>
    <w:rsid w:val="00E808A5"/>
    <w:rsid w:val="00E80A26"/>
    <w:rsid w:val="00E80B10"/>
    <w:rsid w:val="00E80C34"/>
    <w:rsid w:val="00E80D04"/>
    <w:rsid w:val="00E80D4F"/>
    <w:rsid w:val="00E80EB6"/>
    <w:rsid w:val="00E811D6"/>
    <w:rsid w:val="00E81327"/>
    <w:rsid w:val="00E8150B"/>
    <w:rsid w:val="00E81838"/>
    <w:rsid w:val="00E81D0F"/>
    <w:rsid w:val="00E81D78"/>
    <w:rsid w:val="00E81D82"/>
    <w:rsid w:val="00E81E70"/>
    <w:rsid w:val="00E820FD"/>
    <w:rsid w:val="00E821F9"/>
    <w:rsid w:val="00E8284B"/>
    <w:rsid w:val="00E82B2D"/>
    <w:rsid w:val="00E82BCA"/>
    <w:rsid w:val="00E82D19"/>
    <w:rsid w:val="00E82D8B"/>
    <w:rsid w:val="00E82F6C"/>
    <w:rsid w:val="00E83923"/>
    <w:rsid w:val="00E839FB"/>
    <w:rsid w:val="00E83AAD"/>
    <w:rsid w:val="00E83BAF"/>
    <w:rsid w:val="00E83E78"/>
    <w:rsid w:val="00E83F56"/>
    <w:rsid w:val="00E84032"/>
    <w:rsid w:val="00E841E1"/>
    <w:rsid w:val="00E84876"/>
    <w:rsid w:val="00E8487C"/>
    <w:rsid w:val="00E84DD2"/>
    <w:rsid w:val="00E85057"/>
    <w:rsid w:val="00E85119"/>
    <w:rsid w:val="00E85185"/>
    <w:rsid w:val="00E85484"/>
    <w:rsid w:val="00E856B3"/>
    <w:rsid w:val="00E86069"/>
    <w:rsid w:val="00E86671"/>
    <w:rsid w:val="00E867F9"/>
    <w:rsid w:val="00E871F7"/>
    <w:rsid w:val="00E8730B"/>
    <w:rsid w:val="00E873AF"/>
    <w:rsid w:val="00E87857"/>
    <w:rsid w:val="00E87DD1"/>
    <w:rsid w:val="00E87F33"/>
    <w:rsid w:val="00E90443"/>
    <w:rsid w:val="00E90941"/>
    <w:rsid w:val="00E90965"/>
    <w:rsid w:val="00E90FFE"/>
    <w:rsid w:val="00E910C1"/>
    <w:rsid w:val="00E910D5"/>
    <w:rsid w:val="00E9112F"/>
    <w:rsid w:val="00E91151"/>
    <w:rsid w:val="00E9132B"/>
    <w:rsid w:val="00E917E7"/>
    <w:rsid w:val="00E9186E"/>
    <w:rsid w:val="00E919ED"/>
    <w:rsid w:val="00E91D53"/>
    <w:rsid w:val="00E92241"/>
    <w:rsid w:val="00E923DB"/>
    <w:rsid w:val="00E92545"/>
    <w:rsid w:val="00E9277B"/>
    <w:rsid w:val="00E92933"/>
    <w:rsid w:val="00E92940"/>
    <w:rsid w:val="00E92B11"/>
    <w:rsid w:val="00E92E46"/>
    <w:rsid w:val="00E92F5A"/>
    <w:rsid w:val="00E9327B"/>
    <w:rsid w:val="00E9359E"/>
    <w:rsid w:val="00E93776"/>
    <w:rsid w:val="00E9390D"/>
    <w:rsid w:val="00E93BC3"/>
    <w:rsid w:val="00E93E1D"/>
    <w:rsid w:val="00E93E5C"/>
    <w:rsid w:val="00E93ECC"/>
    <w:rsid w:val="00E940F3"/>
    <w:rsid w:val="00E94D96"/>
    <w:rsid w:val="00E94DC6"/>
    <w:rsid w:val="00E94DD6"/>
    <w:rsid w:val="00E94E15"/>
    <w:rsid w:val="00E951F8"/>
    <w:rsid w:val="00E95581"/>
    <w:rsid w:val="00E95914"/>
    <w:rsid w:val="00E95A94"/>
    <w:rsid w:val="00E95B36"/>
    <w:rsid w:val="00E9641C"/>
    <w:rsid w:val="00E96480"/>
    <w:rsid w:val="00E969F3"/>
    <w:rsid w:val="00E96D3C"/>
    <w:rsid w:val="00E96E85"/>
    <w:rsid w:val="00E96EEA"/>
    <w:rsid w:val="00E97239"/>
    <w:rsid w:val="00E9729C"/>
    <w:rsid w:val="00E973E3"/>
    <w:rsid w:val="00E9749B"/>
    <w:rsid w:val="00E97681"/>
    <w:rsid w:val="00E978E1"/>
    <w:rsid w:val="00E97B65"/>
    <w:rsid w:val="00E97BB3"/>
    <w:rsid w:val="00E97F30"/>
    <w:rsid w:val="00EA00D3"/>
    <w:rsid w:val="00EA012D"/>
    <w:rsid w:val="00EA031E"/>
    <w:rsid w:val="00EA0715"/>
    <w:rsid w:val="00EA0C59"/>
    <w:rsid w:val="00EA0CB8"/>
    <w:rsid w:val="00EA0F69"/>
    <w:rsid w:val="00EA115B"/>
    <w:rsid w:val="00EA11F5"/>
    <w:rsid w:val="00EA1321"/>
    <w:rsid w:val="00EA1478"/>
    <w:rsid w:val="00EA1612"/>
    <w:rsid w:val="00EA1833"/>
    <w:rsid w:val="00EA1D95"/>
    <w:rsid w:val="00EA1EE8"/>
    <w:rsid w:val="00EA1FC5"/>
    <w:rsid w:val="00EA22A9"/>
    <w:rsid w:val="00EA2431"/>
    <w:rsid w:val="00EA28A3"/>
    <w:rsid w:val="00EA2972"/>
    <w:rsid w:val="00EA2991"/>
    <w:rsid w:val="00EA2DE9"/>
    <w:rsid w:val="00EA2F21"/>
    <w:rsid w:val="00EA30E6"/>
    <w:rsid w:val="00EA3110"/>
    <w:rsid w:val="00EA3295"/>
    <w:rsid w:val="00EA347E"/>
    <w:rsid w:val="00EA367C"/>
    <w:rsid w:val="00EA36CF"/>
    <w:rsid w:val="00EA3B0B"/>
    <w:rsid w:val="00EA3EEB"/>
    <w:rsid w:val="00EA3FA4"/>
    <w:rsid w:val="00EA3FB0"/>
    <w:rsid w:val="00EA44AE"/>
    <w:rsid w:val="00EA46D6"/>
    <w:rsid w:val="00EA4C41"/>
    <w:rsid w:val="00EA4C63"/>
    <w:rsid w:val="00EA4E8A"/>
    <w:rsid w:val="00EA5106"/>
    <w:rsid w:val="00EA5137"/>
    <w:rsid w:val="00EA5412"/>
    <w:rsid w:val="00EA55D5"/>
    <w:rsid w:val="00EA57FE"/>
    <w:rsid w:val="00EA599C"/>
    <w:rsid w:val="00EA5B40"/>
    <w:rsid w:val="00EA5C10"/>
    <w:rsid w:val="00EA5D32"/>
    <w:rsid w:val="00EA5D82"/>
    <w:rsid w:val="00EA5F2D"/>
    <w:rsid w:val="00EA5F70"/>
    <w:rsid w:val="00EA5FDA"/>
    <w:rsid w:val="00EA63F4"/>
    <w:rsid w:val="00EA6468"/>
    <w:rsid w:val="00EA690A"/>
    <w:rsid w:val="00EA6AF2"/>
    <w:rsid w:val="00EA6B0E"/>
    <w:rsid w:val="00EA6F8F"/>
    <w:rsid w:val="00EA7080"/>
    <w:rsid w:val="00EA7102"/>
    <w:rsid w:val="00EA7722"/>
    <w:rsid w:val="00EA776E"/>
    <w:rsid w:val="00EA7778"/>
    <w:rsid w:val="00EA7E5B"/>
    <w:rsid w:val="00EB02B8"/>
    <w:rsid w:val="00EB081C"/>
    <w:rsid w:val="00EB09BA"/>
    <w:rsid w:val="00EB0BEE"/>
    <w:rsid w:val="00EB0C01"/>
    <w:rsid w:val="00EB0CD7"/>
    <w:rsid w:val="00EB0F20"/>
    <w:rsid w:val="00EB1090"/>
    <w:rsid w:val="00EB1142"/>
    <w:rsid w:val="00EB1448"/>
    <w:rsid w:val="00EB1655"/>
    <w:rsid w:val="00EB1721"/>
    <w:rsid w:val="00EB17BE"/>
    <w:rsid w:val="00EB1A4E"/>
    <w:rsid w:val="00EB1C38"/>
    <w:rsid w:val="00EB217A"/>
    <w:rsid w:val="00EB229C"/>
    <w:rsid w:val="00EB24F3"/>
    <w:rsid w:val="00EB2878"/>
    <w:rsid w:val="00EB297A"/>
    <w:rsid w:val="00EB2B55"/>
    <w:rsid w:val="00EB3154"/>
    <w:rsid w:val="00EB3483"/>
    <w:rsid w:val="00EB34E9"/>
    <w:rsid w:val="00EB3689"/>
    <w:rsid w:val="00EB37EE"/>
    <w:rsid w:val="00EB38AD"/>
    <w:rsid w:val="00EB3E5B"/>
    <w:rsid w:val="00EB3E83"/>
    <w:rsid w:val="00EB4287"/>
    <w:rsid w:val="00EB43EB"/>
    <w:rsid w:val="00EB46DC"/>
    <w:rsid w:val="00EB49A1"/>
    <w:rsid w:val="00EB4B62"/>
    <w:rsid w:val="00EB4C2E"/>
    <w:rsid w:val="00EB5898"/>
    <w:rsid w:val="00EB5A8C"/>
    <w:rsid w:val="00EB5F5E"/>
    <w:rsid w:val="00EB5F6E"/>
    <w:rsid w:val="00EB6367"/>
    <w:rsid w:val="00EB643D"/>
    <w:rsid w:val="00EB64F3"/>
    <w:rsid w:val="00EB6858"/>
    <w:rsid w:val="00EB6922"/>
    <w:rsid w:val="00EB697C"/>
    <w:rsid w:val="00EB6A60"/>
    <w:rsid w:val="00EB6BEF"/>
    <w:rsid w:val="00EB6C65"/>
    <w:rsid w:val="00EB6E38"/>
    <w:rsid w:val="00EB7976"/>
    <w:rsid w:val="00EC0474"/>
    <w:rsid w:val="00EC064F"/>
    <w:rsid w:val="00EC09B8"/>
    <w:rsid w:val="00EC09E9"/>
    <w:rsid w:val="00EC09F6"/>
    <w:rsid w:val="00EC0E42"/>
    <w:rsid w:val="00EC0F50"/>
    <w:rsid w:val="00EC11F9"/>
    <w:rsid w:val="00EC12A6"/>
    <w:rsid w:val="00EC131A"/>
    <w:rsid w:val="00EC1785"/>
    <w:rsid w:val="00EC189C"/>
    <w:rsid w:val="00EC19D0"/>
    <w:rsid w:val="00EC1D0C"/>
    <w:rsid w:val="00EC21B3"/>
    <w:rsid w:val="00EC2471"/>
    <w:rsid w:val="00EC2547"/>
    <w:rsid w:val="00EC279D"/>
    <w:rsid w:val="00EC2B0E"/>
    <w:rsid w:val="00EC2CE4"/>
    <w:rsid w:val="00EC2D73"/>
    <w:rsid w:val="00EC3139"/>
    <w:rsid w:val="00EC34CA"/>
    <w:rsid w:val="00EC3EE6"/>
    <w:rsid w:val="00EC43AC"/>
    <w:rsid w:val="00EC4612"/>
    <w:rsid w:val="00EC4621"/>
    <w:rsid w:val="00EC4648"/>
    <w:rsid w:val="00EC4656"/>
    <w:rsid w:val="00EC4CCA"/>
    <w:rsid w:val="00EC4EBB"/>
    <w:rsid w:val="00EC529D"/>
    <w:rsid w:val="00EC530A"/>
    <w:rsid w:val="00EC54E5"/>
    <w:rsid w:val="00EC57FA"/>
    <w:rsid w:val="00EC58D2"/>
    <w:rsid w:val="00EC58D4"/>
    <w:rsid w:val="00EC5A6E"/>
    <w:rsid w:val="00EC5C2E"/>
    <w:rsid w:val="00EC614D"/>
    <w:rsid w:val="00EC6394"/>
    <w:rsid w:val="00EC64B7"/>
    <w:rsid w:val="00EC64FE"/>
    <w:rsid w:val="00EC6866"/>
    <w:rsid w:val="00EC69E1"/>
    <w:rsid w:val="00EC6E1E"/>
    <w:rsid w:val="00EC6E9C"/>
    <w:rsid w:val="00EC6EE5"/>
    <w:rsid w:val="00EC7585"/>
    <w:rsid w:val="00EC7972"/>
    <w:rsid w:val="00EC7ED8"/>
    <w:rsid w:val="00EC7F16"/>
    <w:rsid w:val="00ED00C3"/>
    <w:rsid w:val="00ED0154"/>
    <w:rsid w:val="00ED01AC"/>
    <w:rsid w:val="00ED0392"/>
    <w:rsid w:val="00ED05AB"/>
    <w:rsid w:val="00ED0608"/>
    <w:rsid w:val="00ED0C9E"/>
    <w:rsid w:val="00ED18DA"/>
    <w:rsid w:val="00ED1E91"/>
    <w:rsid w:val="00ED23CA"/>
    <w:rsid w:val="00ED2797"/>
    <w:rsid w:val="00ED27B0"/>
    <w:rsid w:val="00ED286F"/>
    <w:rsid w:val="00ED2BE4"/>
    <w:rsid w:val="00ED2C21"/>
    <w:rsid w:val="00ED300C"/>
    <w:rsid w:val="00ED30D7"/>
    <w:rsid w:val="00ED32FD"/>
    <w:rsid w:val="00ED3379"/>
    <w:rsid w:val="00ED3506"/>
    <w:rsid w:val="00ED381B"/>
    <w:rsid w:val="00ED3BD4"/>
    <w:rsid w:val="00ED3CAC"/>
    <w:rsid w:val="00ED3E5B"/>
    <w:rsid w:val="00ED3E91"/>
    <w:rsid w:val="00ED4331"/>
    <w:rsid w:val="00ED4A07"/>
    <w:rsid w:val="00ED4A94"/>
    <w:rsid w:val="00ED4C19"/>
    <w:rsid w:val="00ED4D2A"/>
    <w:rsid w:val="00ED4DD0"/>
    <w:rsid w:val="00ED4E51"/>
    <w:rsid w:val="00ED4FA7"/>
    <w:rsid w:val="00ED5BE3"/>
    <w:rsid w:val="00ED5DD0"/>
    <w:rsid w:val="00ED602B"/>
    <w:rsid w:val="00ED6368"/>
    <w:rsid w:val="00ED6501"/>
    <w:rsid w:val="00ED65EF"/>
    <w:rsid w:val="00ED6643"/>
    <w:rsid w:val="00ED698B"/>
    <w:rsid w:val="00ED69AE"/>
    <w:rsid w:val="00ED69BF"/>
    <w:rsid w:val="00ED69C5"/>
    <w:rsid w:val="00ED6BDC"/>
    <w:rsid w:val="00ED6CDF"/>
    <w:rsid w:val="00ED6DA0"/>
    <w:rsid w:val="00ED77B1"/>
    <w:rsid w:val="00ED79A9"/>
    <w:rsid w:val="00ED7A0A"/>
    <w:rsid w:val="00ED7A0D"/>
    <w:rsid w:val="00ED7EA0"/>
    <w:rsid w:val="00ED7F40"/>
    <w:rsid w:val="00ED7F87"/>
    <w:rsid w:val="00EE004C"/>
    <w:rsid w:val="00EE05D8"/>
    <w:rsid w:val="00EE0684"/>
    <w:rsid w:val="00EE0B3C"/>
    <w:rsid w:val="00EE0E59"/>
    <w:rsid w:val="00EE13F6"/>
    <w:rsid w:val="00EE1693"/>
    <w:rsid w:val="00EE16A7"/>
    <w:rsid w:val="00EE1826"/>
    <w:rsid w:val="00EE1A64"/>
    <w:rsid w:val="00EE1C31"/>
    <w:rsid w:val="00EE1C6D"/>
    <w:rsid w:val="00EE1CA9"/>
    <w:rsid w:val="00EE1F34"/>
    <w:rsid w:val="00EE249A"/>
    <w:rsid w:val="00EE2544"/>
    <w:rsid w:val="00EE257D"/>
    <w:rsid w:val="00EE25A8"/>
    <w:rsid w:val="00EE26B3"/>
    <w:rsid w:val="00EE2C89"/>
    <w:rsid w:val="00EE2E44"/>
    <w:rsid w:val="00EE30BC"/>
    <w:rsid w:val="00EE34FD"/>
    <w:rsid w:val="00EE36CD"/>
    <w:rsid w:val="00EE37D0"/>
    <w:rsid w:val="00EE3DF0"/>
    <w:rsid w:val="00EE43C7"/>
    <w:rsid w:val="00EE475B"/>
    <w:rsid w:val="00EE47DA"/>
    <w:rsid w:val="00EE485A"/>
    <w:rsid w:val="00EE4B3E"/>
    <w:rsid w:val="00EE4C2A"/>
    <w:rsid w:val="00EE4D24"/>
    <w:rsid w:val="00EE4DBD"/>
    <w:rsid w:val="00EE4E50"/>
    <w:rsid w:val="00EE51AC"/>
    <w:rsid w:val="00EE538E"/>
    <w:rsid w:val="00EE5467"/>
    <w:rsid w:val="00EE55EC"/>
    <w:rsid w:val="00EE565D"/>
    <w:rsid w:val="00EE5735"/>
    <w:rsid w:val="00EE58C1"/>
    <w:rsid w:val="00EE5972"/>
    <w:rsid w:val="00EE5EF4"/>
    <w:rsid w:val="00EE5F75"/>
    <w:rsid w:val="00EE5FD4"/>
    <w:rsid w:val="00EE6629"/>
    <w:rsid w:val="00EE6689"/>
    <w:rsid w:val="00EE68A6"/>
    <w:rsid w:val="00EE6A0D"/>
    <w:rsid w:val="00EE6B34"/>
    <w:rsid w:val="00EE6C47"/>
    <w:rsid w:val="00EE6EF3"/>
    <w:rsid w:val="00EE6F0A"/>
    <w:rsid w:val="00EE6F28"/>
    <w:rsid w:val="00EE6FA4"/>
    <w:rsid w:val="00EE7671"/>
    <w:rsid w:val="00EE76E0"/>
    <w:rsid w:val="00EE7B82"/>
    <w:rsid w:val="00EE7BE1"/>
    <w:rsid w:val="00EF08C5"/>
    <w:rsid w:val="00EF0930"/>
    <w:rsid w:val="00EF0942"/>
    <w:rsid w:val="00EF0AB2"/>
    <w:rsid w:val="00EF0BB6"/>
    <w:rsid w:val="00EF0D28"/>
    <w:rsid w:val="00EF0D5E"/>
    <w:rsid w:val="00EF0E9F"/>
    <w:rsid w:val="00EF1086"/>
    <w:rsid w:val="00EF10FD"/>
    <w:rsid w:val="00EF115C"/>
    <w:rsid w:val="00EF12D5"/>
    <w:rsid w:val="00EF1328"/>
    <w:rsid w:val="00EF15A7"/>
    <w:rsid w:val="00EF170D"/>
    <w:rsid w:val="00EF1717"/>
    <w:rsid w:val="00EF1755"/>
    <w:rsid w:val="00EF1C46"/>
    <w:rsid w:val="00EF1D2A"/>
    <w:rsid w:val="00EF1F40"/>
    <w:rsid w:val="00EF226E"/>
    <w:rsid w:val="00EF25DD"/>
    <w:rsid w:val="00EF26EB"/>
    <w:rsid w:val="00EF2852"/>
    <w:rsid w:val="00EF2971"/>
    <w:rsid w:val="00EF2A26"/>
    <w:rsid w:val="00EF2C64"/>
    <w:rsid w:val="00EF2F44"/>
    <w:rsid w:val="00EF355F"/>
    <w:rsid w:val="00EF36AF"/>
    <w:rsid w:val="00EF373E"/>
    <w:rsid w:val="00EF3776"/>
    <w:rsid w:val="00EF3827"/>
    <w:rsid w:val="00EF38A4"/>
    <w:rsid w:val="00EF411B"/>
    <w:rsid w:val="00EF4128"/>
    <w:rsid w:val="00EF4237"/>
    <w:rsid w:val="00EF45F9"/>
    <w:rsid w:val="00EF4BFA"/>
    <w:rsid w:val="00EF4D65"/>
    <w:rsid w:val="00EF4E25"/>
    <w:rsid w:val="00EF4F5F"/>
    <w:rsid w:val="00EF51B5"/>
    <w:rsid w:val="00EF521B"/>
    <w:rsid w:val="00EF5259"/>
    <w:rsid w:val="00EF52F1"/>
    <w:rsid w:val="00EF55BE"/>
    <w:rsid w:val="00EF57FE"/>
    <w:rsid w:val="00EF58F1"/>
    <w:rsid w:val="00EF58FB"/>
    <w:rsid w:val="00EF5E22"/>
    <w:rsid w:val="00EF5F84"/>
    <w:rsid w:val="00EF6278"/>
    <w:rsid w:val="00EF6305"/>
    <w:rsid w:val="00EF63AE"/>
    <w:rsid w:val="00EF6437"/>
    <w:rsid w:val="00EF67F1"/>
    <w:rsid w:val="00EF6B75"/>
    <w:rsid w:val="00EF6D0E"/>
    <w:rsid w:val="00EF6DBC"/>
    <w:rsid w:val="00EF6E30"/>
    <w:rsid w:val="00EF6F15"/>
    <w:rsid w:val="00EF70DE"/>
    <w:rsid w:val="00EF70FB"/>
    <w:rsid w:val="00EF7193"/>
    <w:rsid w:val="00EF71D8"/>
    <w:rsid w:val="00EF7346"/>
    <w:rsid w:val="00EF75C9"/>
    <w:rsid w:val="00EF7D66"/>
    <w:rsid w:val="00F000AB"/>
    <w:rsid w:val="00F00351"/>
    <w:rsid w:val="00F00876"/>
    <w:rsid w:val="00F00AD8"/>
    <w:rsid w:val="00F00B0B"/>
    <w:rsid w:val="00F00C38"/>
    <w:rsid w:val="00F00DB3"/>
    <w:rsid w:val="00F00F1E"/>
    <w:rsid w:val="00F00F8B"/>
    <w:rsid w:val="00F01037"/>
    <w:rsid w:val="00F010AD"/>
    <w:rsid w:val="00F014DD"/>
    <w:rsid w:val="00F015BC"/>
    <w:rsid w:val="00F01A19"/>
    <w:rsid w:val="00F01AD0"/>
    <w:rsid w:val="00F01B2C"/>
    <w:rsid w:val="00F01CAA"/>
    <w:rsid w:val="00F021BA"/>
    <w:rsid w:val="00F02217"/>
    <w:rsid w:val="00F0242D"/>
    <w:rsid w:val="00F0251B"/>
    <w:rsid w:val="00F0261A"/>
    <w:rsid w:val="00F026E8"/>
    <w:rsid w:val="00F02900"/>
    <w:rsid w:val="00F02DC7"/>
    <w:rsid w:val="00F02DE7"/>
    <w:rsid w:val="00F02E65"/>
    <w:rsid w:val="00F030E3"/>
    <w:rsid w:val="00F03406"/>
    <w:rsid w:val="00F0342F"/>
    <w:rsid w:val="00F038F6"/>
    <w:rsid w:val="00F03AC1"/>
    <w:rsid w:val="00F03EA0"/>
    <w:rsid w:val="00F0448C"/>
    <w:rsid w:val="00F04585"/>
    <w:rsid w:val="00F04665"/>
    <w:rsid w:val="00F04F3F"/>
    <w:rsid w:val="00F04FD7"/>
    <w:rsid w:val="00F05197"/>
    <w:rsid w:val="00F052C8"/>
    <w:rsid w:val="00F05429"/>
    <w:rsid w:val="00F05624"/>
    <w:rsid w:val="00F05772"/>
    <w:rsid w:val="00F0580C"/>
    <w:rsid w:val="00F05818"/>
    <w:rsid w:val="00F05981"/>
    <w:rsid w:val="00F05ABC"/>
    <w:rsid w:val="00F05CA5"/>
    <w:rsid w:val="00F05EFF"/>
    <w:rsid w:val="00F061CC"/>
    <w:rsid w:val="00F064AD"/>
    <w:rsid w:val="00F06511"/>
    <w:rsid w:val="00F065C5"/>
    <w:rsid w:val="00F0664C"/>
    <w:rsid w:val="00F0677A"/>
    <w:rsid w:val="00F06C26"/>
    <w:rsid w:val="00F06C40"/>
    <w:rsid w:val="00F06F11"/>
    <w:rsid w:val="00F070C9"/>
    <w:rsid w:val="00F076CD"/>
    <w:rsid w:val="00F07830"/>
    <w:rsid w:val="00F07854"/>
    <w:rsid w:val="00F0787D"/>
    <w:rsid w:val="00F0787F"/>
    <w:rsid w:val="00F078FC"/>
    <w:rsid w:val="00F07D69"/>
    <w:rsid w:val="00F07EE3"/>
    <w:rsid w:val="00F101C8"/>
    <w:rsid w:val="00F10252"/>
    <w:rsid w:val="00F10D85"/>
    <w:rsid w:val="00F11124"/>
    <w:rsid w:val="00F113F6"/>
    <w:rsid w:val="00F117F3"/>
    <w:rsid w:val="00F118F2"/>
    <w:rsid w:val="00F1192F"/>
    <w:rsid w:val="00F119EC"/>
    <w:rsid w:val="00F11CD5"/>
    <w:rsid w:val="00F126E4"/>
    <w:rsid w:val="00F12CC3"/>
    <w:rsid w:val="00F12F02"/>
    <w:rsid w:val="00F1316F"/>
    <w:rsid w:val="00F131F2"/>
    <w:rsid w:val="00F13926"/>
    <w:rsid w:val="00F13AC8"/>
    <w:rsid w:val="00F13BF8"/>
    <w:rsid w:val="00F13FEB"/>
    <w:rsid w:val="00F1401A"/>
    <w:rsid w:val="00F14020"/>
    <w:rsid w:val="00F141CD"/>
    <w:rsid w:val="00F14433"/>
    <w:rsid w:val="00F14564"/>
    <w:rsid w:val="00F1474C"/>
    <w:rsid w:val="00F14CC2"/>
    <w:rsid w:val="00F14DAE"/>
    <w:rsid w:val="00F14F7D"/>
    <w:rsid w:val="00F14FC2"/>
    <w:rsid w:val="00F15152"/>
    <w:rsid w:val="00F15183"/>
    <w:rsid w:val="00F152B2"/>
    <w:rsid w:val="00F15414"/>
    <w:rsid w:val="00F1590F"/>
    <w:rsid w:val="00F15A03"/>
    <w:rsid w:val="00F15B17"/>
    <w:rsid w:val="00F16759"/>
    <w:rsid w:val="00F16AD6"/>
    <w:rsid w:val="00F16CEA"/>
    <w:rsid w:val="00F17204"/>
    <w:rsid w:val="00F17400"/>
    <w:rsid w:val="00F17873"/>
    <w:rsid w:val="00F17BF4"/>
    <w:rsid w:val="00F20234"/>
    <w:rsid w:val="00F203E6"/>
    <w:rsid w:val="00F20442"/>
    <w:rsid w:val="00F208AF"/>
    <w:rsid w:val="00F208BC"/>
    <w:rsid w:val="00F208D1"/>
    <w:rsid w:val="00F208E6"/>
    <w:rsid w:val="00F2167F"/>
    <w:rsid w:val="00F21814"/>
    <w:rsid w:val="00F21E9E"/>
    <w:rsid w:val="00F21F0B"/>
    <w:rsid w:val="00F221A1"/>
    <w:rsid w:val="00F22686"/>
    <w:rsid w:val="00F228C7"/>
    <w:rsid w:val="00F22A88"/>
    <w:rsid w:val="00F22B11"/>
    <w:rsid w:val="00F22C0E"/>
    <w:rsid w:val="00F22E25"/>
    <w:rsid w:val="00F22EC1"/>
    <w:rsid w:val="00F22F58"/>
    <w:rsid w:val="00F23346"/>
    <w:rsid w:val="00F233D2"/>
    <w:rsid w:val="00F23802"/>
    <w:rsid w:val="00F23AB6"/>
    <w:rsid w:val="00F23B68"/>
    <w:rsid w:val="00F24587"/>
    <w:rsid w:val="00F247C1"/>
    <w:rsid w:val="00F248AC"/>
    <w:rsid w:val="00F24A99"/>
    <w:rsid w:val="00F24DC4"/>
    <w:rsid w:val="00F24DE3"/>
    <w:rsid w:val="00F24EE3"/>
    <w:rsid w:val="00F2501C"/>
    <w:rsid w:val="00F25796"/>
    <w:rsid w:val="00F25B1D"/>
    <w:rsid w:val="00F25C78"/>
    <w:rsid w:val="00F260E1"/>
    <w:rsid w:val="00F26191"/>
    <w:rsid w:val="00F262C2"/>
    <w:rsid w:val="00F26A94"/>
    <w:rsid w:val="00F26FDF"/>
    <w:rsid w:val="00F2717A"/>
    <w:rsid w:val="00F2763E"/>
    <w:rsid w:val="00F27657"/>
    <w:rsid w:val="00F279AA"/>
    <w:rsid w:val="00F27B58"/>
    <w:rsid w:val="00F27C7A"/>
    <w:rsid w:val="00F27C88"/>
    <w:rsid w:val="00F27F9C"/>
    <w:rsid w:val="00F30427"/>
    <w:rsid w:val="00F30455"/>
    <w:rsid w:val="00F3045A"/>
    <w:rsid w:val="00F3056A"/>
    <w:rsid w:val="00F30597"/>
    <w:rsid w:val="00F306DD"/>
    <w:rsid w:val="00F30B48"/>
    <w:rsid w:val="00F30CEF"/>
    <w:rsid w:val="00F30E55"/>
    <w:rsid w:val="00F30FBB"/>
    <w:rsid w:val="00F31347"/>
    <w:rsid w:val="00F314D4"/>
    <w:rsid w:val="00F31D29"/>
    <w:rsid w:val="00F3239C"/>
    <w:rsid w:val="00F32DE8"/>
    <w:rsid w:val="00F32EF9"/>
    <w:rsid w:val="00F32F7A"/>
    <w:rsid w:val="00F330D1"/>
    <w:rsid w:val="00F331FB"/>
    <w:rsid w:val="00F3324B"/>
    <w:rsid w:val="00F33379"/>
    <w:rsid w:val="00F334E1"/>
    <w:rsid w:val="00F3372C"/>
    <w:rsid w:val="00F337DA"/>
    <w:rsid w:val="00F3381C"/>
    <w:rsid w:val="00F33934"/>
    <w:rsid w:val="00F33AE8"/>
    <w:rsid w:val="00F33B0A"/>
    <w:rsid w:val="00F34255"/>
    <w:rsid w:val="00F343C9"/>
    <w:rsid w:val="00F34534"/>
    <w:rsid w:val="00F34755"/>
    <w:rsid w:val="00F34798"/>
    <w:rsid w:val="00F34799"/>
    <w:rsid w:val="00F34B64"/>
    <w:rsid w:val="00F34B6F"/>
    <w:rsid w:val="00F34C08"/>
    <w:rsid w:val="00F34D2D"/>
    <w:rsid w:val="00F34D34"/>
    <w:rsid w:val="00F35015"/>
    <w:rsid w:val="00F352BD"/>
    <w:rsid w:val="00F3575F"/>
    <w:rsid w:val="00F35955"/>
    <w:rsid w:val="00F359EA"/>
    <w:rsid w:val="00F35B73"/>
    <w:rsid w:val="00F35C3D"/>
    <w:rsid w:val="00F35CA7"/>
    <w:rsid w:val="00F3631D"/>
    <w:rsid w:val="00F3645B"/>
    <w:rsid w:val="00F365F3"/>
    <w:rsid w:val="00F367AA"/>
    <w:rsid w:val="00F36840"/>
    <w:rsid w:val="00F36ACE"/>
    <w:rsid w:val="00F36B17"/>
    <w:rsid w:val="00F37316"/>
    <w:rsid w:val="00F37461"/>
    <w:rsid w:val="00F374D1"/>
    <w:rsid w:val="00F37580"/>
    <w:rsid w:val="00F37680"/>
    <w:rsid w:val="00F379EE"/>
    <w:rsid w:val="00F37B74"/>
    <w:rsid w:val="00F37D4F"/>
    <w:rsid w:val="00F4005B"/>
    <w:rsid w:val="00F40275"/>
    <w:rsid w:val="00F4040F"/>
    <w:rsid w:val="00F405E3"/>
    <w:rsid w:val="00F406CE"/>
    <w:rsid w:val="00F407C3"/>
    <w:rsid w:val="00F40AC3"/>
    <w:rsid w:val="00F40DBC"/>
    <w:rsid w:val="00F40E2A"/>
    <w:rsid w:val="00F40F68"/>
    <w:rsid w:val="00F40FFD"/>
    <w:rsid w:val="00F411F2"/>
    <w:rsid w:val="00F414E0"/>
    <w:rsid w:val="00F41948"/>
    <w:rsid w:val="00F419AF"/>
    <w:rsid w:val="00F419E4"/>
    <w:rsid w:val="00F41AFA"/>
    <w:rsid w:val="00F41EA6"/>
    <w:rsid w:val="00F41FBF"/>
    <w:rsid w:val="00F42043"/>
    <w:rsid w:val="00F4222E"/>
    <w:rsid w:val="00F422BC"/>
    <w:rsid w:val="00F42606"/>
    <w:rsid w:val="00F42C9F"/>
    <w:rsid w:val="00F43095"/>
    <w:rsid w:val="00F434A6"/>
    <w:rsid w:val="00F434B6"/>
    <w:rsid w:val="00F43791"/>
    <w:rsid w:val="00F43B8A"/>
    <w:rsid w:val="00F4403B"/>
    <w:rsid w:val="00F4470C"/>
    <w:rsid w:val="00F4475B"/>
    <w:rsid w:val="00F44CF0"/>
    <w:rsid w:val="00F44E82"/>
    <w:rsid w:val="00F44FC4"/>
    <w:rsid w:val="00F45014"/>
    <w:rsid w:val="00F453F9"/>
    <w:rsid w:val="00F454A8"/>
    <w:rsid w:val="00F45918"/>
    <w:rsid w:val="00F45941"/>
    <w:rsid w:val="00F45BB5"/>
    <w:rsid w:val="00F46091"/>
    <w:rsid w:val="00F46382"/>
    <w:rsid w:val="00F4649B"/>
    <w:rsid w:val="00F46652"/>
    <w:rsid w:val="00F46745"/>
    <w:rsid w:val="00F467CB"/>
    <w:rsid w:val="00F46951"/>
    <w:rsid w:val="00F469C7"/>
    <w:rsid w:val="00F46B02"/>
    <w:rsid w:val="00F46CA5"/>
    <w:rsid w:val="00F46D79"/>
    <w:rsid w:val="00F46FA5"/>
    <w:rsid w:val="00F4726B"/>
    <w:rsid w:val="00F47292"/>
    <w:rsid w:val="00F47301"/>
    <w:rsid w:val="00F474F2"/>
    <w:rsid w:val="00F4751F"/>
    <w:rsid w:val="00F4768B"/>
    <w:rsid w:val="00F47F84"/>
    <w:rsid w:val="00F50253"/>
    <w:rsid w:val="00F50285"/>
    <w:rsid w:val="00F50A1E"/>
    <w:rsid w:val="00F50D3C"/>
    <w:rsid w:val="00F51008"/>
    <w:rsid w:val="00F5123F"/>
    <w:rsid w:val="00F51253"/>
    <w:rsid w:val="00F51555"/>
    <w:rsid w:val="00F51630"/>
    <w:rsid w:val="00F51883"/>
    <w:rsid w:val="00F51890"/>
    <w:rsid w:val="00F51BC7"/>
    <w:rsid w:val="00F51CDC"/>
    <w:rsid w:val="00F52118"/>
    <w:rsid w:val="00F521C6"/>
    <w:rsid w:val="00F521DA"/>
    <w:rsid w:val="00F5224F"/>
    <w:rsid w:val="00F523C8"/>
    <w:rsid w:val="00F5261A"/>
    <w:rsid w:val="00F526D9"/>
    <w:rsid w:val="00F5278A"/>
    <w:rsid w:val="00F5282C"/>
    <w:rsid w:val="00F529A7"/>
    <w:rsid w:val="00F52B0A"/>
    <w:rsid w:val="00F52B69"/>
    <w:rsid w:val="00F52CB1"/>
    <w:rsid w:val="00F5323C"/>
    <w:rsid w:val="00F533AC"/>
    <w:rsid w:val="00F5347A"/>
    <w:rsid w:val="00F53808"/>
    <w:rsid w:val="00F53BBA"/>
    <w:rsid w:val="00F53F64"/>
    <w:rsid w:val="00F53FB8"/>
    <w:rsid w:val="00F54029"/>
    <w:rsid w:val="00F5444A"/>
    <w:rsid w:val="00F54563"/>
    <w:rsid w:val="00F54BA8"/>
    <w:rsid w:val="00F54EE2"/>
    <w:rsid w:val="00F54EE9"/>
    <w:rsid w:val="00F551BD"/>
    <w:rsid w:val="00F55293"/>
    <w:rsid w:val="00F5550B"/>
    <w:rsid w:val="00F555D6"/>
    <w:rsid w:val="00F5574B"/>
    <w:rsid w:val="00F55942"/>
    <w:rsid w:val="00F5594A"/>
    <w:rsid w:val="00F55B26"/>
    <w:rsid w:val="00F55D8B"/>
    <w:rsid w:val="00F55E4B"/>
    <w:rsid w:val="00F55F80"/>
    <w:rsid w:val="00F561F9"/>
    <w:rsid w:val="00F56217"/>
    <w:rsid w:val="00F5625A"/>
    <w:rsid w:val="00F56279"/>
    <w:rsid w:val="00F56850"/>
    <w:rsid w:val="00F56995"/>
    <w:rsid w:val="00F569FB"/>
    <w:rsid w:val="00F571B0"/>
    <w:rsid w:val="00F57278"/>
    <w:rsid w:val="00F57393"/>
    <w:rsid w:val="00F57467"/>
    <w:rsid w:val="00F574C4"/>
    <w:rsid w:val="00F575A0"/>
    <w:rsid w:val="00F57CAB"/>
    <w:rsid w:val="00F57D7F"/>
    <w:rsid w:val="00F57F08"/>
    <w:rsid w:val="00F60346"/>
    <w:rsid w:val="00F603FC"/>
    <w:rsid w:val="00F604E2"/>
    <w:rsid w:val="00F60678"/>
    <w:rsid w:val="00F609A1"/>
    <w:rsid w:val="00F60EAA"/>
    <w:rsid w:val="00F60FB9"/>
    <w:rsid w:val="00F610BE"/>
    <w:rsid w:val="00F6130B"/>
    <w:rsid w:val="00F614AC"/>
    <w:rsid w:val="00F615F6"/>
    <w:rsid w:val="00F61675"/>
    <w:rsid w:val="00F619D3"/>
    <w:rsid w:val="00F6237B"/>
    <w:rsid w:val="00F623BE"/>
    <w:rsid w:val="00F626F5"/>
    <w:rsid w:val="00F62A80"/>
    <w:rsid w:val="00F63106"/>
    <w:rsid w:val="00F631DD"/>
    <w:rsid w:val="00F63560"/>
    <w:rsid w:val="00F63A37"/>
    <w:rsid w:val="00F63F1A"/>
    <w:rsid w:val="00F63FF9"/>
    <w:rsid w:val="00F646B1"/>
    <w:rsid w:val="00F64A88"/>
    <w:rsid w:val="00F64AB9"/>
    <w:rsid w:val="00F64BAD"/>
    <w:rsid w:val="00F64BAE"/>
    <w:rsid w:val="00F64BD7"/>
    <w:rsid w:val="00F64FC8"/>
    <w:rsid w:val="00F650BA"/>
    <w:rsid w:val="00F65242"/>
    <w:rsid w:val="00F6555F"/>
    <w:rsid w:val="00F657FF"/>
    <w:rsid w:val="00F6597A"/>
    <w:rsid w:val="00F65CFB"/>
    <w:rsid w:val="00F662B2"/>
    <w:rsid w:val="00F6639C"/>
    <w:rsid w:val="00F6646C"/>
    <w:rsid w:val="00F66543"/>
    <w:rsid w:val="00F66595"/>
    <w:rsid w:val="00F66911"/>
    <w:rsid w:val="00F6692D"/>
    <w:rsid w:val="00F66A2B"/>
    <w:rsid w:val="00F66D78"/>
    <w:rsid w:val="00F67136"/>
    <w:rsid w:val="00F67476"/>
    <w:rsid w:val="00F674BF"/>
    <w:rsid w:val="00F67610"/>
    <w:rsid w:val="00F6776C"/>
    <w:rsid w:val="00F67838"/>
    <w:rsid w:val="00F67B61"/>
    <w:rsid w:val="00F67DCC"/>
    <w:rsid w:val="00F67E31"/>
    <w:rsid w:val="00F70171"/>
    <w:rsid w:val="00F70EE9"/>
    <w:rsid w:val="00F711C3"/>
    <w:rsid w:val="00F71336"/>
    <w:rsid w:val="00F71C77"/>
    <w:rsid w:val="00F71CBF"/>
    <w:rsid w:val="00F71D3F"/>
    <w:rsid w:val="00F71E4F"/>
    <w:rsid w:val="00F724ED"/>
    <w:rsid w:val="00F72532"/>
    <w:rsid w:val="00F72794"/>
    <w:rsid w:val="00F72C58"/>
    <w:rsid w:val="00F73081"/>
    <w:rsid w:val="00F73105"/>
    <w:rsid w:val="00F73317"/>
    <w:rsid w:val="00F73504"/>
    <w:rsid w:val="00F735AA"/>
    <w:rsid w:val="00F73730"/>
    <w:rsid w:val="00F73829"/>
    <w:rsid w:val="00F738BB"/>
    <w:rsid w:val="00F739C0"/>
    <w:rsid w:val="00F73B13"/>
    <w:rsid w:val="00F740E5"/>
    <w:rsid w:val="00F74226"/>
    <w:rsid w:val="00F743C6"/>
    <w:rsid w:val="00F743C8"/>
    <w:rsid w:val="00F744FB"/>
    <w:rsid w:val="00F74730"/>
    <w:rsid w:val="00F74886"/>
    <w:rsid w:val="00F74C45"/>
    <w:rsid w:val="00F74CC9"/>
    <w:rsid w:val="00F74DBE"/>
    <w:rsid w:val="00F7514A"/>
    <w:rsid w:val="00F75452"/>
    <w:rsid w:val="00F7559A"/>
    <w:rsid w:val="00F755AF"/>
    <w:rsid w:val="00F75616"/>
    <w:rsid w:val="00F75CC5"/>
    <w:rsid w:val="00F75D8F"/>
    <w:rsid w:val="00F7621F"/>
    <w:rsid w:val="00F76558"/>
    <w:rsid w:val="00F76C77"/>
    <w:rsid w:val="00F76DEE"/>
    <w:rsid w:val="00F76EE4"/>
    <w:rsid w:val="00F77040"/>
    <w:rsid w:val="00F7729C"/>
    <w:rsid w:val="00F77346"/>
    <w:rsid w:val="00F77470"/>
    <w:rsid w:val="00F77C73"/>
    <w:rsid w:val="00F77E4D"/>
    <w:rsid w:val="00F800ED"/>
    <w:rsid w:val="00F80112"/>
    <w:rsid w:val="00F804CF"/>
    <w:rsid w:val="00F80AB9"/>
    <w:rsid w:val="00F80B01"/>
    <w:rsid w:val="00F80B45"/>
    <w:rsid w:val="00F80C01"/>
    <w:rsid w:val="00F80C73"/>
    <w:rsid w:val="00F80C7E"/>
    <w:rsid w:val="00F80DF4"/>
    <w:rsid w:val="00F80E0C"/>
    <w:rsid w:val="00F81271"/>
    <w:rsid w:val="00F81351"/>
    <w:rsid w:val="00F81E5B"/>
    <w:rsid w:val="00F81E7E"/>
    <w:rsid w:val="00F81F63"/>
    <w:rsid w:val="00F820B1"/>
    <w:rsid w:val="00F82476"/>
    <w:rsid w:val="00F826B2"/>
    <w:rsid w:val="00F82763"/>
    <w:rsid w:val="00F8278F"/>
    <w:rsid w:val="00F828D1"/>
    <w:rsid w:val="00F82A10"/>
    <w:rsid w:val="00F83533"/>
    <w:rsid w:val="00F835B9"/>
    <w:rsid w:val="00F83A29"/>
    <w:rsid w:val="00F83D37"/>
    <w:rsid w:val="00F83DE9"/>
    <w:rsid w:val="00F83F8C"/>
    <w:rsid w:val="00F83FBC"/>
    <w:rsid w:val="00F840DD"/>
    <w:rsid w:val="00F84370"/>
    <w:rsid w:val="00F8443C"/>
    <w:rsid w:val="00F845B9"/>
    <w:rsid w:val="00F84616"/>
    <w:rsid w:val="00F84BD5"/>
    <w:rsid w:val="00F84E93"/>
    <w:rsid w:val="00F85418"/>
    <w:rsid w:val="00F857EB"/>
    <w:rsid w:val="00F8586F"/>
    <w:rsid w:val="00F8601B"/>
    <w:rsid w:val="00F86229"/>
    <w:rsid w:val="00F865C4"/>
    <w:rsid w:val="00F8669C"/>
    <w:rsid w:val="00F86778"/>
    <w:rsid w:val="00F86C88"/>
    <w:rsid w:val="00F86CAA"/>
    <w:rsid w:val="00F86E96"/>
    <w:rsid w:val="00F876B7"/>
    <w:rsid w:val="00F8777F"/>
    <w:rsid w:val="00F87780"/>
    <w:rsid w:val="00F87861"/>
    <w:rsid w:val="00F8794B"/>
    <w:rsid w:val="00F87A0C"/>
    <w:rsid w:val="00F90133"/>
    <w:rsid w:val="00F9013E"/>
    <w:rsid w:val="00F90558"/>
    <w:rsid w:val="00F909D2"/>
    <w:rsid w:val="00F90A68"/>
    <w:rsid w:val="00F910F1"/>
    <w:rsid w:val="00F911BD"/>
    <w:rsid w:val="00F9120C"/>
    <w:rsid w:val="00F913BE"/>
    <w:rsid w:val="00F915D7"/>
    <w:rsid w:val="00F91A2B"/>
    <w:rsid w:val="00F91EFE"/>
    <w:rsid w:val="00F92277"/>
    <w:rsid w:val="00F923F4"/>
    <w:rsid w:val="00F9243B"/>
    <w:rsid w:val="00F9266D"/>
    <w:rsid w:val="00F92759"/>
    <w:rsid w:val="00F93136"/>
    <w:rsid w:val="00F93154"/>
    <w:rsid w:val="00F93430"/>
    <w:rsid w:val="00F93449"/>
    <w:rsid w:val="00F93482"/>
    <w:rsid w:val="00F934B0"/>
    <w:rsid w:val="00F936EA"/>
    <w:rsid w:val="00F938D7"/>
    <w:rsid w:val="00F9390D"/>
    <w:rsid w:val="00F93AAB"/>
    <w:rsid w:val="00F93AE1"/>
    <w:rsid w:val="00F93DA0"/>
    <w:rsid w:val="00F94109"/>
    <w:rsid w:val="00F941E2"/>
    <w:rsid w:val="00F945D6"/>
    <w:rsid w:val="00F949B1"/>
    <w:rsid w:val="00F94A00"/>
    <w:rsid w:val="00F94A5F"/>
    <w:rsid w:val="00F94DB9"/>
    <w:rsid w:val="00F94E14"/>
    <w:rsid w:val="00F94EC3"/>
    <w:rsid w:val="00F95092"/>
    <w:rsid w:val="00F95108"/>
    <w:rsid w:val="00F95232"/>
    <w:rsid w:val="00F9532A"/>
    <w:rsid w:val="00F95FD4"/>
    <w:rsid w:val="00F962CE"/>
    <w:rsid w:val="00F969E5"/>
    <w:rsid w:val="00F96C57"/>
    <w:rsid w:val="00F96EB3"/>
    <w:rsid w:val="00F97010"/>
    <w:rsid w:val="00F97135"/>
    <w:rsid w:val="00F97301"/>
    <w:rsid w:val="00F97328"/>
    <w:rsid w:val="00F9767A"/>
    <w:rsid w:val="00F97DD5"/>
    <w:rsid w:val="00FA005E"/>
    <w:rsid w:val="00FA0078"/>
    <w:rsid w:val="00FA03E6"/>
    <w:rsid w:val="00FA0FCF"/>
    <w:rsid w:val="00FA125B"/>
    <w:rsid w:val="00FA13CF"/>
    <w:rsid w:val="00FA146F"/>
    <w:rsid w:val="00FA1486"/>
    <w:rsid w:val="00FA16EA"/>
    <w:rsid w:val="00FA177B"/>
    <w:rsid w:val="00FA18D7"/>
    <w:rsid w:val="00FA1AD5"/>
    <w:rsid w:val="00FA1BC0"/>
    <w:rsid w:val="00FA1D17"/>
    <w:rsid w:val="00FA1D28"/>
    <w:rsid w:val="00FA1E61"/>
    <w:rsid w:val="00FA1F5E"/>
    <w:rsid w:val="00FA252A"/>
    <w:rsid w:val="00FA2831"/>
    <w:rsid w:val="00FA290C"/>
    <w:rsid w:val="00FA2A4E"/>
    <w:rsid w:val="00FA2D83"/>
    <w:rsid w:val="00FA32BE"/>
    <w:rsid w:val="00FA338A"/>
    <w:rsid w:val="00FA363B"/>
    <w:rsid w:val="00FA3758"/>
    <w:rsid w:val="00FA37D6"/>
    <w:rsid w:val="00FA3936"/>
    <w:rsid w:val="00FA3B70"/>
    <w:rsid w:val="00FA3BE2"/>
    <w:rsid w:val="00FA3E28"/>
    <w:rsid w:val="00FA3F00"/>
    <w:rsid w:val="00FA42C3"/>
    <w:rsid w:val="00FA44B2"/>
    <w:rsid w:val="00FA481D"/>
    <w:rsid w:val="00FA482A"/>
    <w:rsid w:val="00FA4919"/>
    <w:rsid w:val="00FA4927"/>
    <w:rsid w:val="00FA4C8B"/>
    <w:rsid w:val="00FA4FEA"/>
    <w:rsid w:val="00FA51CD"/>
    <w:rsid w:val="00FA54A6"/>
    <w:rsid w:val="00FA5698"/>
    <w:rsid w:val="00FA57FB"/>
    <w:rsid w:val="00FA59C7"/>
    <w:rsid w:val="00FA5AE3"/>
    <w:rsid w:val="00FA5F39"/>
    <w:rsid w:val="00FA60DB"/>
    <w:rsid w:val="00FA66CB"/>
    <w:rsid w:val="00FA6750"/>
    <w:rsid w:val="00FA68FF"/>
    <w:rsid w:val="00FA6CB0"/>
    <w:rsid w:val="00FA70F7"/>
    <w:rsid w:val="00FA7151"/>
    <w:rsid w:val="00FA7168"/>
    <w:rsid w:val="00FA737E"/>
    <w:rsid w:val="00FA7974"/>
    <w:rsid w:val="00FA7A80"/>
    <w:rsid w:val="00FA7C93"/>
    <w:rsid w:val="00FA7E16"/>
    <w:rsid w:val="00FB00BB"/>
    <w:rsid w:val="00FB04EF"/>
    <w:rsid w:val="00FB0569"/>
    <w:rsid w:val="00FB0AB9"/>
    <w:rsid w:val="00FB0C24"/>
    <w:rsid w:val="00FB0CB4"/>
    <w:rsid w:val="00FB0EFA"/>
    <w:rsid w:val="00FB0F8D"/>
    <w:rsid w:val="00FB10E2"/>
    <w:rsid w:val="00FB121A"/>
    <w:rsid w:val="00FB1307"/>
    <w:rsid w:val="00FB144F"/>
    <w:rsid w:val="00FB1510"/>
    <w:rsid w:val="00FB1530"/>
    <w:rsid w:val="00FB1938"/>
    <w:rsid w:val="00FB19F6"/>
    <w:rsid w:val="00FB1CE8"/>
    <w:rsid w:val="00FB1DBD"/>
    <w:rsid w:val="00FB1E87"/>
    <w:rsid w:val="00FB1FFA"/>
    <w:rsid w:val="00FB2047"/>
    <w:rsid w:val="00FB2136"/>
    <w:rsid w:val="00FB2206"/>
    <w:rsid w:val="00FB24BC"/>
    <w:rsid w:val="00FB2B31"/>
    <w:rsid w:val="00FB320F"/>
    <w:rsid w:val="00FB3391"/>
    <w:rsid w:val="00FB3417"/>
    <w:rsid w:val="00FB3428"/>
    <w:rsid w:val="00FB3743"/>
    <w:rsid w:val="00FB37F0"/>
    <w:rsid w:val="00FB39D0"/>
    <w:rsid w:val="00FB39D9"/>
    <w:rsid w:val="00FB3D51"/>
    <w:rsid w:val="00FB3E3E"/>
    <w:rsid w:val="00FB41D9"/>
    <w:rsid w:val="00FB45E3"/>
    <w:rsid w:val="00FB4843"/>
    <w:rsid w:val="00FB49AD"/>
    <w:rsid w:val="00FB4B0D"/>
    <w:rsid w:val="00FB4B7C"/>
    <w:rsid w:val="00FB4D06"/>
    <w:rsid w:val="00FB5521"/>
    <w:rsid w:val="00FB5584"/>
    <w:rsid w:val="00FB56A3"/>
    <w:rsid w:val="00FB57F2"/>
    <w:rsid w:val="00FB5942"/>
    <w:rsid w:val="00FB5A58"/>
    <w:rsid w:val="00FB5BCD"/>
    <w:rsid w:val="00FB5C03"/>
    <w:rsid w:val="00FB6173"/>
    <w:rsid w:val="00FB61F7"/>
    <w:rsid w:val="00FB6399"/>
    <w:rsid w:val="00FB65C1"/>
    <w:rsid w:val="00FB668F"/>
    <w:rsid w:val="00FB682F"/>
    <w:rsid w:val="00FB69AD"/>
    <w:rsid w:val="00FB6AE1"/>
    <w:rsid w:val="00FB7003"/>
    <w:rsid w:val="00FB7090"/>
    <w:rsid w:val="00FB76A0"/>
    <w:rsid w:val="00FB7806"/>
    <w:rsid w:val="00FB7817"/>
    <w:rsid w:val="00FB782A"/>
    <w:rsid w:val="00FB79A1"/>
    <w:rsid w:val="00FB7D71"/>
    <w:rsid w:val="00FB7E38"/>
    <w:rsid w:val="00FB7EDA"/>
    <w:rsid w:val="00FB7FFE"/>
    <w:rsid w:val="00FC0064"/>
    <w:rsid w:val="00FC05E1"/>
    <w:rsid w:val="00FC0A37"/>
    <w:rsid w:val="00FC0C2F"/>
    <w:rsid w:val="00FC0C9D"/>
    <w:rsid w:val="00FC0DE0"/>
    <w:rsid w:val="00FC100E"/>
    <w:rsid w:val="00FC141B"/>
    <w:rsid w:val="00FC14C2"/>
    <w:rsid w:val="00FC1AEE"/>
    <w:rsid w:val="00FC1EFA"/>
    <w:rsid w:val="00FC236D"/>
    <w:rsid w:val="00FC264D"/>
    <w:rsid w:val="00FC2996"/>
    <w:rsid w:val="00FC2B3B"/>
    <w:rsid w:val="00FC3228"/>
    <w:rsid w:val="00FC3329"/>
    <w:rsid w:val="00FC3349"/>
    <w:rsid w:val="00FC34FD"/>
    <w:rsid w:val="00FC356F"/>
    <w:rsid w:val="00FC3721"/>
    <w:rsid w:val="00FC376F"/>
    <w:rsid w:val="00FC389D"/>
    <w:rsid w:val="00FC3A42"/>
    <w:rsid w:val="00FC401A"/>
    <w:rsid w:val="00FC4377"/>
    <w:rsid w:val="00FC4451"/>
    <w:rsid w:val="00FC4720"/>
    <w:rsid w:val="00FC4725"/>
    <w:rsid w:val="00FC49D6"/>
    <w:rsid w:val="00FC4CD8"/>
    <w:rsid w:val="00FC5324"/>
    <w:rsid w:val="00FC5777"/>
    <w:rsid w:val="00FC5929"/>
    <w:rsid w:val="00FC59DD"/>
    <w:rsid w:val="00FC5B4D"/>
    <w:rsid w:val="00FC5EC7"/>
    <w:rsid w:val="00FC5F95"/>
    <w:rsid w:val="00FC5FD1"/>
    <w:rsid w:val="00FC6744"/>
    <w:rsid w:val="00FC6ADC"/>
    <w:rsid w:val="00FC6C7A"/>
    <w:rsid w:val="00FC6F5D"/>
    <w:rsid w:val="00FC7040"/>
    <w:rsid w:val="00FC7059"/>
    <w:rsid w:val="00FC70A0"/>
    <w:rsid w:val="00FC7146"/>
    <w:rsid w:val="00FC722F"/>
    <w:rsid w:val="00FC7373"/>
    <w:rsid w:val="00FC768A"/>
    <w:rsid w:val="00FC7ED7"/>
    <w:rsid w:val="00FD0116"/>
    <w:rsid w:val="00FD0266"/>
    <w:rsid w:val="00FD04C0"/>
    <w:rsid w:val="00FD0636"/>
    <w:rsid w:val="00FD078C"/>
    <w:rsid w:val="00FD0951"/>
    <w:rsid w:val="00FD0B78"/>
    <w:rsid w:val="00FD0C46"/>
    <w:rsid w:val="00FD0D6F"/>
    <w:rsid w:val="00FD0DF6"/>
    <w:rsid w:val="00FD0F23"/>
    <w:rsid w:val="00FD0F92"/>
    <w:rsid w:val="00FD1065"/>
    <w:rsid w:val="00FD1310"/>
    <w:rsid w:val="00FD1B65"/>
    <w:rsid w:val="00FD1C70"/>
    <w:rsid w:val="00FD1DB9"/>
    <w:rsid w:val="00FD1DFA"/>
    <w:rsid w:val="00FD22B9"/>
    <w:rsid w:val="00FD24C7"/>
    <w:rsid w:val="00FD2518"/>
    <w:rsid w:val="00FD253C"/>
    <w:rsid w:val="00FD286D"/>
    <w:rsid w:val="00FD2C4C"/>
    <w:rsid w:val="00FD2F0E"/>
    <w:rsid w:val="00FD2FF4"/>
    <w:rsid w:val="00FD3057"/>
    <w:rsid w:val="00FD34B4"/>
    <w:rsid w:val="00FD36FD"/>
    <w:rsid w:val="00FD3887"/>
    <w:rsid w:val="00FD4211"/>
    <w:rsid w:val="00FD4409"/>
    <w:rsid w:val="00FD440D"/>
    <w:rsid w:val="00FD4623"/>
    <w:rsid w:val="00FD49B1"/>
    <w:rsid w:val="00FD4D18"/>
    <w:rsid w:val="00FD4DF0"/>
    <w:rsid w:val="00FD4E2D"/>
    <w:rsid w:val="00FD4F58"/>
    <w:rsid w:val="00FD520C"/>
    <w:rsid w:val="00FD54B5"/>
    <w:rsid w:val="00FD550C"/>
    <w:rsid w:val="00FD56D7"/>
    <w:rsid w:val="00FD5720"/>
    <w:rsid w:val="00FD576C"/>
    <w:rsid w:val="00FD5914"/>
    <w:rsid w:val="00FD5C14"/>
    <w:rsid w:val="00FD6095"/>
    <w:rsid w:val="00FD60F9"/>
    <w:rsid w:val="00FD63E3"/>
    <w:rsid w:val="00FD65F4"/>
    <w:rsid w:val="00FD69CD"/>
    <w:rsid w:val="00FD6A97"/>
    <w:rsid w:val="00FD6ABB"/>
    <w:rsid w:val="00FD6B22"/>
    <w:rsid w:val="00FD6BCD"/>
    <w:rsid w:val="00FD6D50"/>
    <w:rsid w:val="00FD6D65"/>
    <w:rsid w:val="00FD6E03"/>
    <w:rsid w:val="00FD6EDB"/>
    <w:rsid w:val="00FD6F6F"/>
    <w:rsid w:val="00FD6F7E"/>
    <w:rsid w:val="00FD71DE"/>
    <w:rsid w:val="00FD736E"/>
    <w:rsid w:val="00FD7482"/>
    <w:rsid w:val="00FD7775"/>
    <w:rsid w:val="00FD7C18"/>
    <w:rsid w:val="00FD7DD8"/>
    <w:rsid w:val="00FD7DDB"/>
    <w:rsid w:val="00FD7F23"/>
    <w:rsid w:val="00FE0087"/>
    <w:rsid w:val="00FE00BB"/>
    <w:rsid w:val="00FE05CD"/>
    <w:rsid w:val="00FE07C7"/>
    <w:rsid w:val="00FE08AB"/>
    <w:rsid w:val="00FE08E2"/>
    <w:rsid w:val="00FE0D96"/>
    <w:rsid w:val="00FE1197"/>
    <w:rsid w:val="00FE1332"/>
    <w:rsid w:val="00FE166B"/>
    <w:rsid w:val="00FE1C71"/>
    <w:rsid w:val="00FE1E2E"/>
    <w:rsid w:val="00FE2373"/>
    <w:rsid w:val="00FE2627"/>
    <w:rsid w:val="00FE2698"/>
    <w:rsid w:val="00FE2700"/>
    <w:rsid w:val="00FE2B46"/>
    <w:rsid w:val="00FE2CC4"/>
    <w:rsid w:val="00FE2F88"/>
    <w:rsid w:val="00FE304C"/>
    <w:rsid w:val="00FE30F8"/>
    <w:rsid w:val="00FE319F"/>
    <w:rsid w:val="00FE39B9"/>
    <w:rsid w:val="00FE3E01"/>
    <w:rsid w:val="00FE42A2"/>
    <w:rsid w:val="00FE4D38"/>
    <w:rsid w:val="00FE50C1"/>
    <w:rsid w:val="00FE545E"/>
    <w:rsid w:val="00FE57B8"/>
    <w:rsid w:val="00FE5814"/>
    <w:rsid w:val="00FE596F"/>
    <w:rsid w:val="00FE5EE3"/>
    <w:rsid w:val="00FE60F5"/>
    <w:rsid w:val="00FE61F9"/>
    <w:rsid w:val="00FE651B"/>
    <w:rsid w:val="00FE6548"/>
    <w:rsid w:val="00FE65F0"/>
    <w:rsid w:val="00FE66A6"/>
    <w:rsid w:val="00FE6748"/>
    <w:rsid w:val="00FE677B"/>
    <w:rsid w:val="00FE6984"/>
    <w:rsid w:val="00FE699C"/>
    <w:rsid w:val="00FE6D06"/>
    <w:rsid w:val="00FE7025"/>
    <w:rsid w:val="00FE7063"/>
    <w:rsid w:val="00FE765D"/>
    <w:rsid w:val="00FF00A1"/>
    <w:rsid w:val="00FF021D"/>
    <w:rsid w:val="00FF048C"/>
    <w:rsid w:val="00FF0626"/>
    <w:rsid w:val="00FF07B2"/>
    <w:rsid w:val="00FF07C4"/>
    <w:rsid w:val="00FF0989"/>
    <w:rsid w:val="00FF0C80"/>
    <w:rsid w:val="00FF1085"/>
    <w:rsid w:val="00FF177F"/>
    <w:rsid w:val="00FF18A5"/>
    <w:rsid w:val="00FF18CD"/>
    <w:rsid w:val="00FF1CC0"/>
    <w:rsid w:val="00FF1CE4"/>
    <w:rsid w:val="00FF1D1A"/>
    <w:rsid w:val="00FF1D27"/>
    <w:rsid w:val="00FF1FB4"/>
    <w:rsid w:val="00FF2455"/>
    <w:rsid w:val="00FF26FA"/>
    <w:rsid w:val="00FF2AC2"/>
    <w:rsid w:val="00FF2BC8"/>
    <w:rsid w:val="00FF31A7"/>
    <w:rsid w:val="00FF3335"/>
    <w:rsid w:val="00FF3609"/>
    <w:rsid w:val="00FF3644"/>
    <w:rsid w:val="00FF36D7"/>
    <w:rsid w:val="00FF3E39"/>
    <w:rsid w:val="00FF3FD4"/>
    <w:rsid w:val="00FF42FD"/>
    <w:rsid w:val="00FF44CA"/>
    <w:rsid w:val="00FF4A41"/>
    <w:rsid w:val="00FF4BD5"/>
    <w:rsid w:val="00FF4C84"/>
    <w:rsid w:val="00FF55E0"/>
    <w:rsid w:val="00FF56C1"/>
    <w:rsid w:val="00FF574D"/>
    <w:rsid w:val="00FF57A8"/>
    <w:rsid w:val="00FF59F5"/>
    <w:rsid w:val="00FF5D6A"/>
    <w:rsid w:val="00FF5E5C"/>
    <w:rsid w:val="00FF5EAF"/>
    <w:rsid w:val="00FF618D"/>
    <w:rsid w:val="00FF62F2"/>
    <w:rsid w:val="00FF735D"/>
    <w:rsid w:val="00FF73F4"/>
    <w:rsid w:val="00FF766F"/>
    <w:rsid w:val="00FF7903"/>
    <w:rsid w:val="00FF7AB9"/>
    <w:rsid w:val="00FF7C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41661C"/>
  <w15:chartTrackingRefBased/>
  <w15:docId w15:val="{F8C0F8CD-B565-4350-A337-DB862C8F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989"/>
    <w:pPr>
      <w:spacing w:before="120" w:after="120" w:line="276" w:lineRule="auto"/>
    </w:pPr>
    <w:rPr>
      <w:rFonts w:ascii="Arial" w:hAnsi="Arial"/>
    </w:rPr>
  </w:style>
  <w:style w:type="paragraph" w:styleId="Heading1">
    <w:name w:val="heading 1"/>
    <w:basedOn w:val="Normal"/>
    <w:next w:val="Normal"/>
    <w:link w:val="Heading1Char"/>
    <w:uiPriority w:val="9"/>
    <w:qFormat/>
    <w:rsid w:val="004D0127"/>
    <w:pPr>
      <w:keepNext/>
      <w:keepLines/>
      <w:numPr>
        <w:numId w:val="1"/>
      </w:numPr>
      <w:spacing w:before="240" w:after="0"/>
      <w:outlineLvl w:val="0"/>
    </w:pPr>
    <w:rPr>
      <w:rFonts w:eastAsiaTheme="majorEastAsia" w:cstheme="majorBidi"/>
      <w:b/>
      <w:color w:val="000000" w:themeColor="text1"/>
      <w:sz w:val="32"/>
      <w:szCs w:val="32"/>
      <w:lang w:val="en-US"/>
    </w:rPr>
  </w:style>
  <w:style w:type="paragraph" w:styleId="Heading2">
    <w:name w:val="heading 2"/>
    <w:basedOn w:val="Heading1"/>
    <w:next w:val="Normal"/>
    <w:link w:val="Heading2Char"/>
    <w:uiPriority w:val="9"/>
    <w:unhideWhenUsed/>
    <w:qFormat/>
    <w:rsid w:val="00966455"/>
    <w:pPr>
      <w:numPr>
        <w:ilvl w:val="1"/>
      </w:numPr>
      <w:spacing w:before="120" w:after="120"/>
      <w:ind w:left="567"/>
      <w:outlineLvl w:val="1"/>
    </w:pPr>
    <w:rPr>
      <w:sz w:val="26"/>
      <w:szCs w:val="26"/>
    </w:rPr>
  </w:style>
  <w:style w:type="paragraph" w:styleId="Heading3">
    <w:name w:val="heading 3"/>
    <w:basedOn w:val="Heading2"/>
    <w:next w:val="Normal"/>
    <w:link w:val="Heading3Char"/>
    <w:uiPriority w:val="9"/>
    <w:unhideWhenUsed/>
    <w:qFormat/>
    <w:rsid w:val="00FF0989"/>
    <w:pPr>
      <w:numPr>
        <w:ilvl w:val="2"/>
      </w:numPr>
      <w:ind w:left="113" w:firstLine="0"/>
      <w:outlineLvl w:val="2"/>
    </w:pPr>
    <w:rPr>
      <w:iCs/>
      <w:sz w:val="24"/>
      <w:szCs w:val="24"/>
    </w:rPr>
  </w:style>
  <w:style w:type="paragraph" w:styleId="Heading4">
    <w:name w:val="heading 4"/>
    <w:basedOn w:val="Heading3"/>
    <w:next w:val="Normal"/>
    <w:link w:val="Heading4Char"/>
    <w:uiPriority w:val="9"/>
    <w:unhideWhenUsed/>
    <w:qFormat/>
    <w:rsid w:val="001B3344"/>
    <w:pPr>
      <w:numPr>
        <w:ilvl w:val="0"/>
        <w:numId w:val="0"/>
      </w:numPr>
      <w:outlineLvl w:val="3"/>
    </w:pPr>
    <w:rPr>
      <w:iCs w:val="0"/>
      <w:color w:val="595959" w:themeColor="text1" w:themeTint="A6"/>
      <w:sz w:val="22"/>
    </w:rPr>
  </w:style>
  <w:style w:type="paragraph" w:styleId="Heading5">
    <w:name w:val="heading 5"/>
    <w:basedOn w:val="Heading4"/>
    <w:next w:val="Normal"/>
    <w:link w:val="Heading5Char"/>
    <w:uiPriority w:val="9"/>
    <w:unhideWhenUsed/>
    <w:qFormat/>
    <w:rsid w:val="00137AAB"/>
    <w:pPr>
      <w:outlineLvl w:val="4"/>
    </w:pPr>
    <w:rPr>
      <w:color w:val="525252" w:themeColor="accent3" w:themeShade="80"/>
      <w:sz w:val="24"/>
    </w:rPr>
  </w:style>
  <w:style w:type="paragraph" w:styleId="Heading6">
    <w:name w:val="heading 6"/>
    <w:basedOn w:val="Heading5"/>
    <w:next w:val="Normal"/>
    <w:link w:val="Heading6Char"/>
    <w:uiPriority w:val="9"/>
    <w:unhideWhenUsed/>
    <w:qFormat/>
    <w:rsid w:val="00FF0989"/>
    <w:pPr>
      <w:outlineLvl w:val="5"/>
    </w:pPr>
    <w:rPr>
      <w:b w:val="0"/>
      <w:color w:val="44546A" w:themeColor="text2"/>
    </w:rPr>
  </w:style>
  <w:style w:type="paragraph" w:styleId="Heading7">
    <w:name w:val="heading 7"/>
    <w:basedOn w:val="Normal"/>
    <w:next w:val="Normal"/>
    <w:link w:val="Heading7Char"/>
    <w:uiPriority w:val="9"/>
    <w:unhideWhenUsed/>
    <w:qFormat/>
    <w:rsid w:val="00314A3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127"/>
    <w:rPr>
      <w:rFonts w:ascii="Arial" w:eastAsiaTheme="majorEastAsia" w:hAnsi="Arial" w:cstheme="majorBidi"/>
      <w:b/>
      <w:color w:val="000000" w:themeColor="text1"/>
      <w:sz w:val="32"/>
      <w:szCs w:val="32"/>
      <w:lang w:val="en-US"/>
    </w:rPr>
  </w:style>
  <w:style w:type="character" w:customStyle="1" w:styleId="Heading2Char">
    <w:name w:val="Heading 2 Char"/>
    <w:basedOn w:val="DefaultParagraphFont"/>
    <w:link w:val="Heading2"/>
    <w:uiPriority w:val="9"/>
    <w:rsid w:val="00966455"/>
    <w:rPr>
      <w:rFonts w:ascii="Arial" w:eastAsiaTheme="majorEastAsia" w:hAnsi="Arial" w:cstheme="majorBidi"/>
      <w:b/>
      <w:color w:val="000000" w:themeColor="text1"/>
      <w:sz w:val="26"/>
      <w:szCs w:val="26"/>
      <w:lang w:val="en-US"/>
    </w:rPr>
  </w:style>
  <w:style w:type="character" w:customStyle="1" w:styleId="Heading3Char">
    <w:name w:val="Heading 3 Char"/>
    <w:basedOn w:val="DefaultParagraphFont"/>
    <w:link w:val="Heading3"/>
    <w:uiPriority w:val="9"/>
    <w:rsid w:val="00FF0989"/>
    <w:rPr>
      <w:rFonts w:ascii="Arial" w:eastAsiaTheme="majorEastAsia" w:hAnsi="Arial" w:cstheme="majorBidi"/>
      <w:b/>
      <w:iCs/>
      <w:color w:val="000000" w:themeColor="text1"/>
      <w:sz w:val="24"/>
      <w:szCs w:val="24"/>
      <w:lang w:val="en-US"/>
    </w:rPr>
  </w:style>
  <w:style w:type="character" w:customStyle="1" w:styleId="Heading4Char">
    <w:name w:val="Heading 4 Char"/>
    <w:basedOn w:val="DefaultParagraphFont"/>
    <w:link w:val="Heading4"/>
    <w:uiPriority w:val="9"/>
    <w:rsid w:val="001B3344"/>
    <w:rPr>
      <w:rFonts w:ascii="Arial" w:eastAsiaTheme="majorEastAsia" w:hAnsi="Arial" w:cstheme="majorBidi"/>
      <w:b/>
      <w:color w:val="595959" w:themeColor="text1" w:themeTint="A6"/>
      <w:szCs w:val="24"/>
      <w:lang w:val="en-US"/>
    </w:rPr>
  </w:style>
  <w:style w:type="character" w:customStyle="1" w:styleId="Heading5Char">
    <w:name w:val="Heading 5 Char"/>
    <w:basedOn w:val="DefaultParagraphFont"/>
    <w:link w:val="Heading5"/>
    <w:uiPriority w:val="9"/>
    <w:rsid w:val="00137AAB"/>
    <w:rPr>
      <w:rFonts w:ascii="Arial" w:eastAsiaTheme="majorEastAsia" w:hAnsi="Arial" w:cstheme="majorBidi"/>
      <w:b/>
      <w:color w:val="525252" w:themeColor="accent3" w:themeShade="80"/>
      <w:sz w:val="24"/>
      <w:szCs w:val="24"/>
      <w:lang w:val="en-US"/>
    </w:rPr>
  </w:style>
  <w:style w:type="character" w:customStyle="1" w:styleId="Heading6Char">
    <w:name w:val="Heading 6 Char"/>
    <w:basedOn w:val="DefaultParagraphFont"/>
    <w:link w:val="Heading6"/>
    <w:uiPriority w:val="9"/>
    <w:rsid w:val="00FF0989"/>
    <w:rPr>
      <w:rFonts w:ascii="Arial" w:eastAsiaTheme="majorEastAsia" w:hAnsi="Arial" w:cstheme="majorBidi"/>
      <w:color w:val="44546A" w:themeColor="text2"/>
      <w:sz w:val="24"/>
      <w:szCs w:val="24"/>
      <w:lang w:val="en-US"/>
    </w:rPr>
  </w:style>
  <w:style w:type="character" w:customStyle="1" w:styleId="Heading7Char">
    <w:name w:val="Heading 7 Char"/>
    <w:basedOn w:val="DefaultParagraphFont"/>
    <w:link w:val="Heading7"/>
    <w:uiPriority w:val="9"/>
    <w:rsid w:val="00314A3A"/>
    <w:rPr>
      <w:rFonts w:asciiTheme="majorHAnsi" w:eastAsiaTheme="majorEastAsia" w:hAnsiTheme="majorHAnsi" w:cstheme="majorBidi"/>
      <w:i/>
      <w:iCs/>
      <w:color w:val="1F3763" w:themeColor="accent1" w:themeShade="7F"/>
    </w:rPr>
  </w:style>
  <w:style w:type="paragraph" w:styleId="Quote">
    <w:name w:val="Quote"/>
    <w:basedOn w:val="Normal"/>
    <w:next w:val="Normal"/>
    <w:link w:val="QuoteChar"/>
    <w:uiPriority w:val="29"/>
    <w:qFormat/>
    <w:rsid w:val="00F80E0C"/>
    <w:pPr>
      <w:ind w:left="567"/>
    </w:pPr>
    <w:rPr>
      <w:sz w:val="20"/>
    </w:rPr>
  </w:style>
  <w:style w:type="character" w:customStyle="1" w:styleId="QuoteChar">
    <w:name w:val="Quote Char"/>
    <w:basedOn w:val="DefaultParagraphFont"/>
    <w:link w:val="Quote"/>
    <w:uiPriority w:val="29"/>
    <w:rsid w:val="00F80E0C"/>
    <w:rPr>
      <w:rFonts w:ascii="Arial" w:hAnsi="Arial"/>
      <w:sz w:val="20"/>
    </w:rPr>
  </w:style>
  <w:style w:type="paragraph" w:styleId="Title">
    <w:name w:val="Title"/>
    <w:basedOn w:val="Normal"/>
    <w:next w:val="Normal"/>
    <w:link w:val="TitleChar"/>
    <w:uiPriority w:val="10"/>
    <w:qFormat/>
    <w:rsid w:val="00A24315"/>
    <w:rPr>
      <w:color w:val="FFFFFF" w:themeColor="background1"/>
      <w:sz w:val="72"/>
      <w:szCs w:val="72"/>
    </w:rPr>
  </w:style>
  <w:style w:type="character" w:customStyle="1" w:styleId="TitleChar">
    <w:name w:val="Title Char"/>
    <w:basedOn w:val="DefaultParagraphFont"/>
    <w:link w:val="Title"/>
    <w:uiPriority w:val="10"/>
    <w:rsid w:val="00A24315"/>
    <w:rPr>
      <w:rFonts w:ascii="Arial" w:hAnsi="Arial"/>
      <w:color w:val="FFFFFF" w:themeColor="background1"/>
      <w:sz w:val="72"/>
      <w:szCs w:val="72"/>
    </w:rPr>
  </w:style>
  <w:style w:type="character" w:styleId="BookTitle">
    <w:name w:val="Book Title"/>
    <w:basedOn w:val="DefaultParagraphFont"/>
    <w:uiPriority w:val="33"/>
    <w:qFormat/>
    <w:rsid w:val="002C7B99"/>
    <w:rPr>
      <w:rFonts w:ascii="Arial" w:hAnsi="Arial"/>
      <w:b/>
      <w:bCs/>
      <w:i/>
      <w:iCs/>
      <w:spacing w:val="5"/>
    </w:rPr>
  </w:style>
  <w:style w:type="paragraph" w:styleId="ListNumber">
    <w:name w:val="List Number"/>
    <w:basedOn w:val="Normal"/>
    <w:uiPriority w:val="99"/>
    <w:unhideWhenUsed/>
    <w:qFormat/>
    <w:rsid w:val="007E6C13"/>
    <w:pPr>
      <w:numPr>
        <w:numId w:val="29"/>
      </w:numPr>
      <w:contextualSpacing/>
    </w:pPr>
  </w:style>
  <w:style w:type="table" w:styleId="GridTable5Dark-Accent1">
    <w:name w:val="Grid Table 5 Dark Accent 1"/>
    <w:basedOn w:val="TableNormal"/>
    <w:uiPriority w:val="50"/>
    <w:rsid w:val="007E6C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Heading">
    <w:name w:val="TOC Heading"/>
    <w:basedOn w:val="Heading1"/>
    <w:next w:val="Normal"/>
    <w:uiPriority w:val="39"/>
    <w:unhideWhenUsed/>
    <w:qFormat/>
    <w:rsid w:val="002163B2"/>
    <w:pPr>
      <w:numPr>
        <w:numId w:val="0"/>
      </w:numPr>
      <w:spacing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2163B2"/>
    <w:pPr>
      <w:spacing w:after="100"/>
    </w:pPr>
  </w:style>
  <w:style w:type="character" w:styleId="Hyperlink">
    <w:name w:val="Hyperlink"/>
    <w:basedOn w:val="DefaultParagraphFont"/>
    <w:uiPriority w:val="99"/>
    <w:unhideWhenUsed/>
    <w:rsid w:val="002163B2"/>
    <w:rPr>
      <w:color w:val="0563C1" w:themeColor="hyperlink"/>
      <w:u w:val="single"/>
    </w:rPr>
  </w:style>
  <w:style w:type="paragraph" w:styleId="TOC2">
    <w:name w:val="toc 2"/>
    <w:basedOn w:val="Normal"/>
    <w:next w:val="Normal"/>
    <w:autoRedefine/>
    <w:uiPriority w:val="39"/>
    <w:unhideWhenUsed/>
    <w:rsid w:val="0007212D"/>
    <w:pPr>
      <w:spacing w:after="100"/>
      <w:ind w:left="200"/>
    </w:pPr>
  </w:style>
  <w:style w:type="paragraph" w:styleId="FootnoteText">
    <w:name w:val="footnote text"/>
    <w:link w:val="FootnoteTextChar"/>
    <w:uiPriority w:val="99"/>
    <w:unhideWhenUsed/>
    <w:rsid w:val="00A24315"/>
    <w:pPr>
      <w:spacing w:before="120" w:after="120"/>
    </w:pPr>
    <w:rPr>
      <w:rFonts w:ascii="Arial" w:hAnsi="Arial"/>
      <w:szCs w:val="20"/>
    </w:rPr>
  </w:style>
  <w:style w:type="character" w:customStyle="1" w:styleId="FootnoteTextChar">
    <w:name w:val="Footnote Text Char"/>
    <w:basedOn w:val="DefaultParagraphFont"/>
    <w:link w:val="FootnoteText"/>
    <w:uiPriority w:val="99"/>
    <w:rsid w:val="00A24315"/>
    <w:rPr>
      <w:rFonts w:ascii="Arial" w:hAnsi="Arial"/>
      <w:szCs w:val="20"/>
    </w:rPr>
  </w:style>
  <w:style w:type="character" w:styleId="FootnoteReference">
    <w:name w:val="footnote reference"/>
    <w:basedOn w:val="DefaultParagraphFont"/>
    <w:uiPriority w:val="99"/>
    <w:unhideWhenUsed/>
    <w:rsid w:val="0018481D"/>
    <w:rPr>
      <w:vertAlign w:val="superscript"/>
    </w:rPr>
  </w:style>
  <w:style w:type="paragraph" w:styleId="BalloonText">
    <w:name w:val="Balloon Text"/>
    <w:basedOn w:val="Normal"/>
    <w:link w:val="BalloonTextChar"/>
    <w:uiPriority w:val="99"/>
    <w:semiHidden/>
    <w:unhideWhenUsed/>
    <w:rsid w:val="002F7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5C0"/>
    <w:rPr>
      <w:rFonts w:ascii="Segoe UI" w:hAnsi="Segoe UI" w:cs="Segoe UI"/>
      <w:sz w:val="18"/>
      <w:szCs w:val="18"/>
    </w:rPr>
  </w:style>
  <w:style w:type="character" w:styleId="CommentReference">
    <w:name w:val="annotation reference"/>
    <w:basedOn w:val="DefaultParagraphFont"/>
    <w:uiPriority w:val="99"/>
    <w:semiHidden/>
    <w:unhideWhenUsed/>
    <w:rsid w:val="00D0533E"/>
    <w:rPr>
      <w:sz w:val="16"/>
      <w:szCs w:val="16"/>
    </w:rPr>
  </w:style>
  <w:style w:type="paragraph" w:styleId="CommentText">
    <w:name w:val="annotation text"/>
    <w:basedOn w:val="Normal"/>
    <w:link w:val="CommentTextChar"/>
    <w:uiPriority w:val="99"/>
    <w:semiHidden/>
    <w:unhideWhenUsed/>
    <w:rsid w:val="00D0533E"/>
    <w:pPr>
      <w:spacing w:line="240" w:lineRule="auto"/>
    </w:pPr>
    <w:rPr>
      <w:szCs w:val="20"/>
    </w:rPr>
  </w:style>
  <w:style w:type="character" w:customStyle="1" w:styleId="CommentTextChar">
    <w:name w:val="Comment Text Char"/>
    <w:basedOn w:val="DefaultParagraphFont"/>
    <w:link w:val="CommentText"/>
    <w:uiPriority w:val="99"/>
    <w:semiHidden/>
    <w:rsid w:val="00D053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533E"/>
    <w:rPr>
      <w:b/>
      <w:bCs/>
    </w:rPr>
  </w:style>
  <w:style w:type="character" w:customStyle="1" w:styleId="CommentSubjectChar">
    <w:name w:val="Comment Subject Char"/>
    <w:basedOn w:val="CommentTextChar"/>
    <w:link w:val="CommentSubject"/>
    <w:uiPriority w:val="99"/>
    <w:semiHidden/>
    <w:rsid w:val="00D0533E"/>
    <w:rPr>
      <w:rFonts w:ascii="Arial" w:hAnsi="Arial"/>
      <w:b/>
      <w:bCs/>
      <w:sz w:val="20"/>
      <w:szCs w:val="20"/>
    </w:rPr>
  </w:style>
  <w:style w:type="paragraph" w:styleId="TOC3">
    <w:name w:val="toc 3"/>
    <w:basedOn w:val="Normal"/>
    <w:next w:val="Normal"/>
    <w:autoRedefine/>
    <w:uiPriority w:val="39"/>
    <w:unhideWhenUsed/>
    <w:rsid w:val="00B92FFD"/>
    <w:pPr>
      <w:spacing w:after="100"/>
      <w:ind w:left="400"/>
    </w:pPr>
  </w:style>
  <w:style w:type="paragraph" w:styleId="NoSpacing">
    <w:name w:val="No Spacing"/>
    <w:link w:val="NoSpacingChar"/>
    <w:uiPriority w:val="1"/>
    <w:qFormat/>
    <w:rsid w:val="009664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6455"/>
    <w:rPr>
      <w:rFonts w:eastAsiaTheme="minorEastAsia"/>
      <w:lang w:val="en-US"/>
    </w:rPr>
  </w:style>
  <w:style w:type="paragraph" w:styleId="Header">
    <w:name w:val="header"/>
    <w:basedOn w:val="Normal"/>
    <w:link w:val="HeaderChar"/>
    <w:uiPriority w:val="99"/>
    <w:unhideWhenUsed/>
    <w:rsid w:val="00ED4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D2A"/>
    <w:rPr>
      <w:rFonts w:ascii="Arial" w:hAnsi="Arial"/>
      <w:sz w:val="20"/>
    </w:rPr>
  </w:style>
  <w:style w:type="paragraph" w:styleId="Footer">
    <w:name w:val="footer"/>
    <w:basedOn w:val="Normal"/>
    <w:link w:val="FooterChar"/>
    <w:uiPriority w:val="99"/>
    <w:unhideWhenUsed/>
    <w:rsid w:val="00ED4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D2A"/>
    <w:rPr>
      <w:rFonts w:ascii="Arial" w:hAnsi="Arial"/>
      <w:sz w:val="20"/>
    </w:rPr>
  </w:style>
  <w:style w:type="table" w:styleId="TableGrid">
    <w:name w:val="Table Grid"/>
    <w:basedOn w:val="TableNormal"/>
    <w:uiPriority w:val="39"/>
    <w:rsid w:val="00FD6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664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shd w:val="clear" w:color="auto" w:fill="E5E5FF"/>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2771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BF2E2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F2E22"/>
    <w:rPr>
      <w:b/>
      <w:bCs/>
    </w:rPr>
  </w:style>
  <w:style w:type="character" w:styleId="Emphasis">
    <w:name w:val="Emphasis"/>
    <w:basedOn w:val="DefaultParagraphFont"/>
    <w:uiPriority w:val="20"/>
    <w:qFormat/>
    <w:rsid w:val="00347EBD"/>
    <w:rPr>
      <w:i/>
      <w:iCs/>
    </w:rPr>
  </w:style>
  <w:style w:type="table" w:styleId="GridTable5Dark-Accent5">
    <w:name w:val="Grid Table 5 Dark Accent 5"/>
    <w:basedOn w:val="TableNormal"/>
    <w:uiPriority w:val="50"/>
    <w:rsid w:val="002373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StylePr>
  </w:style>
  <w:style w:type="character" w:styleId="UnresolvedMention">
    <w:name w:val="Unresolved Mention"/>
    <w:basedOn w:val="DefaultParagraphFont"/>
    <w:uiPriority w:val="99"/>
    <w:unhideWhenUsed/>
    <w:rsid w:val="00944047"/>
    <w:rPr>
      <w:color w:val="605E5C"/>
      <w:shd w:val="clear" w:color="auto" w:fill="E1DFDD"/>
    </w:rPr>
  </w:style>
  <w:style w:type="paragraph" w:styleId="EndnoteText">
    <w:name w:val="endnote text"/>
    <w:basedOn w:val="Normal"/>
    <w:link w:val="EndnoteTextChar"/>
    <w:uiPriority w:val="99"/>
    <w:semiHidden/>
    <w:unhideWhenUsed/>
    <w:rsid w:val="003F6A4F"/>
    <w:pPr>
      <w:spacing w:after="0" w:line="240" w:lineRule="auto"/>
    </w:pPr>
    <w:rPr>
      <w:szCs w:val="20"/>
    </w:rPr>
  </w:style>
  <w:style w:type="character" w:customStyle="1" w:styleId="EndnoteTextChar">
    <w:name w:val="Endnote Text Char"/>
    <w:basedOn w:val="DefaultParagraphFont"/>
    <w:link w:val="EndnoteText"/>
    <w:uiPriority w:val="99"/>
    <w:semiHidden/>
    <w:rsid w:val="003F6A4F"/>
    <w:rPr>
      <w:rFonts w:ascii="Arial" w:hAnsi="Arial"/>
      <w:sz w:val="20"/>
      <w:szCs w:val="20"/>
    </w:rPr>
  </w:style>
  <w:style w:type="character" w:styleId="EndnoteReference">
    <w:name w:val="endnote reference"/>
    <w:basedOn w:val="DefaultParagraphFont"/>
    <w:uiPriority w:val="99"/>
    <w:semiHidden/>
    <w:unhideWhenUsed/>
    <w:rsid w:val="003F6A4F"/>
    <w:rPr>
      <w:vertAlign w:val="superscript"/>
    </w:rPr>
  </w:style>
  <w:style w:type="paragraph" w:styleId="Revision">
    <w:name w:val="Revision"/>
    <w:hidden/>
    <w:uiPriority w:val="99"/>
    <w:semiHidden/>
    <w:rsid w:val="00C4666F"/>
    <w:pPr>
      <w:spacing w:after="0" w:line="240" w:lineRule="auto"/>
    </w:pPr>
    <w:rPr>
      <w:rFonts w:ascii="Arial" w:hAnsi="Arial"/>
      <w:sz w:val="20"/>
    </w:rPr>
  </w:style>
  <w:style w:type="paragraph" w:styleId="ListNumber2">
    <w:name w:val="List Number 2"/>
    <w:basedOn w:val="Normal"/>
    <w:uiPriority w:val="99"/>
    <w:unhideWhenUsed/>
    <w:rsid w:val="00FF0989"/>
    <w:pPr>
      <w:numPr>
        <w:numId w:val="30"/>
      </w:numPr>
      <w:spacing w:before="60" w:after="60" w:line="240" w:lineRule="auto"/>
    </w:pPr>
  </w:style>
  <w:style w:type="character" w:styleId="FollowedHyperlink">
    <w:name w:val="FollowedHyperlink"/>
    <w:basedOn w:val="DefaultParagraphFont"/>
    <w:uiPriority w:val="99"/>
    <w:semiHidden/>
    <w:unhideWhenUsed/>
    <w:rsid w:val="00856C9B"/>
    <w:rPr>
      <w:color w:val="954F72" w:themeColor="followedHyperlink"/>
      <w:u w:val="single"/>
    </w:rPr>
  </w:style>
  <w:style w:type="paragraph" w:styleId="PlainText">
    <w:name w:val="Plain Text"/>
    <w:basedOn w:val="Normal"/>
    <w:link w:val="PlainTextChar"/>
    <w:uiPriority w:val="99"/>
    <w:semiHidden/>
    <w:unhideWhenUsed/>
    <w:rsid w:val="002212F3"/>
    <w:pPr>
      <w:spacing w:after="0" w:line="240" w:lineRule="auto"/>
    </w:pPr>
    <w:rPr>
      <w:rFonts w:ascii="Calibri" w:hAnsi="Calibri" w:cs="Calibri"/>
      <w:sz w:val="28"/>
      <w:szCs w:val="28"/>
    </w:rPr>
  </w:style>
  <w:style w:type="character" w:customStyle="1" w:styleId="PlainTextChar">
    <w:name w:val="Plain Text Char"/>
    <w:basedOn w:val="DefaultParagraphFont"/>
    <w:link w:val="PlainText"/>
    <w:uiPriority w:val="99"/>
    <w:semiHidden/>
    <w:rsid w:val="002212F3"/>
    <w:rPr>
      <w:rFonts w:ascii="Calibri" w:hAnsi="Calibri" w:cs="Calibri"/>
      <w:sz w:val="28"/>
      <w:szCs w:val="28"/>
    </w:rPr>
  </w:style>
  <w:style w:type="paragraph" w:styleId="Caption">
    <w:name w:val="caption"/>
    <w:next w:val="Normal"/>
    <w:uiPriority w:val="35"/>
    <w:unhideWhenUsed/>
    <w:qFormat/>
    <w:rsid w:val="007B2DFC"/>
    <w:pPr>
      <w:keepNext/>
      <w:spacing w:before="120" w:after="60" w:line="240" w:lineRule="auto"/>
    </w:pPr>
    <w:rPr>
      <w:rFonts w:ascii="Arial" w:hAnsi="Arial"/>
      <w:b/>
      <w:iCs/>
      <w:color w:val="000000" w:themeColor="text1"/>
      <w:sz w:val="18"/>
      <w:szCs w:val="18"/>
    </w:rPr>
  </w:style>
  <w:style w:type="character" w:styleId="Mention">
    <w:name w:val="Mention"/>
    <w:basedOn w:val="DefaultParagraphFont"/>
    <w:uiPriority w:val="99"/>
    <w:unhideWhenUsed/>
    <w:rsid w:val="000F237D"/>
    <w:rPr>
      <w:color w:val="2B579A"/>
      <w:shd w:val="clear" w:color="auto" w:fill="E1DFDD"/>
    </w:rPr>
  </w:style>
  <w:style w:type="paragraph" w:styleId="TableofFigures">
    <w:name w:val="table of figures"/>
    <w:basedOn w:val="Normal"/>
    <w:next w:val="Normal"/>
    <w:uiPriority w:val="99"/>
    <w:unhideWhenUsed/>
    <w:rsid w:val="00795D88"/>
    <w:pPr>
      <w:spacing w:after="0"/>
    </w:pPr>
  </w:style>
  <w:style w:type="paragraph" w:styleId="TOC4">
    <w:name w:val="toc 4"/>
    <w:basedOn w:val="Normal"/>
    <w:next w:val="Normal"/>
    <w:autoRedefine/>
    <w:uiPriority w:val="39"/>
    <w:unhideWhenUsed/>
    <w:rsid w:val="00D35B52"/>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35B52"/>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35B52"/>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35B52"/>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35B52"/>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D35B52"/>
    <w:pPr>
      <w:spacing w:after="100" w:line="259" w:lineRule="auto"/>
      <w:ind w:left="1760"/>
    </w:pPr>
    <w:rPr>
      <w:rFonts w:asciiTheme="minorHAnsi" w:eastAsiaTheme="minorEastAsia" w:hAnsiTheme="minorHAnsi"/>
      <w:lang w:eastAsia="en-AU"/>
    </w:rPr>
  </w:style>
  <w:style w:type="paragraph" w:customStyle="1" w:styleId="Heading2nonumbering">
    <w:name w:val="Heading 2 (no numbering)"/>
    <w:basedOn w:val="Heading2"/>
    <w:link w:val="Heading2nonumberingChar"/>
    <w:qFormat/>
    <w:rsid w:val="00A24315"/>
    <w:pPr>
      <w:numPr>
        <w:ilvl w:val="0"/>
        <w:numId w:val="0"/>
      </w:numPr>
    </w:pPr>
  </w:style>
  <w:style w:type="character" w:customStyle="1" w:styleId="Heading2nonumberingChar">
    <w:name w:val="Heading 2 (no numbering) Char"/>
    <w:basedOn w:val="Heading2Char"/>
    <w:link w:val="Heading2nonumbering"/>
    <w:rsid w:val="00A24315"/>
    <w:rPr>
      <w:rFonts w:ascii="Arial" w:eastAsiaTheme="majorEastAsia" w:hAnsi="Arial" w:cstheme="majorBidi"/>
      <w:b/>
      <w:color w:val="000000" w:themeColor="text1"/>
      <w:sz w:val="26"/>
      <w:szCs w:val="26"/>
      <w:lang w:val="en-US"/>
    </w:rPr>
  </w:style>
  <w:style w:type="paragraph" w:styleId="ListBullet">
    <w:name w:val="List Bullet"/>
    <w:basedOn w:val="Normal"/>
    <w:uiPriority w:val="99"/>
    <w:unhideWhenUsed/>
    <w:qFormat/>
    <w:rsid w:val="007E6C13"/>
    <w:pPr>
      <w:numPr>
        <w:numId w:val="28"/>
      </w:numPr>
      <w:contextualSpacing/>
    </w:pPr>
  </w:style>
  <w:style w:type="paragraph" w:customStyle="1" w:styleId="Heading3nonumbering">
    <w:name w:val="Heading 3 (no numbering)"/>
    <w:basedOn w:val="Heading2nonumbering"/>
    <w:link w:val="Heading3nonumberingChar"/>
    <w:qFormat/>
    <w:rsid w:val="00320B38"/>
    <w:pPr>
      <w:outlineLvl w:val="2"/>
    </w:pPr>
  </w:style>
  <w:style w:type="paragraph" w:styleId="ListBullet2">
    <w:name w:val="List Bullet 2"/>
    <w:basedOn w:val="ListBullet"/>
    <w:uiPriority w:val="99"/>
    <w:unhideWhenUsed/>
    <w:rsid w:val="00320B38"/>
    <w:pPr>
      <w:numPr>
        <w:numId w:val="35"/>
      </w:numPr>
    </w:pPr>
  </w:style>
  <w:style w:type="character" w:customStyle="1" w:styleId="Heading3nonumberingChar">
    <w:name w:val="Heading 3 (no numbering) Char"/>
    <w:basedOn w:val="Heading2nonumberingChar"/>
    <w:link w:val="Heading3nonumbering"/>
    <w:rsid w:val="00320B38"/>
    <w:rPr>
      <w:rFonts w:ascii="Arial" w:eastAsiaTheme="majorEastAsia" w:hAnsi="Arial" w:cstheme="majorBidi"/>
      <w:b/>
      <w:color w:val="000000" w:themeColor="text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53866">
      <w:bodyDiv w:val="1"/>
      <w:marLeft w:val="0"/>
      <w:marRight w:val="0"/>
      <w:marTop w:val="0"/>
      <w:marBottom w:val="0"/>
      <w:divBdr>
        <w:top w:val="none" w:sz="0" w:space="0" w:color="auto"/>
        <w:left w:val="none" w:sz="0" w:space="0" w:color="auto"/>
        <w:bottom w:val="none" w:sz="0" w:space="0" w:color="auto"/>
        <w:right w:val="none" w:sz="0" w:space="0" w:color="auto"/>
      </w:divBdr>
      <w:divsChild>
        <w:div w:id="69887277">
          <w:marLeft w:val="0"/>
          <w:marRight w:val="0"/>
          <w:marTop w:val="0"/>
          <w:marBottom w:val="0"/>
          <w:divBdr>
            <w:top w:val="none" w:sz="0" w:space="0" w:color="auto"/>
            <w:left w:val="none" w:sz="0" w:space="0" w:color="auto"/>
            <w:bottom w:val="none" w:sz="0" w:space="0" w:color="auto"/>
            <w:right w:val="none" w:sz="0" w:space="0" w:color="auto"/>
          </w:divBdr>
        </w:div>
        <w:div w:id="319965162">
          <w:marLeft w:val="0"/>
          <w:marRight w:val="0"/>
          <w:marTop w:val="0"/>
          <w:marBottom w:val="0"/>
          <w:divBdr>
            <w:top w:val="none" w:sz="0" w:space="0" w:color="auto"/>
            <w:left w:val="none" w:sz="0" w:space="0" w:color="auto"/>
            <w:bottom w:val="none" w:sz="0" w:space="0" w:color="auto"/>
            <w:right w:val="none" w:sz="0" w:space="0" w:color="auto"/>
          </w:divBdr>
        </w:div>
        <w:div w:id="882134241">
          <w:marLeft w:val="0"/>
          <w:marRight w:val="0"/>
          <w:marTop w:val="0"/>
          <w:marBottom w:val="0"/>
          <w:divBdr>
            <w:top w:val="none" w:sz="0" w:space="0" w:color="auto"/>
            <w:left w:val="none" w:sz="0" w:space="0" w:color="auto"/>
            <w:bottom w:val="none" w:sz="0" w:space="0" w:color="auto"/>
            <w:right w:val="none" w:sz="0" w:space="0" w:color="auto"/>
          </w:divBdr>
        </w:div>
        <w:div w:id="1144083639">
          <w:marLeft w:val="0"/>
          <w:marRight w:val="0"/>
          <w:marTop w:val="0"/>
          <w:marBottom w:val="0"/>
          <w:divBdr>
            <w:top w:val="none" w:sz="0" w:space="0" w:color="auto"/>
            <w:left w:val="none" w:sz="0" w:space="0" w:color="auto"/>
            <w:bottom w:val="none" w:sz="0" w:space="0" w:color="auto"/>
            <w:right w:val="none" w:sz="0" w:space="0" w:color="auto"/>
          </w:divBdr>
        </w:div>
        <w:div w:id="1777869281">
          <w:marLeft w:val="0"/>
          <w:marRight w:val="0"/>
          <w:marTop w:val="0"/>
          <w:marBottom w:val="0"/>
          <w:divBdr>
            <w:top w:val="none" w:sz="0" w:space="0" w:color="auto"/>
            <w:left w:val="none" w:sz="0" w:space="0" w:color="auto"/>
            <w:bottom w:val="none" w:sz="0" w:space="0" w:color="auto"/>
            <w:right w:val="none" w:sz="0" w:space="0" w:color="auto"/>
          </w:divBdr>
        </w:div>
      </w:divsChild>
    </w:div>
    <w:div w:id="586160709">
      <w:bodyDiv w:val="1"/>
      <w:marLeft w:val="0"/>
      <w:marRight w:val="0"/>
      <w:marTop w:val="0"/>
      <w:marBottom w:val="0"/>
      <w:divBdr>
        <w:top w:val="none" w:sz="0" w:space="0" w:color="auto"/>
        <w:left w:val="none" w:sz="0" w:space="0" w:color="auto"/>
        <w:bottom w:val="none" w:sz="0" w:space="0" w:color="auto"/>
        <w:right w:val="none" w:sz="0" w:space="0" w:color="auto"/>
      </w:divBdr>
    </w:div>
    <w:div w:id="787551392">
      <w:bodyDiv w:val="1"/>
      <w:marLeft w:val="0"/>
      <w:marRight w:val="0"/>
      <w:marTop w:val="0"/>
      <w:marBottom w:val="0"/>
      <w:divBdr>
        <w:top w:val="none" w:sz="0" w:space="0" w:color="auto"/>
        <w:left w:val="none" w:sz="0" w:space="0" w:color="auto"/>
        <w:bottom w:val="none" w:sz="0" w:space="0" w:color="auto"/>
        <w:right w:val="none" w:sz="0" w:space="0" w:color="auto"/>
      </w:divBdr>
      <w:divsChild>
        <w:div w:id="1576477009">
          <w:marLeft w:val="0"/>
          <w:marRight w:val="0"/>
          <w:marTop w:val="0"/>
          <w:marBottom w:val="0"/>
          <w:divBdr>
            <w:top w:val="none" w:sz="0" w:space="0" w:color="auto"/>
            <w:left w:val="none" w:sz="0" w:space="0" w:color="auto"/>
            <w:bottom w:val="none" w:sz="0" w:space="0" w:color="auto"/>
            <w:right w:val="none" w:sz="0" w:space="0" w:color="auto"/>
          </w:divBdr>
        </w:div>
      </w:divsChild>
    </w:div>
    <w:div w:id="1251112375">
      <w:bodyDiv w:val="1"/>
      <w:marLeft w:val="0"/>
      <w:marRight w:val="0"/>
      <w:marTop w:val="0"/>
      <w:marBottom w:val="0"/>
      <w:divBdr>
        <w:top w:val="none" w:sz="0" w:space="0" w:color="auto"/>
        <w:left w:val="none" w:sz="0" w:space="0" w:color="auto"/>
        <w:bottom w:val="none" w:sz="0" w:space="0" w:color="auto"/>
        <w:right w:val="none" w:sz="0" w:space="0" w:color="auto"/>
      </w:divBdr>
    </w:div>
    <w:div w:id="1301568787">
      <w:bodyDiv w:val="1"/>
      <w:marLeft w:val="0"/>
      <w:marRight w:val="0"/>
      <w:marTop w:val="0"/>
      <w:marBottom w:val="0"/>
      <w:divBdr>
        <w:top w:val="none" w:sz="0" w:space="0" w:color="auto"/>
        <w:left w:val="none" w:sz="0" w:space="0" w:color="auto"/>
        <w:bottom w:val="none" w:sz="0" w:space="0" w:color="auto"/>
        <w:right w:val="none" w:sz="0" w:space="0" w:color="auto"/>
      </w:divBdr>
    </w:div>
    <w:div w:id="1384982878">
      <w:bodyDiv w:val="1"/>
      <w:marLeft w:val="0"/>
      <w:marRight w:val="0"/>
      <w:marTop w:val="0"/>
      <w:marBottom w:val="0"/>
      <w:divBdr>
        <w:top w:val="none" w:sz="0" w:space="0" w:color="auto"/>
        <w:left w:val="none" w:sz="0" w:space="0" w:color="auto"/>
        <w:bottom w:val="none" w:sz="0" w:space="0" w:color="auto"/>
        <w:right w:val="none" w:sz="0" w:space="0" w:color="auto"/>
      </w:divBdr>
      <w:divsChild>
        <w:div w:id="1104572917">
          <w:marLeft w:val="0"/>
          <w:marRight w:val="0"/>
          <w:marTop w:val="0"/>
          <w:marBottom w:val="0"/>
          <w:divBdr>
            <w:top w:val="none" w:sz="0" w:space="0" w:color="auto"/>
            <w:left w:val="none" w:sz="0" w:space="0" w:color="auto"/>
            <w:bottom w:val="none" w:sz="0" w:space="0" w:color="auto"/>
            <w:right w:val="none" w:sz="0" w:space="0" w:color="auto"/>
          </w:divBdr>
        </w:div>
        <w:div w:id="1140998113">
          <w:marLeft w:val="0"/>
          <w:marRight w:val="0"/>
          <w:marTop w:val="0"/>
          <w:marBottom w:val="0"/>
          <w:divBdr>
            <w:top w:val="none" w:sz="0" w:space="0" w:color="auto"/>
            <w:left w:val="none" w:sz="0" w:space="0" w:color="auto"/>
            <w:bottom w:val="none" w:sz="0" w:space="0" w:color="auto"/>
            <w:right w:val="none" w:sz="0" w:space="0" w:color="auto"/>
          </w:divBdr>
        </w:div>
        <w:div w:id="1586912922">
          <w:marLeft w:val="0"/>
          <w:marRight w:val="0"/>
          <w:marTop w:val="0"/>
          <w:marBottom w:val="0"/>
          <w:divBdr>
            <w:top w:val="none" w:sz="0" w:space="0" w:color="auto"/>
            <w:left w:val="none" w:sz="0" w:space="0" w:color="auto"/>
            <w:bottom w:val="none" w:sz="0" w:space="0" w:color="auto"/>
            <w:right w:val="none" w:sz="0" w:space="0" w:color="auto"/>
          </w:divBdr>
        </w:div>
        <w:div w:id="1972009922">
          <w:marLeft w:val="0"/>
          <w:marRight w:val="0"/>
          <w:marTop w:val="0"/>
          <w:marBottom w:val="0"/>
          <w:divBdr>
            <w:top w:val="none" w:sz="0" w:space="0" w:color="auto"/>
            <w:left w:val="none" w:sz="0" w:space="0" w:color="auto"/>
            <w:bottom w:val="none" w:sz="0" w:space="0" w:color="auto"/>
            <w:right w:val="none" w:sz="0" w:space="0" w:color="auto"/>
          </w:divBdr>
        </w:div>
      </w:divsChild>
    </w:div>
    <w:div w:id="1615558449">
      <w:bodyDiv w:val="1"/>
      <w:marLeft w:val="0"/>
      <w:marRight w:val="0"/>
      <w:marTop w:val="0"/>
      <w:marBottom w:val="0"/>
      <w:divBdr>
        <w:top w:val="none" w:sz="0" w:space="0" w:color="auto"/>
        <w:left w:val="none" w:sz="0" w:space="0" w:color="auto"/>
        <w:bottom w:val="none" w:sz="0" w:space="0" w:color="auto"/>
        <w:right w:val="none" w:sz="0" w:space="0" w:color="auto"/>
      </w:divBdr>
    </w:div>
    <w:div w:id="1644460250">
      <w:bodyDiv w:val="1"/>
      <w:marLeft w:val="0"/>
      <w:marRight w:val="0"/>
      <w:marTop w:val="0"/>
      <w:marBottom w:val="0"/>
      <w:divBdr>
        <w:top w:val="none" w:sz="0" w:space="0" w:color="auto"/>
        <w:left w:val="none" w:sz="0" w:space="0" w:color="auto"/>
        <w:bottom w:val="none" w:sz="0" w:space="0" w:color="auto"/>
        <w:right w:val="none" w:sz="0" w:space="0" w:color="auto"/>
      </w:divBdr>
    </w:div>
    <w:div w:id="1698576219">
      <w:bodyDiv w:val="1"/>
      <w:marLeft w:val="0"/>
      <w:marRight w:val="0"/>
      <w:marTop w:val="0"/>
      <w:marBottom w:val="0"/>
      <w:divBdr>
        <w:top w:val="none" w:sz="0" w:space="0" w:color="auto"/>
        <w:left w:val="none" w:sz="0" w:space="0" w:color="auto"/>
        <w:bottom w:val="none" w:sz="0" w:space="0" w:color="auto"/>
        <w:right w:val="none" w:sz="0" w:space="0" w:color="auto"/>
      </w:divBdr>
    </w:div>
    <w:div w:id="1749962605">
      <w:bodyDiv w:val="1"/>
      <w:marLeft w:val="0"/>
      <w:marRight w:val="0"/>
      <w:marTop w:val="0"/>
      <w:marBottom w:val="0"/>
      <w:divBdr>
        <w:top w:val="none" w:sz="0" w:space="0" w:color="auto"/>
        <w:left w:val="none" w:sz="0" w:space="0" w:color="auto"/>
        <w:bottom w:val="none" w:sz="0" w:space="0" w:color="auto"/>
        <w:right w:val="none" w:sz="0" w:space="0" w:color="auto"/>
      </w:divBdr>
    </w:div>
    <w:div w:id="1848669098">
      <w:bodyDiv w:val="1"/>
      <w:marLeft w:val="0"/>
      <w:marRight w:val="0"/>
      <w:marTop w:val="0"/>
      <w:marBottom w:val="0"/>
      <w:divBdr>
        <w:top w:val="none" w:sz="0" w:space="0" w:color="auto"/>
        <w:left w:val="none" w:sz="0" w:space="0" w:color="auto"/>
        <w:bottom w:val="none" w:sz="0" w:space="0" w:color="auto"/>
        <w:right w:val="none" w:sz="0" w:space="0" w:color="auto"/>
      </w:divBdr>
    </w:div>
    <w:div w:id="1895966956">
      <w:bodyDiv w:val="1"/>
      <w:marLeft w:val="0"/>
      <w:marRight w:val="0"/>
      <w:marTop w:val="0"/>
      <w:marBottom w:val="0"/>
      <w:divBdr>
        <w:top w:val="none" w:sz="0" w:space="0" w:color="auto"/>
        <w:left w:val="none" w:sz="0" w:space="0" w:color="auto"/>
        <w:bottom w:val="none" w:sz="0" w:space="0" w:color="auto"/>
        <w:right w:val="none" w:sz="0" w:space="0" w:color="auto"/>
      </w:divBdr>
      <w:divsChild>
        <w:div w:id="1653950086">
          <w:marLeft w:val="0"/>
          <w:marRight w:val="0"/>
          <w:marTop w:val="0"/>
          <w:marBottom w:val="0"/>
          <w:divBdr>
            <w:top w:val="none" w:sz="0" w:space="0" w:color="auto"/>
            <w:left w:val="none" w:sz="0" w:space="0" w:color="auto"/>
            <w:bottom w:val="none" w:sz="0" w:space="0" w:color="auto"/>
            <w:right w:val="none" w:sz="0" w:space="0" w:color="auto"/>
          </w:divBdr>
          <w:divsChild>
            <w:div w:id="1709526070">
              <w:marLeft w:val="0"/>
              <w:marRight w:val="0"/>
              <w:marTop w:val="0"/>
              <w:marBottom w:val="0"/>
              <w:divBdr>
                <w:top w:val="none" w:sz="0" w:space="0" w:color="auto"/>
                <w:left w:val="none" w:sz="0" w:space="0" w:color="auto"/>
                <w:bottom w:val="none" w:sz="0" w:space="0" w:color="auto"/>
                <w:right w:val="none" w:sz="0" w:space="0" w:color="auto"/>
              </w:divBdr>
            </w:div>
          </w:divsChild>
        </w:div>
        <w:div w:id="2059742337">
          <w:marLeft w:val="0"/>
          <w:marRight w:val="0"/>
          <w:marTop w:val="0"/>
          <w:marBottom w:val="0"/>
          <w:divBdr>
            <w:top w:val="none" w:sz="0" w:space="0" w:color="auto"/>
            <w:left w:val="none" w:sz="0" w:space="0" w:color="auto"/>
            <w:bottom w:val="none" w:sz="0" w:space="0" w:color="auto"/>
            <w:right w:val="none" w:sz="0" w:space="0" w:color="auto"/>
          </w:divBdr>
          <w:divsChild>
            <w:div w:id="243876615">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1992445310">
      <w:bodyDiv w:val="1"/>
      <w:marLeft w:val="0"/>
      <w:marRight w:val="0"/>
      <w:marTop w:val="0"/>
      <w:marBottom w:val="0"/>
      <w:divBdr>
        <w:top w:val="none" w:sz="0" w:space="0" w:color="auto"/>
        <w:left w:val="none" w:sz="0" w:space="0" w:color="auto"/>
        <w:bottom w:val="none" w:sz="0" w:space="0" w:color="auto"/>
        <w:right w:val="none" w:sz="0" w:space="0" w:color="auto"/>
      </w:divBdr>
      <w:divsChild>
        <w:div w:id="406612820">
          <w:marLeft w:val="0"/>
          <w:marRight w:val="0"/>
          <w:marTop w:val="0"/>
          <w:marBottom w:val="0"/>
          <w:divBdr>
            <w:top w:val="none" w:sz="0" w:space="0" w:color="auto"/>
            <w:left w:val="none" w:sz="0" w:space="0" w:color="auto"/>
            <w:bottom w:val="none" w:sz="0" w:space="0" w:color="auto"/>
            <w:right w:val="none" w:sz="0" w:space="0" w:color="auto"/>
          </w:divBdr>
        </w:div>
        <w:div w:id="442505016">
          <w:marLeft w:val="0"/>
          <w:marRight w:val="0"/>
          <w:marTop w:val="0"/>
          <w:marBottom w:val="0"/>
          <w:divBdr>
            <w:top w:val="none" w:sz="0" w:space="0" w:color="auto"/>
            <w:left w:val="none" w:sz="0" w:space="0" w:color="auto"/>
            <w:bottom w:val="none" w:sz="0" w:space="0" w:color="auto"/>
            <w:right w:val="none" w:sz="0" w:space="0" w:color="auto"/>
          </w:divBdr>
        </w:div>
        <w:div w:id="1111822100">
          <w:marLeft w:val="0"/>
          <w:marRight w:val="0"/>
          <w:marTop w:val="0"/>
          <w:marBottom w:val="0"/>
          <w:divBdr>
            <w:top w:val="none" w:sz="0" w:space="0" w:color="auto"/>
            <w:left w:val="none" w:sz="0" w:space="0" w:color="auto"/>
            <w:bottom w:val="none" w:sz="0" w:space="0" w:color="auto"/>
            <w:right w:val="none" w:sz="0" w:space="0" w:color="auto"/>
          </w:divBdr>
        </w:div>
        <w:div w:id="2082866797">
          <w:marLeft w:val="0"/>
          <w:marRight w:val="0"/>
          <w:marTop w:val="0"/>
          <w:marBottom w:val="0"/>
          <w:divBdr>
            <w:top w:val="none" w:sz="0" w:space="0" w:color="auto"/>
            <w:left w:val="none" w:sz="0" w:space="0" w:color="auto"/>
            <w:bottom w:val="none" w:sz="0" w:space="0" w:color="auto"/>
            <w:right w:val="none" w:sz="0" w:space="0" w:color="auto"/>
          </w:divBdr>
        </w:div>
      </w:divsChild>
    </w:div>
    <w:div w:id="199552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Layout" Target="diagrams/layout1.xml"/><Relationship Id="rId26" Type="http://schemas.openxmlformats.org/officeDocument/2006/relationships/image" Target="media/image9.png"/><Relationship Id="rId39" Type="http://schemas.openxmlformats.org/officeDocument/2006/relationships/image" Target="media/image22.png"/><Relationship Id="rId21" Type="http://schemas.microsoft.com/office/2007/relationships/diagramDrawing" Target="diagrams/drawing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ww.aboriginalaffairs.nsw.gov.au/our-agency/staying-accountable/ochre/nsw-government-aboriginal-affairs-strategy" TargetMode="External"/><Relationship Id="rId50" Type="http://schemas.openxmlformats.org/officeDocument/2006/relationships/hyperlink" Target="https://www.humanrights.gov.au/our-work/aboriginal-and-torres-strait-islander-social-justice" TargetMode="External"/><Relationship Id="rId55" Type="http://schemas.openxmlformats.org/officeDocument/2006/relationships/hyperlink" Target="https://h3africa.org/" TargetMode="External"/><Relationship Id="rId63" Type="http://schemas.openxmlformats.org/officeDocument/2006/relationships/hyperlink" Target="https://ncig.anu.edu.au/about/strategic-plan-2017-2021" TargetMode="External"/><Relationship Id="rId68" Type="http://schemas.openxmlformats.org/officeDocument/2006/relationships/hyperlink" Target="http://www.type2diabetesgenetics.org/" TargetMode="External"/><Relationship Id="rId76" Type="http://schemas.openxmlformats.org/officeDocument/2006/relationships/hyperlink" Target="https://www.dss.gov.au/about-the-department/publications-articles/research-publications/longitudinal-data-initiatives/footprints-in-time-the-longitudinal-study-of-indigenous-children-lsic" TargetMode="External"/><Relationship Id="rId7" Type="http://schemas.openxmlformats.org/officeDocument/2006/relationships/styles" Target="styles.xml"/><Relationship Id="rId71" Type="http://schemas.openxmlformats.org/officeDocument/2006/relationships/hyperlink" Target="https://www.theatlantic.com/science/archive/2018/04/golden-state-killer-east-area-rapist-dna-genealogy/559070/"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nhmrc.gov.au/about-us/resources/keeping-research-track-ii" TargetMode="External"/><Relationship Id="rId53" Type="http://schemas.openxmlformats.org/officeDocument/2006/relationships/hyperlink" Target="https://www.sbs.com.au/nitv/article/2019/03/16/no-dna-test-exists-aboriginality-scientists1" TargetMode="External"/><Relationship Id="rId58" Type="http://schemas.openxmlformats.org/officeDocument/2006/relationships/hyperlink" Target="https://ncig.anu.edu.au/" TargetMode="External"/><Relationship Id="rId66" Type="http://schemas.openxmlformats.org/officeDocument/2006/relationships/hyperlink" Target="https://www.medicalresearch.nsw.gov.au/biobanking/" TargetMode="External"/><Relationship Id="rId74" Type="http://schemas.openxmlformats.org/officeDocument/2006/relationships/hyperlink" Target="https://www.qimrberghofer.edu.au/wp-content/uploads/2019-Indigenous-Health-Genomics-Guide-v9-WEB-1.pdf" TargetMode="External"/><Relationship Id="rId79" Type="http://schemas.openxmlformats.org/officeDocument/2006/relationships/hyperlink" Target="https://www.simonsfoundation.org/simons-genome-diversity-project/" TargetMode="External"/><Relationship Id="rId5" Type="http://schemas.openxmlformats.org/officeDocument/2006/relationships/customXml" Target="../customXml/item5.xml"/><Relationship Id="rId61" Type="http://schemas.openxmlformats.org/officeDocument/2006/relationships/hyperlink" Target="https://www.youtube.com/watch?v=UieBgf9AuPw" TargetMode="Externa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hyperlink" Target="http://www.terrijanke.com.au/terri-janke-phd-true-tracks" TargetMode="External"/><Relationship Id="rId52" Type="http://schemas.openxmlformats.org/officeDocument/2006/relationships/hyperlink" Target="https://www.abc.net.au/news/2019-04-09/gumby-gumby-trademark-bid-angers-indigenous-people/10975908" TargetMode="External"/><Relationship Id="rId60" Type="http://schemas.openxmlformats.org/officeDocument/2006/relationships/hyperlink" Target="https://ncig.anu.edu.au/ncig-collection" TargetMode="External"/><Relationship Id="rId65" Type="http://schemas.openxmlformats.org/officeDocument/2006/relationships/hyperlink" Target="https://biobank.health.nsw.gov.au/wp-content/uploads/2019/07/NSW-Health-Statewide-Biobank-FAQs-for-researchers-Feb-2017_FINAL.pdf" TargetMode="External"/><Relationship Id="rId73" Type="http://schemas.openxmlformats.org/officeDocument/2006/relationships/hyperlink" Target="https://www.klc.org.au/research-facilitation" TargetMode="External"/><Relationship Id="rId78" Type="http://schemas.openxmlformats.org/officeDocument/2006/relationships/hyperlink" Target="https://en.wikipedia.org/wiki/United_States_Reports"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jc@terrijanke.com.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alrc.gov.au/publication/essentially-yours-the-protection-of-human-genetic-information-in-australia-alrc-report-96/07-information-and-health-privacy-law/applying-the-privacy-act-to-genetic-information/" TargetMode="External"/><Relationship Id="rId48" Type="http://schemas.openxmlformats.org/officeDocument/2006/relationships/hyperlink" Target="https://www.acic.gov.au/our-services/biometric-matching" TargetMode="External"/><Relationship Id="rId56" Type="http://schemas.openxmlformats.org/officeDocument/2006/relationships/hyperlink" Target="https://www.ipaustralia.gov.au/patents/understanding-patents/types-patents" TargetMode="External"/><Relationship Id="rId64" Type="http://schemas.openxmlformats.org/officeDocument/2006/relationships/hyperlink" Target="https://genographic.nationalgeographic.com/" TargetMode="External"/><Relationship Id="rId69" Type="http://schemas.openxmlformats.org/officeDocument/2006/relationships/hyperlink" Target="https://www.sbs.com.au/nitv/article/2019/11/18/indigenous-blood-samples-return-galiwinku-after-50-years-medical-storage" TargetMode="External"/><Relationship Id="rId77" Type="http://schemas.openxmlformats.org/officeDocument/2006/relationships/hyperlink" Target="https://dataverse.ada.edu.au/dataverse/ncld" TargetMode="External"/><Relationship Id="rId8" Type="http://schemas.openxmlformats.org/officeDocument/2006/relationships/settings" Target="settings.xml"/><Relationship Id="rId51" Type="http://schemas.openxmlformats.org/officeDocument/2006/relationships/hyperlink" Target="https://www.broadinstitute.org/sigma" TargetMode="External"/><Relationship Id="rId72" Type="http://schemas.openxmlformats.org/officeDocument/2006/relationships/hyperlink" Target="https://www.oaic.gov.au/assets/privacy/app-guidelines/app-guidelines-july-2019.pdf"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en.wikipedia.org/wiki/United_States_Reports" TargetMode="External"/><Relationship Id="rId59" Type="http://schemas.openxmlformats.org/officeDocument/2006/relationships/hyperlink" Target="https://ncig.anu.edu.au/ncig-collection" TargetMode="External"/><Relationship Id="rId67" Type="http://schemas.openxmlformats.org/officeDocument/2006/relationships/hyperlink" Target="http://www.shelstonip.com/news/australia-remains-gene-patent-friendly-jurisdiction/" TargetMode="External"/><Relationship Id="rId20" Type="http://schemas.openxmlformats.org/officeDocument/2006/relationships/diagramColors" Target="diagrams/colors1.xml"/><Relationship Id="rId41" Type="http://schemas.openxmlformats.org/officeDocument/2006/relationships/image" Target="media/image24.png"/><Relationship Id="rId54" Type="http://schemas.openxmlformats.org/officeDocument/2006/relationships/hyperlink" Target="https://datascience.codata.org/articles/10.5334/dsj-2019-047/" TargetMode="External"/><Relationship Id="rId62" Type="http://schemas.openxmlformats.org/officeDocument/2006/relationships/hyperlink" Target="https://ncig.anu.edu.au/ncig-collection" TargetMode="External"/><Relationship Id="rId70" Type="http://schemas.openxmlformats.org/officeDocument/2006/relationships/hyperlink" Target="https://www.wipo.int/wipo_magazine/en/2006/03/article_0006.html" TargetMode="External"/><Relationship Id="rId75" Type="http://schemas.openxmlformats.org/officeDocument/2006/relationships/hyperlink" Target="https://www.sahmriresearch.org/our-research/themes/aboriginal-health/research-list/south-australian-aboriginal-health-research-accor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digitalhealth.gov.au/about-the-agency" TargetMode="External"/><Relationship Id="rId57" Type="http://schemas.openxmlformats.org/officeDocument/2006/relationships/hyperlink" Target="https://ncig.anu.edu.au/files/NCIG-2018-Annual-Repo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footnotes.xml.rels><?xml version="1.0" encoding="UTF-8" standalone="yes"?>
<Relationships xmlns="http://schemas.openxmlformats.org/package/2006/relationships"><Relationship Id="rId8" Type="http://schemas.openxmlformats.org/officeDocument/2006/relationships/hyperlink" Target="https://www.medicalboard.gov.au/documents/default.aspx?record=WD10%2F1277&amp;dbid=AP&amp;chksum=eNjZ0Z%2FajN7oxjvHXDRQnQ%3D%3D" TargetMode="External"/><Relationship Id="rId13" Type="http://schemas.openxmlformats.org/officeDocument/2006/relationships/hyperlink" Target="http://www.shelstonip.com/news/australia-remains-gene-patent-friendly-jurisdiction/" TargetMode="External"/><Relationship Id="rId18" Type="http://schemas.openxmlformats.org/officeDocument/2006/relationships/hyperlink" Target="https://www.medicalresearch.nsw.gov.au/biobanking/" TargetMode="External"/><Relationship Id="rId26" Type="http://schemas.openxmlformats.org/officeDocument/2006/relationships/hyperlink" Target="https://www.wipo.int/wipo_magazine/en/2006/03/article_0006.html" TargetMode="External"/><Relationship Id="rId3" Type="http://schemas.openxmlformats.org/officeDocument/2006/relationships/hyperlink" Target="https://genographic.nationalgeographic.com/" TargetMode="External"/><Relationship Id="rId21" Type="http://schemas.openxmlformats.org/officeDocument/2006/relationships/hyperlink" Target="https://www.qimrberghofer.edu.au/wp-content/uploads/2019-Indigenous-Health-Genomics-Guide-v9-WEB-1.pdf" TargetMode="External"/><Relationship Id="rId7" Type="http://schemas.openxmlformats.org/officeDocument/2006/relationships/hyperlink" Target="https://www.theatlantic.com/science/archive/2018/04/golden-state-killer-east-area-rapist-dna-genealogy/559070/" TargetMode="External"/><Relationship Id="rId12" Type="http://schemas.openxmlformats.org/officeDocument/2006/relationships/hyperlink" Target="https://www.ipaustralia.gov.au/patents/understanding-patents/types-patents" TargetMode="External"/><Relationship Id="rId17" Type="http://schemas.openxmlformats.org/officeDocument/2006/relationships/hyperlink" Target="https://www.humanrights.gov.au/our-work/aboriginal-and-torres-strait-islander-social-justice" TargetMode="External"/><Relationship Id="rId25" Type="http://schemas.openxmlformats.org/officeDocument/2006/relationships/hyperlink" Target="https://dataverse.ada.edu.au/dataverse/ncld" TargetMode="External"/><Relationship Id="rId2" Type="http://schemas.openxmlformats.org/officeDocument/2006/relationships/hyperlink" Target="https://www.nhmrc.gov.au/about-us/publications/human-genome" TargetMode="External"/><Relationship Id="rId16" Type="http://schemas.openxmlformats.org/officeDocument/2006/relationships/hyperlink" Target="https://www.digitalhealth.gov.au/about-the-agency" TargetMode="External"/><Relationship Id="rId20" Type="http://schemas.openxmlformats.org/officeDocument/2006/relationships/hyperlink" Target="https://www.nhmrc.gov.au/about-us/resources/keeping-research-track-ii" TargetMode="External"/><Relationship Id="rId29" Type="http://schemas.openxmlformats.org/officeDocument/2006/relationships/hyperlink" Target="http://www.type2diabetesgenetics.org/" TargetMode="External"/><Relationship Id="rId1" Type="http://schemas.openxmlformats.org/officeDocument/2006/relationships/hyperlink" Target="https://www.nhmrc.gov.au/health-advice/genomics/genomics-resources-consumers" TargetMode="External"/><Relationship Id="rId6" Type="http://schemas.openxmlformats.org/officeDocument/2006/relationships/hyperlink" Target="https://www.youtube.com/watch?v=UieBgf9AuPw" TargetMode="External"/><Relationship Id="rId11" Type="http://schemas.openxmlformats.org/officeDocument/2006/relationships/hyperlink" Target="https://en.wikipedia.org/wiki/United_States_Reports" TargetMode="External"/><Relationship Id="rId24" Type="http://schemas.openxmlformats.org/officeDocument/2006/relationships/hyperlink" Target="https://www.dss.gov.au/about-the-department/publications-articles/research-publications/longitudinal-data-initiatives/footprints-in-time-the-longitudinal-study-of-indigenous-children-lsic" TargetMode="External"/><Relationship Id="rId32" Type="http://schemas.openxmlformats.org/officeDocument/2006/relationships/hyperlink" Target="https://www.ncbi.nlm.nih.gov/pmc/articles/PMC5161557/" TargetMode="External"/><Relationship Id="rId5" Type="http://schemas.openxmlformats.org/officeDocument/2006/relationships/hyperlink" Target="https://www.sbs.com.au/nitv/article/2019/03/16/no-dna-test-exists-aboriginality-scientists1" TargetMode="External"/><Relationship Id="rId15" Type="http://schemas.openxmlformats.org/officeDocument/2006/relationships/hyperlink" Target="https://www.acic.gov.au/our-services/biometric-matching" TargetMode="External"/><Relationship Id="rId23" Type="http://schemas.openxmlformats.org/officeDocument/2006/relationships/hyperlink" Target="https://www.aboriginalaffairs.nsw.gov.au/our-agency/staying-accountable/ochre/nsw-government-aboriginal-affairs-strategy" TargetMode="External"/><Relationship Id="rId28" Type="http://schemas.openxmlformats.org/officeDocument/2006/relationships/hyperlink" Target="https://www.broadinstitute.org/sigma" TargetMode="External"/><Relationship Id="rId10" Type="http://schemas.openxmlformats.org/officeDocument/2006/relationships/hyperlink" Target="https://www.medicalboard.gov.au/documents/default.aspx?record=WD10%2F1277&amp;dbid=AP&amp;chksum=eNjZ0Z%2FajN7oxjvHXDRQnQ%3D%3D" TargetMode="External"/><Relationship Id="rId19" Type="http://schemas.openxmlformats.org/officeDocument/2006/relationships/hyperlink" Target="https://biobank.health.nsw.gov.au/wp-content/uploads/2019/07/NSW-Health-Statewide-Biobank-FAQs-for-researchers-Feb-2017_FINAL.pdf" TargetMode="External"/><Relationship Id="rId31" Type="http://schemas.openxmlformats.org/officeDocument/2006/relationships/hyperlink" Target="https://www.simonsfoundation.org/simons-genome-diversity-project/" TargetMode="External"/><Relationship Id="rId4" Type="http://schemas.openxmlformats.org/officeDocument/2006/relationships/hyperlink" Target="https://www.mja.com.au/system/files/issues/197_01_020712/kow10531_fm.pdf" TargetMode="External"/><Relationship Id="rId9" Type="http://schemas.openxmlformats.org/officeDocument/2006/relationships/hyperlink" Target="https://www.medicalboard.gov.au/documents/default.aspx?record=WD10%2F1277&amp;dbid=AP&amp;chksum=eNjZ0Z%2FajN7oxjvHXDRQnQ%3D%3D" TargetMode="External"/><Relationship Id="rId14" Type="http://schemas.openxmlformats.org/officeDocument/2006/relationships/hyperlink" Target="https://en.wikipedia.org/wiki/United_States_Reports" TargetMode="External"/><Relationship Id="rId22" Type="http://schemas.openxmlformats.org/officeDocument/2006/relationships/hyperlink" Target="https://www.klc.org.au/research-facilitation" TargetMode="External"/><Relationship Id="rId27" Type="http://schemas.openxmlformats.org/officeDocument/2006/relationships/hyperlink" Target="https://en.wikipedia.org/wiki/United_States_Reports" TargetMode="External"/><Relationship Id="rId30" Type="http://schemas.openxmlformats.org/officeDocument/2006/relationships/hyperlink" Target="https://h3africa.org/"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221C7F-C897-4304-9080-11EB4CD6D315}" type="doc">
      <dgm:prSet loTypeId="urn:microsoft.com/office/officeart/2005/8/layout/hList1" loCatId="list" qsTypeId="urn:microsoft.com/office/officeart/2005/8/quickstyle/simple3" qsCatId="simple" csTypeId="urn:microsoft.com/office/officeart/2005/8/colors/colorful4" csCatId="colorful" phldr="1"/>
      <dgm:spPr/>
      <dgm:t>
        <a:bodyPr/>
        <a:lstStyle/>
        <a:p>
          <a:endParaRPr lang="en-AU"/>
        </a:p>
      </dgm:t>
    </dgm:pt>
    <dgm:pt modelId="{F231FEF4-9C7E-4DD1-8FE1-516732F63A43}">
      <dgm:prSet phldrT="[Text]" custT="1"/>
      <dgm:spPr>
        <a:solidFill>
          <a:srgbClr val="573983"/>
        </a:solidFill>
        <a:ln>
          <a:solidFill>
            <a:srgbClr val="573983"/>
          </a:solidFill>
        </a:ln>
      </dgm:spPr>
      <dgm:t>
        <a:bodyPr/>
        <a:lstStyle/>
        <a:p>
          <a:pPr>
            <a:buFont typeface="+mj-lt"/>
            <a:buAutoNum type="alphaLcParenR"/>
          </a:pPr>
          <a:r>
            <a:rPr lang="en-AU" sz="1000" b="1">
              <a:solidFill>
                <a:schemeClr val="bg1"/>
              </a:solidFill>
              <a:latin typeface="Arial" panose="020B0604020202020204" pitchFamily="34" charset="0"/>
              <a:cs typeface="Arial" panose="020B0604020202020204" pitchFamily="34" charset="0"/>
            </a:rPr>
            <a:t>When employees create works</a:t>
          </a:r>
        </a:p>
      </dgm:t>
    </dgm:pt>
    <dgm:pt modelId="{8ACF0C95-6E62-4AD7-904C-6230F5A44305}" type="parTrans" cxnId="{98EF7A38-1A1B-4B97-806F-E9930DFDA59A}">
      <dgm:prSet/>
      <dgm:spPr/>
      <dgm:t>
        <a:bodyPr/>
        <a:lstStyle/>
        <a:p>
          <a:endParaRPr lang="en-AU"/>
        </a:p>
      </dgm:t>
    </dgm:pt>
    <dgm:pt modelId="{B9F14ED2-D548-4E37-BB3D-F0CFF01F8148}" type="sibTrans" cxnId="{98EF7A38-1A1B-4B97-806F-E9930DFDA59A}">
      <dgm:prSet/>
      <dgm:spPr/>
      <dgm:t>
        <a:bodyPr/>
        <a:lstStyle/>
        <a:p>
          <a:endParaRPr lang="en-AU"/>
        </a:p>
      </dgm:t>
    </dgm:pt>
    <dgm:pt modelId="{34DD6E83-C7BB-4B1A-83E6-33968066AC17}">
      <dgm:prSet phldrT="[Text]" custT="1"/>
      <dgm:spPr>
        <a:solidFill>
          <a:srgbClr val="573983"/>
        </a:solidFill>
        <a:ln>
          <a:solidFill>
            <a:srgbClr val="573983"/>
          </a:solidFill>
        </a:ln>
      </dgm:spPr>
      <dgm:t>
        <a:bodyPr/>
        <a:lstStyle/>
        <a:p>
          <a:pPr>
            <a:buFont typeface="+mj-lt"/>
            <a:buAutoNum type="alphaLcParenR"/>
          </a:pPr>
          <a:r>
            <a:rPr lang="en-AU" sz="1000" b="1">
              <a:solidFill>
                <a:schemeClr val="bg1"/>
              </a:solidFill>
              <a:latin typeface="Arial" panose="020B0604020202020204" pitchFamily="34" charset="0"/>
              <a:cs typeface="Arial" panose="020B0604020202020204" pitchFamily="34" charset="0"/>
            </a:rPr>
            <a:t>When copyright is assigned</a:t>
          </a:r>
          <a:endParaRPr lang="en-AU" sz="1000">
            <a:solidFill>
              <a:schemeClr val="bg1"/>
            </a:solidFill>
            <a:latin typeface="Arial" panose="020B0604020202020204" pitchFamily="34" charset="0"/>
            <a:cs typeface="Arial" panose="020B0604020202020204" pitchFamily="34" charset="0"/>
          </a:endParaRPr>
        </a:p>
      </dgm:t>
    </dgm:pt>
    <dgm:pt modelId="{36B76BF8-A80C-4E50-BE1C-23F0A195987C}" type="parTrans" cxnId="{94D96F33-4749-4DD3-A842-F0BABA5A5700}">
      <dgm:prSet/>
      <dgm:spPr/>
      <dgm:t>
        <a:bodyPr/>
        <a:lstStyle/>
        <a:p>
          <a:endParaRPr lang="en-AU"/>
        </a:p>
      </dgm:t>
    </dgm:pt>
    <dgm:pt modelId="{9C26D5B1-B94C-4B41-962A-FD7550BB48E5}" type="sibTrans" cxnId="{94D96F33-4749-4DD3-A842-F0BABA5A5700}">
      <dgm:prSet/>
      <dgm:spPr/>
      <dgm:t>
        <a:bodyPr/>
        <a:lstStyle/>
        <a:p>
          <a:endParaRPr lang="en-AU"/>
        </a:p>
      </dgm:t>
    </dgm:pt>
    <dgm:pt modelId="{F1D65056-56B0-410D-8C55-AECB249E2886}">
      <dgm:prSet phldrT="[Text]" custT="1"/>
      <dgm:spPr>
        <a:solidFill>
          <a:srgbClr val="573983"/>
        </a:solidFill>
        <a:ln>
          <a:solidFill>
            <a:srgbClr val="573983"/>
          </a:solidFill>
        </a:ln>
      </dgm:spPr>
      <dgm:t>
        <a:bodyPr/>
        <a:lstStyle/>
        <a:p>
          <a:pPr>
            <a:buFont typeface="+mj-lt"/>
            <a:buNone/>
          </a:pPr>
          <a:r>
            <a:rPr lang="en-AU" sz="1050" b="1">
              <a:solidFill>
                <a:schemeClr val="bg1"/>
              </a:solidFill>
              <a:latin typeface="Segoe UI" panose="020B0502040204020203" pitchFamily="34" charset="0"/>
              <a:cs typeface="Segoe UI" panose="020B0502040204020203" pitchFamily="34" charset="0"/>
            </a:rPr>
            <a:t>Works created as a result of collaborations</a:t>
          </a:r>
          <a:endParaRPr lang="en-AU" sz="1050">
            <a:solidFill>
              <a:schemeClr val="bg1"/>
            </a:solidFill>
            <a:latin typeface="Segoe UI" panose="020B0502040204020203" pitchFamily="34" charset="0"/>
            <a:cs typeface="Segoe UI" panose="020B0502040204020203" pitchFamily="34" charset="0"/>
          </a:endParaRPr>
        </a:p>
      </dgm:t>
    </dgm:pt>
    <dgm:pt modelId="{978A95C9-C78A-4327-8CAA-0E03AFA6F549}" type="parTrans" cxnId="{52EC3FF9-C7A8-43C1-BA12-C692F2510801}">
      <dgm:prSet/>
      <dgm:spPr/>
      <dgm:t>
        <a:bodyPr/>
        <a:lstStyle/>
        <a:p>
          <a:endParaRPr lang="en-AU"/>
        </a:p>
      </dgm:t>
    </dgm:pt>
    <dgm:pt modelId="{0D2C3C1B-AA16-4FA1-9E2E-9140127EB24E}" type="sibTrans" cxnId="{52EC3FF9-C7A8-43C1-BA12-C692F2510801}">
      <dgm:prSet/>
      <dgm:spPr/>
      <dgm:t>
        <a:bodyPr/>
        <a:lstStyle/>
        <a:p>
          <a:endParaRPr lang="en-AU"/>
        </a:p>
      </dgm:t>
    </dgm:pt>
    <dgm:pt modelId="{A3C230FF-0646-4022-81CE-7878041A2897}">
      <dgm:prSet phldrT="[Text]" custT="1"/>
      <dgm:spPr>
        <a:solidFill>
          <a:srgbClr val="573983"/>
        </a:solidFill>
        <a:ln>
          <a:solidFill>
            <a:srgbClr val="573983"/>
          </a:solidFill>
        </a:ln>
      </dgm:spPr>
      <dgm:t>
        <a:bodyPr/>
        <a:lstStyle/>
        <a:p>
          <a:pPr>
            <a:buFont typeface="+mj-lt"/>
            <a:buAutoNum type="alphaLcParenR"/>
          </a:pPr>
          <a:r>
            <a:rPr lang="en-AU" sz="1000" b="1">
              <a:solidFill>
                <a:schemeClr val="bg1"/>
              </a:solidFill>
              <a:latin typeface="Arial" panose="020B0604020202020204" pitchFamily="34" charset="0"/>
              <a:cs typeface="Arial" panose="020B0604020202020204" pitchFamily="34" charset="0"/>
            </a:rPr>
            <a:t>Government works</a:t>
          </a:r>
          <a:endParaRPr lang="en-AU" sz="1000">
            <a:solidFill>
              <a:schemeClr val="bg1"/>
            </a:solidFill>
            <a:latin typeface="Arial" panose="020B0604020202020204" pitchFamily="34" charset="0"/>
            <a:cs typeface="Arial" panose="020B0604020202020204" pitchFamily="34" charset="0"/>
          </a:endParaRPr>
        </a:p>
      </dgm:t>
    </dgm:pt>
    <dgm:pt modelId="{2125E434-AAD0-4A26-ADCB-D37F2401DD63}" type="parTrans" cxnId="{0D579A2F-57F2-4CA3-B4DA-89F04F255EAF}">
      <dgm:prSet/>
      <dgm:spPr/>
      <dgm:t>
        <a:bodyPr/>
        <a:lstStyle/>
        <a:p>
          <a:endParaRPr lang="en-AU"/>
        </a:p>
      </dgm:t>
    </dgm:pt>
    <dgm:pt modelId="{BCDFA699-A23F-43E4-BFD8-36AAEF75EE99}" type="sibTrans" cxnId="{0D579A2F-57F2-4CA3-B4DA-89F04F255EAF}">
      <dgm:prSet/>
      <dgm:spPr/>
      <dgm:t>
        <a:bodyPr/>
        <a:lstStyle/>
        <a:p>
          <a:endParaRPr lang="en-AU"/>
        </a:p>
      </dgm:t>
    </dgm:pt>
    <dgm:pt modelId="{FB229ABF-6D79-437D-A5DD-D51B38772F7B}">
      <dgm:prSet phldrT="[Text]" custT="1"/>
      <dgm:spPr>
        <a:solidFill>
          <a:srgbClr val="B4BAD8">
            <a:alpha val="89804"/>
          </a:srgbClr>
        </a:solidFill>
        <a:ln>
          <a:noFill/>
        </a:ln>
      </dgm:spPr>
      <dgm:t>
        <a:bodyPr/>
        <a:lstStyle/>
        <a:p>
          <a:pPr algn="l">
            <a:buFont typeface="+mj-lt"/>
            <a:buNone/>
          </a:pPr>
          <a:r>
            <a:rPr lang="en-AU" sz="1000">
              <a:latin typeface="Arial" panose="020B0604020202020204" pitchFamily="34" charset="0"/>
              <a:cs typeface="Arial" panose="020B0604020202020204" pitchFamily="34" charset="0"/>
            </a:rPr>
            <a:t>As a general rule the employer will own the copyright in works and other subject matter created or made by employees in the course of their job, unless otherwise agreed in writing.</a:t>
          </a:r>
        </a:p>
      </dgm:t>
    </dgm:pt>
    <dgm:pt modelId="{8C4889C7-005A-43B4-B855-2061D8CF2684}" type="parTrans" cxnId="{2562A006-78AE-4E81-86FD-2818BE167109}">
      <dgm:prSet/>
      <dgm:spPr/>
      <dgm:t>
        <a:bodyPr/>
        <a:lstStyle/>
        <a:p>
          <a:endParaRPr lang="en-AU"/>
        </a:p>
      </dgm:t>
    </dgm:pt>
    <dgm:pt modelId="{633C73AC-D807-4781-8653-4D88F3F84C22}" type="sibTrans" cxnId="{2562A006-78AE-4E81-86FD-2818BE167109}">
      <dgm:prSet/>
      <dgm:spPr/>
      <dgm:t>
        <a:bodyPr/>
        <a:lstStyle/>
        <a:p>
          <a:endParaRPr lang="en-AU"/>
        </a:p>
      </dgm:t>
    </dgm:pt>
    <dgm:pt modelId="{F565795E-1E1D-4743-9ADE-BA30F4D8FFAB}">
      <dgm:prSet phldrT="[Text]" custT="1"/>
      <dgm:spPr>
        <a:solidFill>
          <a:srgbClr val="B4BAD8">
            <a:alpha val="90000"/>
          </a:srgbClr>
        </a:solidFill>
        <a:ln>
          <a:noFill/>
        </a:ln>
      </dgm:spPr>
      <dgm:t>
        <a:bodyPr/>
        <a:lstStyle/>
        <a:p>
          <a:pPr>
            <a:buFont typeface="+mj-lt"/>
            <a:buNone/>
          </a:pPr>
          <a:r>
            <a:rPr lang="en-AU" sz="1000">
              <a:latin typeface="Arial" panose="020B0604020202020204" pitchFamily="34" charset="0"/>
              <a:cs typeface="Arial" panose="020B0604020202020204" pitchFamily="34" charset="0"/>
            </a:rPr>
            <a:t>Written agreements signed by the copyright owner can be used to assign or give away copyright (including future copyright) in a work to somebody else. </a:t>
          </a:r>
        </a:p>
      </dgm:t>
    </dgm:pt>
    <dgm:pt modelId="{A5354F32-B7C4-4081-B381-8974E76FCE3B}" type="parTrans" cxnId="{818B2098-8F8A-41F2-87AF-5B7B4A7CB5BB}">
      <dgm:prSet/>
      <dgm:spPr/>
      <dgm:t>
        <a:bodyPr/>
        <a:lstStyle/>
        <a:p>
          <a:endParaRPr lang="en-AU"/>
        </a:p>
      </dgm:t>
    </dgm:pt>
    <dgm:pt modelId="{70B0FA90-CFC1-4D6F-98E5-E6CF9F37D640}" type="sibTrans" cxnId="{818B2098-8F8A-41F2-87AF-5B7B4A7CB5BB}">
      <dgm:prSet/>
      <dgm:spPr/>
      <dgm:t>
        <a:bodyPr/>
        <a:lstStyle/>
        <a:p>
          <a:endParaRPr lang="en-AU"/>
        </a:p>
      </dgm:t>
    </dgm:pt>
    <dgm:pt modelId="{A0C1708F-E806-486A-A225-9210EEBD3E34}">
      <dgm:prSet phldrT="[Text]" custT="1"/>
      <dgm:spPr>
        <a:solidFill>
          <a:srgbClr val="B4BAD8">
            <a:alpha val="90000"/>
          </a:srgbClr>
        </a:solidFill>
        <a:ln>
          <a:noFill/>
        </a:ln>
      </dgm:spPr>
      <dgm:t>
        <a:bodyPr/>
        <a:lstStyle/>
        <a:p>
          <a:pPr algn="l">
            <a:buFont typeface="+mj-lt"/>
            <a:buNone/>
          </a:pPr>
          <a:r>
            <a:rPr lang="en-AU" sz="1000">
              <a:latin typeface="Arial" panose="020B0604020202020204" pitchFamily="34" charset="0"/>
              <a:cs typeface="Arial" panose="020B0604020202020204" pitchFamily="34" charset="0"/>
            </a:rPr>
            <a:t>Works produced in collaboration or partnership with another organisation or person, may result in shared copyright or ownership dependent upon the consent or research agreement.  </a:t>
          </a:r>
        </a:p>
      </dgm:t>
    </dgm:pt>
    <dgm:pt modelId="{5B9AE687-6CB0-4BB0-8965-F9C39B6572CF}" type="parTrans" cxnId="{7F3EF32E-FF07-427D-8280-DBAB8258CE4E}">
      <dgm:prSet/>
      <dgm:spPr/>
      <dgm:t>
        <a:bodyPr/>
        <a:lstStyle/>
        <a:p>
          <a:endParaRPr lang="en-AU"/>
        </a:p>
      </dgm:t>
    </dgm:pt>
    <dgm:pt modelId="{CD835148-FC95-4E83-B145-02DD52933975}" type="sibTrans" cxnId="{7F3EF32E-FF07-427D-8280-DBAB8258CE4E}">
      <dgm:prSet/>
      <dgm:spPr/>
      <dgm:t>
        <a:bodyPr/>
        <a:lstStyle/>
        <a:p>
          <a:endParaRPr lang="en-AU"/>
        </a:p>
      </dgm:t>
    </dgm:pt>
    <dgm:pt modelId="{16624A6F-FA7B-4184-81F3-D74DAD3C8B25}">
      <dgm:prSet phldrT="[Text]" custT="1"/>
      <dgm:spPr>
        <a:solidFill>
          <a:srgbClr val="B4BAD8">
            <a:alpha val="90000"/>
          </a:srgbClr>
        </a:solidFill>
        <a:ln>
          <a:noFill/>
        </a:ln>
      </dgm:spPr>
      <dgm:t>
        <a:bodyPr/>
        <a:lstStyle/>
        <a:p>
          <a:pPr>
            <a:buFont typeface="+mj-lt"/>
            <a:buNone/>
          </a:pPr>
          <a:r>
            <a:rPr lang="en-AU" sz="1000">
              <a:latin typeface="Arial" panose="020B0604020202020204" pitchFamily="34" charset="0"/>
              <a:cs typeface="Arial" panose="020B0604020202020204" pitchFamily="34" charset="0"/>
            </a:rPr>
            <a:t>Works and other subject matter created under the direction of the Government will be owned by the Government, unless otherwise agreed in writing. It is important to read government contracts carefully, including any additional terms and conditions referred to. </a:t>
          </a:r>
        </a:p>
      </dgm:t>
    </dgm:pt>
    <dgm:pt modelId="{BF792B41-1E99-4802-A84E-5BA513292710}" type="parTrans" cxnId="{2795B221-6815-414E-9D73-4D9337326589}">
      <dgm:prSet/>
      <dgm:spPr/>
      <dgm:t>
        <a:bodyPr/>
        <a:lstStyle/>
        <a:p>
          <a:endParaRPr lang="en-AU"/>
        </a:p>
      </dgm:t>
    </dgm:pt>
    <dgm:pt modelId="{A3767373-DC9E-4256-894F-E446DB67DBC4}" type="sibTrans" cxnId="{2795B221-6815-414E-9D73-4D9337326589}">
      <dgm:prSet/>
      <dgm:spPr/>
      <dgm:t>
        <a:bodyPr/>
        <a:lstStyle/>
        <a:p>
          <a:endParaRPr lang="en-AU"/>
        </a:p>
      </dgm:t>
    </dgm:pt>
    <dgm:pt modelId="{09655F30-2F9A-4D00-853F-8B307878DDC0}" type="pres">
      <dgm:prSet presAssocID="{E1221C7F-C897-4304-9080-11EB4CD6D315}" presName="Name0" presStyleCnt="0">
        <dgm:presLayoutVars>
          <dgm:dir/>
          <dgm:animLvl val="lvl"/>
          <dgm:resizeHandles val="exact"/>
        </dgm:presLayoutVars>
      </dgm:prSet>
      <dgm:spPr/>
    </dgm:pt>
    <dgm:pt modelId="{05AD3FBE-8151-478D-A7A1-A9E6A7FE7B91}" type="pres">
      <dgm:prSet presAssocID="{F231FEF4-9C7E-4DD1-8FE1-516732F63A43}" presName="composite" presStyleCnt="0"/>
      <dgm:spPr/>
    </dgm:pt>
    <dgm:pt modelId="{C2DC1CAC-E866-4C89-9279-7669F390D6C8}" type="pres">
      <dgm:prSet presAssocID="{F231FEF4-9C7E-4DD1-8FE1-516732F63A43}" presName="parTx" presStyleLbl="alignNode1" presStyleIdx="0" presStyleCnt="4">
        <dgm:presLayoutVars>
          <dgm:chMax val="0"/>
          <dgm:chPref val="0"/>
          <dgm:bulletEnabled val="1"/>
        </dgm:presLayoutVars>
      </dgm:prSet>
      <dgm:spPr/>
    </dgm:pt>
    <dgm:pt modelId="{D2F8C162-3EB1-45F5-965E-6543058EF96B}" type="pres">
      <dgm:prSet presAssocID="{F231FEF4-9C7E-4DD1-8FE1-516732F63A43}" presName="desTx" presStyleLbl="alignAccFollowNode1" presStyleIdx="0" presStyleCnt="4">
        <dgm:presLayoutVars>
          <dgm:bulletEnabled val="1"/>
        </dgm:presLayoutVars>
      </dgm:prSet>
      <dgm:spPr/>
    </dgm:pt>
    <dgm:pt modelId="{B4688334-CE75-4099-BB35-2391F8BDD2FC}" type="pres">
      <dgm:prSet presAssocID="{B9F14ED2-D548-4E37-BB3D-F0CFF01F8148}" presName="space" presStyleCnt="0"/>
      <dgm:spPr/>
    </dgm:pt>
    <dgm:pt modelId="{983CC75A-19B4-4899-9DA9-216E8663E6E7}" type="pres">
      <dgm:prSet presAssocID="{34DD6E83-C7BB-4B1A-83E6-33968066AC17}" presName="composite" presStyleCnt="0"/>
      <dgm:spPr/>
    </dgm:pt>
    <dgm:pt modelId="{7D29C1F8-FC76-4B33-BB89-9332017C31C8}" type="pres">
      <dgm:prSet presAssocID="{34DD6E83-C7BB-4B1A-83E6-33968066AC17}" presName="parTx" presStyleLbl="alignNode1" presStyleIdx="1" presStyleCnt="4">
        <dgm:presLayoutVars>
          <dgm:chMax val="0"/>
          <dgm:chPref val="0"/>
          <dgm:bulletEnabled val="1"/>
        </dgm:presLayoutVars>
      </dgm:prSet>
      <dgm:spPr/>
    </dgm:pt>
    <dgm:pt modelId="{BAC538BC-8C32-47A5-84F7-A4C739C60B3A}" type="pres">
      <dgm:prSet presAssocID="{34DD6E83-C7BB-4B1A-83E6-33968066AC17}" presName="desTx" presStyleLbl="alignAccFollowNode1" presStyleIdx="1" presStyleCnt="4">
        <dgm:presLayoutVars>
          <dgm:bulletEnabled val="1"/>
        </dgm:presLayoutVars>
      </dgm:prSet>
      <dgm:spPr/>
    </dgm:pt>
    <dgm:pt modelId="{E1F20626-BC16-437A-97CF-B578994A849C}" type="pres">
      <dgm:prSet presAssocID="{9C26D5B1-B94C-4B41-962A-FD7550BB48E5}" presName="space" presStyleCnt="0"/>
      <dgm:spPr/>
    </dgm:pt>
    <dgm:pt modelId="{F9359ECC-B8D6-495C-8C60-896EE7792D46}" type="pres">
      <dgm:prSet presAssocID="{F1D65056-56B0-410D-8C55-AECB249E2886}" presName="composite" presStyleCnt="0"/>
      <dgm:spPr/>
    </dgm:pt>
    <dgm:pt modelId="{B46855F4-2212-4601-9AED-376CB1C4EB79}" type="pres">
      <dgm:prSet presAssocID="{F1D65056-56B0-410D-8C55-AECB249E2886}" presName="parTx" presStyleLbl="alignNode1" presStyleIdx="2" presStyleCnt="4">
        <dgm:presLayoutVars>
          <dgm:chMax val="0"/>
          <dgm:chPref val="0"/>
          <dgm:bulletEnabled val="1"/>
        </dgm:presLayoutVars>
      </dgm:prSet>
      <dgm:spPr/>
    </dgm:pt>
    <dgm:pt modelId="{7892FE13-D30C-4CB6-B4DC-4887FE0DA103}" type="pres">
      <dgm:prSet presAssocID="{F1D65056-56B0-410D-8C55-AECB249E2886}" presName="desTx" presStyleLbl="alignAccFollowNode1" presStyleIdx="2" presStyleCnt="4">
        <dgm:presLayoutVars>
          <dgm:bulletEnabled val="1"/>
        </dgm:presLayoutVars>
      </dgm:prSet>
      <dgm:spPr/>
    </dgm:pt>
    <dgm:pt modelId="{05FDA61E-CF88-4D66-A79F-1E52B23A41A5}" type="pres">
      <dgm:prSet presAssocID="{0D2C3C1B-AA16-4FA1-9E2E-9140127EB24E}" presName="space" presStyleCnt="0"/>
      <dgm:spPr/>
    </dgm:pt>
    <dgm:pt modelId="{2E6E0270-4FF2-442B-B0C9-DE1F06AEC4F8}" type="pres">
      <dgm:prSet presAssocID="{A3C230FF-0646-4022-81CE-7878041A2897}" presName="composite" presStyleCnt="0"/>
      <dgm:spPr/>
    </dgm:pt>
    <dgm:pt modelId="{22D1ECD4-782B-458A-A941-618AE80D2ED0}" type="pres">
      <dgm:prSet presAssocID="{A3C230FF-0646-4022-81CE-7878041A2897}" presName="parTx" presStyleLbl="alignNode1" presStyleIdx="3" presStyleCnt="4">
        <dgm:presLayoutVars>
          <dgm:chMax val="0"/>
          <dgm:chPref val="0"/>
          <dgm:bulletEnabled val="1"/>
        </dgm:presLayoutVars>
      </dgm:prSet>
      <dgm:spPr/>
    </dgm:pt>
    <dgm:pt modelId="{EA3DDF52-5EF1-46B4-8D3C-78F3CB3E81FF}" type="pres">
      <dgm:prSet presAssocID="{A3C230FF-0646-4022-81CE-7878041A2897}" presName="desTx" presStyleLbl="alignAccFollowNode1" presStyleIdx="3" presStyleCnt="4" custScaleY="100000">
        <dgm:presLayoutVars>
          <dgm:bulletEnabled val="1"/>
        </dgm:presLayoutVars>
      </dgm:prSet>
      <dgm:spPr/>
    </dgm:pt>
  </dgm:ptLst>
  <dgm:cxnLst>
    <dgm:cxn modelId="{F76C1B01-153F-4DBB-8810-785DD460F035}" type="presOf" srcId="{E1221C7F-C897-4304-9080-11EB4CD6D315}" destId="{09655F30-2F9A-4D00-853F-8B307878DDC0}" srcOrd="0" destOrd="0" presId="urn:microsoft.com/office/officeart/2005/8/layout/hList1"/>
    <dgm:cxn modelId="{2562A006-78AE-4E81-86FD-2818BE167109}" srcId="{F231FEF4-9C7E-4DD1-8FE1-516732F63A43}" destId="{FB229ABF-6D79-437D-A5DD-D51B38772F7B}" srcOrd="0" destOrd="0" parTransId="{8C4889C7-005A-43B4-B855-2061D8CF2684}" sibTransId="{633C73AC-D807-4781-8653-4D88F3F84C22}"/>
    <dgm:cxn modelId="{A3DF3D14-B2AF-4130-9083-F5E4C591B4BC}" type="presOf" srcId="{A3C230FF-0646-4022-81CE-7878041A2897}" destId="{22D1ECD4-782B-458A-A941-618AE80D2ED0}" srcOrd="0" destOrd="0" presId="urn:microsoft.com/office/officeart/2005/8/layout/hList1"/>
    <dgm:cxn modelId="{D7E3EF1F-E36E-4989-8DC2-55B86F8E80B7}" type="presOf" srcId="{A0C1708F-E806-486A-A225-9210EEBD3E34}" destId="{7892FE13-D30C-4CB6-B4DC-4887FE0DA103}" srcOrd="0" destOrd="0" presId="urn:microsoft.com/office/officeart/2005/8/layout/hList1"/>
    <dgm:cxn modelId="{2795B221-6815-414E-9D73-4D9337326589}" srcId="{A3C230FF-0646-4022-81CE-7878041A2897}" destId="{16624A6F-FA7B-4184-81F3-D74DAD3C8B25}" srcOrd="0" destOrd="0" parTransId="{BF792B41-1E99-4802-A84E-5BA513292710}" sibTransId="{A3767373-DC9E-4256-894F-E446DB67DBC4}"/>
    <dgm:cxn modelId="{7F3EF32E-FF07-427D-8280-DBAB8258CE4E}" srcId="{F1D65056-56B0-410D-8C55-AECB249E2886}" destId="{A0C1708F-E806-486A-A225-9210EEBD3E34}" srcOrd="0" destOrd="0" parTransId="{5B9AE687-6CB0-4BB0-8965-F9C39B6572CF}" sibTransId="{CD835148-FC95-4E83-B145-02DD52933975}"/>
    <dgm:cxn modelId="{0D579A2F-57F2-4CA3-B4DA-89F04F255EAF}" srcId="{E1221C7F-C897-4304-9080-11EB4CD6D315}" destId="{A3C230FF-0646-4022-81CE-7878041A2897}" srcOrd="3" destOrd="0" parTransId="{2125E434-AAD0-4A26-ADCB-D37F2401DD63}" sibTransId="{BCDFA699-A23F-43E4-BFD8-36AAEF75EE99}"/>
    <dgm:cxn modelId="{94D96F33-4749-4DD3-A842-F0BABA5A5700}" srcId="{E1221C7F-C897-4304-9080-11EB4CD6D315}" destId="{34DD6E83-C7BB-4B1A-83E6-33968066AC17}" srcOrd="1" destOrd="0" parTransId="{36B76BF8-A80C-4E50-BE1C-23F0A195987C}" sibTransId="{9C26D5B1-B94C-4B41-962A-FD7550BB48E5}"/>
    <dgm:cxn modelId="{D5B26C37-81A6-4727-857A-CF6021C4ABC0}" type="presOf" srcId="{16624A6F-FA7B-4184-81F3-D74DAD3C8B25}" destId="{EA3DDF52-5EF1-46B4-8D3C-78F3CB3E81FF}" srcOrd="0" destOrd="0" presId="urn:microsoft.com/office/officeart/2005/8/layout/hList1"/>
    <dgm:cxn modelId="{98EF7A38-1A1B-4B97-806F-E9930DFDA59A}" srcId="{E1221C7F-C897-4304-9080-11EB4CD6D315}" destId="{F231FEF4-9C7E-4DD1-8FE1-516732F63A43}" srcOrd="0" destOrd="0" parTransId="{8ACF0C95-6E62-4AD7-904C-6230F5A44305}" sibTransId="{B9F14ED2-D548-4E37-BB3D-F0CFF01F8148}"/>
    <dgm:cxn modelId="{D788CF51-B4DC-4836-BC73-9A38E358F3B2}" type="presOf" srcId="{34DD6E83-C7BB-4B1A-83E6-33968066AC17}" destId="{7D29C1F8-FC76-4B33-BB89-9332017C31C8}" srcOrd="0" destOrd="0" presId="urn:microsoft.com/office/officeart/2005/8/layout/hList1"/>
    <dgm:cxn modelId="{7BE59C55-093E-49B7-B129-CA127D5B516B}" type="presOf" srcId="{F565795E-1E1D-4743-9ADE-BA30F4D8FFAB}" destId="{BAC538BC-8C32-47A5-84F7-A4C739C60B3A}" srcOrd="0" destOrd="0" presId="urn:microsoft.com/office/officeart/2005/8/layout/hList1"/>
    <dgm:cxn modelId="{D3811476-F230-4EDB-96FC-887410DB6B6F}" type="presOf" srcId="{FB229ABF-6D79-437D-A5DD-D51B38772F7B}" destId="{D2F8C162-3EB1-45F5-965E-6543058EF96B}" srcOrd="0" destOrd="0" presId="urn:microsoft.com/office/officeart/2005/8/layout/hList1"/>
    <dgm:cxn modelId="{3099FE5A-99AA-4E60-B8F2-F52D21E0FE6B}" type="presOf" srcId="{F1D65056-56B0-410D-8C55-AECB249E2886}" destId="{B46855F4-2212-4601-9AED-376CB1C4EB79}" srcOrd="0" destOrd="0" presId="urn:microsoft.com/office/officeart/2005/8/layout/hList1"/>
    <dgm:cxn modelId="{818B2098-8F8A-41F2-87AF-5B7B4A7CB5BB}" srcId="{34DD6E83-C7BB-4B1A-83E6-33968066AC17}" destId="{F565795E-1E1D-4743-9ADE-BA30F4D8FFAB}" srcOrd="0" destOrd="0" parTransId="{A5354F32-B7C4-4081-B381-8974E76FCE3B}" sibTransId="{70B0FA90-CFC1-4D6F-98E5-E6CF9F37D640}"/>
    <dgm:cxn modelId="{D2B392EA-79A7-4F4F-8C61-B1852B6FFF39}" type="presOf" srcId="{F231FEF4-9C7E-4DD1-8FE1-516732F63A43}" destId="{C2DC1CAC-E866-4C89-9279-7669F390D6C8}" srcOrd="0" destOrd="0" presId="urn:microsoft.com/office/officeart/2005/8/layout/hList1"/>
    <dgm:cxn modelId="{52EC3FF9-C7A8-43C1-BA12-C692F2510801}" srcId="{E1221C7F-C897-4304-9080-11EB4CD6D315}" destId="{F1D65056-56B0-410D-8C55-AECB249E2886}" srcOrd="2" destOrd="0" parTransId="{978A95C9-C78A-4327-8CAA-0E03AFA6F549}" sibTransId="{0D2C3C1B-AA16-4FA1-9E2E-9140127EB24E}"/>
    <dgm:cxn modelId="{30881C79-C64E-4A2B-A9E1-45923E7BBAD7}" type="presParOf" srcId="{09655F30-2F9A-4D00-853F-8B307878DDC0}" destId="{05AD3FBE-8151-478D-A7A1-A9E6A7FE7B91}" srcOrd="0" destOrd="0" presId="urn:microsoft.com/office/officeart/2005/8/layout/hList1"/>
    <dgm:cxn modelId="{99BF3A02-E8A9-4C2C-9534-80BFFDC83BCC}" type="presParOf" srcId="{05AD3FBE-8151-478D-A7A1-A9E6A7FE7B91}" destId="{C2DC1CAC-E866-4C89-9279-7669F390D6C8}" srcOrd="0" destOrd="0" presId="urn:microsoft.com/office/officeart/2005/8/layout/hList1"/>
    <dgm:cxn modelId="{F0C5CE57-5AB8-41DA-90E5-66E2B43BE547}" type="presParOf" srcId="{05AD3FBE-8151-478D-A7A1-A9E6A7FE7B91}" destId="{D2F8C162-3EB1-45F5-965E-6543058EF96B}" srcOrd="1" destOrd="0" presId="urn:microsoft.com/office/officeart/2005/8/layout/hList1"/>
    <dgm:cxn modelId="{AC17199E-5AA2-4667-8D58-B8B00B418FFB}" type="presParOf" srcId="{09655F30-2F9A-4D00-853F-8B307878DDC0}" destId="{B4688334-CE75-4099-BB35-2391F8BDD2FC}" srcOrd="1" destOrd="0" presId="urn:microsoft.com/office/officeart/2005/8/layout/hList1"/>
    <dgm:cxn modelId="{33194699-7E15-4217-9520-B50B5F6BE617}" type="presParOf" srcId="{09655F30-2F9A-4D00-853F-8B307878DDC0}" destId="{983CC75A-19B4-4899-9DA9-216E8663E6E7}" srcOrd="2" destOrd="0" presId="urn:microsoft.com/office/officeart/2005/8/layout/hList1"/>
    <dgm:cxn modelId="{D68F36B2-91B1-4DB8-B7E9-691FDCA2BD51}" type="presParOf" srcId="{983CC75A-19B4-4899-9DA9-216E8663E6E7}" destId="{7D29C1F8-FC76-4B33-BB89-9332017C31C8}" srcOrd="0" destOrd="0" presId="urn:microsoft.com/office/officeart/2005/8/layout/hList1"/>
    <dgm:cxn modelId="{DF1E1EAB-A1BC-42BD-879B-307DC4D87022}" type="presParOf" srcId="{983CC75A-19B4-4899-9DA9-216E8663E6E7}" destId="{BAC538BC-8C32-47A5-84F7-A4C739C60B3A}" srcOrd="1" destOrd="0" presId="urn:microsoft.com/office/officeart/2005/8/layout/hList1"/>
    <dgm:cxn modelId="{9B8A5393-DDBA-4DB7-8945-F3D3788CC0D0}" type="presParOf" srcId="{09655F30-2F9A-4D00-853F-8B307878DDC0}" destId="{E1F20626-BC16-437A-97CF-B578994A849C}" srcOrd="3" destOrd="0" presId="urn:microsoft.com/office/officeart/2005/8/layout/hList1"/>
    <dgm:cxn modelId="{70C50565-8211-424F-9861-3E27AD8CBF7E}" type="presParOf" srcId="{09655F30-2F9A-4D00-853F-8B307878DDC0}" destId="{F9359ECC-B8D6-495C-8C60-896EE7792D46}" srcOrd="4" destOrd="0" presId="urn:microsoft.com/office/officeart/2005/8/layout/hList1"/>
    <dgm:cxn modelId="{643B1EFE-37AD-4298-8752-FECC6264BE83}" type="presParOf" srcId="{F9359ECC-B8D6-495C-8C60-896EE7792D46}" destId="{B46855F4-2212-4601-9AED-376CB1C4EB79}" srcOrd="0" destOrd="0" presId="urn:microsoft.com/office/officeart/2005/8/layout/hList1"/>
    <dgm:cxn modelId="{EB8DC699-91EE-4146-8310-B5F686744552}" type="presParOf" srcId="{F9359ECC-B8D6-495C-8C60-896EE7792D46}" destId="{7892FE13-D30C-4CB6-B4DC-4887FE0DA103}" srcOrd="1" destOrd="0" presId="urn:microsoft.com/office/officeart/2005/8/layout/hList1"/>
    <dgm:cxn modelId="{06B438B0-4718-4266-B748-D13C279854EC}" type="presParOf" srcId="{09655F30-2F9A-4D00-853F-8B307878DDC0}" destId="{05FDA61E-CF88-4D66-A79F-1E52B23A41A5}" srcOrd="5" destOrd="0" presId="urn:microsoft.com/office/officeart/2005/8/layout/hList1"/>
    <dgm:cxn modelId="{52F0837C-9B1B-478B-940C-B7B4ACFE7F02}" type="presParOf" srcId="{09655F30-2F9A-4D00-853F-8B307878DDC0}" destId="{2E6E0270-4FF2-442B-B0C9-DE1F06AEC4F8}" srcOrd="6" destOrd="0" presId="urn:microsoft.com/office/officeart/2005/8/layout/hList1"/>
    <dgm:cxn modelId="{078786AB-D651-4A6F-A777-21CFB9BA2301}" type="presParOf" srcId="{2E6E0270-4FF2-442B-B0C9-DE1F06AEC4F8}" destId="{22D1ECD4-782B-458A-A941-618AE80D2ED0}" srcOrd="0" destOrd="0" presId="urn:microsoft.com/office/officeart/2005/8/layout/hList1"/>
    <dgm:cxn modelId="{A4138064-EFF5-44DE-8987-C32DCA6244E8}" type="presParOf" srcId="{2E6E0270-4FF2-442B-B0C9-DE1F06AEC4F8}" destId="{EA3DDF52-5EF1-46B4-8D3C-78F3CB3E81FF}"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C1CAC-E866-4C89-9279-7669F390D6C8}">
      <dsp:nvSpPr>
        <dsp:cNvPr id="0" name=""/>
        <dsp:cNvSpPr/>
      </dsp:nvSpPr>
      <dsp:spPr>
        <a:xfrm>
          <a:off x="2309" y="6246"/>
          <a:ext cx="1388915" cy="555566"/>
        </a:xfrm>
        <a:prstGeom prst="rect">
          <a:avLst/>
        </a:prstGeom>
        <a:solidFill>
          <a:srgbClr val="573983"/>
        </a:solidFill>
        <a:ln w="6350" cap="flat" cmpd="sng" algn="ctr">
          <a:solidFill>
            <a:srgbClr val="573983"/>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a:solidFill>
                <a:schemeClr val="bg1"/>
              </a:solidFill>
              <a:latin typeface="Arial" panose="020B0604020202020204" pitchFamily="34" charset="0"/>
              <a:cs typeface="Arial" panose="020B0604020202020204" pitchFamily="34" charset="0"/>
            </a:rPr>
            <a:t>When employees create works</a:t>
          </a:r>
        </a:p>
      </dsp:txBody>
      <dsp:txXfrm>
        <a:off x="2309" y="6246"/>
        <a:ext cx="1388915" cy="555566"/>
      </dsp:txXfrm>
    </dsp:sp>
    <dsp:sp modelId="{D2F8C162-3EB1-45F5-965E-6543058EF96B}">
      <dsp:nvSpPr>
        <dsp:cNvPr id="0" name=""/>
        <dsp:cNvSpPr/>
      </dsp:nvSpPr>
      <dsp:spPr>
        <a:xfrm>
          <a:off x="2309" y="561813"/>
          <a:ext cx="1388915" cy="2766960"/>
        </a:xfrm>
        <a:prstGeom prst="rect">
          <a:avLst/>
        </a:prstGeom>
        <a:solidFill>
          <a:srgbClr val="B4BAD8">
            <a:alpha val="89804"/>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mj-lt"/>
            <a:buNone/>
          </a:pPr>
          <a:r>
            <a:rPr lang="en-AU" sz="1000" kern="1200">
              <a:latin typeface="Arial" panose="020B0604020202020204" pitchFamily="34" charset="0"/>
              <a:cs typeface="Arial" panose="020B0604020202020204" pitchFamily="34" charset="0"/>
            </a:rPr>
            <a:t>As a general rule the employer will own the copyright in works and other subject matter created or made by employees in the course of their job, unless otherwise agreed in writing.</a:t>
          </a:r>
        </a:p>
      </dsp:txBody>
      <dsp:txXfrm>
        <a:off x="2309" y="561813"/>
        <a:ext cx="1388915" cy="2766960"/>
      </dsp:txXfrm>
    </dsp:sp>
    <dsp:sp modelId="{7D29C1F8-FC76-4B33-BB89-9332017C31C8}">
      <dsp:nvSpPr>
        <dsp:cNvPr id="0" name=""/>
        <dsp:cNvSpPr/>
      </dsp:nvSpPr>
      <dsp:spPr>
        <a:xfrm>
          <a:off x="1585673" y="6246"/>
          <a:ext cx="1388915" cy="555566"/>
        </a:xfrm>
        <a:prstGeom prst="rect">
          <a:avLst/>
        </a:prstGeom>
        <a:solidFill>
          <a:srgbClr val="573983"/>
        </a:solidFill>
        <a:ln w="6350" cap="flat" cmpd="sng" algn="ctr">
          <a:solidFill>
            <a:srgbClr val="573983"/>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a:solidFill>
                <a:schemeClr val="bg1"/>
              </a:solidFill>
              <a:latin typeface="Arial" panose="020B0604020202020204" pitchFamily="34" charset="0"/>
              <a:cs typeface="Arial" panose="020B0604020202020204" pitchFamily="34" charset="0"/>
            </a:rPr>
            <a:t>When copyright is assigned</a:t>
          </a:r>
          <a:endParaRPr lang="en-AU" sz="1000" kern="1200">
            <a:solidFill>
              <a:schemeClr val="bg1"/>
            </a:solidFill>
            <a:latin typeface="Arial" panose="020B0604020202020204" pitchFamily="34" charset="0"/>
            <a:cs typeface="Arial" panose="020B0604020202020204" pitchFamily="34" charset="0"/>
          </a:endParaRPr>
        </a:p>
      </dsp:txBody>
      <dsp:txXfrm>
        <a:off x="1585673" y="6246"/>
        <a:ext cx="1388915" cy="555566"/>
      </dsp:txXfrm>
    </dsp:sp>
    <dsp:sp modelId="{BAC538BC-8C32-47A5-84F7-A4C739C60B3A}">
      <dsp:nvSpPr>
        <dsp:cNvPr id="0" name=""/>
        <dsp:cNvSpPr/>
      </dsp:nvSpPr>
      <dsp:spPr>
        <a:xfrm>
          <a:off x="1585673" y="561813"/>
          <a:ext cx="1388915" cy="2766960"/>
        </a:xfrm>
        <a:prstGeom prst="rect">
          <a:avLst/>
        </a:prstGeom>
        <a:solidFill>
          <a:srgbClr val="B4BAD8">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mj-lt"/>
            <a:buNone/>
          </a:pPr>
          <a:r>
            <a:rPr lang="en-AU" sz="1000" kern="1200">
              <a:latin typeface="Arial" panose="020B0604020202020204" pitchFamily="34" charset="0"/>
              <a:cs typeface="Arial" panose="020B0604020202020204" pitchFamily="34" charset="0"/>
            </a:rPr>
            <a:t>Written agreements signed by the copyright owner can be used to assign or give away copyright (including future copyright) in a work to somebody else. </a:t>
          </a:r>
        </a:p>
      </dsp:txBody>
      <dsp:txXfrm>
        <a:off x="1585673" y="561813"/>
        <a:ext cx="1388915" cy="2766960"/>
      </dsp:txXfrm>
    </dsp:sp>
    <dsp:sp modelId="{B46855F4-2212-4601-9AED-376CB1C4EB79}">
      <dsp:nvSpPr>
        <dsp:cNvPr id="0" name=""/>
        <dsp:cNvSpPr/>
      </dsp:nvSpPr>
      <dsp:spPr>
        <a:xfrm>
          <a:off x="3169036" y="6246"/>
          <a:ext cx="1388915" cy="555566"/>
        </a:xfrm>
        <a:prstGeom prst="rect">
          <a:avLst/>
        </a:prstGeom>
        <a:solidFill>
          <a:srgbClr val="573983"/>
        </a:solidFill>
        <a:ln w="6350" cap="flat" cmpd="sng" algn="ctr">
          <a:solidFill>
            <a:srgbClr val="573983"/>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mj-lt"/>
            <a:buNone/>
          </a:pPr>
          <a:r>
            <a:rPr lang="en-AU" sz="1050" b="1" kern="1200">
              <a:solidFill>
                <a:schemeClr val="bg1"/>
              </a:solidFill>
              <a:latin typeface="Segoe UI" panose="020B0502040204020203" pitchFamily="34" charset="0"/>
              <a:cs typeface="Segoe UI" panose="020B0502040204020203" pitchFamily="34" charset="0"/>
            </a:rPr>
            <a:t>Works created as a result of collaborations</a:t>
          </a:r>
          <a:endParaRPr lang="en-AU" sz="1050" kern="1200">
            <a:solidFill>
              <a:schemeClr val="bg1"/>
            </a:solidFill>
            <a:latin typeface="Segoe UI" panose="020B0502040204020203" pitchFamily="34" charset="0"/>
            <a:cs typeface="Segoe UI" panose="020B0502040204020203" pitchFamily="34" charset="0"/>
          </a:endParaRPr>
        </a:p>
      </dsp:txBody>
      <dsp:txXfrm>
        <a:off x="3169036" y="6246"/>
        <a:ext cx="1388915" cy="555566"/>
      </dsp:txXfrm>
    </dsp:sp>
    <dsp:sp modelId="{7892FE13-D30C-4CB6-B4DC-4887FE0DA103}">
      <dsp:nvSpPr>
        <dsp:cNvPr id="0" name=""/>
        <dsp:cNvSpPr/>
      </dsp:nvSpPr>
      <dsp:spPr>
        <a:xfrm>
          <a:off x="3169036" y="561813"/>
          <a:ext cx="1388915" cy="2766960"/>
        </a:xfrm>
        <a:prstGeom prst="rect">
          <a:avLst/>
        </a:prstGeom>
        <a:solidFill>
          <a:srgbClr val="B4BAD8">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mj-lt"/>
            <a:buNone/>
          </a:pPr>
          <a:r>
            <a:rPr lang="en-AU" sz="1000" kern="1200">
              <a:latin typeface="Arial" panose="020B0604020202020204" pitchFamily="34" charset="0"/>
              <a:cs typeface="Arial" panose="020B0604020202020204" pitchFamily="34" charset="0"/>
            </a:rPr>
            <a:t>Works produced in collaboration or partnership with another organisation or person, may result in shared copyright or ownership dependent upon the consent or research agreement.  </a:t>
          </a:r>
        </a:p>
      </dsp:txBody>
      <dsp:txXfrm>
        <a:off x="3169036" y="561813"/>
        <a:ext cx="1388915" cy="2766960"/>
      </dsp:txXfrm>
    </dsp:sp>
    <dsp:sp modelId="{22D1ECD4-782B-458A-A941-618AE80D2ED0}">
      <dsp:nvSpPr>
        <dsp:cNvPr id="0" name=""/>
        <dsp:cNvSpPr/>
      </dsp:nvSpPr>
      <dsp:spPr>
        <a:xfrm>
          <a:off x="4752399" y="6246"/>
          <a:ext cx="1388915" cy="555566"/>
        </a:xfrm>
        <a:prstGeom prst="rect">
          <a:avLst/>
        </a:prstGeom>
        <a:solidFill>
          <a:srgbClr val="573983"/>
        </a:solidFill>
        <a:ln w="6350" cap="flat" cmpd="sng" algn="ctr">
          <a:solidFill>
            <a:srgbClr val="573983"/>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mj-lt"/>
            <a:buNone/>
          </a:pPr>
          <a:r>
            <a:rPr lang="en-AU" sz="1000" b="1" kern="1200">
              <a:solidFill>
                <a:schemeClr val="bg1"/>
              </a:solidFill>
              <a:latin typeface="Arial" panose="020B0604020202020204" pitchFamily="34" charset="0"/>
              <a:cs typeface="Arial" panose="020B0604020202020204" pitchFamily="34" charset="0"/>
            </a:rPr>
            <a:t>Government works</a:t>
          </a:r>
          <a:endParaRPr lang="en-AU" sz="1000" kern="1200">
            <a:solidFill>
              <a:schemeClr val="bg1"/>
            </a:solidFill>
            <a:latin typeface="Arial" panose="020B0604020202020204" pitchFamily="34" charset="0"/>
            <a:cs typeface="Arial" panose="020B0604020202020204" pitchFamily="34" charset="0"/>
          </a:endParaRPr>
        </a:p>
      </dsp:txBody>
      <dsp:txXfrm>
        <a:off x="4752399" y="6246"/>
        <a:ext cx="1388915" cy="555566"/>
      </dsp:txXfrm>
    </dsp:sp>
    <dsp:sp modelId="{EA3DDF52-5EF1-46B4-8D3C-78F3CB3E81FF}">
      <dsp:nvSpPr>
        <dsp:cNvPr id="0" name=""/>
        <dsp:cNvSpPr/>
      </dsp:nvSpPr>
      <dsp:spPr>
        <a:xfrm>
          <a:off x="4752399" y="561813"/>
          <a:ext cx="1388915" cy="2766960"/>
        </a:xfrm>
        <a:prstGeom prst="rect">
          <a:avLst/>
        </a:prstGeom>
        <a:solidFill>
          <a:srgbClr val="B4BAD8">
            <a:alpha val="90000"/>
          </a:srgb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mj-lt"/>
            <a:buNone/>
          </a:pPr>
          <a:r>
            <a:rPr lang="en-AU" sz="1000" kern="1200">
              <a:latin typeface="Arial" panose="020B0604020202020204" pitchFamily="34" charset="0"/>
              <a:cs typeface="Arial" panose="020B0604020202020204" pitchFamily="34" charset="0"/>
            </a:rPr>
            <a:t>Works and other subject matter created under the direction of the Government will be owned by the Government, unless otherwise agreed in writing. It is important to read government contracts carefully, including any additional terms and conditions referred to. </a:t>
          </a:r>
        </a:p>
      </dsp:txBody>
      <dsp:txXfrm>
        <a:off x="4752399" y="561813"/>
        <a:ext cx="1388915" cy="27669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2B57E868FFD64798817C23495E5D6A" ma:contentTypeVersion="12" ma:contentTypeDescription="Create a new document." ma:contentTypeScope="" ma:versionID="092efd03e4b625bfcd833c5f29e20e57">
  <xsd:schema xmlns:xsd="http://www.w3.org/2001/XMLSchema" xmlns:xs="http://www.w3.org/2001/XMLSchema" xmlns:p="http://schemas.microsoft.com/office/2006/metadata/properties" xmlns:ns2="9bb63cb6-0145-4e24-9422-a46ebc721a2d" xmlns:ns3="62dd4766-bb92-49a8-9e42-c029cf7be88e" targetNamespace="http://schemas.microsoft.com/office/2006/metadata/properties" ma:root="true" ma:fieldsID="0f79e53d49ece91828904ad0fa38563c" ns2:_="" ns3:_="">
    <xsd:import namespace="9bb63cb6-0145-4e24-9422-a46ebc721a2d"/>
    <xsd:import namespace="62dd4766-bb92-49a8-9e42-c029cf7be8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63cb6-0145-4e24-9422-a46ebc721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dd4766-bb92-49a8-9e42-c029cf7be8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FEFE69-B462-45C4-A2C8-EABD68C04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63cb6-0145-4e24-9422-a46ebc721a2d"/>
    <ds:schemaRef ds:uri="62dd4766-bb92-49a8-9e42-c029cf7be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59887E-0641-41C9-9E77-28CAD46723CC}">
  <ds:schemaRefs>
    <ds:schemaRef ds:uri="http://schemas.microsoft.com/sharepoint/v3/contenttype/forms"/>
  </ds:schemaRefs>
</ds:datastoreItem>
</file>

<file path=customXml/itemProps4.xml><?xml version="1.0" encoding="utf-8"?>
<ds:datastoreItem xmlns:ds="http://schemas.openxmlformats.org/officeDocument/2006/customXml" ds:itemID="{360C9197-1CDA-4621-A4F0-1DC252D74F4A}">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2dd4766-bb92-49a8-9e42-c029cf7be88e"/>
    <ds:schemaRef ds:uri="9bb63cb6-0145-4e24-9422-a46ebc721a2d"/>
    <ds:schemaRef ds:uri="http://www.w3.org/XML/1998/namespace"/>
    <ds:schemaRef ds:uri="http://purl.org/dc/dcmitype/"/>
  </ds:schemaRefs>
</ds:datastoreItem>
</file>

<file path=customXml/itemProps5.xml><?xml version="1.0" encoding="utf-8"?>
<ds:datastoreItem xmlns:ds="http://schemas.openxmlformats.org/officeDocument/2006/customXml" ds:itemID="{DB0447B3-3140-489F-B3E5-FFD18EDD5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122</Pages>
  <Words>43201</Words>
  <Characters>246251</Characters>
  <Application>Microsoft Office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Genomics: The legal, ethical and social issues</vt:lpstr>
    </vt:vector>
  </TitlesOfParts>
  <Company/>
  <LinksUpToDate>false</LinksUpToDate>
  <CharactersWithSpaces>288875</CharactersWithSpaces>
  <SharedDoc>false</SharedDoc>
  <HLinks>
    <vt:vector size="1296" baseType="variant">
      <vt:variant>
        <vt:i4>1966158</vt:i4>
      </vt:variant>
      <vt:variant>
        <vt:i4>1143</vt:i4>
      </vt:variant>
      <vt:variant>
        <vt:i4>0</vt:i4>
      </vt:variant>
      <vt:variant>
        <vt:i4>5</vt:i4>
      </vt:variant>
      <vt:variant>
        <vt:lpwstr>https://www.simonsfoundation.org/simons-genome-diversity-project/</vt:lpwstr>
      </vt:variant>
      <vt:variant>
        <vt:lpwstr/>
      </vt:variant>
      <vt:variant>
        <vt:i4>327761</vt:i4>
      </vt:variant>
      <vt:variant>
        <vt:i4>1140</vt:i4>
      </vt:variant>
      <vt:variant>
        <vt:i4>0</vt:i4>
      </vt:variant>
      <vt:variant>
        <vt:i4>5</vt:i4>
      </vt:variant>
      <vt:variant>
        <vt:lpwstr>https://en.wikipedia.org/wiki/United_States_Reports</vt:lpwstr>
      </vt:variant>
      <vt:variant>
        <vt:lpwstr/>
      </vt:variant>
      <vt:variant>
        <vt:i4>3080245</vt:i4>
      </vt:variant>
      <vt:variant>
        <vt:i4>1137</vt:i4>
      </vt:variant>
      <vt:variant>
        <vt:i4>0</vt:i4>
      </vt:variant>
      <vt:variant>
        <vt:i4>5</vt:i4>
      </vt:variant>
      <vt:variant>
        <vt:lpwstr>https://dataverse.ada.edu.au/dataverse/ncld</vt:lpwstr>
      </vt:variant>
      <vt:variant>
        <vt:lpwstr/>
      </vt:variant>
      <vt:variant>
        <vt:i4>7667796</vt:i4>
      </vt:variant>
      <vt:variant>
        <vt:i4>1134</vt:i4>
      </vt:variant>
      <vt:variant>
        <vt:i4>0</vt:i4>
      </vt:variant>
      <vt:variant>
        <vt:i4>5</vt:i4>
      </vt:variant>
      <vt:variant>
        <vt:lpwstr>https://www.dss.gov.au/about-the-department/publications-articles/research-publications/longitudinal-data-initiatives/footprints-in-time-the-longitudinal-study-of-indigenous-children-lsic</vt:lpwstr>
      </vt:variant>
      <vt:variant>
        <vt:lpwstr>3</vt:lpwstr>
      </vt:variant>
      <vt:variant>
        <vt:i4>589853</vt:i4>
      </vt:variant>
      <vt:variant>
        <vt:i4>1131</vt:i4>
      </vt:variant>
      <vt:variant>
        <vt:i4>0</vt:i4>
      </vt:variant>
      <vt:variant>
        <vt:i4>5</vt:i4>
      </vt:variant>
      <vt:variant>
        <vt:lpwstr>https://www.sahmriresearch.org/our-research/themes/aboriginal-health/research-list/south-australian-aboriginal-health-research-accord</vt:lpwstr>
      </vt:variant>
      <vt:variant>
        <vt:lpwstr/>
      </vt:variant>
      <vt:variant>
        <vt:i4>3604523</vt:i4>
      </vt:variant>
      <vt:variant>
        <vt:i4>1128</vt:i4>
      </vt:variant>
      <vt:variant>
        <vt:i4>0</vt:i4>
      </vt:variant>
      <vt:variant>
        <vt:i4>5</vt:i4>
      </vt:variant>
      <vt:variant>
        <vt:lpwstr>https://www.qimrberghofer.edu.au/wp-content/uploads/2019-Indigenous-Health-Genomics-Guide-v9-WEB-1.pdf</vt:lpwstr>
      </vt:variant>
      <vt:variant>
        <vt:lpwstr/>
      </vt:variant>
      <vt:variant>
        <vt:i4>655378</vt:i4>
      </vt:variant>
      <vt:variant>
        <vt:i4>1125</vt:i4>
      </vt:variant>
      <vt:variant>
        <vt:i4>0</vt:i4>
      </vt:variant>
      <vt:variant>
        <vt:i4>5</vt:i4>
      </vt:variant>
      <vt:variant>
        <vt:lpwstr>https://www.klc.org.au/research-facilitation</vt:lpwstr>
      </vt:variant>
      <vt:variant>
        <vt:lpwstr/>
      </vt:variant>
      <vt:variant>
        <vt:i4>2162814</vt:i4>
      </vt:variant>
      <vt:variant>
        <vt:i4>1122</vt:i4>
      </vt:variant>
      <vt:variant>
        <vt:i4>0</vt:i4>
      </vt:variant>
      <vt:variant>
        <vt:i4>5</vt:i4>
      </vt:variant>
      <vt:variant>
        <vt:lpwstr>https://www.oaic.gov.au/assets/privacy/app-guidelines/app-guidelines-july-2019.pdf</vt:lpwstr>
      </vt:variant>
      <vt:variant>
        <vt:lpwstr/>
      </vt:variant>
      <vt:variant>
        <vt:i4>2621541</vt:i4>
      </vt:variant>
      <vt:variant>
        <vt:i4>1119</vt:i4>
      </vt:variant>
      <vt:variant>
        <vt:i4>0</vt:i4>
      </vt:variant>
      <vt:variant>
        <vt:i4>5</vt:i4>
      </vt:variant>
      <vt:variant>
        <vt:lpwstr>https://www.theatlantic.com/science/archive/2018/04/golden-state-killer-east-area-rapist-dna-genealogy/559070/</vt:lpwstr>
      </vt:variant>
      <vt:variant>
        <vt:lpwstr/>
      </vt:variant>
      <vt:variant>
        <vt:i4>8323110</vt:i4>
      </vt:variant>
      <vt:variant>
        <vt:i4>1116</vt:i4>
      </vt:variant>
      <vt:variant>
        <vt:i4>0</vt:i4>
      </vt:variant>
      <vt:variant>
        <vt:i4>5</vt:i4>
      </vt:variant>
      <vt:variant>
        <vt:lpwstr>https://www.wipo.int/wipo_magazine/en/2006/03/article_0006.html</vt:lpwstr>
      </vt:variant>
      <vt:variant>
        <vt:lpwstr/>
      </vt:variant>
      <vt:variant>
        <vt:i4>2359401</vt:i4>
      </vt:variant>
      <vt:variant>
        <vt:i4>1113</vt:i4>
      </vt:variant>
      <vt:variant>
        <vt:i4>0</vt:i4>
      </vt:variant>
      <vt:variant>
        <vt:i4>5</vt:i4>
      </vt:variant>
      <vt:variant>
        <vt:lpwstr>https://www.sbs.com.au/nitv/article/2019/11/18/indigenous-blood-samples-return-galiwinku-after-50-years-medical-storage</vt:lpwstr>
      </vt:variant>
      <vt:variant>
        <vt:lpwstr/>
      </vt:variant>
      <vt:variant>
        <vt:i4>196619</vt:i4>
      </vt:variant>
      <vt:variant>
        <vt:i4>1110</vt:i4>
      </vt:variant>
      <vt:variant>
        <vt:i4>0</vt:i4>
      </vt:variant>
      <vt:variant>
        <vt:i4>5</vt:i4>
      </vt:variant>
      <vt:variant>
        <vt:lpwstr>http://www.type2diabetesgenetics.org/</vt:lpwstr>
      </vt:variant>
      <vt:variant>
        <vt:lpwstr/>
      </vt:variant>
      <vt:variant>
        <vt:i4>3145777</vt:i4>
      </vt:variant>
      <vt:variant>
        <vt:i4>1107</vt:i4>
      </vt:variant>
      <vt:variant>
        <vt:i4>0</vt:i4>
      </vt:variant>
      <vt:variant>
        <vt:i4>5</vt:i4>
      </vt:variant>
      <vt:variant>
        <vt:lpwstr>http://www.shelstonip.com/news/australia-remains-gene-patent-friendly-jurisdiction/</vt:lpwstr>
      </vt:variant>
      <vt:variant>
        <vt:lpwstr/>
      </vt:variant>
      <vt:variant>
        <vt:i4>2556017</vt:i4>
      </vt:variant>
      <vt:variant>
        <vt:i4>1104</vt:i4>
      </vt:variant>
      <vt:variant>
        <vt:i4>0</vt:i4>
      </vt:variant>
      <vt:variant>
        <vt:i4>5</vt:i4>
      </vt:variant>
      <vt:variant>
        <vt:lpwstr>https://www.medicalresearch.nsw.gov.au/biobanking/</vt:lpwstr>
      </vt:variant>
      <vt:variant>
        <vt:lpwstr/>
      </vt:variant>
      <vt:variant>
        <vt:i4>3604506</vt:i4>
      </vt:variant>
      <vt:variant>
        <vt:i4>1101</vt:i4>
      </vt:variant>
      <vt:variant>
        <vt:i4>0</vt:i4>
      </vt:variant>
      <vt:variant>
        <vt:i4>5</vt:i4>
      </vt:variant>
      <vt:variant>
        <vt:lpwstr>https://biobank.health.nsw.gov.au/wp-content/uploads/2019/07/NSW-Health-Statewide-Biobank-FAQs-for-researchers-Feb-2017_FINAL.pdf</vt:lpwstr>
      </vt:variant>
      <vt:variant>
        <vt:lpwstr/>
      </vt:variant>
      <vt:variant>
        <vt:i4>3276914</vt:i4>
      </vt:variant>
      <vt:variant>
        <vt:i4>1098</vt:i4>
      </vt:variant>
      <vt:variant>
        <vt:i4>0</vt:i4>
      </vt:variant>
      <vt:variant>
        <vt:i4>5</vt:i4>
      </vt:variant>
      <vt:variant>
        <vt:lpwstr>https://genographic.nationalgeographic.com/</vt:lpwstr>
      </vt:variant>
      <vt:variant>
        <vt:lpwstr/>
      </vt:variant>
      <vt:variant>
        <vt:i4>8257574</vt:i4>
      </vt:variant>
      <vt:variant>
        <vt:i4>1095</vt:i4>
      </vt:variant>
      <vt:variant>
        <vt:i4>0</vt:i4>
      </vt:variant>
      <vt:variant>
        <vt:i4>5</vt:i4>
      </vt:variant>
      <vt:variant>
        <vt:lpwstr>https://ncig.anu.edu.au/about/strategic-plan-2017-2021</vt:lpwstr>
      </vt:variant>
      <vt:variant>
        <vt:lpwstr/>
      </vt:variant>
      <vt:variant>
        <vt:i4>2752565</vt:i4>
      </vt:variant>
      <vt:variant>
        <vt:i4>1092</vt:i4>
      </vt:variant>
      <vt:variant>
        <vt:i4>0</vt:i4>
      </vt:variant>
      <vt:variant>
        <vt:i4>5</vt:i4>
      </vt:variant>
      <vt:variant>
        <vt:lpwstr>https://ncig.anu.edu.au/ncig-collection</vt:lpwstr>
      </vt:variant>
      <vt:variant>
        <vt:lpwstr/>
      </vt:variant>
      <vt:variant>
        <vt:i4>2293876</vt:i4>
      </vt:variant>
      <vt:variant>
        <vt:i4>1089</vt:i4>
      </vt:variant>
      <vt:variant>
        <vt:i4>0</vt:i4>
      </vt:variant>
      <vt:variant>
        <vt:i4>5</vt:i4>
      </vt:variant>
      <vt:variant>
        <vt:lpwstr>https://www.youtube.com/watch?v=UieBgf9AuPw</vt:lpwstr>
      </vt:variant>
      <vt:variant>
        <vt:lpwstr/>
      </vt:variant>
      <vt:variant>
        <vt:i4>2752565</vt:i4>
      </vt:variant>
      <vt:variant>
        <vt:i4>1086</vt:i4>
      </vt:variant>
      <vt:variant>
        <vt:i4>0</vt:i4>
      </vt:variant>
      <vt:variant>
        <vt:i4>5</vt:i4>
      </vt:variant>
      <vt:variant>
        <vt:lpwstr>https://ncig.anu.edu.au/ncig-collection</vt:lpwstr>
      </vt:variant>
      <vt:variant>
        <vt:lpwstr/>
      </vt:variant>
      <vt:variant>
        <vt:i4>2752565</vt:i4>
      </vt:variant>
      <vt:variant>
        <vt:i4>1083</vt:i4>
      </vt:variant>
      <vt:variant>
        <vt:i4>0</vt:i4>
      </vt:variant>
      <vt:variant>
        <vt:i4>5</vt:i4>
      </vt:variant>
      <vt:variant>
        <vt:lpwstr>https://ncig.anu.edu.au/ncig-collection</vt:lpwstr>
      </vt:variant>
      <vt:variant>
        <vt:lpwstr/>
      </vt:variant>
      <vt:variant>
        <vt:i4>6225942</vt:i4>
      </vt:variant>
      <vt:variant>
        <vt:i4>1080</vt:i4>
      </vt:variant>
      <vt:variant>
        <vt:i4>0</vt:i4>
      </vt:variant>
      <vt:variant>
        <vt:i4>5</vt:i4>
      </vt:variant>
      <vt:variant>
        <vt:lpwstr>https://ncig.anu.edu.au/</vt:lpwstr>
      </vt:variant>
      <vt:variant>
        <vt:lpwstr/>
      </vt:variant>
      <vt:variant>
        <vt:i4>1769472</vt:i4>
      </vt:variant>
      <vt:variant>
        <vt:i4>1077</vt:i4>
      </vt:variant>
      <vt:variant>
        <vt:i4>0</vt:i4>
      </vt:variant>
      <vt:variant>
        <vt:i4>5</vt:i4>
      </vt:variant>
      <vt:variant>
        <vt:lpwstr>https://ncig.anu.edu.au/files/NCIG-2018-Annual-Report.pdf</vt:lpwstr>
      </vt:variant>
      <vt:variant>
        <vt:lpwstr/>
      </vt:variant>
      <vt:variant>
        <vt:i4>3276900</vt:i4>
      </vt:variant>
      <vt:variant>
        <vt:i4>1074</vt:i4>
      </vt:variant>
      <vt:variant>
        <vt:i4>0</vt:i4>
      </vt:variant>
      <vt:variant>
        <vt:i4>5</vt:i4>
      </vt:variant>
      <vt:variant>
        <vt:lpwstr>https://www.ipaustralia.gov.au/patents/understanding-patents/types-patents</vt:lpwstr>
      </vt:variant>
      <vt:variant>
        <vt:lpwstr/>
      </vt:variant>
      <vt:variant>
        <vt:i4>4456452</vt:i4>
      </vt:variant>
      <vt:variant>
        <vt:i4>1071</vt:i4>
      </vt:variant>
      <vt:variant>
        <vt:i4>0</vt:i4>
      </vt:variant>
      <vt:variant>
        <vt:i4>5</vt:i4>
      </vt:variant>
      <vt:variant>
        <vt:lpwstr>https://h3africa.org/</vt:lpwstr>
      </vt:variant>
      <vt:variant>
        <vt:lpwstr/>
      </vt:variant>
      <vt:variant>
        <vt:i4>4718665</vt:i4>
      </vt:variant>
      <vt:variant>
        <vt:i4>1068</vt:i4>
      </vt:variant>
      <vt:variant>
        <vt:i4>0</vt:i4>
      </vt:variant>
      <vt:variant>
        <vt:i4>5</vt:i4>
      </vt:variant>
      <vt:variant>
        <vt:lpwstr>https://datascience.codata.org/articles/10.5334/dsj-2019-047/</vt:lpwstr>
      </vt:variant>
      <vt:variant>
        <vt:lpwstr/>
      </vt:variant>
      <vt:variant>
        <vt:i4>6750243</vt:i4>
      </vt:variant>
      <vt:variant>
        <vt:i4>1065</vt:i4>
      </vt:variant>
      <vt:variant>
        <vt:i4>0</vt:i4>
      </vt:variant>
      <vt:variant>
        <vt:i4>5</vt:i4>
      </vt:variant>
      <vt:variant>
        <vt:lpwstr>https://www.sbs.com.au/nitv/article/2019/03/16/no-dna-test-exists-aboriginality-scientists1</vt:lpwstr>
      </vt:variant>
      <vt:variant>
        <vt:lpwstr/>
      </vt:variant>
      <vt:variant>
        <vt:i4>2097212</vt:i4>
      </vt:variant>
      <vt:variant>
        <vt:i4>1062</vt:i4>
      </vt:variant>
      <vt:variant>
        <vt:i4>0</vt:i4>
      </vt:variant>
      <vt:variant>
        <vt:i4>5</vt:i4>
      </vt:variant>
      <vt:variant>
        <vt:lpwstr>https://www.abc.net.au/news/2019-04-09/gumby-gumby-trademark-bid-angers-indigenous-people/10975908</vt:lpwstr>
      </vt:variant>
      <vt:variant>
        <vt:lpwstr/>
      </vt:variant>
      <vt:variant>
        <vt:i4>4522052</vt:i4>
      </vt:variant>
      <vt:variant>
        <vt:i4>1059</vt:i4>
      </vt:variant>
      <vt:variant>
        <vt:i4>0</vt:i4>
      </vt:variant>
      <vt:variant>
        <vt:i4>5</vt:i4>
      </vt:variant>
      <vt:variant>
        <vt:lpwstr>https://www.broadinstitute.org/sigma</vt:lpwstr>
      </vt:variant>
      <vt:variant>
        <vt:lpwstr/>
      </vt:variant>
      <vt:variant>
        <vt:i4>1245258</vt:i4>
      </vt:variant>
      <vt:variant>
        <vt:i4>1056</vt:i4>
      </vt:variant>
      <vt:variant>
        <vt:i4>0</vt:i4>
      </vt:variant>
      <vt:variant>
        <vt:i4>5</vt:i4>
      </vt:variant>
      <vt:variant>
        <vt:lpwstr>https://www.humanrights.gov.au/our-work/aboriginal-and-torres-strait-islander-social-justice</vt:lpwstr>
      </vt:variant>
      <vt:variant>
        <vt:lpwstr/>
      </vt:variant>
      <vt:variant>
        <vt:i4>4325395</vt:i4>
      </vt:variant>
      <vt:variant>
        <vt:i4>1053</vt:i4>
      </vt:variant>
      <vt:variant>
        <vt:i4>0</vt:i4>
      </vt:variant>
      <vt:variant>
        <vt:i4>5</vt:i4>
      </vt:variant>
      <vt:variant>
        <vt:lpwstr>https://www.digitalhealth.gov.au/about-the-agency</vt:lpwstr>
      </vt:variant>
      <vt:variant>
        <vt:lpwstr/>
      </vt:variant>
      <vt:variant>
        <vt:i4>2752562</vt:i4>
      </vt:variant>
      <vt:variant>
        <vt:i4>1050</vt:i4>
      </vt:variant>
      <vt:variant>
        <vt:i4>0</vt:i4>
      </vt:variant>
      <vt:variant>
        <vt:i4>5</vt:i4>
      </vt:variant>
      <vt:variant>
        <vt:lpwstr>https://www.acic.gov.au/our-services/biometric-matching</vt:lpwstr>
      </vt:variant>
      <vt:variant>
        <vt:lpwstr/>
      </vt:variant>
      <vt:variant>
        <vt:i4>5373960</vt:i4>
      </vt:variant>
      <vt:variant>
        <vt:i4>1047</vt:i4>
      </vt:variant>
      <vt:variant>
        <vt:i4>0</vt:i4>
      </vt:variant>
      <vt:variant>
        <vt:i4>5</vt:i4>
      </vt:variant>
      <vt:variant>
        <vt:lpwstr>https://www.aboriginalaffairs.nsw.gov.au/our-agency/staying-accountable/ochre/nsw-government-aboriginal-affairs-strategy</vt:lpwstr>
      </vt:variant>
      <vt:variant>
        <vt:lpwstr/>
      </vt:variant>
      <vt:variant>
        <vt:i4>327761</vt:i4>
      </vt:variant>
      <vt:variant>
        <vt:i4>1044</vt:i4>
      </vt:variant>
      <vt:variant>
        <vt:i4>0</vt:i4>
      </vt:variant>
      <vt:variant>
        <vt:i4>5</vt:i4>
      </vt:variant>
      <vt:variant>
        <vt:lpwstr>https://en.wikipedia.org/wiki/United_States_Reports</vt:lpwstr>
      </vt:variant>
      <vt:variant>
        <vt:lpwstr/>
      </vt:variant>
      <vt:variant>
        <vt:i4>65600</vt:i4>
      </vt:variant>
      <vt:variant>
        <vt:i4>1041</vt:i4>
      </vt:variant>
      <vt:variant>
        <vt:i4>0</vt:i4>
      </vt:variant>
      <vt:variant>
        <vt:i4>5</vt:i4>
      </vt:variant>
      <vt:variant>
        <vt:lpwstr>https://www.nhmrc.gov.au/about-us/resources/keeping-research-track-ii</vt:lpwstr>
      </vt:variant>
      <vt:variant>
        <vt:lpwstr/>
      </vt:variant>
      <vt:variant>
        <vt:i4>87</vt:i4>
      </vt:variant>
      <vt:variant>
        <vt:i4>1038</vt:i4>
      </vt:variant>
      <vt:variant>
        <vt:i4>0</vt:i4>
      </vt:variant>
      <vt:variant>
        <vt:i4>5</vt:i4>
      </vt:variant>
      <vt:variant>
        <vt:lpwstr>http://www.terrijanke.com.au/terri-janke-phd-true-tracks</vt:lpwstr>
      </vt:variant>
      <vt:variant>
        <vt:lpwstr/>
      </vt:variant>
      <vt:variant>
        <vt:i4>1835009</vt:i4>
      </vt:variant>
      <vt:variant>
        <vt:i4>1035</vt:i4>
      </vt:variant>
      <vt:variant>
        <vt:i4>0</vt:i4>
      </vt:variant>
      <vt:variant>
        <vt:i4>5</vt:i4>
      </vt:variant>
      <vt:variant>
        <vt:lpwstr>https://www.alrc.gov.au/publication/essentially-yours-the-protection-of-human-genetic-information-in-australia-alrc-report-96/07-information-and-health-privacy-law/applying-the-privacy-act-to-genetic-information/</vt:lpwstr>
      </vt:variant>
      <vt:variant>
        <vt:lpwstr/>
      </vt:variant>
      <vt:variant>
        <vt:i4>1310781</vt:i4>
      </vt:variant>
      <vt:variant>
        <vt:i4>797</vt:i4>
      </vt:variant>
      <vt:variant>
        <vt:i4>0</vt:i4>
      </vt:variant>
      <vt:variant>
        <vt:i4>5</vt:i4>
      </vt:variant>
      <vt:variant>
        <vt:lpwstr/>
      </vt:variant>
      <vt:variant>
        <vt:lpwstr>_Toc45212493</vt:lpwstr>
      </vt:variant>
      <vt:variant>
        <vt:i4>1376317</vt:i4>
      </vt:variant>
      <vt:variant>
        <vt:i4>791</vt:i4>
      </vt:variant>
      <vt:variant>
        <vt:i4>0</vt:i4>
      </vt:variant>
      <vt:variant>
        <vt:i4>5</vt:i4>
      </vt:variant>
      <vt:variant>
        <vt:lpwstr/>
      </vt:variant>
      <vt:variant>
        <vt:lpwstr>_Toc45212492</vt:lpwstr>
      </vt:variant>
      <vt:variant>
        <vt:i4>1441853</vt:i4>
      </vt:variant>
      <vt:variant>
        <vt:i4>785</vt:i4>
      </vt:variant>
      <vt:variant>
        <vt:i4>0</vt:i4>
      </vt:variant>
      <vt:variant>
        <vt:i4>5</vt:i4>
      </vt:variant>
      <vt:variant>
        <vt:lpwstr/>
      </vt:variant>
      <vt:variant>
        <vt:lpwstr>_Toc45212491</vt:lpwstr>
      </vt:variant>
      <vt:variant>
        <vt:i4>1507389</vt:i4>
      </vt:variant>
      <vt:variant>
        <vt:i4>779</vt:i4>
      </vt:variant>
      <vt:variant>
        <vt:i4>0</vt:i4>
      </vt:variant>
      <vt:variant>
        <vt:i4>5</vt:i4>
      </vt:variant>
      <vt:variant>
        <vt:lpwstr/>
      </vt:variant>
      <vt:variant>
        <vt:lpwstr>_Toc45212490</vt:lpwstr>
      </vt:variant>
      <vt:variant>
        <vt:i4>1966140</vt:i4>
      </vt:variant>
      <vt:variant>
        <vt:i4>773</vt:i4>
      </vt:variant>
      <vt:variant>
        <vt:i4>0</vt:i4>
      </vt:variant>
      <vt:variant>
        <vt:i4>5</vt:i4>
      </vt:variant>
      <vt:variant>
        <vt:lpwstr/>
      </vt:variant>
      <vt:variant>
        <vt:lpwstr>_Toc45212489</vt:lpwstr>
      </vt:variant>
      <vt:variant>
        <vt:i4>2031676</vt:i4>
      </vt:variant>
      <vt:variant>
        <vt:i4>767</vt:i4>
      </vt:variant>
      <vt:variant>
        <vt:i4>0</vt:i4>
      </vt:variant>
      <vt:variant>
        <vt:i4>5</vt:i4>
      </vt:variant>
      <vt:variant>
        <vt:lpwstr/>
      </vt:variant>
      <vt:variant>
        <vt:lpwstr>_Toc45212488</vt:lpwstr>
      </vt:variant>
      <vt:variant>
        <vt:i4>1048636</vt:i4>
      </vt:variant>
      <vt:variant>
        <vt:i4>761</vt:i4>
      </vt:variant>
      <vt:variant>
        <vt:i4>0</vt:i4>
      </vt:variant>
      <vt:variant>
        <vt:i4>5</vt:i4>
      </vt:variant>
      <vt:variant>
        <vt:lpwstr/>
      </vt:variant>
      <vt:variant>
        <vt:lpwstr>_Toc45212487</vt:lpwstr>
      </vt:variant>
      <vt:variant>
        <vt:i4>1114172</vt:i4>
      </vt:variant>
      <vt:variant>
        <vt:i4>755</vt:i4>
      </vt:variant>
      <vt:variant>
        <vt:i4>0</vt:i4>
      </vt:variant>
      <vt:variant>
        <vt:i4>5</vt:i4>
      </vt:variant>
      <vt:variant>
        <vt:lpwstr/>
      </vt:variant>
      <vt:variant>
        <vt:lpwstr>_Toc45212486</vt:lpwstr>
      </vt:variant>
      <vt:variant>
        <vt:i4>1179708</vt:i4>
      </vt:variant>
      <vt:variant>
        <vt:i4>749</vt:i4>
      </vt:variant>
      <vt:variant>
        <vt:i4>0</vt:i4>
      </vt:variant>
      <vt:variant>
        <vt:i4>5</vt:i4>
      </vt:variant>
      <vt:variant>
        <vt:lpwstr/>
      </vt:variant>
      <vt:variant>
        <vt:lpwstr>_Toc45212485</vt:lpwstr>
      </vt:variant>
      <vt:variant>
        <vt:i4>1245244</vt:i4>
      </vt:variant>
      <vt:variant>
        <vt:i4>743</vt:i4>
      </vt:variant>
      <vt:variant>
        <vt:i4>0</vt:i4>
      </vt:variant>
      <vt:variant>
        <vt:i4>5</vt:i4>
      </vt:variant>
      <vt:variant>
        <vt:lpwstr/>
      </vt:variant>
      <vt:variant>
        <vt:lpwstr>_Toc45212484</vt:lpwstr>
      </vt:variant>
      <vt:variant>
        <vt:i4>1310780</vt:i4>
      </vt:variant>
      <vt:variant>
        <vt:i4>737</vt:i4>
      </vt:variant>
      <vt:variant>
        <vt:i4>0</vt:i4>
      </vt:variant>
      <vt:variant>
        <vt:i4>5</vt:i4>
      </vt:variant>
      <vt:variant>
        <vt:lpwstr/>
      </vt:variant>
      <vt:variant>
        <vt:lpwstr>_Toc45212483</vt:lpwstr>
      </vt:variant>
      <vt:variant>
        <vt:i4>1376316</vt:i4>
      </vt:variant>
      <vt:variant>
        <vt:i4>731</vt:i4>
      </vt:variant>
      <vt:variant>
        <vt:i4>0</vt:i4>
      </vt:variant>
      <vt:variant>
        <vt:i4>5</vt:i4>
      </vt:variant>
      <vt:variant>
        <vt:lpwstr/>
      </vt:variant>
      <vt:variant>
        <vt:lpwstr>_Toc45212482</vt:lpwstr>
      </vt:variant>
      <vt:variant>
        <vt:i4>1441852</vt:i4>
      </vt:variant>
      <vt:variant>
        <vt:i4>725</vt:i4>
      </vt:variant>
      <vt:variant>
        <vt:i4>0</vt:i4>
      </vt:variant>
      <vt:variant>
        <vt:i4>5</vt:i4>
      </vt:variant>
      <vt:variant>
        <vt:lpwstr/>
      </vt:variant>
      <vt:variant>
        <vt:lpwstr>_Toc45212481</vt:lpwstr>
      </vt:variant>
      <vt:variant>
        <vt:i4>1507388</vt:i4>
      </vt:variant>
      <vt:variant>
        <vt:i4>719</vt:i4>
      </vt:variant>
      <vt:variant>
        <vt:i4>0</vt:i4>
      </vt:variant>
      <vt:variant>
        <vt:i4>5</vt:i4>
      </vt:variant>
      <vt:variant>
        <vt:lpwstr/>
      </vt:variant>
      <vt:variant>
        <vt:lpwstr>_Toc45212480</vt:lpwstr>
      </vt:variant>
      <vt:variant>
        <vt:i4>1966131</vt:i4>
      </vt:variant>
      <vt:variant>
        <vt:i4>713</vt:i4>
      </vt:variant>
      <vt:variant>
        <vt:i4>0</vt:i4>
      </vt:variant>
      <vt:variant>
        <vt:i4>5</vt:i4>
      </vt:variant>
      <vt:variant>
        <vt:lpwstr/>
      </vt:variant>
      <vt:variant>
        <vt:lpwstr>_Toc45212479</vt:lpwstr>
      </vt:variant>
      <vt:variant>
        <vt:i4>2031667</vt:i4>
      </vt:variant>
      <vt:variant>
        <vt:i4>707</vt:i4>
      </vt:variant>
      <vt:variant>
        <vt:i4>0</vt:i4>
      </vt:variant>
      <vt:variant>
        <vt:i4>5</vt:i4>
      </vt:variant>
      <vt:variant>
        <vt:lpwstr/>
      </vt:variant>
      <vt:variant>
        <vt:lpwstr>_Toc45212478</vt:lpwstr>
      </vt:variant>
      <vt:variant>
        <vt:i4>1048627</vt:i4>
      </vt:variant>
      <vt:variant>
        <vt:i4>701</vt:i4>
      </vt:variant>
      <vt:variant>
        <vt:i4>0</vt:i4>
      </vt:variant>
      <vt:variant>
        <vt:i4>5</vt:i4>
      </vt:variant>
      <vt:variant>
        <vt:lpwstr/>
      </vt:variant>
      <vt:variant>
        <vt:lpwstr>_Toc45212477</vt:lpwstr>
      </vt:variant>
      <vt:variant>
        <vt:i4>1114163</vt:i4>
      </vt:variant>
      <vt:variant>
        <vt:i4>695</vt:i4>
      </vt:variant>
      <vt:variant>
        <vt:i4>0</vt:i4>
      </vt:variant>
      <vt:variant>
        <vt:i4>5</vt:i4>
      </vt:variant>
      <vt:variant>
        <vt:lpwstr/>
      </vt:variant>
      <vt:variant>
        <vt:lpwstr>_Toc45212476</vt:lpwstr>
      </vt:variant>
      <vt:variant>
        <vt:i4>1179699</vt:i4>
      </vt:variant>
      <vt:variant>
        <vt:i4>689</vt:i4>
      </vt:variant>
      <vt:variant>
        <vt:i4>0</vt:i4>
      </vt:variant>
      <vt:variant>
        <vt:i4>5</vt:i4>
      </vt:variant>
      <vt:variant>
        <vt:lpwstr/>
      </vt:variant>
      <vt:variant>
        <vt:lpwstr>_Toc45212475</vt:lpwstr>
      </vt:variant>
      <vt:variant>
        <vt:i4>1245235</vt:i4>
      </vt:variant>
      <vt:variant>
        <vt:i4>683</vt:i4>
      </vt:variant>
      <vt:variant>
        <vt:i4>0</vt:i4>
      </vt:variant>
      <vt:variant>
        <vt:i4>5</vt:i4>
      </vt:variant>
      <vt:variant>
        <vt:lpwstr/>
      </vt:variant>
      <vt:variant>
        <vt:lpwstr>_Toc45212474</vt:lpwstr>
      </vt:variant>
      <vt:variant>
        <vt:i4>1310771</vt:i4>
      </vt:variant>
      <vt:variant>
        <vt:i4>677</vt:i4>
      </vt:variant>
      <vt:variant>
        <vt:i4>0</vt:i4>
      </vt:variant>
      <vt:variant>
        <vt:i4>5</vt:i4>
      </vt:variant>
      <vt:variant>
        <vt:lpwstr/>
      </vt:variant>
      <vt:variant>
        <vt:lpwstr>_Toc45212473</vt:lpwstr>
      </vt:variant>
      <vt:variant>
        <vt:i4>1376307</vt:i4>
      </vt:variant>
      <vt:variant>
        <vt:i4>671</vt:i4>
      </vt:variant>
      <vt:variant>
        <vt:i4>0</vt:i4>
      </vt:variant>
      <vt:variant>
        <vt:i4>5</vt:i4>
      </vt:variant>
      <vt:variant>
        <vt:lpwstr/>
      </vt:variant>
      <vt:variant>
        <vt:lpwstr>_Toc45212472</vt:lpwstr>
      </vt:variant>
      <vt:variant>
        <vt:i4>1441843</vt:i4>
      </vt:variant>
      <vt:variant>
        <vt:i4>665</vt:i4>
      </vt:variant>
      <vt:variant>
        <vt:i4>0</vt:i4>
      </vt:variant>
      <vt:variant>
        <vt:i4>5</vt:i4>
      </vt:variant>
      <vt:variant>
        <vt:lpwstr/>
      </vt:variant>
      <vt:variant>
        <vt:lpwstr>_Toc45212471</vt:lpwstr>
      </vt:variant>
      <vt:variant>
        <vt:i4>1507379</vt:i4>
      </vt:variant>
      <vt:variant>
        <vt:i4>659</vt:i4>
      </vt:variant>
      <vt:variant>
        <vt:i4>0</vt:i4>
      </vt:variant>
      <vt:variant>
        <vt:i4>5</vt:i4>
      </vt:variant>
      <vt:variant>
        <vt:lpwstr/>
      </vt:variant>
      <vt:variant>
        <vt:lpwstr>_Toc45212470</vt:lpwstr>
      </vt:variant>
      <vt:variant>
        <vt:i4>1966130</vt:i4>
      </vt:variant>
      <vt:variant>
        <vt:i4>653</vt:i4>
      </vt:variant>
      <vt:variant>
        <vt:i4>0</vt:i4>
      </vt:variant>
      <vt:variant>
        <vt:i4>5</vt:i4>
      </vt:variant>
      <vt:variant>
        <vt:lpwstr/>
      </vt:variant>
      <vt:variant>
        <vt:lpwstr>_Toc45212469</vt:lpwstr>
      </vt:variant>
      <vt:variant>
        <vt:i4>2031666</vt:i4>
      </vt:variant>
      <vt:variant>
        <vt:i4>647</vt:i4>
      </vt:variant>
      <vt:variant>
        <vt:i4>0</vt:i4>
      </vt:variant>
      <vt:variant>
        <vt:i4>5</vt:i4>
      </vt:variant>
      <vt:variant>
        <vt:lpwstr/>
      </vt:variant>
      <vt:variant>
        <vt:lpwstr>_Toc45212468</vt:lpwstr>
      </vt:variant>
      <vt:variant>
        <vt:i4>1048626</vt:i4>
      </vt:variant>
      <vt:variant>
        <vt:i4>641</vt:i4>
      </vt:variant>
      <vt:variant>
        <vt:i4>0</vt:i4>
      </vt:variant>
      <vt:variant>
        <vt:i4>5</vt:i4>
      </vt:variant>
      <vt:variant>
        <vt:lpwstr/>
      </vt:variant>
      <vt:variant>
        <vt:lpwstr>_Toc45212467</vt:lpwstr>
      </vt:variant>
      <vt:variant>
        <vt:i4>1114162</vt:i4>
      </vt:variant>
      <vt:variant>
        <vt:i4>635</vt:i4>
      </vt:variant>
      <vt:variant>
        <vt:i4>0</vt:i4>
      </vt:variant>
      <vt:variant>
        <vt:i4>5</vt:i4>
      </vt:variant>
      <vt:variant>
        <vt:lpwstr/>
      </vt:variant>
      <vt:variant>
        <vt:lpwstr>_Toc45212466</vt:lpwstr>
      </vt:variant>
      <vt:variant>
        <vt:i4>1179698</vt:i4>
      </vt:variant>
      <vt:variant>
        <vt:i4>629</vt:i4>
      </vt:variant>
      <vt:variant>
        <vt:i4>0</vt:i4>
      </vt:variant>
      <vt:variant>
        <vt:i4>5</vt:i4>
      </vt:variant>
      <vt:variant>
        <vt:lpwstr/>
      </vt:variant>
      <vt:variant>
        <vt:lpwstr>_Toc45212465</vt:lpwstr>
      </vt:variant>
      <vt:variant>
        <vt:i4>1245234</vt:i4>
      </vt:variant>
      <vt:variant>
        <vt:i4>623</vt:i4>
      </vt:variant>
      <vt:variant>
        <vt:i4>0</vt:i4>
      </vt:variant>
      <vt:variant>
        <vt:i4>5</vt:i4>
      </vt:variant>
      <vt:variant>
        <vt:lpwstr/>
      </vt:variant>
      <vt:variant>
        <vt:lpwstr>_Toc45212464</vt:lpwstr>
      </vt:variant>
      <vt:variant>
        <vt:i4>1310770</vt:i4>
      </vt:variant>
      <vt:variant>
        <vt:i4>617</vt:i4>
      </vt:variant>
      <vt:variant>
        <vt:i4>0</vt:i4>
      </vt:variant>
      <vt:variant>
        <vt:i4>5</vt:i4>
      </vt:variant>
      <vt:variant>
        <vt:lpwstr/>
      </vt:variant>
      <vt:variant>
        <vt:lpwstr>_Toc45212463</vt:lpwstr>
      </vt:variant>
      <vt:variant>
        <vt:i4>1376306</vt:i4>
      </vt:variant>
      <vt:variant>
        <vt:i4>611</vt:i4>
      </vt:variant>
      <vt:variant>
        <vt:i4>0</vt:i4>
      </vt:variant>
      <vt:variant>
        <vt:i4>5</vt:i4>
      </vt:variant>
      <vt:variant>
        <vt:lpwstr/>
      </vt:variant>
      <vt:variant>
        <vt:lpwstr>_Toc45212462</vt:lpwstr>
      </vt:variant>
      <vt:variant>
        <vt:i4>1441842</vt:i4>
      </vt:variant>
      <vt:variant>
        <vt:i4>605</vt:i4>
      </vt:variant>
      <vt:variant>
        <vt:i4>0</vt:i4>
      </vt:variant>
      <vt:variant>
        <vt:i4>5</vt:i4>
      </vt:variant>
      <vt:variant>
        <vt:lpwstr/>
      </vt:variant>
      <vt:variant>
        <vt:lpwstr>_Toc45212461</vt:lpwstr>
      </vt:variant>
      <vt:variant>
        <vt:i4>1507378</vt:i4>
      </vt:variant>
      <vt:variant>
        <vt:i4>599</vt:i4>
      </vt:variant>
      <vt:variant>
        <vt:i4>0</vt:i4>
      </vt:variant>
      <vt:variant>
        <vt:i4>5</vt:i4>
      </vt:variant>
      <vt:variant>
        <vt:lpwstr/>
      </vt:variant>
      <vt:variant>
        <vt:lpwstr>_Toc45212460</vt:lpwstr>
      </vt:variant>
      <vt:variant>
        <vt:i4>1966129</vt:i4>
      </vt:variant>
      <vt:variant>
        <vt:i4>593</vt:i4>
      </vt:variant>
      <vt:variant>
        <vt:i4>0</vt:i4>
      </vt:variant>
      <vt:variant>
        <vt:i4>5</vt:i4>
      </vt:variant>
      <vt:variant>
        <vt:lpwstr/>
      </vt:variant>
      <vt:variant>
        <vt:lpwstr>_Toc45212459</vt:lpwstr>
      </vt:variant>
      <vt:variant>
        <vt:i4>2031665</vt:i4>
      </vt:variant>
      <vt:variant>
        <vt:i4>587</vt:i4>
      </vt:variant>
      <vt:variant>
        <vt:i4>0</vt:i4>
      </vt:variant>
      <vt:variant>
        <vt:i4>5</vt:i4>
      </vt:variant>
      <vt:variant>
        <vt:lpwstr/>
      </vt:variant>
      <vt:variant>
        <vt:lpwstr>_Toc45212458</vt:lpwstr>
      </vt:variant>
      <vt:variant>
        <vt:i4>1048625</vt:i4>
      </vt:variant>
      <vt:variant>
        <vt:i4>581</vt:i4>
      </vt:variant>
      <vt:variant>
        <vt:i4>0</vt:i4>
      </vt:variant>
      <vt:variant>
        <vt:i4>5</vt:i4>
      </vt:variant>
      <vt:variant>
        <vt:lpwstr/>
      </vt:variant>
      <vt:variant>
        <vt:lpwstr>_Toc45212457</vt:lpwstr>
      </vt:variant>
      <vt:variant>
        <vt:i4>1114161</vt:i4>
      </vt:variant>
      <vt:variant>
        <vt:i4>575</vt:i4>
      </vt:variant>
      <vt:variant>
        <vt:i4>0</vt:i4>
      </vt:variant>
      <vt:variant>
        <vt:i4>5</vt:i4>
      </vt:variant>
      <vt:variant>
        <vt:lpwstr/>
      </vt:variant>
      <vt:variant>
        <vt:lpwstr>_Toc45212456</vt:lpwstr>
      </vt:variant>
      <vt:variant>
        <vt:i4>1179697</vt:i4>
      </vt:variant>
      <vt:variant>
        <vt:i4>569</vt:i4>
      </vt:variant>
      <vt:variant>
        <vt:i4>0</vt:i4>
      </vt:variant>
      <vt:variant>
        <vt:i4>5</vt:i4>
      </vt:variant>
      <vt:variant>
        <vt:lpwstr/>
      </vt:variant>
      <vt:variant>
        <vt:lpwstr>_Toc45212455</vt:lpwstr>
      </vt:variant>
      <vt:variant>
        <vt:i4>1245233</vt:i4>
      </vt:variant>
      <vt:variant>
        <vt:i4>563</vt:i4>
      </vt:variant>
      <vt:variant>
        <vt:i4>0</vt:i4>
      </vt:variant>
      <vt:variant>
        <vt:i4>5</vt:i4>
      </vt:variant>
      <vt:variant>
        <vt:lpwstr/>
      </vt:variant>
      <vt:variant>
        <vt:lpwstr>_Toc45212454</vt:lpwstr>
      </vt:variant>
      <vt:variant>
        <vt:i4>1310769</vt:i4>
      </vt:variant>
      <vt:variant>
        <vt:i4>557</vt:i4>
      </vt:variant>
      <vt:variant>
        <vt:i4>0</vt:i4>
      </vt:variant>
      <vt:variant>
        <vt:i4>5</vt:i4>
      </vt:variant>
      <vt:variant>
        <vt:lpwstr/>
      </vt:variant>
      <vt:variant>
        <vt:lpwstr>_Toc45212453</vt:lpwstr>
      </vt:variant>
      <vt:variant>
        <vt:i4>1376305</vt:i4>
      </vt:variant>
      <vt:variant>
        <vt:i4>551</vt:i4>
      </vt:variant>
      <vt:variant>
        <vt:i4>0</vt:i4>
      </vt:variant>
      <vt:variant>
        <vt:i4>5</vt:i4>
      </vt:variant>
      <vt:variant>
        <vt:lpwstr/>
      </vt:variant>
      <vt:variant>
        <vt:lpwstr>_Toc45212452</vt:lpwstr>
      </vt:variant>
      <vt:variant>
        <vt:i4>1441841</vt:i4>
      </vt:variant>
      <vt:variant>
        <vt:i4>545</vt:i4>
      </vt:variant>
      <vt:variant>
        <vt:i4>0</vt:i4>
      </vt:variant>
      <vt:variant>
        <vt:i4>5</vt:i4>
      </vt:variant>
      <vt:variant>
        <vt:lpwstr/>
      </vt:variant>
      <vt:variant>
        <vt:lpwstr>_Toc45212451</vt:lpwstr>
      </vt:variant>
      <vt:variant>
        <vt:i4>1507377</vt:i4>
      </vt:variant>
      <vt:variant>
        <vt:i4>539</vt:i4>
      </vt:variant>
      <vt:variant>
        <vt:i4>0</vt:i4>
      </vt:variant>
      <vt:variant>
        <vt:i4>5</vt:i4>
      </vt:variant>
      <vt:variant>
        <vt:lpwstr/>
      </vt:variant>
      <vt:variant>
        <vt:lpwstr>_Toc45212450</vt:lpwstr>
      </vt:variant>
      <vt:variant>
        <vt:i4>1966128</vt:i4>
      </vt:variant>
      <vt:variant>
        <vt:i4>533</vt:i4>
      </vt:variant>
      <vt:variant>
        <vt:i4>0</vt:i4>
      </vt:variant>
      <vt:variant>
        <vt:i4>5</vt:i4>
      </vt:variant>
      <vt:variant>
        <vt:lpwstr/>
      </vt:variant>
      <vt:variant>
        <vt:lpwstr>_Toc45212449</vt:lpwstr>
      </vt:variant>
      <vt:variant>
        <vt:i4>2031664</vt:i4>
      </vt:variant>
      <vt:variant>
        <vt:i4>527</vt:i4>
      </vt:variant>
      <vt:variant>
        <vt:i4>0</vt:i4>
      </vt:variant>
      <vt:variant>
        <vt:i4>5</vt:i4>
      </vt:variant>
      <vt:variant>
        <vt:lpwstr/>
      </vt:variant>
      <vt:variant>
        <vt:lpwstr>_Toc45212448</vt:lpwstr>
      </vt:variant>
      <vt:variant>
        <vt:i4>1048624</vt:i4>
      </vt:variant>
      <vt:variant>
        <vt:i4>521</vt:i4>
      </vt:variant>
      <vt:variant>
        <vt:i4>0</vt:i4>
      </vt:variant>
      <vt:variant>
        <vt:i4>5</vt:i4>
      </vt:variant>
      <vt:variant>
        <vt:lpwstr/>
      </vt:variant>
      <vt:variant>
        <vt:lpwstr>_Toc45212447</vt:lpwstr>
      </vt:variant>
      <vt:variant>
        <vt:i4>1114160</vt:i4>
      </vt:variant>
      <vt:variant>
        <vt:i4>515</vt:i4>
      </vt:variant>
      <vt:variant>
        <vt:i4>0</vt:i4>
      </vt:variant>
      <vt:variant>
        <vt:i4>5</vt:i4>
      </vt:variant>
      <vt:variant>
        <vt:lpwstr/>
      </vt:variant>
      <vt:variant>
        <vt:lpwstr>_Toc45212446</vt:lpwstr>
      </vt:variant>
      <vt:variant>
        <vt:i4>1179696</vt:i4>
      </vt:variant>
      <vt:variant>
        <vt:i4>509</vt:i4>
      </vt:variant>
      <vt:variant>
        <vt:i4>0</vt:i4>
      </vt:variant>
      <vt:variant>
        <vt:i4>5</vt:i4>
      </vt:variant>
      <vt:variant>
        <vt:lpwstr/>
      </vt:variant>
      <vt:variant>
        <vt:lpwstr>_Toc45212445</vt:lpwstr>
      </vt:variant>
      <vt:variant>
        <vt:i4>1245232</vt:i4>
      </vt:variant>
      <vt:variant>
        <vt:i4>503</vt:i4>
      </vt:variant>
      <vt:variant>
        <vt:i4>0</vt:i4>
      </vt:variant>
      <vt:variant>
        <vt:i4>5</vt:i4>
      </vt:variant>
      <vt:variant>
        <vt:lpwstr/>
      </vt:variant>
      <vt:variant>
        <vt:lpwstr>_Toc45212444</vt:lpwstr>
      </vt:variant>
      <vt:variant>
        <vt:i4>1310768</vt:i4>
      </vt:variant>
      <vt:variant>
        <vt:i4>497</vt:i4>
      </vt:variant>
      <vt:variant>
        <vt:i4>0</vt:i4>
      </vt:variant>
      <vt:variant>
        <vt:i4>5</vt:i4>
      </vt:variant>
      <vt:variant>
        <vt:lpwstr/>
      </vt:variant>
      <vt:variant>
        <vt:lpwstr>_Toc45212443</vt:lpwstr>
      </vt:variant>
      <vt:variant>
        <vt:i4>1376304</vt:i4>
      </vt:variant>
      <vt:variant>
        <vt:i4>491</vt:i4>
      </vt:variant>
      <vt:variant>
        <vt:i4>0</vt:i4>
      </vt:variant>
      <vt:variant>
        <vt:i4>5</vt:i4>
      </vt:variant>
      <vt:variant>
        <vt:lpwstr/>
      </vt:variant>
      <vt:variant>
        <vt:lpwstr>_Toc45212442</vt:lpwstr>
      </vt:variant>
      <vt:variant>
        <vt:i4>1441840</vt:i4>
      </vt:variant>
      <vt:variant>
        <vt:i4>485</vt:i4>
      </vt:variant>
      <vt:variant>
        <vt:i4>0</vt:i4>
      </vt:variant>
      <vt:variant>
        <vt:i4>5</vt:i4>
      </vt:variant>
      <vt:variant>
        <vt:lpwstr/>
      </vt:variant>
      <vt:variant>
        <vt:lpwstr>_Toc45212441</vt:lpwstr>
      </vt:variant>
      <vt:variant>
        <vt:i4>1507376</vt:i4>
      </vt:variant>
      <vt:variant>
        <vt:i4>479</vt:i4>
      </vt:variant>
      <vt:variant>
        <vt:i4>0</vt:i4>
      </vt:variant>
      <vt:variant>
        <vt:i4>5</vt:i4>
      </vt:variant>
      <vt:variant>
        <vt:lpwstr/>
      </vt:variant>
      <vt:variant>
        <vt:lpwstr>_Toc45212440</vt:lpwstr>
      </vt:variant>
      <vt:variant>
        <vt:i4>1966135</vt:i4>
      </vt:variant>
      <vt:variant>
        <vt:i4>473</vt:i4>
      </vt:variant>
      <vt:variant>
        <vt:i4>0</vt:i4>
      </vt:variant>
      <vt:variant>
        <vt:i4>5</vt:i4>
      </vt:variant>
      <vt:variant>
        <vt:lpwstr/>
      </vt:variant>
      <vt:variant>
        <vt:lpwstr>_Toc45212439</vt:lpwstr>
      </vt:variant>
      <vt:variant>
        <vt:i4>2031671</vt:i4>
      </vt:variant>
      <vt:variant>
        <vt:i4>467</vt:i4>
      </vt:variant>
      <vt:variant>
        <vt:i4>0</vt:i4>
      </vt:variant>
      <vt:variant>
        <vt:i4>5</vt:i4>
      </vt:variant>
      <vt:variant>
        <vt:lpwstr/>
      </vt:variant>
      <vt:variant>
        <vt:lpwstr>_Toc45212438</vt:lpwstr>
      </vt:variant>
      <vt:variant>
        <vt:i4>1048631</vt:i4>
      </vt:variant>
      <vt:variant>
        <vt:i4>461</vt:i4>
      </vt:variant>
      <vt:variant>
        <vt:i4>0</vt:i4>
      </vt:variant>
      <vt:variant>
        <vt:i4>5</vt:i4>
      </vt:variant>
      <vt:variant>
        <vt:lpwstr/>
      </vt:variant>
      <vt:variant>
        <vt:lpwstr>_Toc45212437</vt:lpwstr>
      </vt:variant>
      <vt:variant>
        <vt:i4>1114167</vt:i4>
      </vt:variant>
      <vt:variant>
        <vt:i4>455</vt:i4>
      </vt:variant>
      <vt:variant>
        <vt:i4>0</vt:i4>
      </vt:variant>
      <vt:variant>
        <vt:i4>5</vt:i4>
      </vt:variant>
      <vt:variant>
        <vt:lpwstr/>
      </vt:variant>
      <vt:variant>
        <vt:lpwstr>_Toc45212436</vt:lpwstr>
      </vt:variant>
      <vt:variant>
        <vt:i4>1179703</vt:i4>
      </vt:variant>
      <vt:variant>
        <vt:i4>449</vt:i4>
      </vt:variant>
      <vt:variant>
        <vt:i4>0</vt:i4>
      </vt:variant>
      <vt:variant>
        <vt:i4>5</vt:i4>
      </vt:variant>
      <vt:variant>
        <vt:lpwstr/>
      </vt:variant>
      <vt:variant>
        <vt:lpwstr>_Toc45212435</vt:lpwstr>
      </vt:variant>
      <vt:variant>
        <vt:i4>1245239</vt:i4>
      </vt:variant>
      <vt:variant>
        <vt:i4>443</vt:i4>
      </vt:variant>
      <vt:variant>
        <vt:i4>0</vt:i4>
      </vt:variant>
      <vt:variant>
        <vt:i4>5</vt:i4>
      </vt:variant>
      <vt:variant>
        <vt:lpwstr/>
      </vt:variant>
      <vt:variant>
        <vt:lpwstr>_Toc45212434</vt:lpwstr>
      </vt:variant>
      <vt:variant>
        <vt:i4>1310775</vt:i4>
      </vt:variant>
      <vt:variant>
        <vt:i4>437</vt:i4>
      </vt:variant>
      <vt:variant>
        <vt:i4>0</vt:i4>
      </vt:variant>
      <vt:variant>
        <vt:i4>5</vt:i4>
      </vt:variant>
      <vt:variant>
        <vt:lpwstr/>
      </vt:variant>
      <vt:variant>
        <vt:lpwstr>_Toc45212433</vt:lpwstr>
      </vt:variant>
      <vt:variant>
        <vt:i4>1376311</vt:i4>
      </vt:variant>
      <vt:variant>
        <vt:i4>431</vt:i4>
      </vt:variant>
      <vt:variant>
        <vt:i4>0</vt:i4>
      </vt:variant>
      <vt:variant>
        <vt:i4>5</vt:i4>
      </vt:variant>
      <vt:variant>
        <vt:lpwstr/>
      </vt:variant>
      <vt:variant>
        <vt:lpwstr>_Toc45212432</vt:lpwstr>
      </vt:variant>
      <vt:variant>
        <vt:i4>1441847</vt:i4>
      </vt:variant>
      <vt:variant>
        <vt:i4>425</vt:i4>
      </vt:variant>
      <vt:variant>
        <vt:i4>0</vt:i4>
      </vt:variant>
      <vt:variant>
        <vt:i4>5</vt:i4>
      </vt:variant>
      <vt:variant>
        <vt:lpwstr/>
      </vt:variant>
      <vt:variant>
        <vt:lpwstr>_Toc45212431</vt:lpwstr>
      </vt:variant>
      <vt:variant>
        <vt:i4>1507383</vt:i4>
      </vt:variant>
      <vt:variant>
        <vt:i4>419</vt:i4>
      </vt:variant>
      <vt:variant>
        <vt:i4>0</vt:i4>
      </vt:variant>
      <vt:variant>
        <vt:i4>5</vt:i4>
      </vt:variant>
      <vt:variant>
        <vt:lpwstr/>
      </vt:variant>
      <vt:variant>
        <vt:lpwstr>_Toc45212430</vt:lpwstr>
      </vt:variant>
      <vt:variant>
        <vt:i4>1966134</vt:i4>
      </vt:variant>
      <vt:variant>
        <vt:i4>413</vt:i4>
      </vt:variant>
      <vt:variant>
        <vt:i4>0</vt:i4>
      </vt:variant>
      <vt:variant>
        <vt:i4>5</vt:i4>
      </vt:variant>
      <vt:variant>
        <vt:lpwstr/>
      </vt:variant>
      <vt:variant>
        <vt:lpwstr>_Toc45212429</vt:lpwstr>
      </vt:variant>
      <vt:variant>
        <vt:i4>2031670</vt:i4>
      </vt:variant>
      <vt:variant>
        <vt:i4>407</vt:i4>
      </vt:variant>
      <vt:variant>
        <vt:i4>0</vt:i4>
      </vt:variant>
      <vt:variant>
        <vt:i4>5</vt:i4>
      </vt:variant>
      <vt:variant>
        <vt:lpwstr/>
      </vt:variant>
      <vt:variant>
        <vt:lpwstr>_Toc45212428</vt:lpwstr>
      </vt:variant>
      <vt:variant>
        <vt:i4>1048630</vt:i4>
      </vt:variant>
      <vt:variant>
        <vt:i4>401</vt:i4>
      </vt:variant>
      <vt:variant>
        <vt:i4>0</vt:i4>
      </vt:variant>
      <vt:variant>
        <vt:i4>5</vt:i4>
      </vt:variant>
      <vt:variant>
        <vt:lpwstr/>
      </vt:variant>
      <vt:variant>
        <vt:lpwstr>_Toc45212427</vt:lpwstr>
      </vt:variant>
      <vt:variant>
        <vt:i4>1114166</vt:i4>
      </vt:variant>
      <vt:variant>
        <vt:i4>395</vt:i4>
      </vt:variant>
      <vt:variant>
        <vt:i4>0</vt:i4>
      </vt:variant>
      <vt:variant>
        <vt:i4>5</vt:i4>
      </vt:variant>
      <vt:variant>
        <vt:lpwstr/>
      </vt:variant>
      <vt:variant>
        <vt:lpwstr>_Toc45212426</vt:lpwstr>
      </vt:variant>
      <vt:variant>
        <vt:i4>1179702</vt:i4>
      </vt:variant>
      <vt:variant>
        <vt:i4>389</vt:i4>
      </vt:variant>
      <vt:variant>
        <vt:i4>0</vt:i4>
      </vt:variant>
      <vt:variant>
        <vt:i4>5</vt:i4>
      </vt:variant>
      <vt:variant>
        <vt:lpwstr/>
      </vt:variant>
      <vt:variant>
        <vt:lpwstr>_Toc45212425</vt:lpwstr>
      </vt:variant>
      <vt:variant>
        <vt:i4>1245238</vt:i4>
      </vt:variant>
      <vt:variant>
        <vt:i4>383</vt:i4>
      </vt:variant>
      <vt:variant>
        <vt:i4>0</vt:i4>
      </vt:variant>
      <vt:variant>
        <vt:i4>5</vt:i4>
      </vt:variant>
      <vt:variant>
        <vt:lpwstr/>
      </vt:variant>
      <vt:variant>
        <vt:lpwstr>_Toc45212424</vt:lpwstr>
      </vt:variant>
      <vt:variant>
        <vt:i4>1310774</vt:i4>
      </vt:variant>
      <vt:variant>
        <vt:i4>377</vt:i4>
      </vt:variant>
      <vt:variant>
        <vt:i4>0</vt:i4>
      </vt:variant>
      <vt:variant>
        <vt:i4>5</vt:i4>
      </vt:variant>
      <vt:variant>
        <vt:lpwstr/>
      </vt:variant>
      <vt:variant>
        <vt:lpwstr>_Toc45212423</vt:lpwstr>
      </vt:variant>
      <vt:variant>
        <vt:i4>1376310</vt:i4>
      </vt:variant>
      <vt:variant>
        <vt:i4>371</vt:i4>
      </vt:variant>
      <vt:variant>
        <vt:i4>0</vt:i4>
      </vt:variant>
      <vt:variant>
        <vt:i4>5</vt:i4>
      </vt:variant>
      <vt:variant>
        <vt:lpwstr/>
      </vt:variant>
      <vt:variant>
        <vt:lpwstr>_Toc45212422</vt:lpwstr>
      </vt:variant>
      <vt:variant>
        <vt:i4>1441846</vt:i4>
      </vt:variant>
      <vt:variant>
        <vt:i4>365</vt:i4>
      </vt:variant>
      <vt:variant>
        <vt:i4>0</vt:i4>
      </vt:variant>
      <vt:variant>
        <vt:i4>5</vt:i4>
      </vt:variant>
      <vt:variant>
        <vt:lpwstr/>
      </vt:variant>
      <vt:variant>
        <vt:lpwstr>_Toc45212421</vt:lpwstr>
      </vt:variant>
      <vt:variant>
        <vt:i4>1507382</vt:i4>
      </vt:variant>
      <vt:variant>
        <vt:i4>359</vt:i4>
      </vt:variant>
      <vt:variant>
        <vt:i4>0</vt:i4>
      </vt:variant>
      <vt:variant>
        <vt:i4>5</vt:i4>
      </vt:variant>
      <vt:variant>
        <vt:lpwstr/>
      </vt:variant>
      <vt:variant>
        <vt:lpwstr>_Toc45212420</vt:lpwstr>
      </vt:variant>
      <vt:variant>
        <vt:i4>1966133</vt:i4>
      </vt:variant>
      <vt:variant>
        <vt:i4>353</vt:i4>
      </vt:variant>
      <vt:variant>
        <vt:i4>0</vt:i4>
      </vt:variant>
      <vt:variant>
        <vt:i4>5</vt:i4>
      </vt:variant>
      <vt:variant>
        <vt:lpwstr/>
      </vt:variant>
      <vt:variant>
        <vt:lpwstr>_Toc45212419</vt:lpwstr>
      </vt:variant>
      <vt:variant>
        <vt:i4>2031669</vt:i4>
      </vt:variant>
      <vt:variant>
        <vt:i4>347</vt:i4>
      </vt:variant>
      <vt:variant>
        <vt:i4>0</vt:i4>
      </vt:variant>
      <vt:variant>
        <vt:i4>5</vt:i4>
      </vt:variant>
      <vt:variant>
        <vt:lpwstr/>
      </vt:variant>
      <vt:variant>
        <vt:lpwstr>_Toc45212418</vt:lpwstr>
      </vt:variant>
      <vt:variant>
        <vt:i4>1048629</vt:i4>
      </vt:variant>
      <vt:variant>
        <vt:i4>341</vt:i4>
      </vt:variant>
      <vt:variant>
        <vt:i4>0</vt:i4>
      </vt:variant>
      <vt:variant>
        <vt:i4>5</vt:i4>
      </vt:variant>
      <vt:variant>
        <vt:lpwstr/>
      </vt:variant>
      <vt:variant>
        <vt:lpwstr>_Toc45212417</vt:lpwstr>
      </vt:variant>
      <vt:variant>
        <vt:i4>1114165</vt:i4>
      </vt:variant>
      <vt:variant>
        <vt:i4>335</vt:i4>
      </vt:variant>
      <vt:variant>
        <vt:i4>0</vt:i4>
      </vt:variant>
      <vt:variant>
        <vt:i4>5</vt:i4>
      </vt:variant>
      <vt:variant>
        <vt:lpwstr/>
      </vt:variant>
      <vt:variant>
        <vt:lpwstr>_Toc45212416</vt:lpwstr>
      </vt:variant>
      <vt:variant>
        <vt:i4>1179701</vt:i4>
      </vt:variant>
      <vt:variant>
        <vt:i4>329</vt:i4>
      </vt:variant>
      <vt:variant>
        <vt:i4>0</vt:i4>
      </vt:variant>
      <vt:variant>
        <vt:i4>5</vt:i4>
      </vt:variant>
      <vt:variant>
        <vt:lpwstr/>
      </vt:variant>
      <vt:variant>
        <vt:lpwstr>_Toc45212415</vt:lpwstr>
      </vt:variant>
      <vt:variant>
        <vt:i4>1245237</vt:i4>
      </vt:variant>
      <vt:variant>
        <vt:i4>323</vt:i4>
      </vt:variant>
      <vt:variant>
        <vt:i4>0</vt:i4>
      </vt:variant>
      <vt:variant>
        <vt:i4>5</vt:i4>
      </vt:variant>
      <vt:variant>
        <vt:lpwstr/>
      </vt:variant>
      <vt:variant>
        <vt:lpwstr>_Toc45212414</vt:lpwstr>
      </vt:variant>
      <vt:variant>
        <vt:i4>1310773</vt:i4>
      </vt:variant>
      <vt:variant>
        <vt:i4>317</vt:i4>
      </vt:variant>
      <vt:variant>
        <vt:i4>0</vt:i4>
      </vt:variant>
      <vt:variant>
        <vt:i4>5</vt:i4>
      </vt:variant>
      <vt:variant>
        <vt:lpwstr/>
      </vt:variant>
      <vt:variant>
        <vt:lpwstr>_Toc45212413</vt:lpwstr>
      </vt:variant>
      <vt:variant>
        <vt:i4>1376309</vt:i4>
      </vt:variant>
      <vt:variant>
        <vt:i4>311</vt:i4>
      </vt:variant>
      <vt:variant>
        <vt:i4>0</vt:i4>
      </vt:variant>
      <vt:variant>
        <vt:i4>5</vt:i4>
      </vt:variant>
      <vt:variant>
        <vt:lpwstr/>
      </vt:variant>
      <vt:variant>
        <vt:lpwstr>_Toc45212412</vt:lpwstr>
      </vt:variant>
      <vt:variant>
        <vt:i4>1441845</vt:i4>
      </vt:variant>
      <vt:variant>
        <vt:i4>305</vt:i4>
      </vt:variant>
      <vt:variant>
        <vt:i4>0</vt:i4>
      </vt:variant>
      <vt:variant>
        <vt:i4>5</vt:i4>
      </vt:variant>
      <vt:variant>
        <vt:lpwstr/>
      </vt:variant>
      <vt:variant>
        <vt:lpwstr>_Toc45212411</vt:lpwstr>
      </vt:variant>
      <vt:variant>
        <vt:i4>1507381</vt:i4>
      </vt:variant>
      <vt:variant>
        <vt:i4>299</vt:i4>
      </vt:variant>
      <vt:variant>
        <vt:i4>0</vt:i4>
      </vt:variant>
      <vt:variant>
        <vt:i4>5</vt:i4>
      </vt:variant>
      <vt:variant>
        <vt:lpwstr/>
      </vt:variant>
      <vt:variant>
        <vt:lpwstr>_Toc45212410</vt:lpwstr>
      </vt:variant>
      <vt:variant>
        <vt:i4>1966132</vt:i4>
      </vt:variant>
      <vt:variant>
        <vt:i4>293</vt:i4>
      </vt:variant>
      <vt:variant>
        <vt:i4>0</vt:i4>
      </vt:variant>
      <vt:variant>
        <vt:i4>5</vt:i4>
      </vt:variant>
      <vt:variant>
        <vt:lpwstr/>
      </vt:variant>
      <vt:variant>
        <vt:lpwstr>_Toc45212409</vt:lpwstr>
      </vt:variant>
      <vt:variant>
        <vt:i4>2031668</vt:i4>
      </vt:variant>
      <vt:variant>
        <vt:i4>287</vt:i4>
      </vt:variant>
      <vt:variant>
        <vt:i4>0</vt:i4>
      </vt:variant>
      <vt:variant>
        <vt:i4>5</vt:i4>
      </vt:variant>
      <vt:variant>
        <vt:lpwstr/>
      </vt:variant>
      <vt:variant>
        <vt:lpwstr>_Toc45212408</vt:lpwstr>
      </vt:variant>
      <vt:variant>
        <vt:i4>1048628</vt:i4>
      </vt:variant>
      <vt:variant>
        <vt:i4>281</vt:i4>
      </vt:variant>
      <vt:variant>
        <vt:i4>0</vt:i4>
      </vt:variant>
      <vt:variant>
        <vt:i4>5</vt:i4>
      </vt:variant>
      <vt:variant>
        <vt:lpwstr/>
      </vt:variant>
      <vt:variant>
        <vt:lpwstr>_Toc45212407</vt:lpwstr>
      </vt:variant>
      <vt:variant>
        <vt:i4>1114164</vt:i4>
      </vt:variant>
      <vt:variant>
        <vt:i4>275</vt:i4>
      </vt:variant>
      <vt:variant>
        <vt:i4>0</vt:i4>
      </vt:variant>
      <vt:variant>
        <vt:i4>5</vt:i4>
      </vt:variant>
      <vt:variant>
        <vt:lpwstr/>
      </vt:variant>
      <vt:variant>
        <vt:lpwstr>_Toc45212406</vt:lpwstr>
      </vt:variant>
      <vt:variant>
        <vt:i4>1179700</vt:i4>
      </vt:variant>
      <vt:variant>
        <vt:i4>269</vt:i4>
      </vt:variant>
      <vt:variant>
        <vt:i4>0</vt:i4>
      </vt:variant>
      <vt:variant>
        <vt:i4>5</vt:i4>
      </vt:variant>
      <vt:variant>
        <vt:lpwstr/>
      </vt:variant>
      <vt:variant>
        <vt:lpwstr>_Toc45212405</vt:lpwstr>
      </vt:variant>
      <vt:variant>
        <vt:i4>1245236</vt:i4>
      </vt:variant>
      <vt:variant>
        <vt:i4>263</vt:i4>
      </vt:variant>
      <vt:variant>
        <vt:i4>0</vt:i4>
      </vt:variant>
      <vt:variant>
        <vt:i4>5</vt:i4>
      </vt:variant>
      <vt:variant>
        <vt:lpwstr/>
      </vt:variant>
      <vt:variant>
        <vt:lpwstr>_Toc45212404</vt:lpwstr>
      </vt:variant>
      <vt:variant>
        <vt:i4>1310772</vt:i4>
      </vt:variant>
      <vt:variant>
        <vt:i4>257</vt:i4>
      </vt:variant>
      <vt:variant>
        <vt:i4>0</vt:i4>
      </vt:variant>
      <vt:variant>
        <vt:i4>5</vt:i4>
      </vt:variant>
      <vt:variant>
        <vt:lpwstr/>
      </vt:variant>
      <vt:variant>
        <vt:lpwstr>_Toc45212403</vt:lpwstr>
      </vt:variant>
      <vt:variant>
        <vt:i4>1376308</vt:i4>
      </vt:variant>
      <vt:variant>
        <vt:i4>251</vt:i4>
      </vt:variant>
      <vt:variant>
        <vt:i4>0</vt:i4>
      </vt:variant>
      <vt:variant>
        <vt:i4>5</vt:i4>
      </vt:variant>
      <vt:variant>
        <vt:lpwstr/>
      </vt:variant>
      <vt:variant>
        <vt:lpwstr>_Toc45212402</vt:lpwstr>
      </vt:variant>
      <vt:variant>
        <vt:i4>1441844</vt:i4>
      </vt:variant>
      <vt:variant>
        <vt:i4>245</vt:i4>
      </vt:variant>
      <vt:variant>
        <vt:i4>0</vt:i4>
      </vt:variant>
      <vt:variant>
        <vt:i4>5</vt:i4>
      </vt:variant>
      <vt:variant>
        <vt:lpwstr/>
      </vt:variant>
      <vt:variant>
        <vt:lpwstr>_Toc45212401</vt:lpwstr>
      </vt:variant>
      <vt:variant>
        <vt:i4>1507380</vt:i4>
      </vt:variant>
      <vt:variant>
        <vt:i4>239</vt:i4>
      </vt:variant>
      <vt:variant>
        <vt:i4>0</vt:i4>
      </vt:variant>
      <vt:variant>
        <vt:i4>5</vt:i4>
      </vt:variant>
      <vt:variant>
        <vt:lpwstr/>
      </vt:variant>
      <vt:variant>
        <vt:lpwstr>_Toc45212400</vt:lpwstr>
      </vt:variant>
      <vt:variant>
        <vt:i4>1638461</vt:i4>
      </vt:variant>
      <vt:variant>
        <vt:i4>233</vt:i4>
      </vt:variant>
      <vt:variant>
        <vt:i4>0</vt:i4>
      </vt:variant>
      <vt:variant>
        <vt:i4>5</vt:i4>
      </vt:variant>
      <vt:variant>
        <vt:lpwstr/>
      </vt:variant>
      <vt:variant>
        <vt:lpwstr>_Toc45212399</vt:lpwstr>
      </vt:variant>
      <vt:variant>
        <vt:i4>1572925</vt:i4>
      </vt:variant>
      <vt:variant>
        <vt:i4>227</vt:i4>
      </vt:variant>
      <vt:variant>
        <vt:i4>0</vt:i4>
      </vt:variant>
      <vt:variant>
        <vt:i4>5</vt:i4>
      </vt:variant>
      <vt:variant>
        <vt:lpwstr/>
      </vt:variant>
      <vt:variant>
        <vt:lpwstr>_Toc45212398</vt:lpwstr>
      </vt:variant>
      <vt:variant>
        <vt:i4>1507389</vt:i4>
      </vt:variant>
      <vt:variant>
        <vt:i4>221</vt:i4>
      </vt:variant>
      <vt:variant>
        <vt:i4>0</vt:i4>
      </vt:variant>
      <vt:variant>
        <vt:i4>5</vt:i4>
      </vt:variant>
      <vt:variant>
        <vt:lpwstr/>
      </vt:variant>
      <vt:variant>
        <vt:lpwstr>_Toc45212397</vt:lpwstr>
      </vt:variant>
      <vt:variant>
        <vt:i4>1441853</vt:i4>
      </vt:variant>
      <vt:variant>
        <vt:i4>215</vt:i4>
      </vt:variant>
      <vt:variant>
        <vt:i4>0</vt:i4>
      </vt:variant>
      <vt:variant>
        <vt:i4>5</vt:i4>
      </vt:variant>
      <vt:variant>
        <vt:lpwstr/>
      </vt:variant>
      <vt:variant>
        <vt:lpwstr>_Toc45212396</vt:lpwstr>
      </vt:variant>
      <vt:variant>
        <vt:i4>1376317</vt:i4>
      </vt:variant>
      <vt:variant>
        <vt:i4>209</vt:i4>
      </vt:variant>
      <vt:variant>
        <vt:i4>0</vt:i4>
      </vt:variant>
      <vt:variant>
        <vt:i4>5</vt:i4>
      </vt:variant>
      <vt:variant>
        <vt:lpwstr/>
      </vt:variant>
      <vt:variant>
        <vt:lpwstr>_Toc45212395</vt:lpwstr>
      </vt:variant>
      <vt:variant>
        <vt:i4>1310781</vt:i4>
      </vt:variant>
      <vt:variant>
        <vt:i4>203</vt:i4>
      </vt:variant>
      <vt:variant>
        <vt:i4>0</vt:i4>
      </vt:variant>
      <vt:variant>
        <vt:i4>5</vt:i4>
      </vt:variant>
      <vt:variant>
        <vt:lpwstr/>
      </vt:variant>
      <vt:variant>
        <vt:lpwstr>_Toc45212394</vt:lpwstr>
      </vt:variant>
      <vt:variant>
        <vt:i4>1245245</vt:i4>
      </vt:variant>
      <vt:variant>
        <vt:i4>197</vt:i4>
      </vt:variant>
      <vt:variant>
        <vt:i4>0</vt:i4>
      </vt:variant>
      <vt:variant>
        <vt:i4>5</vt:i4>
      </vt:variant>
      <vt:variant>
        <vt:lpwstr/>
      </vt:variant>
      <vt:variant>
        <vt:lpwstr>_Toc45212393</vt:lpwstr>
      </vt:variant>
      <vt:variant>
        <vt:i4>1179709</vt:i4>
      </vt:variant>
      <vt:variant>
        <vt:i4>191</vt:i4>
      </vt:variant>
      <vt:variant>
        <vt:i4>0</vt:i4>
      </vt:variant>
      <vt:variant>
        <vt:i4>5</vt:i4>
      </vt:variant>
      <vt:variant>
        <vt:lpwstr/>
      </vt:variant>
      <vt:variant>
        <vt:lpwstr>_Toc45212392</vt:lpwstr>
      </vt:variant>
      <vt:variant>
        <vt:i4>1114173</vt:i4>
      </vt:variant>
      <vt:variant>
        <vt:i4>185</vt:i4>
      </vt:variant>
      <vt:variant>
        <vt:i4>0</vt:i4>
      </vt:variant>
      <vt:variant>
        <vt:i4>5</vt:i4>
      </vt:variant>
      <vt:variant>
        <vt:lpwstr/>
      </vt:variant>
      <vt:variant>
        <vt:lpwstr>_Toc45212391</vt:lpwstr>
      </vt:variant>
      <vt:variant>
        <vt:i4>1048637</vt:i4>
      </vt:variant>
      <vt:variant>
        <vt:i4>179</vt:i4>
      </vt:variant>
      <vt:variant>
        <vt:i4>0</vt:i4>
      </vt:variant>
      <vt:variant>
        <vt:i4>5</vt:i4>
      </vt:variant>
      <vt:variant>
        <vt:lpwstr/>
      </vt:variant>
      <vt:variant>
        <vt:lpwstr>_Toc45212390</vt:lpwstr>
      </vt:variant>
      <vt:variant>
        <vt:i4>1638460</vt:i4>
      </vt:variant>
      <vt:variant>
        <vt:i4>173</vt:i4>
      </vt:variant>
      <vt:variant>
        <vt:i4>0</vt:i4>
      </vt:variant>
      <vt:variant>
        <vt:i4>5</vt:i4>
      </vt:variant>
      <vt:variant>
        <vt:lpwstr/>
      </vt:variant>
      <vt:variant>
        <vt:lpwstr>_Toc45212389</vt:lpwstr>
      </vt:variant>
      <vt:variant>
        <vt:i4>1572924</vt:i4>
      </vt:variant>
      <vt:variant>
        <vt:i4>167</vt:i4>
      </vt:variant>
      <vt:variant>
        <vt:i4>0</vt:i4>
      </vt:variant>
      <vt:variant>
        <vt:i4>5</vt:i4>
      </vt:variant>
      <vt:variant>
        <vt:lpwstr/>
      </vt:variant>
      <vt:variant>
        <vt:lpwstr>_Toc45212388</vt:lpwstr>
      </vt:variant>
      <vt:variant>
        <vt:i4>1507388</vt:i4>
      </vt:variant>
      <vt:variant>
        <vt:i4>161</vt:i4>
      </vt:variant>
      <vt:variant>
        <vt:i4>0</vt:i4>
      </vt:variant>
      <vt:variant>
        <vt:i4>5</vt:i4>
      </vt:variant>
      <vt:variant>
        <vt:lpwstr/>
      </vt:variant>
      <vt:variant>
        <vt:lpwstr>_Toc45212387</vt:lpwstr>
      </vt:variant>
      <vt:variant>
        <vt:i4>1441852</vt:i4>
      </vt:variant>
      <vt:variant>
        <vt:i4>155</vt:i4>
      </vt:variant>
      <vt:variant>
        <vt:i4>0</vt:i4>
      </vt:variant>
      <vt:variant>
        <vt:i4>5</vt:i4>
      </vt:variant>
      <vt:variant>
        <vt:lpwstr/>
      </vt:variant>
      <vt:variant>
        <vt:lpwstr>_Toc45212386</vt:lpwstr>
      </vt:variant>
      <vt:variant>
        <vt:i4>1376316</vt:i4>
      </vt:variant>
      <vt:variant>
        <vt:i4>149</vt:i4>
      </vt:variant>
      <vt:variant>
        <vt:i4>0</vt:i4>
      </vt:variant>
      <vt:variant>
        <vt:i4>5</vt:i4>
      </vt:variant>
      <vt:variant>
        <vt:lpwstr/>
      </vt:variant>
      <vt:variant>
        <vt:lpwstr>_Toc45212385</vt:lpwstr>
      </vt:variant>
      <vt:variant>
        <vt:i4>1310780</vt:i4>
      </vt:variant>
      <vt:variant>
        <vt:i4>143</vt:i4>
      </vt:variant>
      <vt:variant>
        <vt:i4>0</vt:i4>
      </vt:variant>
      <vt:variant>
        <vt:i4>5</vt:i4>
      </vt:variant>
      <vt:variant>
        <vt:lpwstr/>
      </vt:variant>
      <vt:variant>
        <vt:lpwstr>_Toc45212384</vt:lpwstr>
      </vt:variant>
      <vt:variant>
        <vt:i4>1245244</vt:i4>
      </vt:variant>
      <vt:variant>
        <vt:i4>137</vt:i4>
      </vt:variant>
      <vt:variant>
        <vt:i4>0</vt:i4>
      </vt:variant>
      <vt:variant>
        <vt:i4>5</vt:i4>
      </vt:variant>
      <vt:variant>
        <vt:lpwstr/>
      </vt:variant>
      <vt:variant>
        <vt:lpwstr>_Toc45212383</vt:lpwstr>
      </vt:variant>
      <vt:variant>
        <vt:i4>1179708</vt:i4>
      </vt:variant>
      <vt:variant>
        <vt:i4>131</vt:i4>
      </vt:variant>
      <vt:variant>
        <vt:i4>0</vt:i4>
      </vt:variant>
      <vt:variant>
        <vt:i4>5</vt:i4>
      </vt:variant>
      <vt:variant>
        <vt:lpwstr/>
      </vt:variant>
      <vt:variant>
        <vt:lpwstr>_Toc45212382</vt:lpwstr>
      </vt:variant>
      <vt:variant>
        <vt:i4>1114172</vt:i4>
      </vt:variant>
      <vt:variant>
        <vt:i4>125</vt:i4>
      </vt:variant>
      <vt:variant>
        <vt:i4>0</vt:i4>
      </vt:variant>
      <vt:variant>
        <vt:i4>5</vt:i4>
      </vt:variant>
      <vt:variant>
        <vt:lpwstr/>
      </vt:variant>
      <vt:variant>
        <vt:lpwstr>_Toc45212381</vt:lpwstr>
      </vt:variant>
      <vt:variant>
        <vt:i4>1048636</vt:i4>
      </vt:variant>
      <vt:variant>
        <vt:i4>119</vt:i4>
      </vt:variant>
      <vt:variant>
        <vt:i4>0</vt:i4>
      </vt:variant>
      <vt:variant>
        <vt:i4>5</vt:i4>
      </vt:variant>
      <vt:variant>
        <vt:lpwstr/>
      </vt:variant>
      <vt:variant>
        <vt:lpwstr>_Toc45212380</vt:lpwstr>
      </vt:variant>
      <vt:variant>
        <vt:i4>1638451</vt:i4>
      </vt:variant>
      <vt:variant>
        <vt:i4>113</vt:i4>
      </vt:variant>
      <vt:variant>
        <vt:i4>0</vt:i4>
      </vt:variant>
      <vt:variant>
        <vt:i4>5</vt:i4>
      </vt:variant>
      <vt:variant>
        <vt:lpwstr/>
      </vt:variant>
      <vt:variant>
        <vt:lpwstr>_Toc45212379</vt:lpwstr>
      </vt:variant>
      <vt:variant>
        <vt:i4>1572915</vt:i4>
      </vt:variant>
      <vt:variant>
        <vt:i4>107</vt:i4>
      </vt:variant>
      <vt:variant>
        <vt:i4>0</vt:i4>
      </vt:variant>
      <vt:variant>
        <vt:i4>5</vt:i4>
      </vt:variant>
      <vt:variant>
        <vt:lpwstr/>
      </vt:variant>
      <vt:variant>
        <vt:lpwstr>_Toc45212378</vt:lpwstr>
      </vt:variant>
      <vt:variant>
        <vt:i4>1507379</vt:i4>
      </vt:variant>
      <vt:variant>
        <vt:i4>101</vt:i4>
      </vt:variant>
      <vt:variant>
        <vt:i4>0</vt:i4>
      </vt:variant>
      <vt:variant>
        <vt:i4>5</vt:i4>
      </vt:variant>
      <vt:variant>
        <vt:lpwstr/>
      </vt:variant>
      <vt:variant>
        <vt:lpwstr>_Toc45212377</vt:lpwstr>
      </vt:variant>
      <vt:variant>
        <vt:i4>1441843</vt:i4>
      </vt:variant>
      <vt:variant>
        <vt:i4>95</vt:i4>
      </vt:variant>
      <vt:variant>
        <vt:i4>0</vt:i4>
      </vt:variant>
      <vt:variant>
        <vt:i4>5</vt:i4>
      </vt:variant>
      <vt:variant>
        <vt:lpwstr/>
      </vt:variant>
      <vt:variant>
        <vt:lpwstr>_Toc45212376</vt:lpwstr>
      </vt:variant>
      <vt:variant>
        <vt:i4>1376307</vt:i4>
      </vt:variant>
      <vt:variant>
        <vt:i4>89</vt:i4>
      </vt:variant>
      <vt:variant>
        <vt:i4>0</vt:i4>
      </vt:variant>
      <vt:variant>
        <vt:i4>5</vt:i4>
      </vt:variant>
      <vt:variant>
        <vt:lpwstr/>
      </vt:variant>
      <vt:variant>
        <vt:lpwstr>_Toc45212375</vt:lpwstr>
      </vt:variant>
      <vt:variant>
        <vt:i4>1310771</vt:i4>
      </vt:variant>
      <vt:variant>
        <vt:i4>83</vt:i4>
      </vt:variant>
      <vt:variant>
        <vt:i4>0</vt:i4>
      </vt:variant>
      <vt:variant>
        <vt:i4>5</vt:i4>
      </vt:variant>
      <vt:variant>
        <vt:lpwstr/>
      </vt:variant>
      <vt:variant>
        <vt:lpwstr>_Toc45212374</vt:lpwstr>
      </vt:variant>
      <vt:variant>
        <vt:i4>1245235</vt:i4>
      </vt:variant>
      <vt:variant>
        <vt:i4>77</vt:i4>
      </vt:variant>
      <vt:variant>
        <vt:i4>0</vt:i4>
      </vt:variant>
      <vt:variant>
        <vt:i4>5</vt:i4>
      </vt:variant>
      <vt:variant>
        <vt:lpwstr/>
      </vt:variant>
      <vt:variant>
        <vt:lpwstr>_Toc45212373</vt:lpwstr>
      </vt:variant>
      <vt:variant>
        <vt:i4>1179699</vt:i4>
      </vt:variant>
      <vt:variant>
        <vt:i4>71</vt:i4>
      </vt:variant>
      <vt:variant>
        <vt:i4>0</vt:i4>
      </vt:variant>
      <vt:variant>
        <vt:i4>5</vt:i4>
      </vt:variant>
      <vt:variant>
        <vt:lpwstr/>
      </vt:variant>
      <vt:variant>
        <vt:lpwstr>_Toc45212372</vt:lpwstr>
      </vt:variant>
      <vt:variant>
        <vt:i4>1114163</vt:i4>
      </vt:variant>
      <vt:variant>
        <vt:i4>65</vt:i4>
      </vt:variant>
      <vt:variant>
        <vt:i4>0</vt:i4>
      </vt:variant>
      <vt:variant>
        <vt:i4>5</vt:i4>
      </vt:variant>
      <vt:variant>
        <vt:lpwstr/>
      </vt:variant>
      <vt:variant>
        <vt:lpwstr>_Toc45212371</vt:lpwstr>
      </vt:variant>
      <vt:variant>
        <vt:i4>1048627</vt:i4>
      </vt:variant>
      <vt:variant>
        <vt:i4>59</vt:i4>
      </vt:variant>
      <vt:variant>
        <vt:i4>0</vt:i4>
      </vt:variant>
      <vt:variant>
        <vt:i4>5</vt:i4>
      </vt:variant>
      <vt:variant>
        <vt:lpwstr/>
      </vt:variant>
      <vt:variant>
        <vt:lpwstr>_Toc45212370</vt:lpwstr>
      </vt:variant>
      <vt:variant>
        <vt:i4>1638450</vt:i4>
      </vt:variant>
      <vt:variant>
        <vt:i4>53</vt:i4>
      </vt:variant>
      <vt:variant>
        <vt:i4>0</vt:i4>
      </vt:variant>
      <vt:variant>
        <vt:i4>5</vt:i4>
      </vt:variant>
      <vt:variant>
        <vt:lpwstr/>
      </vt:variant>
      <vt:variant>
        <vt:lpwstr>_Toc45212369</vt:lpwstr>
      </vt:variant>
      <vt:variant>
        <vt:i4>1572914</vt:i4>
      </vt:variant>
      <vt:variant>
        <vt:i4>47</vt:i4>
      </vt:variant>
      <vt:variant>
        <vt:i4>0</vt:i4>
      </vt:variant>
      <vt:variant>
        <vt:i4>5</vt:i4>
      </vt:variant>
      <vt:variant>
        <vt:lpwstr/>
      </vt:variant>
      <vt:variant>
        <vt:lpwstr>_Toc45212368</vt:lpwstr>
      </vt:variant>
      <vt:variant>
        <vt:i4>1507378</vt:i4>
      </vt:variant>
      <vt:variant>
        <vt:i4>41</vt:i4>
      </vt:variant>
      <vt:variant>
        <vt:i4>0</vt:i4>
      </vt:variant>
      <vt:variant>
        <vt:i4>5</vt:i4>
      </vt:variant>
      <vt:variant>
        <vt:lpwstr/>
      </vt:variant>
      <vt:variant>
        <vt:lpwstr>_Toc45212367</vt:lpwstr>
      </vt:variant>
      <vt:variant>
        <vt:i4>1441842</vt:i4>
      </vt:variant>
      <vt:variant>
        <vt:i4>35</vt:i4>
      </vt:variant>
      <vt:variant>
        <vt:i4>0</vt:i4>
      </vt:variant>
      <vt:variant>
        <vt:i4>5</vt:i4>
      </vt:variant>
      <vt:variant>
        <vt:lpwstr/>
      </vt:variant>
      <vt:variant>
        <vt:lpwstr>_Toc45212366</vt:lpwstr>
      </vt:variant>
      <vt:variant>
        <vt:i4>1376306</vt:i4>
      </vt:variant>
      <vt:variant>
        <vt:i4>29</vt:i4>
      </vt:variant>
      <vt:variant>
        <vt:i4>0</vt:i4>
      </vt:variant>
      <vt:variant>
        <vt:i4>5</vt:i4>
      </vt:variant>
      <vt:variant>
        <vt:lpwstr/>
      </vt:variant>
      <vt:variant>
        <vt:lpwstr>_Toc45212365</vt:lpwstr>
      </vt:variant>
      <vt:variant>
        <vt:i4>1310770</vt:i4>
      </vt:variant>
      <vt:variant>
        <vt:i4>23</vt:i4>
      </vt:variant>
      <vt:variant>
        <vt:i4>0</vt:i4>
      </vt:variant>
      <vt:variant>
        <vt:i4>5</vt:i4>
      </vt:variant>
      <vt:variant>
        <vt:lpwstr/>
      </vt:variant>
      <vt:variant>
        <vt:lpwstr>_Toc45212364</vt:lpwstr>
      </vt:variant>
      <vt:variant>
        <vt:i4>1245234</vt:i4>
      </vt:variant>
      <vt:variant>
        <vt:i4>17</vt:i4>
      </vt:variant>
      <vt:variant>
        <vt:i4>0</vt:i4>
      </vt:variant>
      <vt:variant>
        <vt:i4>5</vt:i4>
      </vt:variant>
      <vt:variant>
        <vt:lpwstr/>
      </vt:variant>
      <vt:variant>
        <vt:lpwstr>_Toc45212363</vt:lpwstr>
      </vt:variant>
      <vt:variant>
        <vt:i4>1179698</vt:i4>
      </vt:variant>
      <vt:variant>
        <vt:i4>11</vt:i4>
      </vt:variant>
      <vt:variant>
        <vt:i4>0</vt:i4>
      </vt:variant>
      <vt:variant>
        <vt:i4>5</vt:i4>
      </vt:variant>
      <vt:variant>
        <vt:lpwstr/>
      </vt:variant>
      <vt:variant>
        <vt:lpwstr>_Toc45212362</vt:lpwstr>
      </vt:variant>
      <vt:variant>
        <vt:i4>1114162</vt:i4>
      </vt:variant>
      <vt:variant>
        <vt:i4>5</vt:i4>
      </vt:variant>
      <vt:variant>
        <vt:i4>0</vt:i4>
      </vt:variant>
      <vt:variant>
        <vt:i4>5</vt:i4>
      </vt:variant>
      <vt:variant>
        <vt:lpwstr/>
      </vt:variant>
      <vt:variant>
        <vt:lpwstr>_Toc45212361</vt:lpwstr>
      </vt:variant>
      <vt:variant>
        <vt:i4>655481</vt:i4>
      </vt:variant>
      <vt:variant>
        <vt:i4>0</vt:i4>
      </vt:variant>
      <vt:variant>
        <vt:i4>0</vt:i4>
      </vt:variant>
      <vt:variant>
        <vt:i4>5</vt:i4>
      </vt:variant>
      <vt:variant>
        <vt:lpwstr>mailto:tjc@terrijanke.com.au</vt:lpwstr>
      </vt:variant>
      <vt:variant>
        <vt:lpwstr/>
      </vt:variant>
      <vt:variant>
        <vt:i4>1376327</vt:i4>
      </vt:variant>
      <vt:variant>
        <vt:i4>135</vt:i4>
      </vt:variant>
      <vt:variant>
        <vt:i4>0</vt:i4>
      </vt:variant>
      <vt:variant>
        <vt:i4>5</vt:i4>
      </vt:variant>
      <vt:variant>
        <vt:lpwstr>https://www.ncbi.nlm.nih.gov/pmc/articles/PMC5161557/</vt:lpwstr>
      </vt:variant>
      <vt:variant>
        <vt:lpwstr/>
      </vt:variant>
      <vt:variant>
        <vt:i4>1966158</vt:i4>
      </vt:variant>
      <vt:variant>
        <vt:i4>132</vt:i4>
      </vt:variant>
      <vt:variant>
        <vt:i4>0</vt:i4>
      </vt:variant>
      <vt:variant>
        <vt:i4>5</vt:i4>
      </vt:variant>
      <vt:variant>
        <vt:lpwstr>https://www.simonsfoundation.org/simons-genome-diversity-project/</vt:lpwstr>
      </vt:variant>
      <vt:variant>
        <vt:lpwstr/>
      </vt:variant>
      <vt:variant>
        <vt:i4>4456452</vt:i4>
      </vt:variant>
      <vt:variant>
        <vt:i4>129</vt:i4>
      </vt:variant>
      <vt:variant>
        <vt:i4>0</vt:i4>
      </vt:variant>
      <vt:variant>
        <vt:i4>5</vt:i4>
      </vt:variant>
      <vt:variant>
        <vt:lpwstr>https://h3africa.org/</vt:lpwstr>
      </vt:variant>
      <vt:variant>
        <vt:lpwstr/>
      </vt:variant>
      <vt:variant>
        <vt:i4>196619</vt:i4>
      </vt:variant>
      <vt:variant>
        <vt:i4>126</vt:i4>
      </vt:variant>
      <vt:variant>
        <vt:i4>0</vt:i4>
      </vt:variant>
      <vt:variant>
        <vt:i4>5</vt:i4>
      </vt:variant>
      <vt:variant>
        <vt:lpwstr>http://www.type2diabetesgenetics.org/</vt:lpwstr>
      </vt:variant>
      <vt:variant>
        <vt:lpwstr/>
      </vt:variant>
      <vt:variant>
        <vt:i4>4522052</vt:i4>
      </vt:variant>
      <vt:variant>
        <vt:i4>123</vt:i4>
      </vt:variant>
      <vt:variant>
        <vt:i4>0</vt:i4>
      </vt:variant>
      <vt:variant>
        <vt:i4>5</vt:i4>
      </vt:variant>
      <vt:variant>
        <vt:lpwstr>https://www.broadinstitute.org/sigma</vt:lpwstr>
      </vt:variant>
      <vt:variant>
        <vt:lpwstr/>
      </vt:variant>
      <vt:variant>
        <vt:i4>327761</vt:i4>
      </vt:variant>
      <vt:variant>
        <vt:i4>120</vt:i4>
      </vt:variant>
      <vt:variant>
        <vt:i4>0</vt:i4>
      </vt:variant>
      <vt:variant>
        <vt:i4>5</vt:i4>
      </vt:variant>
      <vt:variant>
        <vt:lpwstr>https://en.wikipedia.org/wiki/United_States_Reports</vt:lpwstr>
      </vt:variant>
      <vt:variant>
        <vt:lpwstr/>
      </vt:variant>
      <vt:variant>
        <vt:i4>8323110</vt:i4>
      </vt:variant>
      <vt:variant>
        <vt:i4>117</vt:i4>
      </vt:variant>
      <vt:variant>
        <vt:i4>0</vt:i4>
      </vt:variant>
      <vt:variant>
        <vt:i4>5</vt:i4>
      </vt:variant>
      <vt:variant>
        <vt:lpwstr>https://www.wipo.int/wipo_magazine/en/2006/03/article_0006.html</vt:lpwstr>
      </vt:variant>
      <vt:variant>
        <vt:lpwstr/>
      </vt:variant>
      <vt:variant>
        <vt:i4>2752565</vt:i4>
      </vt:variant>
      <vt:variant>
        <vt:i4>114</vt:i4>
      </vt:variant>
      <vt:variant>
        <vt:i4>0</vt:i4>
      </vt:variant>
      <vt:variant>
        <vt:i4>5</vt:i4>
      </vt:variant>
      <vt:variant>
        <vt:lpwstr>https://ncig.anu.edu.au/ncig-collection</vt:lpwstr>
      </vt:variant>
      <vt:variant>
        <vt:lpwstr/>
      </vt:variant>
      <vt:variant>
        <vt:i4>2752565</vt:i4>
      </vt:variant>
      <vt:variant>
        <vt:i4>111</vt:i4>
      </vt:variant>
      <vt:variant>
        <vt:i4>0</vt:i4>
      </vt:variant>
      <vt:variant>
        <vt:i4>5</vt:i4>
      </vt:variant>
      <vt:variant>
        <vt:lpwstr>https://ncig.anu.edu.au/ncig-collection</vt:lpwstr>
      </vt:variant>
      <vt:variant>
        <vt:lpwstr/>
      </vt:variant>
      <vt:variant>
        <vt:i4>2752565</vt:i4>
      </vt:variant>
      <vt:variant>
        <vt:i4>108</vt:i4>
      </vt:variant>
      <vt:variant>
        <vt:i4>0</vt:i4>
      </vt:variant>
      <vt:variant>
        <vt:i4>5</vt:i4>
      </vt:variant>
      <vt:variant>
        <vt:lpwstr>https://ncig.anu.edu.au/ncig-collection</vt:lpwstr>
      </vt:variant>
      <vt:variant>
        <vt:lpwstr/>
      </vt:variant>
      <vt:variant>
        <vt:i4>2752565</vt:i4>
      </vt:variant>
      <vt:variant>
        <vt:i4>105</vt:i4>
      </vt:variant>
      <vt:variant>
        <vt:i4>0</vt:i4>
      </vt:variant>
      <vt:variant>
        <vt:i4>5</vt:i4>
      </vt:variant>
      <vt:variant>
        <vt:lpwstr>https://ncig.anu.edu.au/ncig-collection</vt:lpwstr>
      </vt:variant>
      <vt:variant>
        <vt:lpwstr/>
      </vt:variant>
      <vt:variant>
        <vt:i4>2752565</vt:i4>
      </vt:variant>
      <vt:variant>
        <vt:i4>102</vt:i4>
      </vt:variant>
      <vt:variant>
        <vt:i4>0</vt:i4>
      </vt:variant>
      <vt:variant>
        <vt:i4>5</vt:i4>
      </vt:variant>
      <vt:variant>
        <vt:lpwstr>https://ncig.anu.edu.au/ncig-collection</vt:lpwstr>
      </vt:variant>
      <vt:variant>
        <vt:lpwstr/>
      </vt:variant>
      <vt:variant>
        <vt:i4>2752565</vt:i4>
      </vt:variant>
      <vt:variant>
        <vt:i4>99</vt:i4>
      </vt:variant>
      <vt:variant>
        <vt:i4>0</vt:i4>
      </vt:variant>
      <vt:variant>
        <vt:i4>5</vt:i4>
      </vt:variant>
      <vt:variant>
        <vt:lpwstr>https://ncig.anu.edu.au/ncig-collection</vt:lpwstr>
      </vt:variant>
      <vt:variant>
        <vt:lpwstr/>
      </vt:variant>
      <vt:variant>
        <vt:i4>2359401</vt:i4>
      </vt:variant>
      <vt:variant>
        <vt:i4>96</vt:i4>
      </vt:variant>
      <vt:variant>
        <vt:i4>0</vt:i4>
      </vt:variant>
      <vt:variant>
        <vt:i4>5</vt:i4>
      </vt:variant>
      <vt:variant>
        <vt:lpwstr>https://www.sbs.com.au/nitv/article/2019/11/18/indigenous-blood-samples-return-galiwinku-after-50-years-medical-storage</vt:lpwstr>
      </vt:variant>
      <vt:variant>
        <vt:lpwstr/>
      </vt:variant>
      <vt:variant>
        <vt:i4>8257574</vt:i4>
      </vt:variant>
      <vt:variant>
        <vt:i4>93</vt:i4>
      </vt:variant>
      <vt:variant>
        <vt:i4>0</vt:i4>
      </vt:variant>
      <vt:variant>
        <vt:i4>5</vt:i4>
      </vt:variant>
      <vt:variant>
        <vt:lpwstr>https://ncig.anu.edu.au/about/strategic-plan-2017-2021</vt:lpwstr>
      </vt:variant>
      <vt:variant>
        <vt:lpwstr/>
      </vt:variant>
      <vt:variant>
        <vt:i4>2752565</vt:i4>
      </vt:variant>
      <vt:variant>
        <vt:i4>90</vt:i4>
      </vt:variant>
      <vt:variant>
        <vt:i4>0</vt:i4>
      </vt:variant>
      <vt:variant>
        <vt:i4>5</vt:i4>
      </vt:variant>
      <vt:variant>
        <vt:lpwstr>https://ncig.anu.edu.au/ncig-collection</vt:lpwstr>
      </vt:variant>
      <vt:variant>
        <vt:lpwstr/>
      </vt:variant>
      <vt:variant>
        <vt:i4>3080245</vt:i4>
      </vt:variant>
      <vt:variant>
        <vt:i4>87</vt:i4>
      </vt:variant>
      <vt:variant>
        <vt:i4>0</vt:i4>
      </vt:variant>
      <vt:variant>
        <vt:i4>5</vt:i4>
      </vt:variant>
      <vt:variant>
        <vt:lpwstr>https://dataverse.ada.edu.au/dataverse/ncld</vt:lpwstr>
      </vt:variant>
      <vt:variant>
        <vt:lpwstr/>
      </vt:variant>
      <vt:variant>
        <vt:i4>7667796</vt:i4>
      </vt:variant>
      <vt:variant>
        <vt:i4>84</vt:i4>
      </vt:variant>
      <vt:variant>
        <vt:i4>0</vt:i4>
      </vt:variant>
      <vt:variant>
        <vt:i4>5</vt:i4>
      </vt:variant>
      <vt:variant>
        <vt:lpwstr>https://www.dss.gov.au/about-the-department/publications-articles/research-publications/longitudinal-data-initiatives/footprints-in-time-the-longitudinal-study-of-indigenous-children-lsic</vt:lpwstr>
      </vt:variant>
      <vt:variant>
        <vt:lpwstr>3</vt:lpwstr>
      </vt:variant>
      <vt:variant>
        <vt:i4>5373960</vt:i4>
      </vt:variant>
      <vt:variant>
        <vt:i4>81</vt:i4>
      </vt:variant>
      <vt:variant>
        <vt:i4>0</vt:i4>
      </vt:variant>
      <vt:variant>
        <vt:i4>5</vt:i4>
      </vt:variant>
      <vt:variant>
        <vt:lpwstr>https://www.aboriginalaffairs.nsw.gov.au/our-agency/staying-accountable/ochre/nsw-government-aboriginal-affairs-strategy</vt:lpwstr>
      </vt:variant>
      <vt:variant>
        <vt:lpwstr/>
      </vt:variant>
      <vt:variant>
        <vt:i4>589853</vt:i4>
      </vt:variant>
      <vt:variant>
        <vt:i4>78</vt:i4>
      </vt:variant>
      <vt:variant>
        <vt:i4>0</vt:i4>
      </vt:variant>
      <vt:variant>
        <vt:i4>5</vt:i4>
      </vt:variant>
      <vt:variant>
        <vt:lpwstr>https://www.sahmriresearch.org/our-research/themes/aboriginal-health/research-list/south-australian-aboriginal-health-research-accord</vt:lpwstr>
      </vt:variant>
      <vt:variant>
        <vt:lpwstr/>
      </vt:variant>
      <vt:variant>
        <vt:i4>655378</vt:i4>
      </vt:variant>
      <vt:variant>
        <vt:i4>75</vt:i4>
      </vt:variant>
      <vt:variant>
        <vt:i4>0</vt:i4>
      </vt:variant>
      <vt:variant>
        <vt:i4>5</vt:i4>
      </vt:variant>
      <vt:variant>
        <vt:lpwstr>https://www.klc.org.au/research-facilitation</vt:lpwstr>
      </vt:variant>
      <vt:variant>
        <vt:lpwstr/>
      </vt:variant>
      <vt:variant>
        <vt:i4>3604523</vt:i4>
      </vt:variant>
      <vt:variant>
        <vt:i4>72</vt:i4>
      </vt:variant>
      <vt:variant>
        <vt:i4>0</vt:i4>
      </vt:variant>
      <vt:variant>
        <vt:i4>5</vt:i4>
      </vt:variant>
      <vt:variant>
        <vt:lpwstr>https://www.qimrberghofer.edu.au/wp-content/uploads/2019-Indigenous-Health-Genomics-Guide-v9-WEB-1.pdf</vt:lpwstr>
      </vt:variant>
      <vt:variant>
        <vt:lpwstr/>
      </vt:variant>
      <vt:variant>
        <vt:i4>65600</vt:i4>
      </vt:variant>
      <vt:variant>
        <vt:i4>69</vt:i4>
      </vt:variant>
      <vt:variant>
        <vt:i4>0</vt:i4>
      </vt:variant>
      <vt:variant>
        <vt:i4>5</vt:i4>
      </vt:variant>
      <vt:variant>
        <vt:lpwstr>https://www.nhmrc.gov.au/about-us/resources/keeping-research-track-ii</vt:lpwstr>
      </vt:variant>
      <vt:variant>
        <vt:lpwstr/>
      </vt:variant>
      <vt:variant>
        <vt:i4>3604506</vt:i4>
      </vt:variant>
      <vt:variant>
        <vt:i4>66</vt:i4>
      </vt:variant>
      <vt:variant>
        <vt:i4>0</vt:i4>
      </vt:variant>
      <vt:variant>
        <vt:i4>5</vt:i4>
      </vt:variant>
      <vt:variant>
        <vt:lpwstr>https://biobank.health.nsw.gov.au/wp-content/uploads/2019/07/NSW-Health-Statewide-Biobank-FAQs-for-researchers-Feb-2017_FINAL.pdf</vt:lpwstr>
      </vt:variant>
      <vt:variant>
        <vt:lpwstr/>
      </vt:variant>
      <vt:variant>
        <vt:i4>2556017</vt:i4>
      </vt:variant>
      <vt:variant>
        <vt:i4>63</vt:i4>
      </vt:variant>
      <vt:variant>
        <vt:i4>0</vt:i4>
      </vt:variant>
      <vt:variant>
        <vt:i4>5</vt:i4>
      </vt:variant>
      <vt:variant>
        <vt:lpwstr>https://www.medicalresearch.nsw.gov.au/biobanking/</vt:lpwstr>
      </vt:variant>
      <vt:variant>
        <vt:lpwstr/>
      </vt:variant>
      <vt:variant>
        <vt:i4>1245258</vt:i4>
      </vt:variant>
      <vt:variant>
        <vt:i4>60</vt:i4>
      </vt:variant>
      <vt:variant>
        <vt:i4>0</vt:i4>
      </vt:variant>
      <vt:variant>
        <vt:i4>5</vt:i4>
      </vt:variant>
      <vt:variant>
        <vt:lpwstr>https://www.humanrights.gov.au/our-work/aboriginal-and-torres-strait-islander-social-justice</vt:lpwstr>
      </vt:variant>
      <vt:variant>
        <vt:lpwstr/>
      </vt:variant>
      <vt:variant>
        <vt:i4>4325395</vt:i4>
      </vt:variant>
      <vt:variant>
        <vt:i4>57</vt:i4>
      </vt:variant>
      <vt:variant>
        <vt:i4>0</vt:i4>
      </vt:variant>
      <vt:variant>
        <vt:i4>5</vt:i4>
      </vt:variant>
      <vt:variant>
        <vt:lpwstr>https://www.digitalhealth.gov.au/about-the-agency</vt:lpwstr>
      </vt:variant>
      <vt:variant>
        <vt:lpwstr/>
      </vt:variant>
      <vt:variant>
        <vt:i4>2752562</vt:i4>
      </vt:variant>
      <vt:variant>
        <vt:i4>54</vt:i4>
      </vt:variant>
      <vt:variant>
        <vt:i4>0</vt:i4>
      </vt:variant>
      <vt:variant>
        <vt:i4>5</vt:i4>
      </vt:variant>
      <vt:variant>
        <vt:lpwstr>https://www.acic.gov.au/our-services/biometric-matching</vt:lpwstr>
      </vt:variant>
      <vt:variant>
        <vt:lpwstr/>
      </vt:variant>
      <vt:variant>
        <vt:i4>2097212</vt:i4>
      </vt:variant>
      <vt:variant>
        <vt:i4>51</vt:i4>
      </vt:variant>
      <vt:variant>
        <vt:i4>0</vt:i4>
      </vt:variant>
      <vt:variant>
        <vt:i4>5</vt:i4>
      </vt:variant>
      <vt:variant>
        <vt:lpwstr>https://www.abc.net.au/news/2019-04-09/gumby-gumby-trademark-bid-angers-indigenous-people/10975908</vt:lpwstr>
      </vt:variant>
      <vt:variant>
        <vt:lpwstr/>
      </vt:variant>
      <vt:variant>
        <vt:i4>327761</vt:i4>
      </vt:variant>
      <vt:variant>
        <vt:i4>48</vt:i4>
      </vt:variant>
      <vt:variant>
        <vt:i4>0</vt:i4>
      </vt:variant>
      <vt:variant>
        <vt:i4>5</vt:i4>
      </vt:variant>
      <vt:variant>
        <vt:lpwstr>https://en.wikipedia.org/wiki/United_States_Reports</vt:lpwstr>
      </vt:variant>
      <vt:variant>
        <vt:lpwstr/>
      </vt:variant>
      <vt:variant>
        <vt:i4>3145777</vt:i4>
      </vt:variant>
      <vt:variant>
        <vt:i4>45</vt:i4>
      </vt:variant>
      <vt:variant>
        <vt:i4>0</vt:i4>
      </vt:variant>
      <vt:variant>
        <vt:i4>5</vt:i4>
      </vt:variant>
      <vt:variant>
        <vt:lpwstr>http://www.shelstonip.com/news/australia-remains-gene-patent-friendly-jurisdiction/</vt:lpwstr>
      </vt:variant>
      <vt:variant>
        <vt:lpwstr/>
      </vt:variant>
      <vt:variant>
        <vt:i4>3276900</vt:i4>
      </vt:variant>
      <vt:variant>
        <vt:i4>42</vt:i4>
      </vt:variant>
      <vt:variant>
        <vt:i4>0</vt:i4>
      </vt:variant>
      <vt:variant>
        <vt:i4>5</vt:i4>
      </vt:variant>
      <vt:variant>
        <vt:lpwstr>https://www.ipaustralia.gov.au/patents/understanding-patents/types-patents</vt:lpwstr>
      </vt:variant>
      <vt:variant>
        <vt:lpwstr/>
      </vt:variant>
      <vt:variant>
        <vt:i4>327761</vt:i4>
      </vt:variant>
      <vt:variant>
        <vt:i4>39</vt:i4>
      </vt:variant>
      <vt:variant>
        <vt:i4>0</vt:i4>
      </vt:variant>
      <vt:variant>
        <vt:i4>5</vt:i4>
      </vt:variant>
      <vt:variant>
        <vt:lpwstr>https://en.wikipedia.org/wiki/United_States_Reports</vt:lpwstr>
      </vt:variant>
      <vt:variant>
        <vt:lpwstr/>
      </vt:variant>
      <vt:variant>
        <vt:i4>6422585</vt:i4>
      </vt:variant>
      <vt:variant>
        <vt:i4>36</vt:i4>
      </vt:variant>
      <vt:variant>
        <vt:i4>0</vt:i4>
      </vt:variant>
      <vt:variant>
        <vt:i4>5</vt:i4>
      </vt:variant>
      <vt:variant>
        <vt:lpwstr>https://www.medicalboard.gov.au/documents/default.aspx?record=WD10%2F1277&amp;dbid=AP&amp;chksum=eNjZ0Z%2FajN7oxjvHXDRQnQ%3D%3D</vt:lpwstr>
      </vt:variant>
      <vt:variant>
        <vt:lpwstr/>
      </vt:variant>
      <vt:variant>
        <vt:i4>6422585</vt:i4>
      </vt:variant>
      <vt:variant>
        <vt:i4>33</vt:i4>
      </vt:variant>
      <vt:variant>
        <vt:i4>0</vt:i4>
      </vt:variant>
      <vt:variant>
        <vt:i4>5</vt:i4>
      </vt:variant>
      <vt:variant>
        <vt:lpwstr>https://www.medicalboard.gov.au/documents/default.aspx?record=WD10%2F1277&amp;dbid=AP&amp;chksum=eNjZ0Z%2FajN7oxjvHXDRQnQ%3D%3D</vt:lpwstr>
      </vt:variant>
      <vt:variant>
        <vt:lpwstr/>
      </vt:variant>
      <vt:variant>
        <vt:i4>6422585</vt:i4>
      </vt:variant>
      <vt:variant>
        <vt:i4>30</vt:i4>
      </vt:variant>
      <vt:variant>
        <vt:i4>0</vt:i4>
      </vt:variant>
      <vt:variant>
        <vt:i4>5</vt:i4>
      </vt:variant>
      <vt:variant>
        <vt:lpwstr>https://www.medicalboard.gov.au/documents/default.aspx?record=WD10%2F1277&amp;dbid=AP&amp;chksum=eNjZ0Z%2FajN7oxjvHXDRQnQ%3D%3D</vt:lpwstr>
      </vt:variant>
      <vt:variant>
        <vt:lpwstr/>
      </vt:variant>
      <vt:variant>
        <vt:i4>2621541</vt:i4>
      </vt:variant>
      <vt:variant>
        <vt:i4>27</vt:i4>
      </vt:variant>
      <vt:variant>
        <vt:i4>0</vt:i4>
      </vt:variant>
      <vt:variant>
        <vt:i4>5</vt:i4>
      </vt:variant>
      <vt:variant>
        <vt:lpwstr>https://www.theatlantic.com/science/archive/2018/04/golden-state-killer-east-area-rapist-dna-genealogy/559070/</vt:lpwstr>
      </vt:variant>
      <vt:variant>
        <vt:lpwstr/>
      </vt:variant>
      <vt:variant>
        <vt:i4>2293876</vt:i4>
      </vt:variant>
      <vt:variant>
        <vt:i4>24</vt:i4>
      </vt:variant>
      <vt:variant>
        <vt:i4>0</vt:i4>
      </vt:variant>
      <vt:variant>
        <vt:i4>5</vt:i4>
      </vt:variant>
      <vt:variant>
        <vt:lpwstr>https://www.youtube.com/watch?v=UieBgf9AuPw</vt:lpwstr>
      </vt:variant>
      <vt:variant>
        <vt:lpwstr/>
      </vt:variant>
      <vt:variant>
        <vt:i4>6750243</vt:i4>
      </vt:variant>
      <vt:variant>
        <vt:i4>18</vt:i4>
      </vt:variant>
      <vt:variant>
        <vt:i4>0</vt:i4>
      </vt:variant>
      <vt:variant>
        <vt:i4>5</vt:i4>
      </vt:variant>
      <vt:variant>
        <vt:lpwstr>https://www.sbs.com.au/nitv/article/2019/03/16/no-dna-test-exists-aboriginality-scientists1</vt:lpwstr>
      </vt:variant>
      <vt:variant>
        <vt:lpwstr/>
      </vt:variant>
      <vt:variant>
        <vt:i4>1769472</vt:i4>
      </vt:variant>
      <vt:variant>
        <vt:i4>15</vt:i4>
      </vt:variant>
      <vt:variant>
        <vt:i4>0</vt:i4>
      </vt:variant>
      <vt:variant>
        <vt:i4>5</vt:i4>
      </vt:variant>
      <vt:variant>
        <vt:lpwstr>https://ncig.anu.edu.au/files/NCIG-2018-Annual-Report.pdf</vt:lpwstr>
      </vt:variant>
      <vt:variant>
        <vt:lpwstr/>
      </vt:variant>
      <vt:variant>
        <vt:i4>6225942</vt:i4>
      </vt:variant>
      <vt:variant>
        <vt:i4>12</vt:i4>
      </vt:variant>
      <vt:variant>
        <vt:i4>0</vt:i4>
      </vt:variant>
      <vt:variant>
        <vt:i4>5</vt:i4>
      </vt:variant>
      <vt:variant>
        <vt:lpwstr>https://ncig.anu.edu.au/</vt:lpwstr>
      </vt:variant>
      <vt:variant>
        <vt:lpwstr/>
      </vt:variant>
      <vt:variant>
        <vt:i4>4259962</vt:i4>
      </vt:variant>
      <vt:variant>
        <vt:i4>9</vt:i4>
      </vt:variant>
      <vt:variant>
        <vt:i4>0</vt:i4>
      </vt:variant>
      <vt:variant>
        <vt:i4>5</vt:i4>
      </vt:variant>
      <vt:variant>
        <vt:lpwstr>https://www.mja.com.au/system/files/issues/197_01_020712/kow10531_fm.pdf</vt:lpwstr>
      </vt:variant>
      <vt:variant>
        <vt:lpwstr/>
      </vt:variant>
      <vt:variant>
        <vt:i4>3276914</vt:i4>
      </vt:variant>
      <vt:variant>
        <vt:i4>6</vt:i4>
      </vt:variant>
      <vt:variant>
        <vt:i4>0</vt:i4>
      </vt:variant>
      <vt:variant>
        <vt:i4>5</vt:i4>
      </vt:variant>
      <vt:variant>
        <vt:lpwstr>https://genographic.nationalgeographic.com/</vt:lpwstr>
      </vt:variant>
      <vt:variant>
        <vt:lpwstr/>
      </vt:variant>
      <vt:variant>
        <vt:i4>7667767</vt:i4>
      </vt:variant>
      <vt:variant>
        <vt:i4>3</vt:i4>
      </vt:variant>
      <vt:variant>
        <vt:i4>0</vt:i4>
      </vt:variant>
      <vt:variant>
        <vt:i4>5</vt:i4>
      </vt:variant>
      <vt:variant>
        <vt:lpwstr>https://www.nhmrc.gov.au/about-us/publications/human-genome</vt:lpwstr>
      </vt:variant>
      <vt:variant>
        <vt:lpwstr/>
      </vt:variant>
      <vt:variant>
        <vt:i4>4325452</vt:i4>
      </vt:variant>
      <vt:variant>
        <vt:i4>0</vt:i4>
      </vt:variant>
      <vt:variant>
        <vt:i4>0</vt:i4>
      </vt:variant>
      <vt:variant>
        <vt:i4>5</vt:i4>
      </vt:variant>
      <vt:variant>
        <vt:lpwstr>https://www.nhmrc.gov.au/health-advice/genomics/genomics-resources-consumers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Genomics: The legal, ethical and social issues</dc:title>
  <dc:subject>Indigenous health</dc:subject>
  <dc:creator>Australian Government Department of Health and Aged Care</dc:creator>
  <cp:keywords>Health, Indigenous, Genomics</cp:keywords>
  <dc:description/>
  <cp:lastModifiedBy>MASCHKE, Elvia</cp:lastModifiedBy>
  <cp:revision>14</cp:revision>
  <cp:lastPrinted>2020-11-29T22:03:00Z</cp:lastPrinted>
  <dcterms:created xsi:type="dcterms:W3CDTF">2022-11-08T06:43:00Z</dcterms:created>
  <dcterms:modified xsi:type="dcterms:W3CDTF">2022-11-08T07:24:00Z</dcterms:modified>
</cp:coreProperties>
</file>