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088D" w14:textId="76A08D52" w:rsidR="00417F1B" w:rsidRDefault="00417F1B" w:rsidP="00644DDE">
      <w:pPr>
        <w:pStyle w:val="Heading1"/>
      </w:pPr>
      <w:bookmarkStart w:id="0" w:name="_A_new_regulatory"/>
      <w:bookmarkStart w:id="1" w:name="_Objectives_of_any"/>
      <w:bookmarkStart w:id="2" w:name="_Who_will_the"/>
      <w:bookmarkStart w:id="3" w:name="_What_other_levers"/>
      <w:bookmarkStart w:id="4" w:name="_What_do_the"/>
      <w:bookmarkStart w:id="5" w:name="_Outcomes_for_older"/>
      <w:bookmarkStart w:id="6" w:name="_Governance_and_partnerships"/>
      <w:bookmarkStart w:id="7" w:name="_Detailed_requirements"/>
      <w:bookmarkEnd w:id="0"/>
      <w:bookmarkEnd w:id="1"/>
      <w:bookmarkEnd w:id="2"/>
      <w:bookmarkEnd w:id="3"/>
      <w:bookmarkEnd w:id="4"/>
      <w:bookmarkEnd w:id="5"/>
      <w:bookmarkEnd w:id="6"/>
      <w:bookmarkEnd w:id="7"/>
      <w:r>
        <w:t>Revised Aged Care Quality Standards</w:t>
      </w:r>
    </w:p>
    <w:p w14:paraId="1EA5687F" w14:textId="1358E9C4" w:rsidR="00417F1B" w:rsidRDefault="00417F1B" w:rsidP="00644DDE">
      <w:pPr>
        <w:pStyle w:val="Heading2"/>
      </w:pPr>
      <w:r>
        <w:t>Summary</w:t>
      </w:r>
    </w:p>
    <w:p w14:paraId="294F829A" w14:textId="2821FECE" w:rsidR="004827C7" w:rsidRPr="00A823DB" w:rsidRDefault="004827C7" w:rsidP="004827C7">
      <w:r w:rsidRPr="00A823DB">
        <w:t xml:space="preserve">Below is an overview of the </w:t>
      </w:r>
      <w:r w:rsidR="000437A4">
        <w:t xml:space="preserve">draft </w:t>
      </w:r>
      <w:r w:rsidRPr="00A823DB">
        <w:t xml:space="preserve">strengthened Aged Care Quality Standards, including the expectation statements for older people, intent and enforceable outcomes included under each standard. </w:t>
      </w:r>
    </w:p>
    <w:p w14:paraId="6BC1C7B7" w14:textId="03136515" w:rsidR="004827C7" w:rsidRDefault="000437A4" w:rsidP="004827C7">
      <w:pPr>
        <w:rPr>
          <w:rStyle w:val="Hyperlink"/>
        </w:rPr>
      </w:pPr>
      <w:r>
        <w:t xml:space="preserve">This is a summary version of the </w:t>
      </w:r>
      <w:hyperlink r:id="rId11" w:history="1">
        <w:r w:rsidRPr="00C327AE">
          <w:rPr>
            <w:rStyle w:val="Hyperlink"/>
          </w:rPr>
          <w:t>detailed strengthened Quality Standards</w:t>
        </w:r>
      </w:hyperlink>
      <w:r>
        <w:t xml:space="preserve">. To get involved and have your say, visit </w:t>
      </w:r>
      <w:r w:rsidR="004827C7" w:rsidRPr="00A823DB">
        <w:t xml:space="preserve">the department’s </w:t>
      </w:r>
      <w:hyperlink r:id="rId12" w:history="1">
        <w:r w:rsidR="004827C7" w:rsidRPr="00C327AE">
          <w:rPr>
            <w:rStyle w:val="Hyperlink"/>
          </w:rPr>
          <w:t>Aged Care Engagement Hub.</w:t>
        </w:r>
      </w:hyperlink>
    </w:p>
    <w:tbl>
      <w:tblPr>
        <w:tblStyle w:val="TableGrid"/>
        <w:tblW w:w="9225" w:type="dxa"/>
        <w:tblLook w:val="04A0" w:firstRow="1" w:lastRow="0" w:firstColumn="1" w:lastColumn="0" w:noHBand="0" w:noVBand="1"/>
      </w:tblPr>
      <w:tblGrid>
        <w:gridCol w:w="9225"/>
      </w:tblGrid>
      <w:tr w:rsidR="00B26486" w14:paraId="1B5E9954" w14:textId="77777777" w:rsidTr="00B26486">
        <w:trPr>
          <w:trHeight w:val="424"/>
        </w:trPr>
        <w:tc>
          <w:tcPr>
            <w:tcW w:w="9225" w:type="dxa"/>
            <w:shd w:val="clear" w:color="auto" w:fill="1E1545" w:themeFill="text2"/>
          </w:tcPr>
          <w:p w14:paraId="1451A61E" w14:textId="172CE97C" w:rsidR="00B26486" w:rsidRDefault="00B26486" w:rsidP="004827C7">
            <w:r w:rsidRPr="00644DDE">
              <w:rPr>
                <w:b/>
                <w:bCs/>
              </w:rPr>
              <w:t>Standard 1</w:t>
            </w:r>
            <w:r>
              <w:rPr>
                <w:b/>
                <w:bCs/>
              </w:rPr>
              <w:t xml:space="preserve"> – The Person</w:t>
            </w:r>
          </w:p>
        </w:tc>
      </w:tr>
    </w:tbl>
    <w:tbl>
      <w:tblPr>
        <w:tblStyle w:val="ACQStablestyle"/>
        <w:tblW w:w="0" w:type="auto"/>
        <w:tblLook w:val="04A0" w:firstRow="1" w:lastRow="0" w:firstColumn="1" w:lastColumn="0" w:noHBand="0" w:noVBand="1"/>
      </w:tblPr>
      <w:tblGrid>
        <w:gridCol w:w="1843"/>
        <w:gridCol w:w="7167"/>
      </w:tblGrid>
      <w:tr w:rsidR="00E01B97" w14:paraId="03EEBCA1" w14:textId="77777777" w:rsidTr="006E4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tcBorders>
            <w:shd w:val="clear" w:color="auto" w:fill="D1F2F4" w:themeFill="accent2" w:themeFillTint="33"/>
          </w:tcPr>
          <w:p w14:paraId="6390259A" w14:textId="390B0DA7" w:rsidR="00E01B97" w:rsidRDefault="00E01B97" w:rsidP="004827C7">
            <w:r w:rsidRPr="00ED7717">
              <w:rPr>
                <w:b/>
                <w:bCs/>
              </w:rPr>
              <w:t>Intent of</w:t>
            </w:r>
            <w:r w:rsidR="007405CD">
              <w:rPr>
                <w:b/>
                <w:bCs/>
              </w:rPr>
              <w:t xml:space="preserve"> </w:t>
            </w:r>
            <w:r w:rsidRPr="00ED7717">
              <w:rPr>
                <w:b/>
                <w:bCs/>
              </w:rPr>
              <w:t>Standard 1</w:t>
            </w:r>
          </w:p>
        </w:tc>
        <w:tc>
          <w:tcPr>
            <w:tcW w:w="7167" w:type="dxa"/>
            <w:tcBorders>
              <w:bottom w:val="single" w:sz="4" w:space="0" w:color="auto"/>
            </w:tcBorders>
            <w:shd w:val="clear" w:color="auto" w:fill="FFFFFF" w:themeFill="background1"/>
          </w:tcPr>
          <w:p w14:paraId="1A802E1B" w14:textId="77777777" w:rsidR="00E01B97" w:rsidRPr="00ED7717" w:rsidRDefault="00E01B97" w:rsidP="00E01B97">
            <w:pPr>
              <w:cnfStyle w:val="100000000000" w:firstRow="1" w:lastRow="0" w:firstColumn="0" w:lastColumn="0" w:oddVBand="0" w:evenVBand="0" w:oddHBand="0" w:evenHBand="0" w:firstRowFirstColumn="0" w:firstRowLastColumn="0" w:lastRowFirstColumn="0" w:lastRowLastColumn="0"/>
              <w:rPr>
                <w:i/>
                <w:iCs/>
              </w:rPr>
            </w:pPr>
            <w:r w:rsidRPr="00ED7717">
              <w:rPr>
                <w:i/>
                <w:iCs/>
              </w:rPr>
              <w:t xml:space="preserve">Standard 1 underpins the way that providers and workers are expected to treat older people as relevant to all standards. Standard 1 reflects important concepts about dignity and respect, older person individuality and diversity, independence, choice and control, culturally safe </w:t>
            </w:r>
            <w:proofErr w:type="gramStart"/>
            <w:r w:rsidRPr="00ED7717">
              <w:rPr>
                <w:i/>
                <w:iCs/>
              </w:rPr>
              <w:t>care</w:t>
            </w:r>
            <w:proofErr w:type="gramEnd"/>
            <w:r w:rsidRPr="00ED7717">
              <w:rPr>
                <w:i/>
                <w:iCs/>
              </w:rPr>
              <w:t xml:space="preserve"> and dignity of risk. These are all important in fostering a sense of safety, autonomy, </w:t>
            </w:r>
            <w:proofErr w:type="gramStart"/>
            <w:r w:rsidRPr="00ED7717">
              <w:rPr>
                <w:i/>
                <w:iCs/>
              </w:rPr>
              <w:t>inclusion</w:t>
            </w:r>
            <w:proofErr w:type="gramEnd"/>
            <w:r w:rsidRPr="00ED7717">
              <w:rPr>
                <w:i/>
                <w:iCs/>
              </w:rPr>
              <w:t xml:space="preserve"> and well-being for older people.</w:t>
            </w:r>
          </w:p>
          <w:p w14:paraId="427589AA" w14:textId="77777777" w:rsidR="00E01B97" w:rsidRPr="00ED7717" w:rsidRDefault="00E01B97" w:rsidP="00E01B97">
            <w:pPr>
              <w:cnfStyle w:val="100000000000" w:firstRow="1" w:lastRow="0" w:firstColumn="0" w:lastColumn="0" w:oddVBand="0" w:evenVBand="0" w:oddHBand="0" w:evenHBand="0" w:firstRowFirstColumn="0" w:firstRowLastColumn="0" w:lastRowFirstColumn="0" w:lastRowLastColumn="0"/>
              <w:rPr>
                <w:i/>
                <w:iCs/>
              </w:rPr>
            </w:pPr>
            <w:r w:rsidRPr="00ED7717">
              <w:rPr>
                <w:i/>
                <w:iCs/>
              </w:rPr>
              <w:t xml:space="preserve">Older people are valuable members of society, with rich and varied histories, </w:t>
            </w:r>
            <w:proofErr w:type="gramStart"/>
            <w:r w:rsidRPr="00ED7717">
              <w:rPr>
                <w:i/>
                <w:iCs/>
              </w:rPr>
              <w:t>characteristics</w:t>
            </w:r>
            <w:proofErr w:type="gramEnd"/>
            <w:r w:rsidRPr="00ED7717">
              <w:rPr>
                <w:i/>
                <w:iCs/>
              </w:rPr>
              <w:t xml:space="preserve"> and life experiences. </w:t>
            </w:r>
          </w:p>
          <w:p w14:paraId="322F2004" w14:textId="53D2E9EB" w:rsidR="00E01B97" w:rsidRPr="00ED7717" w:rsidRDefault="00E01B97" w:rsidP="00E01B97">
            <w:pPr>
              <w:cnfStyle w:val="100000000000" w:firstRow="1" w:lastRow="0" w:firstColumn="0" w:lastColumn="0" w:oddVBand="0" w:evenVBand="0" w:oddHBand="0" w:evenHBand="0" w:firstRowFirstColumn="0" w:firstRowLastColumn="0" w:lastRowFirstColumn="0" w:lastRowLastColumn="0"/>
              <w:rPr>
                <w:i/>
                <w:iCs/>
              </w:rPr>
            </w:pPr>
            <w:r w:rsidRPr="00ED7717">
              <w:rPr>
                <w:i/>
                <w:iCs/>
              </w:rPr>
              <w:t xml:space="preserve">Older people can come from a diverse range of backgrounds including, but not limited to, Aboriginal and Torres Strait Islander peoples, people from culturally and linguistically diverse backgrounds, people living in rural or remote areas, people who are financially or socially disadvantaged, people who are veterans, people experiencing homelessness or at risk of becoming homeless, people who are care leavers (i.e. a person who spent time in care as a child), parents separated from their children by forced adoption or removal, people who are lesbian, gay, bisexual, transgender or intersex, people of various religions, people experiencing mental health problems and mental illness, people living with cognitive impairment including dementia, people living with disability. </w:t>
            </w:r>
          </w:p>
          <w:p w14:paraId="2BFF806E" w14:textId="1006D087" w:rsidR="006E413E" w:rsidRPr="006E413E" w:rsidRDefault="00E01B97" w:rsidP="00E01B97">
            <w:pPr>
              <w:cnfStyle w:val="100000000000" w:firstRow="1" w:lastRow="0" w:firstColumn="0" w:lastColumn="0" w:oddVBand="0" w:evenVBand="0" w:oddHBand="0" w:evenHBand="0" w:firstRowFirstColumn="0" w:firstRowLastColumn="0" w:lastRowFirstColumn="0" w:lastRowLastColumn="0"/>
              <w:rPr>
                <w:i/>
                <w:iCs/>
              </w:rPr>
            </w:pPr>
            <w:r w:rsidRPr="00ED7717">
              <w:rPr>
                <w:i/>
                <w:iCs/>
              </w:rPr>
              <w:t>A person’s diversity does not define who they are, but it is critical that providers recognise and embrace each person’s diversity and who they holistically are as a person, and that this drives how providers and workers engage with older people and deliver their care and services.</w:t>
            </w:r>
          </w:p>
        </w:tc>
      </w:tr>
      <w:tr w:rsidR="00E01B97" w14:paraId="00AD4C8E" w14:textId="77777777" w:rsidTr="006E413E">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tcPr>
          <w:p w14:paraId="78C71698" w14:textId="57605BA5" w:rsidR="00E01B97" w:rsidRPr="00644DDE" w:rsidRDefault="00E01B97" w:rsidP="004827C7">
            <w:pPr>
              <w:rPr>
                <w:b/>
                <w:bCs/>
              </w:rPr>
            </w:pPr>
            <w:r w:rsidRPr="00ED7717">
              <w:rPr>
                <w:b/>
                <w:bCs/>
              </w:rPr>
              <w:lastRenderedPageBreak/>
              <w:t xml:space="preserve">Standard 1: The Person </w:t>
            </w:r>
          </w:p>
        </w:tc>
        <w:tc>
          <w:tcPr>
            <w:tcW w:w="7167" w:type="dxa"/>
            <w:tcBorders>
              <w:top w:val="single" w:sz="4" w:space="0" w:color="auto"/>
              <w:bottom w:val="single" w:sz="4" w:space="0" w:color="auto"/>
            </w:tcBorders>
            <w:shd w:val="clear" w:color="auto" w:fill="FFFFFF" w:themeFill="background1"/>
          </w:tcPr>
          <w:p w14:paraId="08BAC892" w14:textId="7DC87BE0" w:rsidR="00E01B97" w:rsidRDefault="00E01B97" w:rsidP="004827C7">
            <w:pPr>
              <w:cnfStyle w:val="000000000000" w:firstRow="0" w:lastRow="0" w:firstColumn="0" w:lastColumn="0" w:oddVBand="0" w:evenVBand="0" w:oddHBand="0" w:evenHBand="0" w:firstRowFirstColumn="0" w:firstRowLastColumn="0" w:lastRowFirstColumn="0" w:lastRowLastColumn="0"/>
            </w:pPr>
            <w:r w:rsidRPr="00A823DB">
              <w:rPr>
                <w:b/>
                <w:bCs/>
              </w:rPr>
              <w:t>Expectation statement for older people:</w:t>
            </w:r>
            <w:r w:rsidRPr="00A823DB">
              <w:t xml:space="preserve"> I have the right to be treated with dignity and respect and to live free from any form of discrimination. I make decisions about my care and services, with support when I want it. My identity, culture and diversity are valued and supported, and I have the right to live the life I choose. My provider understands who I am and what is important to me, and this determines the way my care and services are delivered.  </w:t>
            </w:r>
          </w:p>
        </w:tc>
      </w:tr>
      <w:tr w:rsidR="007405CD" w14:paraId="036DA113" w14:textId="77777777" w:rsidTr="007405CD">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nil"/>
            </w:tcBorders>
          </w:tcPr>
          <w:p w14:paraId="135E89F4" w14:textId="2A133657" w:rsidR="007405CD" w:rsidRDefault="007405CD" w:rsidP="00E01B97">
            <w:r w:rsidRPr="00ED7717">
              <w:rPr>
                <w:b/>
                <w:bCs/>
              </w:rPr>
              <w:t>Outcomes</w:t>
            </w:r>
          </w:p>
        </w:tc>
        <w:tc>
          <w:tcPr>
            <w:tcW w:w="7167" w:type="dxa"/>
            <w:tcBorders>
              <w:top w:val="single" w:sz="4" w:space="0" w:color="auto"/>
            </w:tcBorders>
            <w:shd w:val="clear" w:color="auto" w:fill="FFFFFF" w:themeFill="background1"/>
          </w:tcPr>
          <w:p w14:paraId="2CDF091E" w14:textId="31AAC9AC" w:rsidR="007405CD" w:rsidRDefault="007405CD" w:rsidP="00644DDE">
            <w:pPr>
              <w:pStyle w:val="ListParagraph"/>
              <w:numPr>
                <w:ilvl w:val="0"/>
                <w:numId w:val="69"/>
              </w:numPr>
              <w:cnfStyle w:val="000000000000" w:firstRow="0" w:lastRow="0" w:firstColumn="0" w:lastColumn="0" w:oddVBand="0" w:evenVBand="0" w:oddHBand="0" w:evenHBand="0" w:firstRowFirstColumn="0" w:firstRowLastColumn="0" w:lastRowFirstColumn="0" w:lastRowLastColumn="0"/>
            </w:pPr>
            <w:r w:rsidRPr="00E01B97">
              <w:rPr>
                <w:b/>
                <w:bCs/>
              </w:rPr>
              <w:t>Person</w:t>
            </w:r>
            <w:r w:rsidRPr="00E01B97">
              <w:rPr>
                <w:b/>
                <w:bCs/>
              </w:rPr>
              <w:noBreakHyphen/>
              <w:t>centred care</w:t>
            </w:r>
            <w:r w:rsidRPr="00A823DB">
              <w:t xml:space="preserve"> – The provider understands and values the older person, including their identity, culture, diversity, </w:t>
            </w:r>
            <w:proofErr w:type="gramStart"/>
            <w:r w:rsidRPr="00A823DB">
              <w:t>beliefs</w:t>
            </w:r>
            <w:proofErr w:type="gramEnd"/>
            <w:r w:rsidRPr="00A823DB">
              <w:t xml:space="preserve"> and life experiences. Care and services are developed with, and tailored to, the older person. Care and services are provided in a way that upholds the rights of older people and fosters their relationships and social connections. </w:t>
            </w:r>
          </w:p>
        </w:tc>
      </w:tr>
      <w:tr w:rsidR="007405CD" w14:paraId="3C17E951" w14:textId="77777777" w:rsidTr="007405CD">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FC91794" w14:textId="77777777" w:rsidR="007405CD" w:rsidRDefault="007405CD" w:rsidP="00E01B97"/>
        </w:tc>
        <w:tc>
          <w:tcPr>
            <w:tcW w:w="7167" w:type="dxa"/>
            <w:shd w:val="clear" w:color="auto" w:fill="FFFFFF" w:themeFill="background1"/>
          </w:tcPr>
          <w:p w14:paraId="009A5768" w14:textId="00079BA9" w:rsidR="007405CD" w:rsidRDefault="007405CD" w:rsidP="00644DDE">
            <w:pPr>
              <w:pStyle w:val="ListParagraph"/>
              <w:numPr>
                <w:ilvl w:val="0"/>
                <w:numId w:val="69"/>
              </w:numPr>
              <w:cnfStyle w:val="000000000000" w:firstRow="0" w:lastRow="0" w:firstColumn="0" w:lastColumn="0" w:oddVBand="0" w:evenVBand="0" w:oddHBand="0" w:evenHBand="0" w:firstRowFirstColumn="0" w:firstRowLastColumn="0" w:lastRowFirstColumn="0" w:lastRowLastColumn="0"/>
            </w:pPr>
            <w:r w:rsidRPr="00E01B97">
              <w:rPr>
                <w:b/>
                <w:bCs/>
              </w:rPr>
              <w:t xml:space="preserve">Dignity, </w:t>
            </w:r>
            <w:proofErr w:type="gramStart"/>
            <w:r w:rsidRPr="00E01B97">
              <w:rPr>
                <w:b/>
                <w:bCs/>
              </w:rPr>
              <w:t>respect</w:t>
            </w:r>
            <w:proofErr w:type="gramEnd"/>
            <w:r w:rsidRPr="00E01B97">
              <w:rPr>
                <w:b/>
                <w:bCs/>
              </w:rPr>
              <w:t xml:space="preserve"> and privacy</w:t>
            </w:r>
            <w:r w:rsidRPr="00A823DB">
              <w:t xml:space="preserve"> – Older people are treated with dignity and respect, they receive care and services free from discrimination, and their personal privacy is respected.</w:t>
            </w:r>
          </w:p>
        </w:tc>
      </w:tr>
      <w:tr w:rsidR="007405CD" w14:paraId="07B6A2E1" w14:textId="77777777" w:rsidTr="007405CD">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C5E90EB" w14:textId="77777777" w:rsidR="007405CD" w:rsidRDefault="007405CD" w:rsidP="00E01B97"/>
        </w:tc>
        <w:tc>
          <w:tcPr>
            <w:tcW w:w="7167" w:type="dxa"/>
            <w:shd w:val="clear" w:color="auto" w:fill="FFFFFF" w:themeFill="background1"/>
          </w:tcPr>
          <w:p w14:paraId="52EA75D1" w14:textId="3EEB6382" w:rsidR="007405CD" w:rsidRDefault="007405CD" w:rsidP="00644DDE">
            <w:pPr>
              <w:pStyle w:val="ListParagraph"/>
              <w:numPr>
                <w:ilvl w:val="0"/>
                <w:numId w:val="69"/>
              </w:numPr>
              <w:cnfStyle w:val="000000000000" w:firstRow="0" w:lastRow="0" w:firstColumn="0" w:lastColumn="0" w:oddVBand="0" w:evenVBand="0" w:oddHBand="0" w:evenHBand="0" w:firstRowFirstColumn="0" w:firstRowLastColumn="0" w:lastRowFirstColumn="0" w:lastRowLastColumn="0"/>
            </w:pPr>
            <w:r w:rsidRPr="00E01B97">
              <w:rPr>
                <w:b/>
                <w:bCs/>
              </w:rPr>
              <w:t xml:space="preserve">Choice, </w:t>
            </w:r>
            <w:proofErr w:type="gramStart"/>
            <w:r w:rsidRPr="00E01B97">
              <w:rPr>
                <w:b/>
                <w:bCs/>
              </w:rPr>
              <w:t>independence</w:t>
            </w:r>
            <w:proofErr w:type="gramEnd"/>
            <w:r w:rsidRPr="00E01B97">
              <w:rPr>
                <w:b/>
                <w:bCs/>
              </w:rPr>
              <w:t xml:space="preserve"> and quality of life</w:t>
            </w:r>
            <w:r w:rsidRPr="00A823DB">
              <w:t xml:space="preserve"> – Older people have independence and make decisions about their care and services, with support when they want it. Older people are provided accurate and sufficient information in a way they understand. Care and services are provided in a way that supports independence, dignity of risk and personal goals.</w:t>
            </w:r>
          </w:p>
        </w:tc>
      </w:tr>
      <w:tr w:rsidR="007405CD" w14:paraId="15EA60AA" w14:textId="77777777" w:rsidTr="007405CD">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auto"/>
            </w:tcBorders>
          </w:tcPr>
          <w:p w14:paraId="04933DF3" w14:textId="77777777" w:rsidR="007405CD" w:rsidRDefault="007405CD" w:rsidP="00E01B97"/>
        </w:tc>
        <w:tc>
          <w:tcPr>
            <w:tcW w:w="7167" w:type="dxa"/>
            <w:shd w:val="clear" w:color="auto" w:fill="FFFFFF" w:themeFill="background1"/>
          </w:tcPr>
          <w:p w14:paraId="1FBC4D33" w14:textId="67554625" w:rsidR="007405CD" w:rsidRDefault="007405CD" w:rsidP="00644DDE">
            <w:pPr>
              <w:pStyle w:val="ListParagraph"/>
              <w:numPr>
                <w:ilvl w:val="0"/>
                <w:numId w:val="69"/>
              </w:numPr>
              <w:cnfStyle w:val="000000000000" w:firstRow="0" w:lastRow="0" w:firstColumn="0" w:lastColumn="0" w:oddVBand="0" w:evenVBand="0" w:oddHBand="0" w:evenHBand="0" w:firstRowFirstColumn="0" w:firstRowLastColumn="0" w:lastRowFirstColumn="0" w:lastRowLastColumn="0"/>
            </w:pPr>
            <w:r w:rsidRPr="00E01B97">
              <w:rPr>
                <w:b/>
                <w:bCs/>
              </w:rPr>
              <w:t>Transparency and agreements</w:t>
            </w:r>
            <w:r w:rsidRPr="00A823DB">
              <w:t xml:space="preserve"> – Older people have autonomy and can take time and seek advice before entering into any agreements about their care and services. Older people are supported to understand agreements, </w:t>
            </w:r>
            <w:proofErr w:type="gramStart"/>
            <w:r w:rsidRPr="00A823DB">
              <w:t>fees</w:t>
            </w:r>
            <w:proofErr w:type="gramEnd"/>
            <w:r w:rsidRPr="00A823DB">
              <w:t xml:space="preserve"> and invoices.</w:t>
            </w:r>
          </w:p>
        </w:tc>
      </w:tr>
    </w:tbl>
    <w:p w14:paraId="7E3A4E61" w14:textId="77777777" w:rsidR="00672798" w:rsidRPr="00644DDE" w:rsidRDefault="00672798" w:rsidP="004827C7"/>
    <w:p w14:paraId="1C0CDBD1" w14:textId="5B7AE110" w:rsidR="0026782E" w:rsidRDefault="0026782E">
      <w:pPr>
        <w:spacing w:before="0" w:after="0" w:line="240" w:lineRule="auto"/>
      </w:pPr>
      <w:r>
        <w:br w:type="page"/>
      </w:r>
    </w:p>
    <w:tbl>
      <w:tblPr>
        <w:tblStyle w:val="TableGrid"/>
        <w:tblW w:w="9225" w:type="dxa"/>
        <w:tblLook w:val="04A0" w:firstRow="1" w:lastRow="0" w:firstColumn="1" w:lastColumn="0" w:noHBand="0" w:noVBand="1"/>
      </w:tblPr>
      <w:tblGrid>
        <w:gridCol w:w="9225"/>
      </w:tblGrid>
      <w:tr w:rsidR="00B26486" w14:paraId="2F2C0A6C" w14:textId="77777777" w:rsidTr="00473F44">
        <w:trPr>
          <w:trHeight w:val="424"/>
        </w:trPr>
        <w:tc>
          <w:tcPr>
            <w:tcW w:w="9225" w:type="dxa"/>
            <w:shd w:val="clear" w:color="auto" w:fill="1E1545" w:themeFill="text2"/>
          </w:tcPr>
          <w:p w14:paraId="3AC83F2A" w14:textId="20C17B18" w:rsidR="00B26486" w:rsidRDefault="00B26486" w:rsidP="00473F44">
            <w:r w:rsidRPr="00644DDE">
              <w:rPr>
                <w:b/>
                <w:bCs/>
              </w:rPr>
              <w:lastRenderedPageBreak/>
              <w:t xml:space="preserve">Standard </w:t>
            </w:r>
            <w:r>
              <w:rPr>
                <w:b/>
                <w:bCs/>
              </w:rPr>
              <w:t>2</w:t>
            </w:r>
            <w:r>
              <w:rPr>
                <w:b/>
                <w:bCs/>
              </w:rPr>
              <w:t xml:space="preserve"> – </w:t>
            </w:r>
            <w:r>
              <w:rPr>
                <w:b/>
                <w:bCs/>
              </w:rPr>
              <w:t>The Organisation</w:t>
            </w:r>
          </w:p>
        </w:tc>
      </w:tr>
    </w:tbl>
    <w:tbl>
      <w:tblPr>
        <w:tblStyle w:val="ACQStablestyle"/>
        <w:tblW w:w="0" w:type="auto"/>
        <w:tblLook w:val="04A0" w:firstRow="1" w:lastRow="0" w:firstColumn="1" w:lastColumn="0" w:noHBand="0" w:noVBand="1"/>
      </w:tblPr>
      <w:tblGrid>
        <w:gridCol w:w="1838"/>
        <w:gridCol w:w="7172"/>
      </w:tblGrid>
      <w:tr w:rsidR="0026782E" w14:paraId="22A25D34" w14:textId="77777777" w:rsidTr="00B26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D1F2F4" w:themeFill="accent2" w:themeFillTint="33"/>
          </w:tcPr>
          <w:p w14:paraId="56889AF9" w14:textId="1DC8DD11" w:rsidR="0026782E" w:rsidRDefault="0026782E" w:rsidP="004827C7">
            <w:r w:rsidRPr="00ED7717">
              <w:rPr>
                <w:b/>
                <w:bCs/>
              </w:rPr>
              <w:t>Intent of Standard 2</w:t>
            </w:r>
          </w:p>
        </w:tc>
        <w:tc>
          <w:tcPr>
            <w:tcW w:w="7172" w:type="dxa"/>
            <w:shd w:val="clear" w:color="auto" w:fill="FFFFFF" w:themeFill="background1"/>
          </w:tcPr>
          <w:p w14:paraId="47D16B25" w14:textId="23AD429A" w:rsidR="0026782E" w:rsidRPr="00ED7717" w:rsidRDefault="0026782E" w:rsidP="0026782E">
            <w:pPr>
              <w:cnfStyle w:val="100000000000" w:firstRow="1" w:lastRow="0" w:firstColumn="0" w:lastColumn="0" w:oddVBand="0" w:evenVBand="0" w:oddHBand="0" w:evenHBand="0" w:firstRowFirstColumn="0" w:firstRowLastColumn="0" w:lastRowFirstColumn="0" w:lastRowLastColumn="0"/>
              <w:rPr>
                <w:i/>
                <w:iCs/>
              </w:rPr>
            </w:pPr>
            <w:r w:rsidRPr="00ED7717">
              <w:rPr>
                <w:i/>
                <w:iCs/>
              </w:rPr>
              <w:t>The intent of Standard 2 is to hold the governing body responsible for</w:t>
            </w:r>
            <w:r w:rsidR="00F77205">
              <w:rPr>
                <w:i/>
                <w:iCs/>
              </w:rPr>
              <w:t xml:space="preserve"> </w:t>
            </w:r>
            <w:r w:rsidRPr="00ED7717">
              <w:rPr>
                <w:i/>
                <w:iCs/>
              </w:rPr>
              <w:t xml:space="preserve">meeting the requirements of the Quality Standards and delivering safe and quality care and services. </w:t>
            </w:r>
          </w:p>
          <w:p w14:paraId="48085092" w14:textId="77777777" w:rsidR="0026782E" w:rsidRPr="00644DDE" w:rsidRDefault="0026782E" w:rsidP="0026782E">
            <w:pPr>
              <w:cnfStyle w:val="100000000000" w:firstRow="1" w:lastRow="0" w:firstColumn="0" w:lastColumn="0" w:oddVBand="0" w:evenVBand="0" w:oddHBand="0" w:evenHBand="0" w:firstRowFirstColumn="0" w:firstRowLastColumn="0" w:lastRowFirstColumn="0" w:lastRowLastColumn="0"/>
              <w:rPr>
                <w:rFonts w:cs="Times New Roman (Body CS)"/>
                <w:i/>
                <w:iCs/>
                <w:spacing w:val="-4"/>
              </w:rPr>
            </w:pPr>
            <w:r w:rsidRPr="00644DDE">
              <w:rPr>
                <w:rFonts w:cs="Times New Roman (Body CS)"/>
                <w:i/>
                <w:iCs/>
                <w:spacing w:val="-4"/>
              </w:rPr>
              <w:t xml:space="preserve">The governing body sets the strategic priorities for the organisation and promotes a culture of safety and quality. The governing body is also responsible for driving and monitoring improvements to care and services, informed by engagement with older people, their </w:t>
            </w:r>
            <w:proofErr w:type="spellStart"/>
            <w:r w:rsidRPr="00644DDE">
              <w:rPr>
                <w:rFonts w:cs="Times New Roman (Body CS)"/>
                <w:i/>
                <w:iCs/>
                <w:spacing w:val="-4"/>
              </w:rPr>
              <w:t>carers</w:t>
            </w:r>
            <w:proofErr w:type="spellEnd"/>
            <w:r w:rsidRPr="00644DDE">
              <w:rPr>
                <w:rFonts w:cs="Times New Roman (Body CS)"/>
                <w:i/>
                <w:iCs/>
                <w:spacing w:val="-4"/>
              </w:rPr>
              <w:t xml:space="preserve"> and families, </w:t>
            </w:r>
            <w:proofErr w:type="gramStart"/>
            <w:r w:rsidRPr="00644DDE">
              <w:rPr>
                <w:rFonts w:cs="Times New Roman (Body CS)"/>
                <w:i/>
                <w:iCs/>
                <w:spacing w:val="-4"/>
              </w:rPr>
              <w:t>workers</w:t>
            </w:r>
            <w:proofErr w:type="gramEnd"/>
            <w:r w:rsidRPr="00644DDE">
              <w:rPr>
                <w:rFonts w:cs="Times New Roman (Body CS)"/>
                <w:i/>
                <w:iCs/>
                <w:spacing w:val="-4"/>
              </w:rPr>
              <w:t xml:space="preserve"> and data on care quality. </w:t>
            </w:r>
          </w:p>
          <w:p w14:paraId="51AE3133" w14:textId="0207BA9F" w:rsidR="0026782E" w:rsidRDefault="0026782E" w:rsidP="0026782E">
            <w:pPr>
              <w:cnfStyle w:val="100000000000" w:firstRow="1" w:lastRow="0" w:firstColumn="0" w:lastColumn="0" w:oddVBand="0" w:evenVBand="0" w:oddHBand="0" w:evenHBand="0" w:firstRowFirstColumn="0" w:firstRowLastColumn="0" w:lastRowFirstColumn="0" w:lastRowLastColumn="0"/>
            </w:pPr>
            <w:r w:rsidRPr="00ED7717">
              <w:rPr>
                <w:i/>
                <w:iCs/>
              </w:rPr>
              <w:t>A provider’s governance systems and workforce are critical to the delivery of safe, quality, effective and person-centred care for</w:t>
            </w:r>
            <w:r w:rsidRPr="006725A7">
              <w:t xml:space="preserve"> </w:t>
            </w:r>
            <w:r w:rsidRPr="00C327AE">
              <w:rPr>
                <w:i/>
                <w:iCs/>
              </w:rPr>
              <w:t>every older person, and continuous care and service improvement.</w:t>
            </w:r>
          </w:p>
        </w:tc>
      </w:tr>
      <w:tr w:rsidR="0026782E" w14:paraId="65A6B4B1"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tcPr>
          <w:p w14:paraId="49DE480A" w14:textId="468F2C33" w:rsidR="0026782E" w:rsidRDefault="0026782E" w:rsidP="004827C7">
            <w:r w:rsidRPr="00ED7717">
              <w:rPr>
                <w:b/>
                <w:bCs/>
              </w:rPr>
              <w:t>Standard 2: The Organisation</w:t>
            </w:r>
          </w:p>
        </w:tc>
        <w:tc>
          <w:tcPr>
            <w:tcW w:w="7172" w:type="dxa"/>
            <w:tcBorders>
              <w:bottom w:val="single" w:sz="4" w:space="0" w:color="auto"/>
            </w:tcBorders>
            <w:shd w:val="clear" w:color="auto" w:fill="FFFFFF" w:themeFill="background1"/>
          </w:tcPr>
          <w:p w14:paraId="6F7E91A7" w14:textId="59C42AA7" w:rsidR="0026782E" w:rsidRDefault="0026782E" w:rsidP="004827C7">
            <w:pPr>
              <w:cnfStyle w:val="000000000000" w:firstRow="0" w:lastRow="0" w:firstColumn="0" w:lastColumn="0" w:oddVBand="0" w:evenVBand="0" w:oddHBand="0" w:evenHBand="0" w:firstRowFirstColumn="0" w:firstRowLastColumn="0" w:lastRowFirstColumn="0" w:lastRowLastColumn="0"/>
            </w:pPr>
            <w:r w:rsidRPr="00A823DB">
              <w:rPr>
                <w:b/>
                <w:bCs/>
              </w:rPr>
              <w:t>Standard 2 expectation statement for older people:</w:t>
            </w:r>
            <w:r>
              <w:rPr>
                <w:b/>
                <w:bCs/>
              </w:rPr>
              <w:br/>
            </w:r>
            <w:r w:rsidRPr="00A823DB">
              <w:t xml:space="preserve">The organisation is well run. I can contribute to improvements to care and services. My provider and workers listen and respond to my feedback and concerns. I get care and services from workers who are knowledgeable, competent, </w:t>
            </w:r>
            <w:proofErr w:type="gramStart"/>
            <w:r w:rsidRPr="00A823DB">
              <w:t>capable</w:t>
            </w:r>
            <w:proofErr w:type="gramEnd"/>
            <w:r w:rsidRPr="00A823DB">
              <w:t xml:space="preserve"> and caring.</w:t>
            </w:r>
          </w:p>
        </w:tc>
      </w:tr>
      <w:tr w:rsidR="007405CD" w14:paraId="44963CF8"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nil"/>
            </w:tcBorders>
          </w:tcPr>
          <w:p w14:paraId="476EE269" w14:textId="3023F40F" w:rsidR="007405CD" w:rsidRDefault="007405CD" w:rsidP="0026782E">
            <w:r w:rsidRPr="00ED7717">
              <w:rPr>
                <w:b/>
                <w:bCs/>
              </w:rPr>
              <w:t>Outcomes</w:t>
            </w:r>
          </w:p>
        </w:tc>
        <w:tc>
          <w:tcPr>
            <w:tcW w:w="7172" w:type="dxa"/>
            <w:tcBorders>
              <w:top w:val="single" w:sz="4" w:space="0" w:color="auto"/>
            </w:tcBorders>
            <w:shd w:val="clear" w:color="auto" w:fill="FFFFFF" w:themeFill="background1"/>
          </w:tcPr>
          <w:p w14:paraId="03F0B682" w14:textId="05B9821A"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Partnering with older people</w:t>
            </w:r>
            <w:r w:rsidRPr="00A823DB">
              <w:t xml:space="preserve"> – Meaningful and active partnerships with older people inform organisational priorities and improvements to care and services.</w:t>
            </w:r>
          </w:p>
        </w:tc>
      </w:tr>
      <w:tr w:rsidR="007405CD" w14:paraId="0CCB908A"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52ADC238" w14:textId="77777777" w:rsidR="007405CD" w:rsidRDefault="007405CD" w:rsidP="0026782E"/>
        </w:tc>
        <w:tc>
          <w:tcPr>
            <w:tcW w:w="7172" w:type="dxa"/>
            <w:shd w:val="clear" w:color="auto" w:fill="FFFFFF" w:themeFill="background1"/>
          </w:tcPr>
          <w:p w14:paraId="6F00CD29" w14:textId="38C0C0DD"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Quality and safety culture</w:t>
            </w:r>
            <w:r w:rsidRPr="00A823DB">
              <w:t xml:space="preserve"> – </w:t>
            </w:r>
            <w:r w:rsidRPr="007800E2">
              <w:t xml:space="preserve">The governing body </w:t>
            </w:r>
            <w:r w:rsidRPr="0026782E">
              <w:rPr>
                <w:rFonts w:eastAsia="Helvetica Neue"/>
              </w:rPr>
              <w:t>leads a culture of quality, safety and inclusion that</w:t>
            </w:r>
            <w:r w:rsidRPr="006A781F">
              <w:t xml:space="preserve"> </w:t>
            </w:r>
            <w:r>
              <w:t>embraces diversity</w:t>
            </w:r>
            <w:r w:rsidRPr="0026782E">
              <w:rPr>
                <w:rFonts w:eastAsia="Helvetica Neue"/>
              </w:rPr>
              <w:t xml:space="preserve"> </w:t>
            </w:r>
            <w:r>
              <w:t>and prioritises</w:t>
            </w:r>
            <w:r w:rsidRPr="0071205A">
              <w:t xml:space="preserve"> the </w:t>
            </w:r>
            <w:r>
              <w:t xml:space="preserve">rights, </w:t>
            </w:r>
            <w:r w:rsidRPr="0071205A">
              <w:t>safety and well-being of </w:t>
            </w:r>
            <w:r>
              <w:t>older people and</w:t>
            </w:r>
            <w:r w:rsidRPr="0071205A">
              <w:t xml:space="preserve"> the workforce</w:t>
            </w:r>
            <w:r>
              <w:t>.</w:t>
            </w:r>
          </w:p>
        </w:tc>
      </w:tr>
      <w:tr w:rsidR="007405CD" w14:paraId="2BDDF952"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7874AE4F" w14:textId="77777777" w:rsidR="007405CD" w:rsidRDefault="007405CD" w:rsidP="0026782E"/>
        </w:tc>
        <w:tc>
          <w:tcPr>
            <w:tcW w:w="7172" w:type="dxa"/>
            <w:shd w:val="clear" w:color="auto" w:fill="FFFFFF" w:themeFill="background1"/>
          </w:tcPr>
          <w:p w14:paraId="2F500509" w14:textId="55B3B893"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Accountability and quality systems</w:t>
            </w:r>
            <w:r w:rsidRPr="00A823DB">
              <w:t xml:space="preserve"> – </w:t>
            </w:r>
            <w:r>
              <w:t xml:space="preserve">The governing body </w:t>
            </w:r>
            <w:r w:rsidRPr="00644DDE">
              <w:rPr>
                <w:rFonts w:eastAsia="Helvetica Neue"/>
              </w:rPr>
              <w:t xml:space="preserve">is accountable for the delivery of safe and quality care and services and maintains oversight of all aspects of the organisation’s operations. </w:t>
            </w:r>
            <w:r>
              <w:t>The provider’s quality system supports continuous improvement.</w:t>
            </w:r>
          </w:p>
        </w:tc>
      </w:tr>
      <w:tr w:rsidR="007405CD" w14:paraId="7CE01305"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7DB28A77" w14:textId="77777777" w:rsidR="007405CD" w:rsidRDefault="007405CD" w:rsidP="0026782E"/>
        </w:tc>
        <w:tc>
          <w:tcPr>
            <w:tcW w:w="7172" w:type="dxa"/>
            <w:shd w:val="clear" w:color="auto" w:fill="FFFFFF" w:themeFill="background1"/>
          </w:tcPr>
          <w:p w14:paraId="4576E29A" w14:textId="6ABCB485"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Risk management</w:t>
            </w:r>
            <w:r w:rsidRPr="00A823DB">
              <w:t xml:space="preserve"> – Risks to older people, workers and the organisation are identified, </w:t>
            </w:r>
            <w:proofErr w:type="gramStart"/>
            <w:r w:rsidRPr="00A823DB">
              <w:t>managed</w:t>
            </w:r>
            <w:proofErr w:type="gramEnd"/>
            <w:r w:rsidRPr="00A823DB">
              <w:t xml:space="preserve"> and continuously reviewed.</w:t>
            </w:r>
          </w:p>
        </w:tc>
      </w:tr>
      <w:tr w:rsidR="007405CD" w14:paraId="120468F2"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3B46A84B" w14:textId="77777777" w:rsidR="007405CD" w:rsidRDefault="007405CD" w:rsidP="0026782E"/>
        </w:tc>
        <w:tc>
          <w:tcPr>
            <w:tcW w:w="7172" w:type="dxa"/>
            <w:shd w:val="clear" w:color="auto" w:fill="FFFFFF" w:themeFill="background1"/>
          </w:tcPr>
          <w:p w14:paraId="20B31A4B" w14:textId="64663957"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Incident management</w:t>
            </w:r>
            <w:r w:rsidRPr="00A823DB">
              <w:t xml:space="preserve"> - The provider uses an incident management system to safeguard older people and </w:t>
            </w:r>
            <w:r w:rsidRPr="00A823DB">
              <w:lastRenderedPageBreak/>
              <w:t xml:space="preserve">acknowledge, respond to, effectively </w:t>
            </w:r>
            <w:proofErr w:type="gramStart"/>
            <w:r w:rsidRPr="00A823DB">
              <w:t>manage</w:t>
            </w:r>
            <w:proofErr w:type="gramEnd"/>
            <w:r w:rsidRPr="00A823DB">
              <w:t xml:space="preserve"> and learn from incidents. </w:t>
            </w:r>
          </w:p>
        </w:tc>
      </w:tr>
      <w:tr w:rsidR="007405CD" w14:paraId="399CB20B"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4E3ABA25" w14:textId="77777777" w:rsidR="007405CD" w:rsidRDefault="007405CD" w:rsidP="0026782E"/>
        </w:tc>
        <w:tc>
          <w:tcPr>
            <w:tcW w:w="7172" w:type="dxa"/>
            <w:shd w:val="clear" w:color="auto" w:fill="FFFFFF" w:themeFill="background1"/>
          </w:tcPr>
          <w:p w14:paraId="3E03FA0E" w14:textId="40B2B571"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 xml:space="preserve">Feedback and complaints management </w:t>
            </w:r>
            <w:r w:rsidRPr="00A823DB">
              <w:t xml:space="preserve">– Older people and others are encouraged and supported to provide feedback and make complaints about care and services. Feedback and complaints made by all parties are acknowledged, managed </w:t>
            </w:r>
            <w:proofErr w:type="gramStart"/>
            <w:r w:rsidRPr="00A823DB">
              <w:t>transparently</w:t>
            </w:r>
            <w:proofErr w:type="gramEnd"/>
            <w:r w:rsidRPr="00A823DB">
              <w:t xml:space="preserve"> and contribute to the continuous improvement of care and services. Older people and others can complain without reprisal.</w:t>
            </w:r>
          </w:p>
        </w:tc>
      </w:tr>
      <w:tr w:rsidR="007405CD" w14:paraId="1C4E4922"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4B672A5C" w14:textId="77777777" w:rsidR="007405CD" w:rsidRDefault="007405CD" w:rsidP="0026782E"/>
        </w:tc>
        <w:tc>
          <w:tcPr>
            <w:tcW w:w="7172" w:type="dxa"/>
            <w:shd w:val="clear" w:color="auto" w:fill="FFFFFF" w:themeFill="background1"/>
          </w:tcPr>
          <w:p w14:paraId="4FD0E782" w14:textId="22E78D0A"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Information management</w:t>
            </w:r>
            <w:r w:rsidRPr="00A823DB">
              <w:t xml:space="preserve"> – </w:t>
            </w:r>
            <w:r w:rsidRPr="00644DDE">
              <w:rPr>
                <w:color w:val="000000" w:themeColor="text1"/>
              </w:rPr>
              <w:t>Information is identifiable, accurately recorded, current and able to be accessed and understood by those who need it. The information of older people is confidential and managed appropriately, in line with their consent. Current policies and procedures guide the way workers undertake their roles.</w:t>
            </w:r>
          </w:p>
        </w:tc>
      </w:tr>
      <w:tr w:rsidR="007405CD" w14:paraId="2ED6AC78"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02586E34" w14:textId="77777777" w:rsidR="007405CD" w:rsidRDefault="007405CD" w:rsidP="0026782E"/>
        </w:tc>
        <w:tc>
          <w:tcPr>
            <w:tcW w:w="7172" w:type="dxa"/>
            <w:shd w:val="clear" w:color="auto" w:fill="FFFFFF" w:themeFill="background1"/>
          </w:tcPr>
          <w:p w14:paraId="158873FF" w14:textId="281A7C12"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Workforce planning</w:t>
            </w:r>
            <w:r w:rsidRPr="00A823DB">
              <w:t xml:space="preserve"> – The provider understands and manages its workforce needs and </w:t>
            </w:r>
            <w:proofErr w:type="gramStart"/>
            <w:r w:rsidRPr="00A823DB">
              <w:t>plans for the future</w:t>
            </w:r>
            <w:proofErr w:type="gramEnd"/>
            <w:r w:rsidRPr="00A823DB">
              <w:t>.</w:t>
            </w:r>
          </w:p>
        </w:tc>
      </w:tr>
      <w:tr w:rsidR="007405CD" w14:paraId="4399E92E"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7CA3563A" w14:textId="77777777" w:rsidR="007405CD" w:rsidRDefault="007405CD" w:rsidP="0026782E"/>
        </w:tc>
        <w:tc>
          <w:tcPr>
            <w:tcW w:w="7172" w:type="dxa"/>
            <w:shd w:val="clear" w:color="auto" w:fill="FFFFFF" w:themeFill="background1"/>
          </w:tcPr>
          <w:p w14:paraId="212FD8B9" w14:textId="1B16844D"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Human resource management</w:t>
            </w:r>
            <w:r w:rsidRPr="00A823DB">
              <w:t xml:space="preserve"> – The care and service </w:t>
            </w:r>
            <w:proofErr w:type="gramStart"/>
            <w:r w:rsidRPr="00A823DB">
              <w:t>needs</w:t>
            </w:r>
            <w:proofErr w:type="gramEnd"/>
            <w:r w:rsidRPr="00A823DB">
              <w:t xml:space="preserve"> of older people are met by workers who are skilled and competent in their role, hold relevant qualifications and who have relevant expertise and experience to provide </w:t>
            </w:r>
            <w:r>
              <w:t>safe and</w:t>
            </w:r>
            <w:r w:rsidRPr="00A823DB">
              <w:t xml:space="preserve"> quality care and services.</w:t>
            </w:r>
          </w:p>
        </w:tc>
      </w:tr>
      <w:tr w:rsidR="007405CD" w14:paraId="58F7372F"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single" w:sz="4" w:space="0" w:color="auto"/>
            </w:tcBorders>
          </w:tcPr>
          <w:p w14:paraId="0293577E" w14:textId="77777777" w:rsidR="007405CD" w:rsidRDefault="007405CD" w:rsidP="0026782E"/>
        </w:tc>
        <w:tc>
          <w:tcPr>
            <w:tcW w:w="7172" w:type="dxa"/>
            <w:shd w:val="clear" w:color="auto" w:fill="FFFFFF" w:themeFill="background1"/>
          </w:tcPr>
          <w:p w14:paraId="69901EB7" w14:textId="49DE3592" w:rsidR="007405CD" w:rsidRDefault="007405CD" w:rsidP="00644DDE">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6782E">
              <w:rPr>
                <w:b/>
                <w:bCs/>
              </w:rPr>
              <w:t>Emergency and disaster management</w:t>
            </w:r>
            <w:r w:rsidRPr="00A823DB">
              <w:t xml:space="preserve"> – Emergency and disaster management considers and manages the risks to the health, safety and wellbeing of older people and workers. </w:t>
            </w:r>
          </w:p>
        </w:tc>
      </w:tr>
    </w:tbl>
    <w:p w14:paraId="6173F42B" w14:textId="77777777" w:rsidR="004827C7" w:rsidRPr="00A823DB" w:rsidRDefault="004827C7" w:rsidP="004827C7"/>
    <w:p w14:paraId="2A2069B7" w14:textId="23BFA079" w:rsidR="00E01B97" w:rsidRDefault="00E01B97" w:rsidP="004827C7"/>
    <w:p w14:paraId="0167D8E5" w14:textId="77777777" w:rsidR="006E413E" w:rsidRDefault="00E01B97">
      <w:pPr>
        <w:spacing w:before="0" w:after="0" w:line="240" w:lineRule="auto"/>
      </w:pPr>
      <w:r>
        <w:br w:type="page"/>
      </w:r>
    </w:p>
    <w:tbl>
      <w:tblPr>
        <w:tblStyle w:val="TableGrid"/>
        <w:tblW w:w="9225" w:type="dxa"/>
        <w:tblLook w:val="04A0" w:firstRow="1" w:lastRow="0" w:firstColumn="1" w:lastColumn="0" w:noHBand="0" w:noVBand="1"/>
      </w:tblPr>
      <w:tblGrid>
        <w:gridCol w:w="9225"/>
      </w:tblGrid>
      <w:tr w:rsidR="006E413E" w14:paraId="628E80E5" w14:textId="77777777" w:rsidTr="00473F44">
        <w:trPr>
          <w:trHeight w:val="424"/>
        </w:trPr>
        <w:tc>
          <w:tcPr>
            <w:tcW w:w="9225" w:type="dxa"/>
            <w:shd w:val="clear" w:color="auto" w:fill="1E1545" w:themeFill="text2"/>
          </w:tcPr>
          <w:p w14:paraId="07F87ADF" w14:textId="79B6904A" w:rsidR="006E413E" w:rsidRDefault="006E413E" w:rsidP="00473F44">
            <w:r w:rsidRPr="00644DDE">
              <w:rPr>
                <w:b/>
                <w:bCs/>
              </w:rPr>
              <w:lastRenderedPageBreak/>
              <w:t xml:space="preserve">Standard </w:t>
            </w:r>
            <w:r>
              <w:rPr>
                <w:b/>
                <w:bCs/>
              </w:rPr>
              <w:t>3</w:t>
            </w:r>
            <w:r>
              <w:rPr>
                <w:b/>
                <w:bCs/>
              </w:rPr>
              <w:t xml:space="preserve"> – </w:t>
            </w:r>
            <w:r w:rsidRPr="006E413E">
              <w:rPr>
                <w:b/>
                <w:bCs/>
              </w:rPr>
              <w:t>The Care and Services</w:t>
            </w:r>
          </w:p>
        </w:tc>
      </w:tr>
    </w:tbl>
    <w:tbl>
      <w:tblPr>
        <w:tblStyle w:val="ACQStablestyle"/>
        <w:tblW w:w="0" w:type="auto"/>
        <w:tblLook w:val="04A0" w:firstRow="1" w:lastRow="0" w:firstColumn="1" w:lastColumn="0" w:noHBand="0" w:noVBand="1"/>
      </w:tblPr>
      <w:tblGrid>
        <w:gridCol w:w="1843"/>
        <w:gridCol w:w="7167"/>
      </w:tblGrid>
      <w:tr w:rsidR="00733107" w14:paraId="7A6A18CB" w14:textId="77777777" w:rsidTr="006E4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1F2F4" w:themeFill="accent2" w:themeFillTint="33"/>
          </w:tcPr>
          <w:p w14:paraId="453303C4" w14:textId="252BEDED" w:rsidR="00733107" w:rsidRDefault="00733107" w:rsidP="004827C7">
            <w:r w:rsidRPr="00ED7717">
              <w:rPr>
                <w:b/>
                <w:bCs/>
              </w:rPr>
              <w:t>Intent of Standard 3</w:t>
            </w:r>
          </w:p>
        </w:tc>
        <w:tc>
          <w:tcPr>
            <w:tcW w:w="7167" w:type="dxa"/>
            <w:shd w:val="clear" w:color="auto" w:fill="FFFFFF" w:themeFill="background1"/>
          </w:tcPr>
          <w:p w14:paraId="43A8122D" w14:textId="77777777" w:rsidR="00733107" w:rsidRPr="00644DDE" w:rsidRDefault="00733107" w:rsidP="00733107">
            <w:pPr>
              <w:cnfStyle w:val="100000000000" w:firstRow="1" w:lastRow="0" w:firstColumn="0" w:lastColumn="0" w:oddVBand="0" w:evenVBand="0" w:oddHBand="0" w:evenHBand="0" w:firstRowFirstColumn="0" w:firstRowLastColumn="0" w:lastRowFirstColumn="0" w:lastRowLastColumn="0"/>
              <w:rPr>
                <w:rFonts w:cs="Times New Roman (Body CS)"/>
                <w:i/>
                <w:iCs/>
                <w:spacing w:val="-4"/>
              </w:rPr>
            </w:pPr>
            <w:r w:rsidRPr="00644DDE">
              <w:rPr>
                <w:rFonts w:cs="Times New Roman (Body CS)"/>
                <w:i/>
                <w:iCs/>
                <w:spacing w:val="-4"/>
              </w:rPr>
              <w:t xml:space="preserve">Standard 3 describes the way providers must deliver care and services, agnostic to the type of service being delivered (noting that other standards describe requirements relevant to specific service types). Effective assessment and planning, communication and coordination are critical to the delivery of safe and quality care that meets the older person’s needs, is tailored to their </w:t>
            </w:r>
            <w:proofErr w:type="gramStart"/>
            <w:r w:rsidRPr="00644DDE">
              <w:rPr>
                <w:rFonts w:cs="Times New Roman (Body CS)"/>
                <w:i/>
                <w:iCs/>
                <w:spacing w:val="-4"/>
              </w:rPr>
              <w:t>preferences</w:t>
            </w:r>
            <w:proofErr w:type="gramEnd"/>
            <w:r w:rsidRPr="00644DDE">
              <w:rPr>
                <w:rFonts w:cs="Times New Roman (Body CS)"/>
                <w:i/>
                <w:iCs/>
                <w:spacing w:val="-4"/>
              </w:rPr>
              <w:t xml:space="preserve"> and supports them to live their best lives. </w:t>
            </w:r>
          </w:p>
          <w:p w14:paraId="512458A8" w14:textId="48E0DABF" w:rsidR="00733107" w:rsidRDefault="00733107" w:rsidP="00733107">
            <w:pPr>
              <w:cnfStyle w:val="100000000000" w:firstRow="1" w:lastRow="0" w:firstColumn="0" w:lastColumn="0" w:oddVBand="0" w:evenVBand="0" w:oddHBand="0" w:evenHBand="0" w:firstRowFirstColumn="0" w:firstRowLastColumn="0" w:lastRowFirstColumn="0" w:lastRowLastColumn="0"/>
            </w:pPr>
            <w:r w:rsidRPr="00ED7717">
              <w:rPr>
                <w:i/>
                <w:iCs/>
              </w:rPr>
              <w:t>In delivering care and services, providers and workers must draw on all relevant standards</w:t>
            </w:r>
            <w:r w:rsidR="00F77205">
              <w:rPr>
                <w:i/>
                <w:iCs/>
              </w:rPr>
              <w:t>,</w:t>
            </w:r>
            <w:r w:rsidRPr="00ED7717">
              <w:rPr>
                <w:i/>
                <w:iCs/>
              </w:rPr>
              <w:t xml:space="preserve"> with </w:t>
            </w:r>
            <w:proofErr w:type="gramStart"/>
            <w:r w:rsidRPr="00ED7717">
              <w:rPr>
                <w:i/>
                <w:iCs/>
              </w:rPr>
              <w:t>particular reference</w:t>
            </w:r>
            <w:proofErr w:type="gramEnd"/>
            <w:r w:rsidRPr="00ED7717">
              <w:rPr>
                <w:i/>
                <w:iCs/>
              </w:rPr>
              <w:t xml:space="preserve"> to Standard 1, including to ensure care is tailored to the individual and what’s important to them.</w:t>
            </w:r>
          </w:p>
        </w:tc>
      </w:tr>
      <w:tr w:rsidR="00733107" w14:paraId="044ED41E" w14:textId="77777777" w:rsidTr="007405CD">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auto"/>
            </w:tcBorders>
          </w:tcPr>
          <w:p w14:paraId="534615F0" w14:textId="67BAB071" w:rsidR="00733107" w:rsidRDefault="00733107" w:rsidP="00733107">
            <w:r w:rsidRPr="00ED7717">
              <w:rPr>
                <w:b/>
                <w:bCs/>
              </w:rPr>
              <w:t>Standard 3: The Care and Services</w:t>
            </w:r>
          </w:p>
        </w:tc>
        <w:tc>
          <w:tcPr>
            <w:tcW w:w="7167" w:type="dxa"/>
            <w:tcBorders>
              <w:bottom w:val="single" w:sz="4" w:space="0" w:color="auto"/>
            </w:tcBorders>
            <w:shd w:val="clear" w:color="auto" w:fill="FFFFFF" w:themeFill="background1"/>
          </w:tcPr>
          <w:p w14:paraId="404CFC0D" w14:textId="77777777" w:rsidR="00733107" w:rsidRPr="00ED7717" w:rsidRDefault="00733107" w:rsidP="00733107">
            <w:pPr>
              <w:cnfStyle w:val="000000000000" w:firstRow="0" w:lastRow="0" w:firstColumn="0" w:lastColumn="0" w:oddVBand="0" w:evenVBand="0" w:oddHBand="0" w:evenHBand="0" w:firstRowFirstColumn="0" w:firstRowLastColumn="0" w:lastRowFirstColumn="0" w:lastRowLastColumn="0"/>
            </w:pPr>
            <w:r w:rsidRPr="00ED7717">
              <w:rPr>
                <w:b/>
                <w:bCs/>
              </w:rPr>
              <w:t>Standard 3 expectation statement for older people:</w:t>
            </w:r>
            <w:r>
              <w:rPr>
                <w:b/>
                <w:bCs/>
              </w:rPr>
              <w:br/>
            </w:r>
            <w:r w:rsidRPr="00ED7717">
              <w:t>The care and services I receive:</w:t>
            </w:r>
          </w:p>
          <w:p w14:paraId="646E43E1" w14:textId="77777777" w:rsidR="00733107" w:rsidRPr="00ED7717" w:rsidRDefault="00733107" w:rsidP="0073310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ED7717">
              <w:t xml:space="preserve">are safe and effective </w:t>
            </w:r>
          </w:p>
          <w:p w14:paraId="752F01AD" w14:textId="77777777" w:rsidR="00733107" w:rsidRPr="00ED7717" w:rsidRDefault="00733107" w:rsidP="0073310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ED7717">
              <w:t>optimise my well-being and quality of life</w:t>
            </w:r>
          </w:p>
          <w:p w14:paraId="22E1A60F" w14:textId="5D64C040" w:rsidR="002801A6" w:rsidRPr="00ED7717" w:rsidRDefault="00733107" w:rsidP="00733107">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ED7717">
              <w:t xml:space="preserve">meet my current needs, </w:t>
            </w:r>
            <w:proofErr w:type="gramStart"/>
            <w:r w:rsidRPr="00ED7717">
              <w:t>goals</w:t>
            </w:r>
            <w:proofErr w:type="gramEnd"/>
            <w:r w:rsidRPr="00ED7717">
              <w:t xml:space="preserve"> and preferences </w:t>
            </w:r>
          </w:p>
          <w:p w14:paraId="42C46B22" w14:textId="31EEFE86" w:rsidR="00733107" w:rsidRDefault="00733107" w:rsidP="00C327AE">
            <w:pPr>
              <w:pStyle w:val="ListParagraph"/>
              <w:numPr>
                <w:ilvl w:val="0"/>
                <w:numId w:val="54"/>
              </w:numPr>
              <w:cnfStyle w:val="000000000000" w:firstRow="0" w:lastRow="0" w:firstColumn="0" w:lastColumn="0" w:oddVBand="0" w:evenVBand="0" w:oddHBand="0" w:evenHBand="0" w:firstRowFirstColumn="0" w:firstRowLastColumn="0" w:lastRowFirstColumn="0" w:lastRowLastColumn="0"/>
            </w:pPr>
            <w:r w:rsidRPr="00ED7717">
              <w:t>are well planned and coordinated.</w:t>
            </w:r>
          </w:p>
        </w:tc>
      </w:tr>
      <w:tr w:rsidR="007405CD" w14:paraId="3728D177" w14:textId="77777777" w:rsidTr="007405CD">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nil"/>
            </w:tcBorders>
          </w:tcPr>
          <w:p w14:paraId="5F2C316D" w14:textId="16EF1AE6" w:rsidR="007405CD" w:rsidRDefault="007405CD" w:rsidP="00733107">
            <w:r w:rsidRPr="00ED7717">
              <w:rPr>
                <w:b/>
                <w:bCs/>
              </w:rPr>
              <w:t>Outcomes</w:t>
            </w:r>
          </w:p>
        </w:tc>
        <w:tc>
          <w:tcPr>
            <w:tcW w:w="7167" w:type="dxa"/>
            <w:tcBorders>
              <w:top w:val="single" w:sz="4" w:space="0" w:color="auto"/>
            </w:tcBorders>
            <w:shd w:val="clear" w:color="auto" w:fill="FFFFFF" w:themeFill="background1"/>
          </w:tcPr>
          <w:p w14:paraId="3D711B15" w14:textId="3EA06A6C" w:rsidR="007405CD" w:rsidRDefault="007405CD" w:rsidP="00644DDE">
            <w:pPr>
              <w:pStyle w:val="ListParagraph"/>
              <w:numPr>
                <w:ilvl w:val="0"/>
                <w:numId w:val="71"/>
              </w:numPr>
              <w:cnfStyle w:val="000000000000" w:firstRow="0" w:lastRow="0" w:firstColumn="0" w:lastColumn="0" w:oddVBand="0" w:evenVBand="0" w:oddHBand="0" w:evenHBand="0" w:firstRowFirstColumn="0" w:firstRowLastColumn="0" w:lastRowFirstColumn="0" w:lastRowLastColumn="0"/>
            </w:pPr>
            <w:r w:rsidRPr="00733107">
              <w:rPr>
                <w:b/>
                <w:bCs/>
              </w:rPr>
              <w:t>Assessment and planning</w:t>
            </w:r>
            <w:r w:rsidRPr="00A823DB">
              <w:t xml:space="preserve"> – Older people are actively engaged in developing and reviewing their care and services plans. Care and services plans describe the current needs, </w:t>
            </w:r>
            <w:proofErr w:type="gramStart"/>
            <w:r w:rsidRPr="00A823DB">
              <w:t>goals</w:t>
            </w:r>
            <w:proofErr w:type="gramEnd"/>
            <w:r w:rsidRPr="00A823DB">
              <w:t xml:space="preserve"> and preferences of older people, are regularly reviewed and are used by workers to guide the delivery of care and services.</w:t>
            </w:r>
          </w:p>
        </w:tc>
      </w:tr>
      <w:tr w:rsidR="007405CD" w14:paraId="1C1B8C0F" w14:textId="77777777" w:rsidTr="007405CD">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33F89E18" w14:textId="77777777" w:rsidR="007405CD" w:rsidRDefault="007405CD" w:rsidP="00733107"/>
        </w:tc>
        <w:tc>
          <w:tcPr>
            <w:tcW w:w="7167" w:type="dxa"/>
            <w:shd w:val="clear" w:color="auto" w:fill="FFFFFF" w:themeFill="background1"/>
          </w:tcPr>
          <w:p w14:paraId="63D5CCB8" w14:textId="2B1F902C" w:rsidR="007405CD" w:rsidRDefault="007405CD" w:rsidP="00644DDE">
            <w:pPr>
              <w:pStyle w:val="ListParagraph"/>
              <w:numPr>
                <w:ilvl w:val="0"/>
                <w:numId w:val="71"/>
              </w:numPr>
              <w:cnfStyle w:val="000000000000" w:firstRow="0" w:lastRow="0" w:firstColumn="0" w:lastColumn="0" w:oddVBand="0" w:evenVBand="0" w:oddHBand="0" w:evenHBand="0" w:firstRowFirstColumn="0" w:firstRowLastColumn="0" w:lastRowFirstColumn="0" w:lastRowLastColumn="0"/>
            </w:pPr>
            <w:r w:rsidRPr="00733107">
              <w:rPr>
                <w:b/>
                <w:bCs/>
              </w:rPr>
              <w:t>Delivery of care and services</w:t>
            </w:r>
            <w:r w:rsidRPr="00A823DB">
              <w:t xml:space="preserve"> – Older people get </w:t>
            </w:r>
            <w:r>
              <w:t>safe and</w:t>
            </w:r>
            <w:r w:rsidRPr="00A823DB">
              <w:t xml:space="preserve"> quality care and services that meet their needs, </w:t>
            </w:r>
            <w:proofErr w:type="gramStart"/>
            <w:r w:rsidRPr="00A823DB">
              <w:t>goals</w:t>
            </w:r>
            <w:proofErr w:type="gramEnd"/>
            <w:r w:rsidRPr="00A823DB">
              <w:t xml:space="preserve"> and preferences. Care and services are provided in a way that is culturally safe, appropriate for people with specific needs and diverse backgrounds and supports reablement.</w:t>
            </w:r>
          </w:p>
        </w:tc>
      </w:tr>
      <w:tr w:rsidR="007405CD" w14:paraId="5626B824" w14:textId="77777777" w:rsidTr="007405CD">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67D8CD6D" w14:textId="77777777" w:rsidR="007405CD" w:rsidRDefault="007405CD" w:rsidP="00733107"/>
        </w:tc>
        <w:tc>
          <w:tcPr>
            <w:tcW w:w="7167" w:type="dxa"/>
            <w:shd w:val="clear" w:color="auto" w:fill="FFFFFF" w:themeFill="background1"/>
          </w:tcPr>
          <w:p w14:paraId="034DAE5C" w14:textId="74EAA0C7" w:rsidR="007405CD" w:rsidRDefault="007405CD" w:rsidP="00644DDE">
            <w:pPr>
              <w:pStyle w:val="ListParagraph"/>
              <w:numPr>
                <w:ilvl w:val="0"/>
                <w:numId w:val="71"/>
              </w:numPr>
              <w:cnfStyle w:val="000000000000" w:firstRow="0" w:lastRow="0" w:firstColumn="0" w:lastColumn="0" w:oddVBand="0" w:evenVBand="0" w:oddHBand="0" w:evenHBand="0" w:firstRowFirstColumn="0" w:firstRowLastColumn="0" w:lastRowFirstColumn="0" w:lastRowLastColumn="0"/>
            </w:pPr>
            <w:r w:rsidRPr="00733107">
              <w:rPr>
                <w:b/>
                <w:bCs/>
              </w:rPr>
              <w:t>Communicating for safety and quality</w:t>
            </w:r>
            <w:r w:rsidRPr="00A823DB">
              <w:t xml:space="preserve"> – Critical information relevant to the older person’s care and services is communicated effectively with older people, between workers and with others involved in the older person’s care. Risks, </w:t>
            </w:r>
            <w:proofErr w:type="gramStart"/>
            <w:r w:rsidRPr="00A823DB">
              <w:t>changes</w:t>
            </w:r>
            <w:proofErr w:type="gramEnd"/>
            <w:r w:rsidRPr="00A823DB">
              <w:t xml:space="preserve"> and deterioration in an older person’s condition are escalated and communicated as appropriate.</w:t>
            </w:r>
          </w:p>
        </w:tc>
      </w:tr>
      <w:tr w:rsidR="007405CD" w14:paraId="6694D095" w14:textId="77777777" w:rsidTr="007405CD">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auto"/>
            </w:tcBorders>
          </w:tcPr>
          <w:p w14:paraId="26732A2E" w14:textId="77777777" w:rsidR="007405CD" w:rsidRDefault="007405CD" w:rsidP="00733107"/>
        </w:tc>
        <w:tc>
          <w:tcPr>
            <w:tcW w:w="7167" w:type="dxa"/>
            <w:shd w:val="clear" w:color="auto" w:fill="FFFFFF" w:themeFill="background1"/>
          </w:tcPr>
          <w:p w14:paraId="2B25DCD0" w14:textId="6826E65B" w:rsidR="007405CD" w:rsidRDefault="007405CD" w:rsidP="00644DDE">
            <w:pPr>
              <w:pStyle w:val="ListParagraph"/>
              <w:numPr>
                <w:ilvl w:val="0"/>
                <w:numId w:val="71"/>
              </w:numPr>
              <w:cnfStyle w:val="000000000000" w:firstRow="0" w:lastRow="0" w:firstColumn="0" w:lastColumn="0" w:oddVBand="0" w:evenVBand="0" w:oddHBand="0" w:evenHBand="0" w:firstRowFirstColumn="0" w:firstRowLastColumn="0" w:lastRowFirstColumn="0" w:lastRowLastColumn="0"/>
            </w:pPr>
            <w:r w:rsidRPr="00733107">
              <w:rPr>
                <w:b/>
                <w:bCs/>
              </w:rPr>
              <w:t>Coordination of care and services</w:t>
            </w:r>
            <w:r w:rsidRPr="00A823DB">
              <w:t xml:space="preserve"> – Older people receive planned and coordinated care and services, including where multiple health and aged care providers, carers and others are involved in the delivery of care and services.  </w:t>
            </w:r>
          </w:p>
        </w:tc>
      </w:tr>
    </w:tbl>
    <w:p w14:paraId="061E672B" w14:textId="02D7760F" w:rsidR="004827C7" w:rsidRDefault="004827C7" w:rsidP="004827C7"/>
    <w:tbl>
      <w:tblPr>
        <w:tblStyle w:val="TableGrid"/>
        <w:tblW w:w="9225" w:type="dxa"/>
        <w:tblLook w:val="04A0" w:firstRow="1" w:lastRow="0" w:firstColumn="1" w:lastColumn="0" w:noHBand="0" w:noVBand="1"/>
      </w:tblPr>
      <w:tblGrid>
        <w:gridCol w:w="9225"/>
      </w:tblGrid>
      <w:tr w:rsidR="006E413E" w14:paraId="0E24D578" w14:textId="77777777" w:rsidTr="00473F44">
        <w:trPr>
          <w:trHeight w:val="424"/>
        </w:trPr>
        <w:tc>
          <w:tcPr>
            <w:tcW w:w="9225" w:type="dxa"/>
            <w:shd w:val="clear" w:color="auto" w:fill="1E1545" w:themeFill="text2"/>
          </w:tcPr>
          <w:p w14:paraId="009FD115" w14:textId="4C314639" w:rsidR="006E413E" w:rsidRDefault="006E413E" w:rsidP="00473F44">
            <w:r w:rsidRPr="00644DDE">
              <w:rPr>
                <w:b/>
                <w:bCs/>
              </w:rPr>
              <w:t xml:space="preserve">Standard </w:t>
            </w:r>
            <w:r>
              <w:rPr>
                <w:b/>
                <w:bCs/>
              </w:rPr>
              <w:t>4</w:t>
            </w:r>
            <w:r>
              <w:rPr>
                <w:b/>
                <w:bCs/>
              </w:rPr>
              <w:t xml:space="preserve"> – </w:t>
            </w:r>
            <w:r w:rsidRPr="006E413E">
              <w:rPr>
                <w:b/>
                <w:bCs/>
              </w:rPr>
              <w:t xml:space="preserve">The </w:t>
            </w:r>
            <w:r>
              <w:rPr>
                <w:b/>
                <w:bCs/>
              </w:rPr>
              <w:t xml:space="preserve">Environment </w:t>
            </w:r>
          </w:p>
        </w:tc>
      </w:tr>
    </w:tbl>
    <w:tbl>
      <w:tblPr>
        <w:tblStyle w:val="ACQStablestyle"/>
        <w:tblW w:w="0" w:type="auto"/>
        <w:tblLook w:val="04A0" w:firstRow="1" w:lastRow="0" w:firstColumn="1" w:lastColumn="0" w:noHBand="0" w:noVBand="1"/>
      </w:tblPr>
      <w:tblGrid>
        <w:gridCol w:w="1838"/>
        <w:gridCol w:w="7172"/>
      </w:tblGrid>
      <w:tr w:rsidR="00733107" w14:paraId="50086C38" w14:textId="77777777" w:rsidTr="006E4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D1F2F4" w:themeFill="accent2" w:themeFillTint="33"/>
          </w:tcPr>
          <w:p w14:paraId="022042A8" w14:textId="65858B07" w:rsidR="00733107" w:rsidRDefault="00733107" w:rsidP="004827C7">
            <w:r w:rsidRPr="00ED7717">
              <w:rPr>
                <w:b/>
                <w:bCs/>
              </w:rPr>
              <w:t>Intent of Standard 4</w:t>
            </w:r>
          </w:p>
        </w:tc>
        <w:tc>
          <w:tcPr>
            <w:tcW w:w="7172" w:type="dxa"/>
            <w:shd w:val="clear" w:color="auto" w:fill="FFFFFF" w:themeFill="background1"/>
          </w:tcPr>
          <w:p w14:paraId="2AA9D2CA" w14:textId="3115859B" w:rsidR="00733107" w:rsidRDefault="00733107" w:rsidP="004827C7">
            <w:pPr>
              <w:cnfStyle w:val="100000000000" w:firstRow="1" w:lastRow="0" w:firstColumn="0" w:lastColumn="0" w:oddVBand="0" w:evenVBand="0" w:oddHBand="0" w:evenHBand="0" w:firstRowFirstColumn="0" w:firstRowLastColumn="0" w:lastRowFirstColumn="0" w:lastRowLastColumn="0"/>
            </w:pPr>
            <w:r w:rsidRPr="00ED7717">
              <w:rPr>
                <w:i/>
                <w:iCs/>
              </w:rPr>
              <w:t>The intent of Standard 4 is to ensure that older people receive care and services in a physical environment that is safe, supportive and meets their needs. Effective infection prevention and control measures are a core component of service delivery to protect older people, their families and carers and workers.</w:t>
            </w:r>
          </w:p>
        </w:tc>
      </w:tr>
      <w:tr w:rsidR="00733107" w14:paraId="20E45643" w14:textId="77777777" w:rsidTr="006E413E">
        <w:tc>
          <w:tcPr>
            <w:cnfStyle w:val="001000000000" w:firstRow="0" w:lastRow="0" w:firstColumn="1" w:lastColumn="0" w:oddVBand="0" w:evenVBand="0" w:oddHBand="0" w:evenHBand="0" w:firstRowFirstColumn="0" w:firstRowLastColumn="0" w:lastRowFirstColumn="0" w:lastRowLastColumn="0"/>
            <w:tcW w:w="1838" w:type="dxa"/>
          </w:tcPr>
          <w:p w14:paraId="6E2C9335" w14:textId="79B3E2FB" w:rsidR="00733107" w:rsidRDefault="00733107" w:rsidP="004827C7">
            <w:r w:rsidRPr="00ED7717">
              <w:rPr>
                <w:b/>
                <w:bCs/>
              </w:rPr>
              <w:t>Standard 4: The Environment</w:t>
            </w:r>
          </w:p>
        </w:tc>
        <w:tc>
          <w:tcPr>
            <w:tcW w:w="7172" w:type="dxa"/>
            <w:shd w:val="clear" w:color="auto" w:fill="FFFFFF" w:themeFill="background1"/>
          </w:tcPr>
          <w:p w14:paraId="3F18438D" w14:textId="27CB42B6" w:rsidR="00733107" w:rsidRDefault="00733107" w:rsidP="004827C7">
            <w:pPr>
              <w:cnfStyle w:val="000000000000" w:firstRow="0" w:lastRow="0" w:firstColumn="0" w:lastColumn="0" w:oddVBand="0" w:evenVBand="0" w:oddHBand="0" w:evenHBand="0" w:firstRowFirstColumn="0" w:firstRowLastColumn="0" w:lastRowFirstColumn="0" w:lastRowLastColumn="0"/>
            </w:pPr>
            <w:r w:rsidRPr="00A823DB">
              <w:rPr>
                <w:b/>
                <w:bCs/>
              </w:rPr>
              <w:t>Standard 4 expectation statement for older people:</w:t>
            </w:r>
            <w:r w:rsidRPr="00A823DB">
              <w:t xml:space="preserve"> I feel safe when receiving care and services. Where I receive care and services through a service environment, the environment is clean, </w:t>
            </w:r>
            <w:proofErr w:type="gramStart"/>
            <w:r w:rsidRPr="00A823DB">
              <w:t>safe</w:t>
            </w:r>
            <w:proofErr w:type="gramEnd"/>
            <w:r w:rsidRPr="00A823DB">
              <w:t xml:space="preserve"> and comfortable and enables me to move around freely. Precautions are taken to prevent the spread of infections.</w:t>
            </w:r>
          </w:p>
        </w:tc>
      </w:tr>
      <w:tr w:rsidR="007405CD" w14:paraId="76A0E157"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bottom w:val="nil"/>
            </w:tcBorders>
          </w:tcPr>
          <w:p w14:paraId="72CDFA3D" w14:textId="0CC25E3E" w:rsidR="007405CD" w:rsidRDefault="007405CD" w:rsidP="004827C7">
            <w:r w:rsidRPr="00ED7717">
              <w:rPr>
                <w:b/>
                <w:bCs/>
              </w:rPr>
              <w:t>Outcomes</w:t>
            </w:r>
          </w:p>
        </w:tc>
        <w:tc>
          <w:tcPr>
            <w:tcW w:w="7172" w:type="dxa"/>
            <w:shd w:val="clear" w:color="auto" w:fill="FFFFFF" w:themeFill="background1"/>
          </w:tcPr>
          <w:p w14:paraId="6305F550" w14:textId="0DD44FC7" w:rsidR="007405CD" w:rsidRDefault="007405CD" w:rsidP="00644DDE">
            <w:pPr>
              <w:pStyle w:val="ListParagraph"/>
              <w:numPr>
                <w:ilvl w:val="0"/>
                <w:numId w:val="72"/>
              </w:numPr>
              <w:cnfStyle w:val="000000000000" w:firstRow="0" w:lastRow="0" w:firstColumn="0" w:lastColumn="0" w:oddVBand="0" w:evenVBand="0" w:oddHBand="0" w:evenHBand="0" w:firstRowFirstColumn="0" w:firstRowLastColumn="0" w:lastRowFirstColumn="0" w:lastRowLastColumn="0"/>
            </w:pPr>
            <w:r w:rsidRPr="00F77205">
              <w:rPr>
                <w:b/>
                <w:bCs/>
              </w:rPr>
              <w:t>Environment and equipment at home</w:t>
            </w:r>
            <w:r w:rsidRPr="00ED7717">
              <w:t xml:space="preserve"> – </w:t>
            </w:r>
            <w:r w:rsidRPr="001C3E01">
              <w:t>Providers support older people to mitigate environmental risks relevant to their care and services. Where equipment is used in the delivery of care and services or given to the older person by the provider, it is safe and meets their needs.</w:t>
            </w:r>
          </w:p>
        </w:tc>
      </w:tr>
      <w:tr w:rsidR="007405CD" w14:paraId="36F264A9"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14F1BA4C" w14:textId="77777777" w:rsidR="007405CD" w:rsidRDefault="007405CD" w:rsidP="004827C7"/>
        </w:tc>
        <w:tc>
          <w:tcPr>
            <w:tcW w:w="7172" w:type="dxa"/>
            <w:shd w:val="clear" w:color="auto" w:fill="FFFFFF" w:themeFill="background1"/>
          </w:tcPr>
          <w:p w14:paraId="1884BA79" w14:textId="54C6E413" w:rsidR="007405CD" w:rsidRDefault="007405CD" w:rsidP="00644DDE">
            <w:pPr>
              <w:pStyle w:val="ListParagraph"/>
              <w:numPr>
                <w:ilvl w:val="0"/>
                <w:numId w:val="72"/>
              </w:numPr>
              <w:cnfStyle w:val="000000000000" w:firstRow="0" w:lastRow="0" w:firstColumn="0" w:lastColumn="0" w:oddVBand="0" w:evenVBand="0" w:oddHBand="0" w:evenHBand="0" w:firstRowFirstColumn="0" w:firstRowLastColumn="0" w:lastRowFirstColumn="0" w:lastRowLastColumn="0"/>
            </w:pPr>
            <w:r w:rsidRPr="00F77205">
              <w:rPr>
                <w:b/>
                <w:bCs/>
              </w:rPr>
              <w:t>Environment and equipment in a service environment</w:t>
            </w:r>
            <w:r w:rsidRPr="00ED7717">
              <w:t xml:space="preserve"> – </w:t>
            </w:r>
            <w:r w:rsidRPr="001C3E01">
              <w:t xml:space="preserve">Older people access care and services in a clean, </w:t>
            </w:r>
            <w:proofErr w:type="gramStart"/>
            <w:r w:rsidRPr="001C3E01">
              <w:t>safe</w:t>
            </w:r>
            <w:proofErr w:type="gramEnd"/>
            <w:r w:rsidRPr="001C3E01">
              <w:t xml:space="preserve"> and comfortable environment that optimises their sense of belonging, interaction and function. Equipment used in the delivery of care and services is safe and meets the needs of older people.</w:t>
            </w:r>
          </w:p>
        </w:tc>
      </w:tr>
      <w:tr w:rsidR="007405CD" w14:paraId="442D6144"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single" w:sz="4" w:space="0" w:color="auto"/>
            </w:tcBorders>
          </w:tcPr>
          <w:p w14:paraId="0C0C83C9" w14:textId="77777777" w:rsidR="007405CD" w:rsidRDefault="007405CD" w:rsidP="004827C7"/>
        </w:tc>
        <w:tc>
          <w:tcPr>
            <w:tcW w:w="7172" w:type="dxa"/>
            <w:tcBorders>
              <w:bottom w:val="single" w:sz="4" w:space="0" w:color="auto"/>
            </w:tcBorders>
            <w:shd w:val="clear" w:color="auto" w:fill="FFFFFF" w:themeFill="background1"/>
          </w:tcPr>
          <w:p w14:paraId="57286812" w14:textId="164C11C1" w:rsidR="007405CD" w:rsidRDefault="007405CD" w:rsidP="00644DD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rsidRPr="00431C68">
              <w:rPr>
                <w:b/>
                <w:bCs/>
              </w:rPr>
              <w:t>Infection prevention and control</w:t>
            </w:r>
            <w:r w:rsidRPr="00ED7717">
              <w:t xml:space="preserve"> – </w:t>
            </w:r>
            <w:r w:rsidRPr="001C3E01">
              <w:t>The provider has appropriate infection prevention and control processes. Workers use hygienic practices and take appropriate infection prevention and control precautions when providing care and services.</w:t>
            </w:r>
          </w:p>
        </w:tc>
      </w:tr>
    </w:tbl>
    <w:p w14:paraId="6AA5EA5A" w14:textId="4F8218A0" w:rsidR="009D5040" w:rsidRDefault="009D5040" w:rsidP="004827C7"/>
    <w:tbl>
      <w:tblPr>
        <w:tblStyle w:val="TableGrid"/>
        <w:tblW w:w="9225" w:type="dxa"/>
        <w:tblLook w:val="04A0" w:firstRow="1" w:lastRow="0" w:firstColumn="1" w:lastColumn="0" w:noHBand="0" w:noVBand="1"/>
      </w:tblPr>
      <w:tblGrid>
        <w:gridCol w:w="9225"/>
      </w:tblGrid>
      <w:tr w:rsidR="006E413E" w14:paraId="52775F67" w14:textId="77777777" w:rsidTr="00473F44">
        <w:trPr>
          <w:trHeight w:val="424"/>
        </w:trPr>
        <w:tc>
          <w:tcPr>
            <w:tcW w:w="9225" w:type="dxa"/>
            <w:shd w:val="clear" w:color="auto" w:fill="1E1545" w:themeFill="text2"/>
          </w:tcPr>
          <w:p w14:paraId="50B88948" w14:textId="371C128F" w:rsidR="006E413E" w:rsidRDefault="006E413E" w:rsidP="00473F44">
            <w:r w:rsidRPr="00644DDE">
              <w:rPr>
                <w:b/>
                <w:bCs/>
              </w:rPr>
              <w:lastRenderedPageBreak/>
              <w:t xml:space="preserve">Standard </w:t>
            </w:r>
            <w:r>
              <w:rPr>
                <w:b/>
                <w:bCs/>
              </w:rPr>
              <w:t>5</w:t>
            </w:r>
            <w:r>
              <w:rPr>
                <w:b/>
                <w:bCs/>
              </w:rPr>
              <w:t xml:space="preserve"> – </w:t>
            </w:r>
            <w:r>
              <w:rPr>
                <w:b/>
                <w:bCs/>
              </w:rPr>
              <w:t>Clinical Care</w:t>
            </w:r>
            <w:r>
              <w:rPr>
                <w:b/>
                <w:bCs/>
              </w:rPr>
              <w:t xml:space="preserve"> </w:t>
            </w:r>
          </w:p>
        </w:tc>
      </w:tr>
    </w:tbl>
    <w:tbl>
      <w:tblPr>
        <w:tblStyle w:val="ACQStablestyle"/>
        <w:tblW w:w="0" w:type="auto"/>
        <w:tblLook w:val="04A0" w:firstRow="1" w:lastRow="0" w:firstColumn="1" w:lastColumn="0" w:noHBand="0" w:noVBand="1"/>
      </w:tblPr>
      <w:tblGrid>
        <w:gridCol w:w="1838"/>
        <w:gridCol w:w="7172"/>
      </w:tblGrid>
      <w:tr w:rsidR="00140023" w14:paraId="55F02BDA" w14:textId="77777777" w:rsidTr="006E4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D1F2F4" w:themeFill="accent2" w:themeFillTint="33"/>
          </w:tcPr>
          <w:p w14:paraId="5D54DB34" w14:textId="7C51FDEC" w:rsidR="00140023" w:rsidRDefault="00140023" w:rsidP="003B22D4">
            <w:r w:rsidRPr="00ED7717">
              <w:rPr>
                <w:b/>
                <w:bCs/>
              </w:rPr>
              <w:t>Intent of Standard 5</w:t>
            </w:r>
          </w:p>
        </w:tc>
        <w:tc>
          <w:tcPr>
            <w:tcW w:w="7172" w:type="dxa"/>
            <w:shd w:val="clear" w:color="auto" w:fill="FFFFFF" w:themeFill="background1"/>
          </w:tcPr>
          <w:p w14:paraId="0D24CF3D" w14:textId="77777777" w:rsidR="00140023" w:rsidRPr="00ED7717" w:rsidRDefault="00140023" w:rsidP="00140023">
            <w:pPr>
              <w:cnfStyle w:val="100000000000" w:firstRow="1" w:lastRow="0" w:firstColumn="0" w:lastColumn="0" w:oddVBand="0" w:evenVBand="0" w:oddHBand="0" w:evenHBand="0" w:firstRowFirstColumn="0" w:firstRowLastColumn="0" w:lastRowFirstColumn="0" w:lastRowLastColumn="0"/>
              <w:rPr>
                <w:i/>
                <w:iCs/>
              </w:rPr>
            </w:pPr>
            <w:r w:rsidRPr="00ED7717">
              <w:rPr>
                <w:i/>
                <w:iCs/>
              </w:rPr>
              <w:t>The Clinical Care Standard describes the responsibilities of providers to deliver safe and quality clinical care to older people. The governing body has overall responsibility to ensure a clinical governance framework is implemented and to monitor its effectiveness. Providers operationalise the clinical governance framework and report on its performance.</w:t>
            </w:r>
          </w:p>
          <w:p w14:paraId="582F13A0" w14:textId="77777777" w:rsidR="00140023" w:rsidRPr="00ED7717" w:rsidRDefault="00140023" w:rsidP="00140023">
            <w:pPr>
              <w:cnfStyle w:val="100000000000" w:firstRow="1" w:lastRow="0" w:firstColumn="0" w:lastColumn="0" w:oddVBand="0" w:evenVBand="0" w:oddHBand="0" w:evenHBand="0" w:firstRowFirstColumn="0" w:firstRowLastColumn="0" w:lastRowFirstColumn="0" w:lastRowLastColumn="0"/>
              <w:rPr>
                <w:i/>
                <w:iCs/>
              </w:rPr>
            </w:pPr>
            <w:r w:rsidRPr="00ED7717">
              <w:rPr>
                <w:i/>
                <w:iCs/>
              </w:rPr>
              <w:t>Many older people who require clinical care are frail with multiple chronic co</w:t>
            </w:r>
            <w:r w:rsidRPr="00ED7717">
              <w:rPr>
                <w:i/>
                <w:iCs/>
              </w:rPr>
              <w:noBreakHyphen/>
              <w:t xml:space="preserve">morbidities and complex care needs. These people may be experiencing sickness, frailty, disability, cognitive impairment or be nearing the end of their life. At all times, the clinical care provided should be person-centred and address the older person’s specific clinical needs and preferences. Delivering safe, high-quality care requires a skilled workforce, that are supported to deliver evidence-based care. </w:t>
            </w:r>
          </w:p>
          <w:p w14:paraId="1B6A3E99" w14:textId="0BD9FC62" w:rsidR="00140023" w:rsidRDefault="00140023" w:rsidP="00140023">
            <w:pPr>
              <w:cnfStyle w:val="100000000000" w:firstRow="1" w:lastRow="0" w:firstColumn="0" w:lastColumn="0" w:oddVBand="0" w:evenVBand="0" w:oddHBand="0" w:evenHBand="0" w:firstRowFirstColumn="0" w:firstRowLastColumn="0" w:lastRowFirstColumn="0" w:lastRowLastColumn="0"/>
            </w:pPr>
            <w:r w:rsidRPr="00ED7717">
              <w:rPr>
                <w:i/>
                <w:iCs/>
              </w:rPr>
              <w:t>Effective implementation of Standard 5 is reliant on the systems and processes from Standards 1</w:t>
            </w:r>
            <w:r w:rsidR="006B3D82">
              <w:rPr>
                <w:i/>
                <w:iCs/>
              </w:rPr>
              <w:t>–</w:t>
            </w:r>
            <w:r w:rsidRPr="00ED7717">
              <w:rPr>
                <w:i/>
                <w:iCs/>
              </w:rPr>
              <w:t>7. These systems and processes support the delivery of safe clinical care, ensure that risks of harm to older people from clinical care are minimised and support continuous quality improvement.</w:t>
            </w:r>
          </w:p>
        </w:tc>
      </w:tr>
      <w:tr w:rsidR="00140023" w14:paraId="5AD2C3F2" w14:textId="77777777" w:rsidTr="006E413E">
        <w:tc>
          <w:tcPr>
            <w:cnfStyle w:val="001000000000" w:firstRow="0" w:lastRow="0" w:firstColumn="1" w:lastColumn="0" w:oddVBand="0" w:evenVBand="0" w:oddHBand="0" w:evenHBand="0" w:firstRowFirstColumn="0" w:firstRowLastColumn="0" w:lastRowFirstColumn="0" w:lastRowLastColumn="0"/>
            <w:tcW w:w="1838" w:type="dxa"/>
          </w:tcPr>
          <w:p w14:paraId="79CF33D7" w14:textId="2ACA3466" w:rsidR="00140023" w:rsidRDefault="00140023" w:rsidP="00140023">
            <w:r w:rsidRPr="00ED7717">
              <w:rPr>
                <w:b/>
                <w:bCs/>
              </w:rPr>
              <w:t>Standard 5: Clinical Care</w:t>
            </w:r>
          </w:p>
        </w:tc>
        <w:tc>
          <w:tcPr>
            <w:tcW w:w="7172" w:type="dxa"/>
            <w:shd w:val="clear" w:color="auto" w:fill="FFFFFF" w:themeFill="background1"/>
          </w:tcPr>
          <w:p w14:paraId="1D04C3A8" w14:textId="6333E786" w:rsidR="00140023" w:rsidRDefault="00140023" w:rsidP="00140023">
            <w:pPr>
              <w:cnfStyle w:val="000000000000" w:firstRow="0" w:lastRow="0" w:firstColumn="0" w:lastColumn="0" w:oddVBand="0" w:evenVBand="0" w:oddHBand="0" w:evenHBand="0" w:firstRowFirstColumn="0" w:firstRowLastColumn="0" w:lastRowFirstColumn="0" w:lastRowLastColumn="0"/>
            </w:pPr>
            <w:r w:rsidRPr="00A823DB">
              <w:rPr>
                <w:b/>
                <w:bCs/>
              </w:rPr>
              <w:t>Standard 5 expectation statement for older people:</w:t>
            </w:r>
            <w:r w:rsidRPr="00A823DB">
              <w:t xml:space="preserve"> I receive safe, effective, person-centred clinical care which meets my needs.</w:t>
            </w:r>
          </w:p>
        </w:tc>
      </w:tr>
      <w:tr w:rsidR="007405CD" w14:paraId="374A62CD"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bottom w:val="nil"/>
            </w:tcBorders>
          </w:tcPr>
          <w:p w14:paraId="62B3F26E" w14:textId="22334785" w:rsidR="007405CD" w:rsidRDefault="007405CD" w:rsidP="00140023">
            <w:r w:rsidRPr="00ED7717">
              <w:rPr>
                <w:b/>
                <w:bCs/>
              </w:rPr>
              <w:t>Outcomes</w:t>
            </w:r>
          </w:p>
        </w:tc>
        <w:tc>
          <w:tcPr>
            <w:tcW w:w="7172" w:type="dxa"/>
            <w:shd w:val="clear" w:color="auto" w:fill="FFFFFF" w:themeFill="background1"/>
          </w:tcPr>
          <w:p w14:paraId="2C6845CC" w14:textId="1D5EEB1E" w:rsidR="007405CD" w:rsidRDefault="007405CD" w:rsidP="00644DDE">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rsidRPr="00140023">
              <w:rPr>
                <w:b/>
                <w:bCs/>
                <w:szCs w:val="22"/>
              </w:rPr>
              <w:t>Clinical governance</w:t>
            </w:r>
            <w:r w:rsidRPr="00140023">
              <w:rPr>
                <w:szCs w:val="22"/>
              </w:rPr>
              <w:t xml:space="preserve"> – </w:t>
            </w:r>
            <w:r w:rsidRPr="00A823DB">
              <w:t>The governing body meets</w:t>
            </w:r>
            <w:r>
              <w:br/>
            </w:r>
            <w:r w:rsidRPr="00A823DB">
              <w:t>its duty of care to older people and the community, and continuously improves the safety and quality of the provider’s clinical care. The provider integrates clinical governance into corporate governance to actively manage and improve the safety and quality of clinical care.</w:t>
            </w:r>
          </w:p>
        </w:tc>
      </w:tr>
      <w:tr w:rsidR="007405CD" w14:paraId="7D7F2D94"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3BBD1516" w14:textId="77777777" w:rsidR="007405CD" w:rsidRDefault="007405CD" w:rsidP="00140023"/>
        </w:tc>
        <w:tc>
          <w:tcPr>
            <w:tcW w:w="7172" w:type="dxa"/>
            <w:shd w:val="clear" w:color="auto" w:fill="FFFFFF" w:themeFill="background1"/>
          </w:tcPr>
          <w:p w14:paraId="5FDEB2D3" w14:textId="42D594DB" w:rsidR="007405CD" w:rsidRDefault="007405CD" w:rsidP="00644DDE">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rsidRPr="00140023">
              <w:rPr>
                <w:b/>
                <w:bCs/>
                <w:szCs w:val="22"/>
              </w:rPr>
              <w:t>Preventing and managing infections in clinical care</w:t>
            </w:r>
            <w:r w:rsidRPr="00140023">
              <w:rPr>
                <w:szCs w:val="22"/>
              </w:rPr>
              <w:t xml:space="preserve"> – I</w:t>
            </w:r>
            <w:r w:rsidRPr="00A823DB">
              <w:t xml:space="preserve">nfection risks are minimised and, if they occur, are managed effectively. Older people, workers and others are encouraged and supported to use antimicrobials appropriately to reduce risks of increasing resistance.  </w:t>
            </w:r>
          </w:p>
        </w:tc>
      </w:tr>
      <w:tr w:rsidR="007405CD" w14:paraId="5A9975D0"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13047A4F" w14:textId="77777777" w:rsidR="007405CD" w:rsidRDefault="007405CD" w:rsidP="00140023"/>
        </w:tc>
        <w:tc>
          <w:tcPr>
            <w:tcW w:w="7172" w:type="dxa"/>
            <w:shd w:val="clear" w:color="auto" w:fill="FFFFFF" w:themeFill="background1"/>
          </w:tcPr>
          <w:p w14:paraId="2DD4DFC6" w14:textId="16BC65A9" w:rsidR="007405CD" w:rsidRDefault="007405CD" w:rsidP="00644DDE">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rsidRPr="00140023">
              <w:rPr>
                <w:b/>
                <w:bCs/>
                <w:szCs w:val="22"/>
              </w:rPr>
              <w:t>Medication safety</w:t>
            </w:r>
            <w:r w:rsidRPr="00140023">
              <w:rPr>
                <w:szCs w:val="22"/>
              </w:rPr>
              <w:t xml:space="preserve"> – </w:t>
            </w:r>
            <w:r w:rsidRPr="00A823DB">
              <w:t xml:space="preserve">Medicines-related risks to older people are identified and reduced. Medicine-related </w:t>
            </w:r>
            <w:r w:rsidRPr="00A823DB">
              <w:lastRenderedPageBreak/>
              <w:t>incidents are analysed and acted on to improve the safe and quality use of medicines.</w:t>
            </w:r>
          </w:p>
        </w:tc>
      </w:tr>
      <w:tr w:rsidR="007405CD" w14:paraId="41FA8C26"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4C497FF5" w14:textId="77777777" w:rsidR="007405CD" w:rsidRDefault="007405CD" w:rsidP="00140023"/>
        </w:tc>
        <w:tc>
          <w:tcPr>
            <w:tcW w:w="7172" w:type="dxa"/>
            <w:shd w:val="clear" w:color="auto" w:fill="FFFFFF" w:themeFill="background1"/>
          </w:tcPr>
          <w:p w14:paraId="3ABEBA36" w14:textId="5494BE8A" w:rsidR="007405CD" w:rsidRDefault="007405CD" w:rsidP="00644DDE">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rsidRPr="00140023">
              <w:rPr>
                <w:b/>
                <w:bCs/>
                <w:szCs w:val="22"/>
              </w:rPr>
              <w:t>Comprehensive care</w:t>
            </w:r>
            <w:r w:rsidRPr="00140023">
              <w:rPr>
                <w:szCs w:val="22"/>
              </w:rPr>
              <w:t xml:space="preserve"> – </w:t>
            </w:r>
            <w:r w:rsidRPr="00644DDE">
              <w:rPr>
                <w:rFonts w:eastAsiaTheme="minorEastAsia"/>
                <w:iCs/>
                <w:lang w:eastAsia="ja-JP"/>
              </w:rPr>
              <w:t>Older people receive safe, quality and person</w:t>
            </w:r>
            <w:r w:rsidRPr="00644DDE">
              <w:rPr>
                <w:rFonts w:eastAsiaTheme="minorEastAsia"/>
                <w:iCs/>
                <w:lang w:eastAsia="ja-JP"/>
              </w:rPr>
              <w:noBreakHyphen/>
              <w:t xml:space="preserve">centred clinical care. Clinical safety risks to older people are identified, </w:t>
            </w:r>
            <w:proofErr w:type="gramStart"/>
            <w:r w:rsidRPr="00644DDE">
              <w:rPr>
                <w:rFonts w:eastAsiaTheme="minorEastAsia"/>
                <w:iCs/>
                <w:lang w:eastAsia="ja-JP"/>
              </w:rPr>
              <w:t>managed</w:t>
            </w:r>
            <w:proofErr w:type="gramEnd"/>
            <w:r w:rsidRPr="00644DDE">
              <w:rPr>
                <w:rFonts w:eastAsiaTheme="minorEastAsia"/>
                <w:iCs/>
                <w:lang w:eastAsia="ja-JP"/>
              </w:rPr>
              <w:t xml:space="preserve"> and minimised.</w:t>
            </w:r>
          </w:p>
        </w:tc>
      </w:tr>
      <w:tr w:rsidR="007405CD" w14:paraId="2AC88C68"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single" w:sz="4" w:space="0" w:color="auto"/>
            </w:tcBorders>
          </w:tcPr>
          <w:p w14:paraId="43DF622D" w14:textId="77777777" w:rsidR="007405CD" w:rsidRDefault="007405CD" w:rsidP="00140023"/>
        </w:tc>
        <w:tc>
          <w:tcPr>
            <w:tcW w:w="7172" w:type="dxa"/>
            <w:shd w:val="clear" w:color="auto" w:fill="FFFFFF" w:themeFill="background1"/>
          </w:tcPr>
          <w:p w14:paraId="6BC6200D" w14:textId="695E8C2C" w:rsidR="007405CD" w:rsidRDefault="007405CD" w:rsidP="00644DDE">
            <w:pPr>
              <w:pStyle w:val="ListParagraph"/>
              <w:numPr>
                <w:ilvl w:val="0"/>
                <w:numId w:val="74"/>
              </w:numPr>
              <w:cnfStyle w:val="000000000000" w:firstRow="0" w:lastRow="0" w:firstColumn="0" w:lastColumn="0" w:oddVBand="0" w:evenVBand="0" w:oddHBand="0" w:evenHBand="0" w:firstRowFirstColumn="0" w:firstRowLastColumn="0" w:lastRowFirstColumn="0" w:lastRowLastColumn="0"/>
            </w:pPr>
            <w:r w:rsidRPr="00140023">
              <w:rPr>
                <w:b/>
                <w:bCs/>
                <w:szCs w:val="22"/>
              </w:rPr>
              <w:t>Care at the end of life</w:t>
            </w:r>
            <w:r w:rsidRPr="00140023">
              <w:rPr>
                <w:szCs w:val="22"/>
              </w:rPr>
              <w:t xml:space="preserve"> –</w:t>
            </w:r>
            <w:r w:rsidRPr="00140023">
              <w:rPr>
                <w:b/>
                <w:bCs/>
                <w:szCs w:val="22"/>
              </w:rPr>
              <w:t xml:space="preserve"> </w:t>
            </w:r>
            <w:r w:rsidRPr="00A823DB">
              <w:t xml:space="preserve">The older person’s needs, </w:t>
            </w:r>
            <w:proofErr w:type="gramStart"/>
            <w:r w:rsidRPr="00A823DB">
              <w:t>goals</w:t>
            </w:r>
            <w:proofErr w:type="gramEnd"/>
            <w:r w:rsidRPr="00A823DB">
              <w:t xml:space="preserve"> and preferences for care at the end of life are recognised and addressed. The older person’s pain and symptoms are actively managed, their dignity is preserved, and their representatives are informed and supported. at the end of life and during the last days of life.</w:t>
            </w:r>
          </w:p>
        </w:tc>
      </w:tr>
    </w:tbl>
    <w:p w14:paraId="5507F656" w14:textId="4DEC06E3" w:rsidR="004827C7" w:rsidRDefault="004827C7" w:rsidP="004827C7"/>
    <w:tbl>
      <w:tblPr>
        <w:tblStyle w:val="TableGrid"/>
        <w:tblW w:w="9225" w:type="dxa"/>
        <w:tblLook w:val="04A0" w:firstRow="1" w:lastRow="0" w:firstColumn="1" w:lastColumn="0" w:noHBand="0" w:noVBand="1"/>
      </w:tblPr>
      <w:tblGrid>
        <w:gridCol w:w="9225"/>
      </w:tblGrid>
      <w:tr w:rsidR="006E413E" w14:paraId="1E0A65E4" w14:textId="77777777" w:rsidTr="00473F44">
        <w:trPr>
          <w:trHeight w:val="424"/>
        </w:trPr>
        <w:tc>
          <w:tcPr>
            <w:tcW w:w="9225" w:type="dxa"/>
            <w:shd w:val="clear" w:color="auto" w:fill="1E1545" w:themeFill="text2"/>
          </w:tcPr>
          <w:p w14:paraId="57D4E963" w14:textId="638A80D6" w:rsidR="006E413E" w:rsidRDefault="006E413E" w:rsidP="00473F44">
            <w:r w:rsidRPr="00644DDE">
              <w:rPr>
                <w:b/>
                <w:bCs/>
              </w:rPr>
              <w:t xml:space="preserve">Standard </w:t>
            </w:r>
            <w:r>
              <w:rPr>
                <w:b/>
                <w:bCs/>
              </w:rPr>
              <w:t>6</w:t>
            </w:r>
            <w:r>
              <w:rPr>
                <w:b/>
                <w:bCs/>
              </w:rPr>
              <w:t xml:space="preserve"> – </w:t>
            </w:r>
            <w:r>
              <w:rPr>
                <w:b/>
                <w:bCs/>
              </w:rPr>
              <w:t xml:space="preserve">Food and Nutrition </w:t>
            </w:r>
            <w:r>
              <w:rPr>
                <w:b/>
                <w:bCs/>
              </w:rPr>
              <w:t xml:space="preserve"> </w:t>
            </w:r>
          </w:p>
        </w:tc>
      </w:tr>
    </w:tbl>
    <w:tbl>
      <w:tblPr>
        <w:tblStyle w:val="ACQStablestyle"/>
        <w:tblW w:w="0" w:type="auto"/>
        <w:tblLook w:val="04A0" w:firstRow="1" w:lastRow="0" w:firstColumn="1" w:lastColumn="0" w:noHBand="0" w:noVBand="1"/>
      </w:tblPr>
      <w:tblGrid>
        <w:gridCol w:w="1838"/>
        <w:gridCol w:w="7172"/>
      </w:tblGrid>
      <w:tr w:rsidR="00140023" w14:paraId="3626CA78" w14:textId="77777777" w:rsidTr="006E41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shd w:val="clear" w:color="auto" w:fill="D1F2F4" w:themeFill="accent2" w:themeFillTint="33"/>
          </w:tcPr>
          <w:p w14:paraId="2DC24BE1" w14:textId="14696E1C" w:rsidR="00140023" w:rsidRDefault="00140023" w:rsidP="004827C7">
            <w:r w:rsidRPr="00ED7717">
              <w:rPr>
                <w:b/>
                <w:bCs/>
              </w:rPr>
              <w:t>Intent of Standard 6</w:t>
            </w:r>
          </w:p>
        </w:tc>
        <w:tc>
          <w:tcPr>
            <w:tcW w:w="7172" w:type="dxa"/>
            <w:tcBorders>
              <w:bottom w:val="single" w:sz="4" w:space="0" w:color="auto"/>
            </w:tcBorders>
            <w:shd w:val="clear" w:color="auto" w:fill="FFFFFF" w:themeFill="background1"/>
          </w:tcPr>
          <w:p w14:paraId="6E38D4A2" w14:textId="77777777" w:rsidR="00140023" w:rsidRPr="00ED7717" w:rsidRDefault="00140023" w:rsidP="00140023">
            <w:pPr>
              <w:cnfStyle w:val="100000000000" w:firstRow="1" w:lastRow="0" w:firstColumn="0" w:lastColumn="0" w:oddVBand="0" w:evenVBand="0" w:oddHBand="0" w:evenHBand="0" w:firstRowFirstColumn="0" w:firstRowLastColumn="0" w:lastRowFirstColumn="0" w:lastRowLastColumn="0"/>
              <w:rPr>
                <w:i/>
                <w:iCs/>
              </w:rPr>
            </w:pPr>
            <w:r w:rsidRPr="00ED7717">
              <w:rPr>
                <w:i/>
                <w:iCs/>
              </w:rPr>
              <w:t xml:space="preserve">Food, </w:t>
            </w:r>
            <w:proofErr w:type="gramStart"/>
            <w:r w:rsidRPr="00ED7717">
              <w:rPr>
                <w:i/>
                <w:iCs/>
              </w:rPr>
              <w:t>drink</w:t>
            </w:r>
            <w:proofErr w:type="gramEnd"/>
            <w:r w:rsidRPr="00ED7717">
              <w:rPr>
                <w:i/>
                <w:iCs/>
              </w:rPr>
              <w:t xml:space="preserve"> and the dining experience can have a huge impact on a person’s quality of life. As people age, they may lose their appetite or experience conditions that impact on their ability to eat and drink. As such, it is particularly important that providers engage with older people about what and how they like to eat and drink, deliver choice and meals that are full of flavour, appetising and nutritious (including for older people with texture modified diets), and support older people to consume as much as they want. </w:t>
            </w:r>
          </w:p>
          <w:p w14:paraId="154234E1" w14:textId="77777777" w:rsidR="00140023" w:rsidRPr="00ED7717" w:rsidRDefault="00140023" w:rsidP="00140023">
            <w:pPr>
              <w:cnfStyle w:val="100000000000" w:firstRow="1" w:lastRow="0" w:firstColumn="0" w:lastColumn="0" w:oddVBand="0" w:evenVBand="0" w:oddHBand="0" w:evenHBand="0" w:firstRowFirstColumn="0" w:firstRowLastColumn="0" w:lastRowFirstColumn="0" w:lastRowLastColumn="0"/>
              <w:rPr>
                <w:i/>
                <w:iCs/>
              </w:rPr>
            </w:pPr>
            <w:r w:rsidRPr="00ED7717">
              <w:rPr>
                <w:i/>
                <w:iCs/>
              </w:rPr>
              <w:t>In many cultures, food also plays a large role in fostering feelings of inclusion and belonging. The experience of sharing food and drink with other older people, friends and families is important for many older people.</w:t>
            </w:r>
          </w:p>
          <w:p w14:paraId="27F3501D" w14:textId="77777777" w:rsidR="00140023" w:rsidRPr="00ED7717" w:rsidRDefault="00140023" w:rsidP="00140023">
            <w:pPr>
              <w:cnfStyle w:val="100000000000" w:firstRow="1" w:lastRow="0" w:firstColumn="0" w:lastColumn="0" w:oddVBand="0" w:evenVBand="0" w:oddHBand="0" w:evenHBand="0" w:firstRowFirstColumn="0" w:firstRowLastColumn="0" w:lastRowFirstColumn="0" w:lastRowLastColumn="0"/>
              <w:rPr>
                <w:i/>
                <w:iCs/>
              </w:rPr>
            </w:pPr>
            <w:r w:rsidRPr="00ED7717">
              <w:rPr>
                <w:i/>
                <w:iCs/>
              </w:rPr>
              <w:t xml:space="preserve">Providers must draw on Standard 3 in delivering food services to ensure this is informed by robust assessment and planning, and services are delivered in line with the needs, </w:t>
            </w:r>
            <w:proofErr w:type="gramStart"/>
            <w:r w:rsidRPr="00ED7717">
              <w:rPr>
                <w:i/>
                <w:iCs/>
              </w:rPr>
              <w:t>goals</w:t>
            </w:r>
            <w:proofErr w:type="gramEnd"/>
            <w:r w:rsidRPr="00ED7717">
              <w:rPr>
                <w:i/>
                <w:iCs/>
              </w:rPr>
              <w:t xml:space="preserve"> and preferences of older people. It is also critical for providers to monitor older people for malnutrition and dehydration and respond appropriately where concerns are identified – this is addressed as part of Standard 5. </w:t>
            </w:r>
          </w:p>
          <w:p w14:paraId="11E5C0EC" w14:textId="3C55411A" w:rsidR="00140023" w:rsidRDefault="00140023" w:rsidP="00140023">
            <w:pPr>
              <w:cnfStyle w:val="100000000000" w:firstRow="1" w:lastRow="0" w:firstColumn="0" w:lastColumn="0" w:oddVBand="0" w:evenVBand="0" w:oddHBand="0" w:evenHBand="0" w:firstRowFirstColumn="0" w:firstRowLastColumn="0" w:lastRowFirstColumn="0" w:lastRowLastColumn="0"/>
            </w:pPr>
            <w:r w:rsidRPr="00ED7717">
              <w:rPr>
                <w:i/>
                <w:iCs/>
              </w:rPr>
              <w:t>Standard 6 is intended to apply only to residential care services.</w:t>
            </w:r>
          </w:p>
        </w:tc>
      </w:tr>
      <w:tr w:rsidR="00140023" w14:paraId="070F4F69" w14:textId="77777777" w:rsidTr="006E413E">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8" w:space="0" w:color="1E1545" w:themeColor="text2"/>
            </w:tcBorders>
          </w:tcPr>
          <w:p w14:paraId="093221EF" w14:textId="0E4E9E76" w:rsidR="00140023" w:rsidRDefault="00140023" w:rsidP="00140023">
            <w:r w:rsidRPr="00ED7717">
              <w:rPr>
                <w:b/>
                <w:bCs/>
              </w:rPr>
              <w:lastRenderedPageBreak/>
              <w:t>Standard 6: Food and Nutrition</w:t>
            </w:r>
          </w:p>
        </w:tc>
        <w:tc>
          <w:tcPr>
            <w:tcW w:w="7172" w:type="dxa"/>
            <w:tcBorders>
              <w:top w:val="single" w:sz="4" w:space="0" w:color="auto"/>
              <w:bottom w:val="single" w:sz="8" w:space="0" w:color="1E1545" w:themeColor="text2"/>
            </w:tcBorders>
            <w:shd w:val="clear" w:color="auto" w:fill="FFFFFF" w:themeFill="background1"/>
          </w:tcPr>
          <w:p w14:paraId="634C741C" w14:textId="53AD908A" w:rsidR="00140023" w:rsidRDefault="00140023" w:rsidP="00140023">
            <w:pPr>
              <w:cnfStyle w:val="000000000000" w:firstRow="0" w:lastRow="0" w:firstColumn="0" w:lastColumn="0" w:oddVBand="0" w:evenVBand="0" w:oddHBand="0" w:evenHBand="0" w:firstRowFirstColumn="0" w:firstRowLastColumn="0" w:lastRowFirstColumn="0" w:lastRowLastColumn="0"/>
            </w:pPr>
            <w:r w:rsidRPr="00A823DB">
              <w:rPr>
                <w:b/>
                <w:bCs/>
              </w:rPr>
              <w:t>Standard 6 expectation statement for older people:</w:t>
            </w:r>
            <w:r w:rsidRPr="00A823DB">
              <w:t xml:space="preserve"> I receive plenty of food and drinks that I enjoy. Food and drinks are appetising, </w:t>
            </w:r>
            <w:proofErr w:type="gramStart"/>
            <w:r w:rsidRPr="00A823DB">
              <w:t>nutritious</w:t>
            </w:r>
            <w:proofErr w:type="gramEnd"/>
            <w:r w:rsidRPr="00A823DB">
              <w:t xml:space="preserve"> and safe, and meet my needs and preferences. The dining experience is enjoyable, includes variety and supports a sense of belonging.</w:t>
            </w:r>
          </w:p>
        </w:tc>
      </w:tr>
      <w:tr w:rsidR="007405CD" w14:paraId="735BC89D"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single" w:sz="8" w:space="0" w:color="1E1545" w:themeColor="text2"/>
              <w:bottom w:val="nil"/>
            </w:tcBorders>
          </w:tcPr>
          <w:p w14:paraId="71661E92" w14:textId="5D7F1854" w:rsidR="007405CD" w:rsidRDefault="007405CD" w:rsidP="00140023">
            <w:r w:rsidRPr="00ED7717">
              <w:rPr>
                <w:b/>
                <w:bCs/>
              </w:rPr>
              <w:t>Outcomes</w:t>
            </w:r>
          </w:p>
        </w:tc>
        <w:tc>
          <w:tcPr>
            <w:tcW w:w="7172" w:type="dxa"/>
            <w:tcBorders>
              <w:top w:val="single" w:sz="8" w:space="0" w:color="1E1545" w:themeColor="text2"/>
            </w:tcBorders>
            <w:shd w:val="clear" w:color="auto" w:fill="FFFFFF" w:themeFill="background1"/>
          </w:tcPr>
          <w:p w14:paraId="75AFC66A" w14:textId="54AC2752" w:rsidR="007405CD" w:rsidRDefault="007405CD" w:rsidP="00644D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rsidRPr="00140023">
              <w:rPr>
                <w:b/>
                <w:bCs/>
              </w:rPr>
              <w:t>Partnering with older people on food and nutrition</w:t>
            </w:r>
            <w:r w:rsidRPr="00ED7717">
              <w:t xml:space="preserve"> –</w:t>
            </w:r>
            <w:r>
              <w:br/>
            </w:r>
            <w:r w:rsidRPr="00A51CFB">
              <w:t>The provider partners with older people to provide a quality food service, which includes appealing and varied food and drinks and an enjoyable dining experience.</w:t>
            </w:r>
          </w:p>
        </w:tc>
      </w:tr>
      <w:tr w:rsidR="007405CD" w14:paraId="6A1FF304"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232C35D5" w14:textId="77777777" w:rsidR="007405CD" w:rsidRDefault="007405CD" w:rsidP="00140023"/>
        </w:tc>
        <w:tc>
          <w:tcPr>
            <w:tcW w:w="7172" w:type="dxa"/>
            <w:shd w:val="clear" w:color="auto" w:fill="FFFFFF" w:themeFill="background1"/>
          </w:tcPr>
          <w:p w14:paraId="7219FD86" w14:textId="65E8B0EE" w:rsidR="007405CD" w:rsidRDefault="007405CD" w:rsidP="00644D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rsidRPr="00140023">
              <w:rPr>
                <w:b/>
                <w:bCs/>
              </w:rPr>
              <w:t>Assessment of nutritional needs and preferences</w:t>
            </w:r>
            <w:r w:rsidRPr="00ED7717">
              <w:t xml:space="preserve"> –</w:t>
            </w:r>
            <w:r>
              <w:br/>
            </w:r>
            <w:r w:rsidRPr="00A51CFB">
              <w:t>The provider understands the speci</w:t>
            </w:r>
            <w:r>
              <w:t>fic</w:t>
            </w:r>
            <w:r w:rsidRPr="00A51CFB">
              <w:t xml:space="preserve"> nutritional needs</w:t>
            </w:r>
            <w:r>
              <w:br/>
            </w:r>
            <w:r w:rsidRPr="00A51CFB">
              <w:t xml:space="preserve">of older people and assesses each older person’s current needs, </w:t>
            </w:r>
            <w:proofErr w:type="gramStart"/>
            <w:r w:rsidRPr="00A51CFB">
              <w:t>abilities</w:t>
            </w:r>
            <w:proofErr w:type="gramEnd"/>
            <w:r w:rsidRPr="00A51CFB">
              <w:t xml:space="preserve"> and preferences in relation to what and how they eat and drink.</w:t>
            </w:r>
          </w:p>
        </w:tc>
      </w:tr>
      <w:tr w:rsidR="007405CD" w14:paraId="3EBF2765"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nil"/>
            </w:tcBorders>
          </w:tcPr>
          <w:p w14:paraId="66BACBAC" w14:textId="77777777" w:rsidR="007405CD" w:rsidRDefault="007405CD" w:rsidP="00140023"/>
        </w:tc>
        <w:tc>
          <w:tcPr>
            <w:tcW w:w="7172" w:type="dxa"/>
            <w:shd w:val="clear" w:color="auto" w:fill="FFFFFF" w:themeFill="background1"/>
          </w:tcPr>
          <w:p w14:paraId="272482EB" w14:textId="5B010D13" w:rsidR="007405CD" w:rsidRDefault="007405CD" w:rsidP="00644D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rsidRPr="00140023">
              <w:rPr>
                <w:b/>
                <w:bCs/>
              </w:rPr>
              <w:t>Provision of food and drink</w:t>
            </w:r>
            <w:r w:rsidRPr="00ED7717">
              <w:t xml:space="preserve"> – </w:t>
            </w:r>
            <w:r w:rsidRPr="00A51CFB">
              <w:t xml:space="preserve">Older people have food and drinks that are appetising, </w:t>
            </w:r>
            <w:proofErr w:type="gramStart"/>
            <w:r w:rsidRPr="00A51CFB">
              <w:t>flavoursome</w:t>
            </w:r>
            <w:proofErr w:type="gramEnd"/>
            <w:r w:rsidRPr="00A51CFB">
              <w:t xml:space="preserve"> and nutritious, have variation and choice about what they eat and drink and are able to eat and drink as much as they want.</w:t>
            </w:r>
          </w:p>
        </w:tc>
      </w:tr>
      <w:tr w:rsidR="007405CD" w14:paraId="5FB022BB"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single" w:sz="4" w:space="0" w:color="auto"/>
            </w:tcBorders>
          </w:tcPr>
          <w:p w14:paraId="4657261B" w14:textId="77777777" w:rsidR="007405CD" w:rsidRDefault="007405CD" w:rsidP="00140023"/>
        </w:tc>
        <w:tc>
          <w:tcPr>
            <w:tcW w:w="7172" w:type="dxa"/>
            <w:tcBorders>
              <w:bottom w:val="single" w:sz="4" w:space="0" w:color="auto"/>
            </w:tcBorders>
            <w:shd w:val="clear" w:color="auto" w:fill="FFFFFF" w:themeFill="background1"/>
          </w:tcPr>
          <w:p w14:paraId="185DC08A" w14:textId="525F6E70" w:rsidR="007405CD" w:rsidRDefault="007405CD" w:rsidP="00644DDE">
            <w:pPr>
              <w:pStyle w:val="ListParagraph"/>
              <w:numPr>
                <w:ilvl w:val="0"/>
                <w:numId w:val="75"/>
              </w:numPr>
              <w:cnfStyle w:val="000000000000" w:firstRow="0" w:lastRow="0" w:firstColumn="0" w:lastColumn="0" w:oddVBand="0" w:evenVBand="0" w:oddHBand="0" w:evenHBand="0" w:firstRowFirstColumn="0" w:firstRowLastColumn="0" w:lastRowFirstColumn="0" w:lastRowLastColumn="0"/>
            </w:pPr>
            <w:r w:rsidRPr="00140023">
              <w:rPr>
                <w:b/>
                <w:bCs/>
              </w:rPr>
              <w:t>Dining experience</w:t>
            </w:r>
            <w:r w:rsidRPr="00140023">
              <w:rPr>
                <w:rFonts w:asciiTheme="minorHAnsi" w:hAnsiTheme="minorHAnsi" w:cstheme="minorHAnsi"/>
                <w:szCs w:val="22"/>
              </w:rPr>
              <w:t xml:space="preserve"> – </w:t>
            </w:r>
            <w:r w:rsidRPr="00A823DB">
              <w:t>Older people are supported to eat and drink and enjoy the dining experience.</w:t>
            </w:r>
          </w:p>
        </w:tc>
      </w:tr>
    </w:tbl>
    <w:p w14:paraId="01353E3A" w14:textId="23B6D3A6" w:rsidR="00807B37" w:rsidRDefault="00807B37" w:rsidP="004827C7"/>
    <w:p w14:paraId="37E24E1D" w14:textId="77777777" w:rsidR="00807B37" w:rsidRDefault="00807B37">
      <w:pPr>
        <w:spacing w:before="0" w:after="0" w:line="240" w:lineRule="auto"/>
      </w:pPr>
      <w:r>
        <w:br w:type="page"/>
      </w:r>
    </w:p>
    <w:tbl>
      <w:tblPr>
        <w:tblStyle w:val="TableGrid"/>
        <w:tblW w:w="9225" w:type="dxa"/>
        <w:tblLook w:val="04A0" w:firstRow="1" w:lastRow="0" w:firstColumn="1" w:lastColumn="0" w:noHBand="0" w:noVBand="1"/>
      </w:tblPr>
      <w:tblGrid>
        <w:gridCol w:w="9225"/>
      </w:tblGrid>
      <w:tr w:rsidR="00021614" w14:paraId="65FB151D" w14:textId="77777777" w:rsidTr="00473F44">
        <w:trPr>
          <w:trHeight w:val="424"/>
        </w:trPr>
        <w:tc>
          <w:tcPr>
            <w:tcW w:w="9225" w:type="dxa"/>
            <w:shd w:val="clear" w:color="auto" w:fill="1E1545" w:themeFill="text2"/>
          </w:tcPr>
          <w:p w14:paraId="649FEAAF" w14:textId="31B79578" w:rsidR="00021614" w:rsidRDefault="00021614" w:rsidP="00473F44">
            <w:r w:rsidRPr="00644DDE">
              <w:rPr>
                <w:b/>
                <w:bCs/>
              </w:rPr>
              <w:lastRenderedPageBreak/>
              <w:t xml:space="preserve">Standard </w:t>
            </w:r>
            <w:r>
              <w:rPr>
                <w:b/>
                <w:bCs/>
              </w:rPr>
              <w:t>7</w:t>
            </w:r>
            <w:r>
              <w:rPr>
                <w:b/>
                <w:bCs/>
              </w:rPr>
              <w:t xml:space="preserve"> – </w:t>
            </w:r>
            <w:r w:rsidRPr="006E413E">
              <w:rPr>
                <w:b/>
                <w:bCs/>
              </w:rPr>
              <w:t xml:space="preserve">The </w:t>
            </w:r>
            <w:r>
              <w:rPr>
                <w:b/>
                <w:bCs/>
              </w:rPr>
              <w:t xml:space="preserve">Residential Community </w:t>
            </w:r>
            <w:r>
              <w:rPr>
                <w:b/>
                <w:bCs/>
              </w:rPr>
              <w:t xml:space="preserve"> </w:t>
            </w:r>
          </w:p>
        </w:tc>
      </w:tr>
    </w:tbl>
    <w:tbl>
      <w:tblPr>
        <w:tblStyle w:val="ACQStablestyle"/>
        <w:tblW w:w="0" w:type="auto"/>
        <w:tblLook w:val="04A0" w:firstRow="1" w:lastRow="0" w:firstColumn="1" w:lastColumn="0" w:noHBand="0" w:noVBand="1"/>
      </w:tblPr>
      <w:tblGrid>
        <w:gridCol w:w="1838"/>
        <w:gridCol w:w="7172"/>
      </w:tblGrid>
      <w:tr w:rsidR="00807B37" w14:paraId="1DBC1E70" w14:textId="77777777" w:rsidTr="000216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D1F2F4" w:themeFill="accent2" w:themeFillTint="33"/>
          </w:tcPr>
          <w:p w14:paraId="10FD5D9D" w14:textId="57A8408D" w:rsidR="00807B37" w:rsidRDefault="00807B37" w:rsidP="004827C7">
            <w:r w:rsidRPr="00ED7717">
              <w:rPr>
                <w:b/>
                <w:bCs/>
              </w:rPr>
              <w:t>Intent of Standard 7</w:t>
            </w:r>
          </w:p>
        </w:tc>
        <w:tc>
          <w:tcPr>
            <w:tcW w:w="7172" w:type="dxa"/>
            <w:shd w:val="clear" w:color="auto" w:fill="FFFFFF" w:themeFill="background1"/>
          </w:tcPr>
          <w:p w14:paraId="726D5356" w14:textId="77777777" w:rsidR="00807B37" w:rsidRPr="00ED7717" w:rsidRDefault="00807B37" w:rsidP="00807B37">
            <w:pPr>
              <w:cnfStyle w:val="100000000000" w:firstRow="1" w:lastRow="0" w:firstColumn="0" w:lastColumn="0" w:oddVBand="0" w:evenVBand="0" w:oddHBand="0" w:evenHBand="0" w:firstRowFirstColumn="0" w:firstRowLastColumn="0" w:lastRowFirstColumn="0" w:lastRowLastColumn="0"/>
              <w:rPr>
                <w:i/>
                <w:iCs/>
              </w:rPr>
            </w:pPr>
            <w:r w:rsidRPr="00ED7717">
              <w:rPr>
                <w:i/>
                <w:iCs/>
              </w:rPr>
              <w:t xml:space="preserve">When people move into a residential service, the residential community becomes a central feature of their lives. It is critical that older people feel safe and at home in the residential community, have opportunities to do things that are meaningful to them and are supported to maintain connections with people important to them. Meaningful activities can include participating in hobbies or community groups, seeing friends and family or activities that contribute to the residential community such as gardening, </w:t>
            </w:r>
            <w:proofErr w:type="gramStart"/>
            <w:r w:rsidRPr="00ED7717">
              <w:rPr>
                <w:i/>
                <w:iCs/>
              </w:rPr>
              <w:t>cooking</w:t>
            </w:r>
            <w:proofErr w:type="gramEnd"/>
            <w:r w:rsidRPr="00ED7717">
              <w:rPr>
                <w:i/>
                <w:iCs/>
              </w:rPr>
              <w:t xml:space="preserve"> and setting tables.</w:t>
            </w:r>
          </w:p>
          <w:p w14:paraId="6722FB62" w14:textId="77777777" w:rsidR="00807B37" w:rsidRPr="00ED7717" w:rsidRDefault="00807B37" w:rsidP="00807B37">
            <w:pPr>
              <w:cnfStyle w:val="100000000000" w:firstRow="1" w:lastRow="0" w:firstColumn="0" w:lastColumn="0" w:oddVBand="0" w:evenVBand="0" w:oddHBand="0" w:evenHBand="0" w:firstRowFirstColumn="0" w:firstRowLastColumn="0" w:lastRowFirstColumn="0" w:lastRowLastColumn="0"/>
              <w:rPr>
                <w:i/>
                <w:iCs/>
              </w:rPr>
            </w:pPr>
            <w:r w:rsidRPr="00ED7717">
              <w:rPr>
                <w:i/>
                <w:iCs/>
              </w:rPr>
              <w:t xml:space="preserve">A residential community can involve diverse members from different cultures and backgrounds. It is important that each older person's culture is </w:t>
            </w:r>
            <w:proofErr w:type="gramStart"/>
            <w:r w:rsidRPr="00ED7717">
              <w:rPr>
                <w:i/>
                <w:iCs/>
              </w:rPr>
              <w:t>respected</w:t>
            </w:r>
            <w:proofErr w:type="gramEnd"/>
            <w:r w:rsidRPr="00ED7717">
              <w:rPr>
                <w:i/>
                <w:iCs/>
              </w:rPr>
              <w:t xml:space="preserve"> and their diversity valued so they feel included, safe and at home in the service. </w:t>
            </w:r>
          </w:p>
          <w:p w14:paraId="4412C33B" w14:textId="77777777" w:rsidR="00807B37" w:rsidRPr="00ED7717" w:rsidRDefault="00807B37" w:rsidP="00807B37">
            <w:pPr>
              <w:cnfStyle w:val="100000000000" w:firstRow="1" w:lastRow="0" w:firstColumn="0" w:lastColumn="0" w:oddVBand="0" w:evenVBand="0" w:oddHBand="0" w:evenHBand="0" w:firstRowFirstColumn="0" w:firstRowLastColumn="0" w:lastRowFirstColumn="0" w:lastRowLastColumn="0"/>
              <w:rPr>
                <w:i/>
                <w:iCs/>
              </w:rPr>
            </w:pPr>
            <w:r w:rsidRPr="00ED7717">
              <w:rPr>
                <w:i/>
                <w:iCs/>
              </w:rPr>
              <w:t xml:space="preserve">Given the scope of responsibility in residential care, providers also have increased requirements to ensure that older people have access to other services and to coordinate a planned transition to or from the service to maximise continuity of care for older people. </w:t>
            </w:r>
          </w:p>
          <w:p w14:paraId="62FCF7D2" w14:textId="1ED8861A" w:rsidR="00807B37" w:rsidRDefault="00807B37" w:rsidP="00807B37">
            <w:pPr>
              <w:cnfStyle w:val="100000000000" w:firstRow="1" w:lastRow="0" w:firstColumn="0" w:lastColumn="0" w:oddVBand="0" w:evenVBand="0" w:oddHBand="0" w:evenHBand="0" w:firstRowFirstColumn="0" w:firstRowLastColumn="0" w:lastRowFirstColumn="0" w:lastRowLastColumn="0"/>
            </w:pPr>
            <w:r w:rsidRPr="00ED7717">
              <w:rPr>
                <w:i/>
                <w:iCs/>
              </w:rPr>
              <w:t>Standard 7 is intended to apply only to residential care services.</w:t>
            </w:r>
          </w:p>
        </w:tc>
      </w:tr>
      <w:tr w:rsidR="00807B37" w14:paraId="2D2AA416" w14:textId="77777777" w:rsidTr="00021614">
        <w:tc>
          <w:tcPr>
            <w:cnfStyle w:val="001000000000" w:firstRow="0" w:lastRow="0" w:firstColumn="1" w:lastColumn="0" w:oddVBand="0" w:evenVBand="0" w:oddHBand="0" w:evenHBand="0" w:firstRowFirstColumn="0" w:firstRowLastColumn="0" w:lastRowFirstColumn="0" w:lastRowLastColumn="0"/>
            <w:tcW w:w="1838" w:type="dxa"/>
          </w:tcPr>
          <w:p w14:paraId="54E87EC9" w14:textId="3E845AED" w:rsidR="00807B37" w:rsidRDefault="00807B37" w:rsidP="004827C7">
            <w:r w:rsidRPr="00ED7717">
              <w:rPr>
                <w:b/>
                <w:bCs/>
              </w:rPr>
              <w:t>Standard 7: The Residential Community</w:t>
            </w:r>
          </w:p>
        </w:tc>
        <w:tc>
          <w:tcPr>
            <w:tcW w:w="7172" w:type="dxa"/>
            <w:shd w:val="clear" w:color="auto" w:fill="FFFFFF" w:themeFill="background1"/>
          </w:tcPr>
          <w:p w14:paraId="7654C586" w14:textId="209E043B" w:rsidR="00807B37" w:rsidRDefault="00807B37" w:rsidP="004827C7">
            <w:pPr>
              <w:cnfStyle w:val="000000000000" w:firstRow="0" w:lastRow="0" w:firstColumn="0" w:lastColumn="0" w:oddVBand="0" w:evenVBand="0" w:oddHBand="0" w:evenHBand="0" w:firstRowFirstColumn="0" w:firstRowLastColumn="0" w:lastRowFirstColumn="0" w:lastRowLastColumn="0"/>
            </w:pPr>
            <w:r w:rsidRPr="00A823DB">
              <w:rPr>
                <w:b/>
                <w:bCs/>
              </w:rPr>
              <w:t>Standard 7 expectation statement for older people:</w:t>
            </w:r>
            <w:r w:rsidRPr="00A823DB">
              <w:t xml:space="preserve"> I am supported to do the things I want and to maintain my relationships and connections with my community. I am confident in the continuity of my care and security of my accommodation.</w:t>
            </w:r>
          </w:p>
        </w:tc>
      </w:tr>
      <w:tr w:rsidR="007405CD" w14:paraId="79FFEE09"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bottom w:val="nil"/>
            </w:tcBorders>
          </w:tcPr>
          <w:p w14:paraId="57E5A3F3" w14:textId="00C80069" w:rsidR="007405CD" w:rsidRDefault="007405CD" w:rsidP="00807B37">
            <w:r w:rsidRPr="00ED7717">
              <w:rPr>
                <w:b/>
                <w:bCs/>
              </w:rPr>
              <w:t>Outcomes</w:t>
            </w:r>
          </w:p>
        </w:tc>
        <w:tc>
          <w:tcPr>
            <w:tcW w:w="7172" w:type="dxa"/>
            <w:shd w:val="clear" w:color="auto" w:fill="FFFFFF" w:themeFill="background1"/>
          </w:tcPr>
          <w:p w14:paraId="1FCF97D1" w14:textId="69489434" w:rsidR="007405CD" w:rsidRDefault="007405CD" w:rsidP="00644DDE">
            <w:pPr>
              <w:pStyle w:val="ListParagraph"/>
              <w:numPr>
                <w:ilvl w:val="0"/>
                <w:numId w:val="76"/>
              </w:numPr>
              <w:cnfStyle w:val="000000000000" w:firstRow="0" w:lastRow="0" w:firstColumn="0" w:lastColumn="0" w:oddVBand="0" w:evenVBand="0" w:oddHBand="0" w:evenHBand="0" w:firstRowFirstColumn="0" w:firstRowLastColumn="0" w:lastRowFirstColumn="0" w:lastRowLastColumn="0"/>
            </w:pPr>
            <w:r w:rsidRPr="00807B37">
              <w:rPr>
                <w:b/>
                <w:bCs/>
              </w:rPr>
              <w:t>Daily living</w:t>
            </w:r>
            <w:r w:rsidRPr="00ED7717">
              <w:t xml:space="preserve"> – </w:t>
            </w:r>
            <w:r w:rsidRPr="008E74DF">
              <w:t>Older people get the services and supports for daily living that are important for their health and well-being, consider their specific circumstances and enable them to do the things they want to do. Older people feel safe in their service environment.</w:t>
            </w:r>
          </w:p>
        </w:tc>
      </w:tr>
      <w:tr w:rsidR="007405CD" w14:paraId="40A31A84" w14:textId="77777777" w:rsidTr="007405CD">
        <w:tc>
          <w:tcPr>
            <w:cnfStyle w:val="001000000000" w:firstRow="0" w:lastRow="0" w:firstColumn="1" w:lastColumn="0" w:oddVBand="0" w:evenVBand="0" w:oddHBand="0" w:evenHBand="0" w:firstRowFirstColumn="0" w:firstRowLastColumn="0" w:lastRowFirstColumn="0" w:lastRowLastColumn="0"/>
            <w:tcW w:w="1838" w:type="dxa"/>
            <w:tcBorders>
              <w:top w:val="nil"/>
              <w:bottom w:val="single" w:sz="4" w:space="0" w:color="auto"/>
            </w:tcBorders>
          </w:tcPr>
          <w:p w14:paraId="6A5BC98D" w14:textId="77777777" w:rsidR="007405CD" w:rsidRDefault="007405CD" w:rsidP="00807B37"/>
        </w:tc>
        <w:tc>
          <w:tcPr>
            <w:tcW w:w="7172" w:type="dxa"/>
            <w:tcBorders>
              <w:bottom w:val="single" w:sz="4" w:space="0" w:color="auto"/>
            </w:tcBorders>
            <w:shd w:val="clear" w:color="auto" w:fill="FFFFFF" w:themeFill="background1"/>
          </w:tcPr>
          <w:p w14:paraId="5E5010D8" w14:textId="206A6B6E" w:rsidR="007405CD" w:rsidRDefault="007405CD" w:rsidP="00644DDE">
            <w:pPr>
              <w:pStyle w:val="ListParagraph"/>
              <w:numPr>
                <w:ilvl w:val="0"/>
                <w:numId w:val="76"/>
              </w:numPr>
              <w:cnfStyle w:val="000000000000" w:firstRow="0" w:lastRow="0" w:firstColumn="0" w:lastColumn="0" w:oddVBand="0" w:evenVBand="0" w:oddHBand="0" w:evenHBand="0" w:firstRowFirstColumn="0" w:firstRowLastColumn="0" w:lastRowFirstColumn="0" w:lastRowLastColumn="0"/>
            </w:pPr>
            <w:r w:rsidRPr="00807B37">
              <w:rPr>
                <w:b/>
                <w:bCs/>
              </w:rPr>
              <w:t>Planned transitions</w:t>
            </w:r>
            <w:r w:rsidRPr="00ED7717">
              <w:t xml:space="preserve"> – </w:t>
            </w:r>
            <w:r w:rsidRPr="008E74DF">
              <w:t>Older people experience a planned and coordinated transition to or from the provider. There is clear responsibility and accountability for an older person’s care and services between workers and across organisations.</w:t>
            </w:r>
          </w:p>
        </w:tc>
      </w:tr>
    </w:tbl>
    <w:p w14:paraId="653C2E13" w14:textId="77777777" w:rsidR="0018625C" w:rsidRPr="0018625C" w:rsidRDefault="0018625C" w:rsidP="00644DDE">
      <w:pPr>
        <w:pStyle w:val="Heading6"/>
      </w:pPr>
      <w:bookmarkStart w:id="8" w:name="_Focus_on_the"/>
      <w:bookmarkStart w:id="9" w:name="_Strengthened_concepts"/>
      <w:bookmarkStart w:id="10" w:name="_Clear_expectations"/>
      <w:bookmarkStart w:id="11" w:name="_More_detailed_requirements"/>
      <w:bookmarkStart w:id="12" w:name="_Proportionate,_risk-based_applicati"/>
      <w:bookmarkStart w:id="13" w:name="_Harmonisation"/>
      <w:bookmarkStart w:id="14" w:name="_Attachment_A:_Reforms"/>
      <w:bookmarkEnd w:id="8"/>
      <w:bookmarkEnd w:id="9"/>
      <w:bookmarkEnd w:id="10"/>
      <w:bookmarkEnd w:id="11"/>
      <w:bookmarkEnd w:id="12"/>
      <w:bookmarkEnd w:id="13"/>
      <w:bookmarkEnd w:id="14"/>
    </w:p>
    <w:sectPr w:rsidR="0018625C" w:rsidRPr="0018625C" w:rsidSect="00816B90">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AA80" w14:textId="77777777" w:rsidR="007F421E" w:rsidRDefault="007F421E" w:rsidP="00FF38FB">
      <w:pPr>
        <w:spacing w:before="0" w:after="0" w:line="240" w:lineRule="auto"/>
      </w:pPr>
      <w:r>
        <w:separator/>
      </w:r>
    </w:p>
  </w:endnote>
  <w:endnote w:type="continuationSeparator" w:id="0">
    <w:p w14:paraId="53253915" w14:textId="77777777" w:rsidR="007F421E" w:rsidRDefault="007F421E" w:rsidP="00FF38FB">
      <w:pPr>
        <w:spacing w:before="0" w:after="0" w:line="240" w:lineRule="auto"/>
      </w:pPr>
      <w:r>
        <w:continuationSeparator/>
      </w:r>
    </w:p>
  </w:endnote>
  <w:endnote w:type="continuationNotice" w:id="1">
    <w:p w14:paraId="1A92CBB5" w14:textId="77777777" w:rsidR="007F421E" w:rsidRDefault="007F42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Times New Roman (Body CS)">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5765834"/>
      <w:docPartObj>
        <w:docPartGallery w:val="Page Numbers (Bottom of Page)"/>
        <w:docPartUnique/>
      </w:docPartObj>
    </w:sdtPr>
    <w:sdtEndPr>
      <w:rPr>
        <w:rStyle w:val="PageNumber"/>
      </w:rPr>
    </w:sdtEndPr>
    <w:sdtContent>
      <w:p w14:paraId="70EAFAE7" w14:textId="0D281C52" w:rsidR="009D3DB5" w:rsidRDefault="009D3DB5" w:rsidP="003B22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4C028C3" w14:textId="7814B523" w:rsidR="00FF38FB" w:rsidRDefault="00E06C17" w:rsidP="009D3DB5">
    <w:pPr>
      <w:pStyle w:val="Footer"/>
      <w:ind w:right="360"/>
    </w:pPr>
    <w:r>
      <w:rPr>
        <w:b/>
        <w:bCs/>
        <w:color w:val="056071" w:themeColor="accent1"/>
      </w:rPr>
      <w:t>R</w:t>
    </w:r>
    <w:r w:rsidR="009D3DB5" w:rsidRPr="009D3DB5">
      <w:rPr>
        <w:b/>
        <w:bCs/>
        <w:color w:val="056071" w:themeColor="accent1"/>
      </w:rPr>
      <w:t>evised Aged Care Quality Standards</w:t>
    </w:r>
    <w:r w:rsidR="009D3DB5">
      <w:t xml:space="preserve"> </w:t>
    </w:r>
    <w:r w:rsidR="000B52DE">
      <w:t>Summ</w:t>
    </w:r>
    <w:r>
      <w:t>ary</w:t>
    </w:r>
    <w:r w:rsidR="000437A4">
      <w:t xml:space="preserve"> (draft for public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167D" w14:textId="77777777" w:rsidR="007F421E" w:rsidRDefault="007F421E" w:rsidP="00FF38FB">
      <w:pPr>
        <w:spacing w:before="0" w:after="0" w:line="240" w:lineRule="auto"/>
      </w:pPr>
      <w:r>
        <w:separator/>
      </w:r>
    </w:p>
  </w:footnote>
  <w:footnote w:type="continuationSeparator" w:id="0">
    <w:p w14:paraId="3B461C99" w14:textId="77777777" w:rsidR="007F421E" w:rsidRDefault="007F421E" w:rsidP="00FF38FB">
      <w:pPr>
        <w:spacing w:before="0" w:after="0" w:line="240" w:lineRule="auto"/>
      </w:pPr>
      <w:r>
        <w:continuationSeparator/>
      </w:r>
    </w:p>
  </w:footnote>
  <w:footnote w:type="continuationNotice" w:id="1">
    <w:p w14:paraId="749567FA" w14:textId="77777777" w:rsidR="007F421E" w:rsidRDefault="007F421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5274" w14:textId="2F6D105F" w:rsidR="00FF38FB" w:rsidRDefault="0086329A">
    <w:pPr>
      <w:pStyle w:val="Header"/>
    </w:pPr>
    <w:r>
      <w:rPr>
        <w:noProof/>
      </w:rPr>
      <w:drawing>
        <wp:anchor distT="0" distB="0" distL="114300" distR="114300" simplePos="0" relativeHeight="251658241" behindDoc="1" locked="0" layoutInCell="1" allowOverlap="1" wp14:anchorId="0619E7C7" wp14:editId="5BD669E6">
          <wp:simplePos x="0" y="0"/>
          <wp:positionH relativeFrom="column">
            <wp:posOffset>-914400</wp:posOffset>
          </wp:positionH>
          <wp:positionV relativeFrom="paragraph">
            <wp:posOffset>-449580</wp:posOffset>
          </wp:positionV>
          <wp:extent cx="7585408" cy="65175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61269"/>
                  <a:stretch/>
                </pic:blipFill>
                <pic:spPr bwMode="auto">
                  <a:xfrm>
                    <a:off x="0" y="0"/>
                    <a:ext cx="7626018" cy="6552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7755">
      <w:rPr>
        <w:noProof/>
      </w:rPr>
      <w:drawing>
        <wp:anchor distT="0" distB="0" distL="114300" distR="114300" simplePos="0" relativeHeight="251658240" behindDoc="1" locked="0" layoutInCell="1" allowOverlap="1" wp14:anchorId="01538338" wp14:editId="4082C548">
          <wp:simplePos x="0" y="0"/>
          <wp:positionH relativeFrom="column">
            <wp:posOffset>-914400</wp:posOffset>
          </wp:positionH>
          <wp:positionV relativeFrom="paragraph">
            <wp:posOffset>-448945</wp:posOffset>
          </wp:positionV>
          <wp:extent cx="7560857" cy="106992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857" cy="10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14F6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82AA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7C4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810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064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4E2A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26E8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B2A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7CE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360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1014147E"/>
    <w:lvl w:ilvl="0" w:tplc="DC58DCAA">
      <w:start w:val="1"/>
      <w:numFmt w:val="bullet"/>
      <w:lvlText w:val="•"/>
      <w:lvlJc w:val="left"/>
      <w:pPr>
        <w:ind w:left="360" w:hanging="360"/>
      </w:pPr>
    </w:lvl>
    <w:lvl w:ilvl="1" w:tplc="0809000B">
      <w:start w:val="1"/>
      <w:numFmt w:val="bullet"/>
      <w:lvlText w:val=""/>
      <w:lvlJc w:val="left"/>
      <w:pPr>
        <w:ind w:left="360" w:hanging="360"/>
      </w:pPr>
      <w:rPr>
        <w:rFonts w:ascii="Wingdings" w:hAnsi="Wingdings" w:hint="default"/>
      </w:rPr>
    </w:lvl>
    <w:lvl w:ilvl="2" w:tplc="0809000B">
      <w:start w:val="1"/>
      <w:numFmt w:val="bullet"/>
      <w:lvlText w:val=""/>
      <w:lvlJc w:val="left"/>
      <w:pPr>
        <w:ind w:left="360" w:hanging="360"/>
      </w:pPr>
      <w:rPr>
        <w:rFonts w:ascii="Wingdings" w:hAnsi="Wingdings" w:hint="default"/>
      </w:rPr>
    </w:lvl>
    <w:lvl w:ilvl="3" w:tplc="0809000B">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E367F3"/>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7340FE"/>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76561A8"/>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1622A2"/>
    <w:multiLevelType w:val="multilevel"/>
    <w:tmpl w:val="D988E202"/>
    <w:lvl w:ilvl="0">
      <w:start w:val="1"/>
      <w:numFmt w:val="decimal"/>
      <w:lvlText w:val="3.%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342F71"/>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5E3560"/>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C8B6E9B"/>
    <w:multiLevelType w:val="multilevel"/>
    <w:tmpl w:val="A3A8FD6A"/>
    <w:lvl w:ilvl="0">
      <w:start w:val="1"/>
      <w:numFmt w:val="decimal"/>
      <w:lvlText w:val="2.%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694048"/>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82498F"/>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D27FC9"/>
    <w:multiLevelType w:val="multilevel"/>
    <w:tmpl w:val="D988E202"/>
    <w:lvl w:ilvl="0">
      <w:start w:val="1"/>
      <w:numFmt w:val="decimal"/>
      <w:lvlText w:val="3.%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5447FFD"/>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DB2CC6"/>
    <w:multiLevelType w:val="multilevel"/>
    <w:tmpl w:val="A3A8FD6A"/>
    <w:lvl w:ilvl="0">
      <w:start w:val="1"/>
      <w:numFmt w:val="decimal"/>
      <w:lvlText w:val="2.%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F875BD"/>
    <w:multiLevelType w:val="hybridMultilevel"/>
    <w:tmpl w:val="D23A89F8"/>
    <w:lvl w:ilvl="0" w:tplc="781420A6">
      <w:start w:val="1"/>
      <w:numFmt w:val="bullet"/>
      <w:pStyle w:val="mpcbullets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65A397C"/>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70CCD32"/>
    <w:multiLevelType w:val="hybridMultilevel"/>
    <w:tmpl w:val="202C8086"/>
    <w:lvl w:ilvl="0" w:tplc="31CE1E40">
      <w:start w:val="1"/>
      <w:numFmt w:val="bullet"/>
      <w:lvlText w:val=""/>
      <w:lvlJc w:val="left"/>
      <w:pPr>
        <w:ind w:left="720" w:hanging="360"/>
      </w:pPr>
      <w:rPr>
        <w:rFonts w:ascii="Symbol" w:hAnsi="Symbol" w:hint="default"/>
      </w:rPr>
    </w:lvl>
    <w:lvl w:ilvl="1" w:tplc="DDFCBD00">
      <w:start w:val="1"/>
      <w:numFmt w:val="bullet"/>
      <w:lvlText w:val="o"/>
      <w:lvlJc w:val="left"/>
      <w:pPr>
        <w:ind w:left="1440" w:hanging="360"/>
      </w:pPr>
      <w:rPr>
        <w:rFonts w:ascii="Courier New" w:hAnsi="Courier New" w:hint="default"/>
      </w:rPr>
    </w:lvl>
    <w:lvl w:ilvl="2" w:tplc="209EB94C">
      <w:start w:val="1"/>
      <w:numFmt w:val="bullet"/>
      <w:lvlText w:val=""/>
      <w:lvlJc w:val="left"/>
      <w:pPr>
        <w:ind w:left="2160" w:hanging="360"/>
      </w:pPr>
      <w:rPr>
        <w:rFonts w:ascii="Wingdings" w:hAnsi="Wingdings" w:hint="default"/>
      </w:rPr>
    </w:lvl>
    <w:lvl w:ilvl="3" w:tplc="5194FE22">
      <w:start w:val="1"/>
      <w:numFmt w:val="bullet"/>
      <w:lvlText w:val=""/>
      <w:lvlJc w:val="left"/>
      <w:pPr>
        <w:ind w:left="2880" w:hanging="360"/>
      </w:pPr>
      <w:rPr>
        <w:rFonts w:ascii="Symbol" w:hAnsi="Symbol" w:hint="default"/>
      </w:rPr>
    </w:lvl>
    <w:lvl w:ilvl="4" w:tplc="16A4D298">
      <w:start w:val="1"/>
      <w:numFmt w:val="bullet"/>
      <w:lvlText w:val="o"/>
      <w:lvlJc w:val="left"/>
      <w:pPr>
        <w:ind w:left="3600" w:hanging="360"/>
      </w:pPr>
      <w:rPr>
        <w:rFonts w:ascii="Courier New" w:hAnsi="Courier New" w:hint="default"/>
      </w:rPr>
    </w:lvl>
    <w:lvl w:ilvl="5" w:tplc="B14EA784">
      <w:start w:val="1"/>
      <w:numFmt w:val="bullet"/>
      <w:lvlText w:val=""/>
      <w:lvlJc w:val="left"/>
      <w:pPr>
        <w:ind w:left="4320" w:hanging="360"/>
      </w:pPr>
      <w:rPr>
        <w:rFonts w:ascii="Wingdings" w:hAnsi="Wingdings" w:hint="default"/>
      </w:rPr>
    </w:lvl>
    <w:lvl w:ilvl="6" w:tplc="0ACCA98C">
      <w:start w:val="1"/>
      <w:numFmt w:val="bullet"/>
      <w:lvlText w:val=""/>
      <w:lvlJc w:val="left"/>
      <w:pPr>
        <w:ind w:left="5040" w:hanging="360"/>
      </w:pPr>
      <w:rPr>
        <w:rFonts w:ascii="Symbol" w:hAnsi="Symbol" w:hint="default"/>
      </w:rPr>
    </w:lvl>
    <w:lvl w:ilvl="7" w:tplc="ED149BC6">
      <w:start w:val="1"/>
      <w:numFmt w:val="bullet"/>
      <w:lvlText w:val="o"/>
      <w:lvlJc w:val="left"/>
      <w:pPr>
        <w:ind w:left="5760" w:hanging="360"/>
      </w:pPr>
      <w:rPr>
        <w:rFonts w:ascii="Courier New" w:hAnsi="Courier New" w:hint="default"/>
      </w:rPr>
    </w:lvl>
    <w:lvl w:ilvl="8" w:tplc="77D2181E">
      <w:start w:val="1"/>
      <w:numFmt w:val="bullet"/>
      <w:lvlText w:val=""/>
      <w:lvlJc w:val="left"/>
      <w:pPr>
        <w:ind w:left="6480" w:hanging="360"/>
      </w:pPr>
      <w:rPr>
        <w:rFonts w:ascii="Wingdings" w:hAnsi="Wingdings" w:hint="default"/>
      </w:rPr>
    </w:lvl>
  </w:abstractNum>
  <w:abstractNum w:abstractNumId="26" w15:restartNumberingAfterBreak="0">
    <w:nsid w:val="176C4DCA"/>
    <w:multiLevelType w:val="multilevel"/>
    <w:tmpl w:val="E2FEC642"/>
    <w:lvl w:ilvl="0">
      <w:start w:val="1"/>
      <w:numFmt w:val="decimal"/>
      <w:lvlText w:val="5.%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116E2B"/>
    <w:multiLevelType w:val="multilevel"/>
    <w:tmpl w:val="7D82655C"/>
    <w:lvl w:ilvl="0">
      <w:start w:val="1"/>
      <w:numFmt w:val="lowerLetter"/>
      <w:lvlText w:val="4.1%1"/>
      <w:lvlJc w:val="left"/>
      <w:pPr>
        <w:ind w:left="737" w:hanging="73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DC1BA5"/>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647CE0"/>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E26511"/>
    <w:multiLevelType w:val="multilevel"/>
    <w:tmpl w:val="75C43F4E"/>
    <w:lvl w:ilvl="0">
      <w:start w:val="1"/>
      <w:numFmt w:val="decimal"/>
      <w:lvlText w:val="7.%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94D33EF"/>
    <w:multiLevelType w:val="multilevel"/>
    <w:tmpl w:val="7D82655C"/>
    <w:styleLink w:val="CurrentList1"/>
    <w:lvl w:ilvl="0">
      <w:start w:val="1"/>
      <w:numFmt w:val="lowerLetter"/>
      <w:lvlText w:val="4.1%1"/>
      <w:lvlJc w:val="left"/>
      <w:pPr>
        <w:ind w:left="737" w:hanging="73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FC54E7"/>
    <w:multiLevelType w:val="multilevel"/>
    <w:tmpl w:val="A3A8FD6A"/>
    <w:lvl w:ilvl="0">
      <w:start w:val="1"/>
      <w:numFmt w:val="decimal"/>
      <w:lvlText w:val="2.%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483D8E"/>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DF5633"/>
    <w:multiLevelType w:val="multilevel"/>
    <w:tmpl w:val="11EE317E"/>
    <w:lvl w:ilvl="0">
      <w:start w:val="1"/>
      <w:numFmt w:val="decimal"/>
      <w:lvlText w:val="6.%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E81231"/>
    <w:multiLevelType w:val="multilevel"/>
    <w:tmpl w:val="A3A8FD6A"/>
    <w:lvl w:ilvl="0">
      <w:start w:val="1"/>
      <w:numFmt w:val="decimal"/>
      <w:lvlText w:val="2.%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3481E64"/>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35A325A"/>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D94A45"/>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D244767"/>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8247E7"/>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B84E5F"/>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0B1A7F"/>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152D06"/>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61C60F0"/>
    <w:multiLevelType w:val="multilevel"/>
    <w:tmpl w:val="7D82655C"/>
    <w:lvl w:ilvl="0">
      <w:start w:val="1"/>
      <w:numFmt w:val="lowerLetter"/>
      <w:lvlText w:val="4.1%1"/>
      <w:lvlJc w:val="left"/>
      <w:pPr>
        <w:ind w:left="737" w:hanging="73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071CA2"/>
    <w:multiLevelType w:val="multilevel"/>
    <w:tmpl w:val="E2FEC642"/>
    <w:lvl w:ilvl="0">
      <w:start w:val="1"/>
      <w:numFmt w:val="decimal"/>
      <w:lvlText w:val="5.%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FF354F"/>
    <w:multiLevelType w:val="multilevel"/>
    <w:tmpl w:val="8BB65F7C"/>
    <w:lvl w:ilvl="0">
      <w:start w:val="2"/>
      <w:numFmt w:val="decimal"/>
      <w:lvlText w:val="4.%1"/>
      <w:lvlJc w:val="left"/>
      <w:pPr>
        <w:ind w:left="737" w:hanging="73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0017D28"/>
    <w:multiLevelType w:val="multilevel"/>
    <w:tmpl w:val="7D82655C"/>
    <w:numStyleLink w:val="CurrentList1"/>
  </w:abstractNum>
  <w:abstractNum w:abstractNumId="48" w15:restartNumberingAfterBreak="0">
    <w:nsid w:val="53AF2B5A"/>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4285198"/>
    <w:multiLevelType w:val="multilevel"/>
    <w:tmpl w:val="75C43F4E"/>
    <w:lvl w:ilvl="0">
      <w:start w:val="1"/>
      <w:numFmt w:val="decimal"/>
      <w:lvlText w:val="7.%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2D5F81"/>
    <w:multiLevelType w:val="multilevel"/>
    <w:tmpl w:val="7D82655C"/>
    <w:lvl w:ilvl="0">
      <w:start w:val="1"/>
      <w:numFmt w:val="lowerLetter"/>
      <w:lvlText w:val="4.1%1"/>
      <w:lvlJc w:val="left"/>
      <w:pPr>
        <w:ind w:left="737" w:hanging="73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5DF035E"/>
    <w:multiLevelType w:val="multilevel"/>
    <w:tmpl w:val="6BF4021E"/>
    <w:lvl w:ilvl="0">
      <w:start w:val="1"/>
      <w:numFmt w:val="decimal"/>
      <w:lvlText w:val="1.%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835F8C"/>
    <w:multiLevelType w:val="hybridMultilevel"/>
    <w:tmpl w:val="6D28FFA2"/>
    <w:lvl w:ilvl="0" w:tplc="A80C3EBA">
      <w:start w:val="1"/>
      <w:numFmt w:val="bullet"/>
      <w:pStyle w:val="mpcbullets2"/>
      <w:lvlText w:val=""/>
      <w:lvlJc w:val="left"/>
      <w:pPr>
        <w:ind w:left="717" w:hanging="360"/>
      </w:pPr>
      <w:rPr>
        <w:rFonts w:ascii="Symbol" w:hAnsi="Symbol" w:hint="default"/>
      </w:rPr>
    </w:lvl>
    <w:lvl w:ilvl="1" w:tplc="74789970">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3" w15:restartNumberingAfterBreak="0">
    <w:nsid w:val="59322BA5"/>
    <w:multiLevelType w:val="multilevel"/>
    <w:tmpl w:val="6BF4021E"/>
    <w:lvl w:ilvl="0">
      <w:start w:val="1"/>
      <w:numFmt w:val="decimal"/>
      <w:lvlText w:val="1.%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D5A1517"/>
    <w:multiLevelType w:val="multilevel"/>
    <w:tmpl w:val="11EE317E"/>
    <w:lvl w:ilvl="0">
      <w:start w:val="1"/>
      <w:numFmt w:val="decimal"/>
      <w:lvlText w:val="6.%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0C4FDB"/>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110D5B"/>
    <w:multiLevelType w:val="multilevel"/>
    <w:tmpl w:val="75C43F4E"/>
    <w:lvl w:ilvl="0">
      <w:start w:val="1"/>
      <w:numFmt w:val="decimal"/>
      <w:lvlText w:val="7.%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E733F05"/>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F201210"/>
    <w:multiLevelType w:val="multilevel"/>
    <w:tmpl w:val="A3A8FD6A"/>
    <w:lvl w:ilvl="0">
      <w:start w:val="1"/>
      <w:numFmt w:val="decimal"/>
      <w:lvlText w:val="2.%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8C2347"/>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053EB5"/>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2F6059"/>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648162D"/>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546446"/>
    <w:multiLevelType w:val="multilevel"/>
    <w:tmpl w:val="A3A8FD6A"/>
    <w:lvl w:ilvl="0">
      <w:start w:val="1"/>
      <w:numFmt w:val="decimal"/>
      <w:lvlText w:val="2.%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AE77F7"/>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A837323"/>
    <w:multiLevelType w:val="multilevel"/>
    <w:tmpl w:val="D988E202"/>
    <w:lvl w:ilvl="0">
      <w:start w:val="1"/>
      <w:numFmt w:val="decimal"/>
      <w:lvlText w:val="3.%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3968E3"/>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A27786"/>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0C246D"/>
    <w:multiLevelType w:val="multilevel"/>
    <w:tmpl w:val="8BB65F7C"/>
    <w:lvl w:ilvl="0">
      <w:start w:val="2"/>
      <w:numFmt w:val="decimal"/>
      <w:lvlText w:val="4.%1"/>
      <w:lvlJc w:val="left"/>
      <w:pPr>
        <w:ind w:left="737" w:hanging="73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5A19F1"/>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C45EAF"/>
    <w:multiLevelType w:val="multilevel"/>
    <w:tmpl w:val="E2FEC642"/>
    <w:lvl w:ilvl="0">
      <w:start w:val="1"/>
      <w:numFmt w:val="decimal"/>
      <w:lvlText w:val="5.%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966152A"/>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A0A2750"/>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A1B2FA3"/>
    <w:multiLevelType w:val="multilevel"/>
    <w:tmpl w:val="328A2D6C"/>
    <w:lvl w:ilvl="0">
      <w:start w:val="1"/>
      <w:numFmt w:val="bullet"/>
      <w:lvlText w:val=""/>
      <w:lvlJc w:val="left"/>
      <w:pPr>
        <w:ind w:left="397" w:hanging="397"/>
      </w:pPr>
      <w:rPr>
        <w:rFonts w:ascii="Symbol" w:hAnsi="Symbol" w:hint="default"/>
        <w:color w:val="046071"/>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AB01816"/>
    <w:multiLevelType w:val="multilevel"/>
    <w:tmpl w:val="6BF4021E"/>
    <w:lvl w:ilvl="0">
      <w:start w:val="1"/>
      <w:numFmt w:val="decimal"/>
      <w:lvlText w:val="1.%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E40C62"/>
    <w:multiLevelType w:val="multilevel"/>
    <w:tmpl w:val="11EE317E"/>
    <w:lvl w:ilvl="0">
      <w:start w:val="1"/>
      <w:numFmt w:val="decimal"/>
      <w:lvlText w:val="6.%1"/>
      <w:lvlJc w:val="left"/>
      <w:pPr>
        <w:ind w:left="567" w:hanging="567"/>
      </w:pPr>
      <w:rPr>
        <w:rFonts w:hint="default"/>
        <w:b/>
        <w:i w:val="0"/>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color w:val="1E1545"/>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52"/>
  </w:num>
  <w:num w:numId="3">
    <w:abstractNumId w:val="39"/>
  </w:num>
  <w:num w:numId="4">
    <w:abstractNumId w:val="11"/>
  </w:num>
  <w:num w:numId="5">
    <w:abstractNumId w:val="21"/>
  </w:num>
  <w:num w:numId="6">
    <w:abstractNumId w:val="40"/>
  </w:num>
  <w:num w:numId="7">
    <w:abstractNumId w:val="64"/>
  </w:num>
  <w:num w:numId="8">
    <w:abstractNumId w:val="69"/>
  </w:num>
  <w:num w:numId="9">
    <w:abstractNumId w:val="28"/>
  </w:num>
  <w:num w:numId="10">
    <w:abstractNumId w:val="29"/>
  </w:num>
  <w:num w:numId="11">
    <w:abstractNumId w:val="19"/>
  </w:num>
  <w:num w:numId="12">
    <w:abstractNumId w:val="36"/>
  </w:num>
  <w:num w:numId="13">
    <w:abstractNumId w:val="59"/>
  </w:num>
  <w:num w:numId="14">
    <w:abstractNumId w:val="12"/>
  </w:num>
  <w:num w:numId="15">
    <w:abstractNumId w:val="43"/>
  </w:num>
  <w:num w:numId="16">
    <w:abstractNumId w:val="55"/>
  </w:num>
  <w:num w:numId="17">
    <w:abstractNumId w:val="24"/>
  </w:num>
  <w:num w:numId="18">
    <w:abstractNumId w:val="41"/>
  </w:num>
  <w:num w:numId="19">
    <w:abstractNumId w:val="38"/>
  </w:num>
  <w:num w:numId="20">
    <w:abstractNumId w:val="60"/>
  </w:num>
  <w:num w:numId="21">
    <w:abstractNumId w:val="67"/>
  </w:num>
  <w:num w:numId="22">
    <w:abstractNumId w:val="13"/>
  </w:num>
  <w:num w:numId="23">
    <w:abstractNumId w:val="66"/>
  </w:num>
  <w:num w:numId="24">
    <w:abstractNumId w:val="0"/>
  </w:num>
  <w:num w:numId="25">
    <w:abstractNumId w:val="1"/>
  </w:num>
  <w:num w:numId="26">
    <w:abstractNumId w:val="2"/>
  </w:num>
  <w:num w:numId="27">
    <w:abstractNumId w:val="3"/>
  </w:num>
  <w:num w:numId="28">
    <w:abstractNumId w:val="8"/>
  </w:num>
  <w:num w:numId="29">
    <w:abstractNumId w:val="4"/>
  </w:num>
  <w:num w:numId="30">
    <w:abstractNumId w:val="5"/>
  </w:num>
  <w:num w:numId="31">
    <w:abstractNumId w:val="6"/>
  </w:num>
  <w:num w:numId="32">
    <w:abstractNumId w:val="7"/>
  </w:num>
  <w:num w:numId="33">
    <w:abstractNumId w:val="9"/>
  </w:num>
  <w:num w:numId="34">
    <w:abstractNumId w:val="25"/>
  </w:num>
  <w:num w:numId="35">
    <w:abstractNumId w:val="10"/>
  </w:num>
  <w:num w:numId="36">
    <w:abstractNumId w:val="15"/>
  </w:num>
  <w:num w:numId="37">
    <w:abstractNumId w:val="16"/>
  </w:num>
  <w:num w:numId="38">
    <w:abstractNumId w:val="37"/>
  </w:num>
  <w:num w:numId="39">
    <w:abstractNumId w:val="48"/>
  </w:num>
  <w:num w:numId="40">
    <w:abstractNumId w:val="73"/>
  </w:num>
  <w:num w:numId="41">
    <w:abstractNumId w:val="42"/>
  </w:num>
  <w:num w:numId="42">
    <w:abstractNumId w:val="61"/>
  </w:num>
  <w:num w:numId="43">
    <w:abstractNumId w:val="18"/>
  </w:num>
  <w:num w:numId="44">
    <w:abstractNumId w:val="72"/>
  </w:num>
  <w:num w:numId="45">
    <w:abstractNumId w:val="57"/>
  </w:num>
  <w:num w:numId="46">
    <w:abstractNumId w:val="62"/>
  </w:num>
  <w:num w:numId="47">
    <w:abstractNumId w:val="33"/>
  </w:num>
  <w:num w:numId="48">
    <w:abstractNumId w:val="53"/>
  </w:num>
  <w:num w:numId="49">
    <w:abstractNumId w:val="51"/>
  </w:num>
  <w:num w:numId="50">
    <w:abstractNumId w:val="32"/>
  </w:num>
  <w:num w:numId="51">
    <w:abstractNumId w:val="17"/>
  </w:num>
  <w:num w:numId="52">
    <w:abstractNumId w:val="58"/>
  </w:num>
  <w:num w:numId="53">
    <w:abstractNumId w:val="35"/>
  </w:num>
  <w:num w:numId="54">
    <w:abstractNumId w:val="71"/>
  </w:num>
  <w:num w:numId="55">
    <w:abstractNumId w:val="20"/>
  </w:num>
  <w:num w:numId="56">
    <w:abstractNumId w:val="63"/>
  </w:num>
  <w:num w:numId="57">
    <w:abstractNumId w:val="65"/>
  </w:num>
  <w:num w:numId="58">
    <w:abstractNumId w:val="44"/>
  </w:num>
  <w:num w:numId="59">
    <w:abstractNumId w:val="50"/>
  </w:num>
  <w:num w:numId="60">
    <w:abstractNumId w:val="27"/>
  </w:num>
  <w:num w:numId="61">
    <w:abstractNumId w:val="68"/>
  </w:num>
  <w:num w:numId="62">
    <w:abstractNumId w:val="31"/>
  </w:num>
  <w:num w:numId="63">
    <w:abstractNumId w:val="26"/>
  </w:num>
  <w:num w:numId="64">
    <w:abstractNumId w:val="45"/>
  </w:num>
  <w:num w:numId="65">
    <w:abstractNumId w:val="75"/>
  </w:num>
  <w:num w:numId="66">
    <w:abstractNumId w:val="34"/>
  </w:num>
  <w:num w:numId="67">
    <w:abstractNumId w:val="49"/>
  </w:num>
  <w:num w:numId="68">
    <w:abstractNumId w:val="30"/>
  </w:num>
  <w:num w:numId="69">
    <w:abstractNumId w:val="74"/>
  </w:num>
  <w:num w:numId="70">
    <w:abstractNumId w:val="22"/>
  </w:num>
  <w:num w:numId="71">
    <w:abstractNumId w:val="14"/>
  </w:num>
  <w:num w:numId="72">
    <w:abstractNumId w:val="47"/>
  </w:num>
  <w:num w:numId="73">
    <w:abstractNumId w:val="46"/>
  </w:num>
  <w:num w:numId="74">
    <w:abstractNumId w:val="70"/>
  </w:num>
  <w:num w:numId="75">
    <w:abstractNumId w:val="54"/>
  </w:num>
  <w:num w:numId="76">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4D"/>
    <w:rsid w:val="00002DD0"/>
    <w:rsid w:val="00021614"/>
    <w:rsid w:val="000437A4"/>
    <w:rsid w:val="0007221A"/>
    <w:rsid w:val="0007357B"/>
    <w:rsid w:val="0008318B"/>
    <w:rsid w:val="00094BE9"/>
    <w:rsid w:val="000A5E2A"/>
    <w:rsid w:val="000B52DE"/>
    <w:rsid w:val="000C7755"/>
    <w:rsid w:val="000E661D"/>
    <w:rsid w:val="00121773"/>
    <w:rsid w:val="0013723F"/>
    <w:rsid w:val="00140023"/>
    <w:rsid w:val="0015205F"/>
    <w:rsid w:val="00174FE1"/>
    <w:rsid w:val="00181D0A"/>
    <w:rsid w:val="00183235"/>
    <w:rsid w:val="0018625C"/>
    <w:rsid w:val="001A0831"/>
    <w:rsid w:val="001A53D4"/>
    <w:rsid w:val="001C3E01"/>
    <w:rsid w:val="001D7FA9"/>
    <w:rsid w:val="00251786"/>
    <w:rsid w:val="0026782E"/>
    <w:rsid w:val="00271C25"/>
    <w:rsid w:val="00273046"/>
    <w:rsid w:val="002801A6"/>
    <w:rsid w:val="00282D7A"/>
    <w:rsid w:val="002C0B3F"/>
    <w:rsid w:val="002C158A"/>
    <w:rsid w:val="002C5425"/>
    <w:rsid w:val="003268F7"/>
    <w:rsid w:val="003417FF"/>
    <w:rsid w:val="003B22D4"/>
    <w:rsid w:val="00417F1B"/>
    <w:rsid w:val="00431C68"/>
    <w:rsid w:val="00431EA8"/>
    <w:rsid w:val="0044713E"/>
    <w:rsid w:val="004710B5"/>
    <w:rsid w:val="004827C7"/>
    <w:rsid w:val="00483490"/>
    <w:rsid w:val="004B5F3E"/>
    <w:rsid w:val="004D54B2"/>
    <w:rsid w:val="00530187"/>
    <w:rsid w:val="0055090B"/>
    <w:rsid w:val="005E69DC"/>
    <w:rsid w:val="00615CE1"/>
    <w:rsid w:val="00644DDE"/>
    <w:rsid w:val="00672798"/>
    <w:rsid w:val="006844E4"/>
    <w:rsid w:val="006869DA"/>
    <w:rsid w:val="006A461E"/>
    <w:rsid w:val="006B3D82"/>
    <w:rsid w:val="006C6309"/>
    <w:rsid w:val="006E413E"/>
    <w:rsid w:val="006E4BFF"/>
    <w:rsid w:val="006E7BDE"/>
    <w:rsid w:val="006F2872"/>
    <w:rsid w:val="00700E9D"/>
    <w:rsid w:val="00707B8F"/>
    <w:rsid w:val="00733107"/>
    <w:rsid w:val="007405CD"/>
    <w:rsid w:val="007464CE"/>
    <w:rsid w:val="0077207D"/>
    <w:rsid w:val="007726D3"/>
    <w:rsid w:val="007800A9"/>
    <w:rsid w:val="007A11D2"/>
    <w:rsid w:val="007B2DF5"/>
    <w:rsid w:val="007F2EDD"/>
    <w:rsid w:val="007F4013"/>
    <w:rsid w:val="007F421E"/>
    <w:rsid w:val="007F4679"/>
    <w:rsid w:val="00802F28"/>
    <w:rsid w:val="00805DFD"/>
    <w:rsid w:val="00807B37"/>
    <w:rsid w:val="00816B90"/>
    <w:rsid w:val="008301B9"/>
    <w:rsid w:val="0086329A"/>
    <w:rsid w:val="00876BA4"/>
    <w:rsid w:val="008D2F25"/>
    <w:rsid w:val="008D3058"/>
    <w:rsid w:val="008D713F"/>
    <w:rsid w:val="008E2C4D"/>
    <w:rsid w:val="008E74DF"/>
    <w:rsid w:val="00934D31"/>
    <w:rsid w:val="00943299"/>
    <w:rsid w:val="0094525A"/>
    <w:rsid w:val="009545EE"/>
    <w:rsid w:val="009677F7"/>
    <w:rsid w:val="009D1361"/>
    <w:rsid w:val="009D3DB5"/>
    <w:rsid w:val="009D5040"/>
    <w:rsid w:val="009F7BE3"/>
    <w:rsid w:val="00A00160"/>
    <w:rsid w:val="00A071C3"/>
    <w:rsid w:val="00A10746"/>
    <w:rsid w:val="00A213CA"/>
    <w:rsid w:val="00A51CFB"/>
    <w:rsid w:val="00A66A83"/>
    <w:rsid w:val="00AF5881"/>
    <w:rsid w:val="00B06438"/>
    <w:rsid w:val="00B14C8F"/>
    <w:rsid w:val="00B26486"/>
    <w:rsid w:val="00B348B1"/>
    <w:rsid w:val="00BB670C"/>
    <w:rsid w:val="00BC24F1"/>
    <w:rsid w:val="00C12E54"/>
    <w:rsid w:val="00C327AE"/>
    <w:rsid w:val="00C3386F"/>
    <w:rsid w:val="00C63431"/>
    <w:rsid w:val="00C800BD"/>
    <w:rsid w:val="00C87E09"/>
    <w:rsid w:val="00CB7B02"/>
    <w:rsid w:val="00CE636C"/>
    <w:rsid w:val="00CF747B"/>
    <w:rsid w:val="00D7261B"/>
    <w:rsid w:val="00DB1BEC"/>
    <w:rsid w:val="00E01B97"/>
    <w:rsid w:val="00E06C17"/>
    <w:rsid w:val="00EA6581"/>
    <w:rsid w:val="00EE7B27"/>
    <w:rsid w:val="00F06A73"/>
    <w:rsid w:val="00F74B02"/>
    <w:rsid w:val="00F77205"/>
    <w:rsid w:val="00FC0836"/>
    <w:rsid w:val="00FF38FB"/>
    <w:rsid w:val="01E7E064"/>
    <w:rsid w:val="05E21890"/>
    <w:rsid w:val="0788B6B5"/>
    <w:rsid w:val="0B521429"/>
    <w:rsid w:val="0B6584A7"/>
    <w:rsid w:val="0CEDE48A"/>
    <w:rsid w:val="1025854C"/>
    <w:rsid w:val="116813ED"/>
    <w:rsid w:val="18022620"/>
    <w:rsid w:val="19163576"/>
    <w:rsid w:val="19AD1331"/>
    <w:rsid w:val="19F70734"/>
    <w:rsid w:val="1B7047B2"/>
    <w:rsid w:val="1DDEA2EA"/>
    <w:rsid w:val="1F20A879"/>
    <w:rsid w:val="25030CBB"/>
    <w:rsid w:val="25DB9021"/>
    <w:rsid w:val="27858530"/>
    <w:rsid w:val="2847483E"/>
    <w:rsid w:val="293B146B"/>
    <w:rsid w:val="2B2FE3B1"/>
    <w:rsid w:val="2BD8129B"/>
    <w:rsid w:val="2C58F653"/>
    <w:rsid w:val="2CB67D2C"/>
    <w:rsid w:val="3440BDA9"/>
    <w:rsid w:val="3856202F"/>
    <w:rsid w:val="39777B01"/>
    <w:rsid w:val="3C1DD519"/>
    <w:rsid w:val="3C90C67D"/>
    <w:rsid w:val="3E59618F"/>
    <w:rsid w:val="3F99A636"/>
    <w:rsid w:val="3FFCBCB5"/>
    <w:rsid w:val="4368A8A3"/>
    <w:rsid w:val="4B1D055C"/>
    <w:rsid w:val="4B2E097E"/>
    <w:rsid w:val="4CF43D4E"/>
    <w:rsid w:val="50914217"/>
    <w:rsid w:val="51167581"/>
    <w:rsid w:val="54A9B497"/>
    <w:rsid w:val="557F4528"/>
    <w:rsid w:val="55FF1C0B"/>
    <w:rsid w:val="5A152CE3"/>
    <w:rsid w:val="5D4A06AF"/>
    <w:rsid w:val="6336F935"/>
    <w:rsid w:val="650DAD08"/>
    <w:rsid w:val="66639648"/>
    <w:rsid w:val="670BA3B6"/>
    <w:rsid w:val="6CC4BDED"/>
    <w:rsid w:val="6E8218AB"/>
    <w:rsid w:val="6F2AAB42"/>
    <w:rsid w:val="75D46E30"/>
    <w:rsid w:val="774AFB7B"/>
    <w:rsid w:val="796DF77C"/>
    <w:rsid w:val="7CCFD339"/>
    <w:rsid w:val="7DE1794E"/>
    <w:rsid w:val="7F7D4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2D7D4"/>
  <w15:chartTrackingRefBased/>
  <w15:docId w15:val="{6EB97030-60E5-4398-A152-466396DB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F7"/>
    <w:pPr>
      <w:spacing w:before="120" w:after="120" w:line="300" w:lineRule="atLeast"/>
    </w:pPr>
    <w:rPr>
      <w:rFonts w:ascii="Helvetica" w:hAnsi="Helvetica"/>
    </w:rPr>
  </w:style>
  <w:style w:type="paragraph" w:styleId="Heading1">
    <w:name w:val="heading 1"/>
    <w:basedOn w:val="Normal"/>
    <w:next w:val="Normal"/>
    <w:link w:val="Heading1Char"/>
    <w:uiPriority w:val="9"/>
    <w:qFormat/>
    <w:rsid w:val="004D54B2"/>
    <w:pPr>
      <w:keepNext/>
      <w:keepLines/>
      <w:pBdr>
        <w:bottom w:val="single" w:sz="18" w:space="6" w:color="2AB1BB" w:themeColor="accent2"/>
      </w:pBdr>
      <w:spacing w:before="240" w:after="240"/>
      <w:outlineLvl w:val="0"/>
    </w:pPr>
    <w:rPr>
      <w:rFonts w:eastAsiaTheme="majorEastAsia" w:cstheme="majorBidi"/>
      <w:b/>
      <w:color w:val="056071" w:themeColor="accent1"/>
      <w:sz w:val="48"/>
      <w:szCs w:val="32"/>
    </w:rPr>
  </w:style>
  <w:style w:type="paragraph" w:styleId="Heading2">
    <w:name w:val="heading 2"/>
    <w:basedOn w:val="Normal"/>
    <w:next w:val="Normal"/>
    <w:link w:val="Heading2Char"/>
    <w:uiPriority w:val="9"/>
    <w:unhideWhenUsed/>
    <w:qFormat/>
    <w:rsid w:val="006E4BFF"/>
    <w:pPr>
      <w:keepNext/>
      <w:keepLines/>
      <w:spacing w:before="240" w:after="180"/>
      <w:outlineLvl w:val="1"/>
    </w:pPr>
    <w:rPr>
      <w:rFonts w:eastAsiaTheme="majorEastAsia" w:cstheme="majorBidi"/>
      <w:b/>
      <w:color w:val="1E1545" w:themeColor="text2"/>
      <w:sz w:val="36"/>
      <w:szCs w:val="26"/>
    </w:rPr>
  </w:style>
  <w:style w:type="paragraph" w:styleId="Heading3">
    <w:name w:val="heading 3"/>
    <w:basedOn w:val="Normal"/>
    <w:next w:val="Normal"/>
    <w:link w:val="Heading3Char"/>
    <w:uiPriority w:val="9"/>
    <w:unhideWhenUsed/>
    <w:qFormat/>
    <w:rsid w:val="006E4BFF"/>
    <w:pPr>
      <w:keepNext/>
      <w:keepLines/>
      <w:spacing w:before="180"/>
      <w:outlineLvl w:val="2"/>
    </w:pPr>
    <w:rPr>
      <w:rFonts w:eastAsiaTheme="majorEastAsia" w:cstheme="majorBidi"/>
      <w:b/>
      <w:color w:val="056071" w:themeColor="accent1"/>
      <w:sz w:val="28"/>
    </w:rPr>
  </w:style>
  <w:style w:type="paragraph" w:styleId="Heading4">
    <w:name w:val="heading 4"/>
    <w:basedOn w:val="Normal"/>
    <w:next w:val="Normal"/>
    <w:link w:val="Heading4Char"/>
    <w:uiPriority w:val="9"/>
    <w:semiHidden/>
    <w:unhideWhenUsed/>
    <w:qFormat/>
    <w:rsid w:val="009D3DB5"/>
    <w:pPr>
      <w:keepNext/>
      <w:keepLines/>
      <w:spacing w:before="40" w:after="0"/>
      <w:outlineLvl w:val="3"/>
    </w:pPr>
    <w:rPr>
      <w:rFonts w:asciiTheme="majorHAnsi" w:eastAsiaTheme="majorEastAsia" w:hAnsiTheme="majorHAnsi" w:cstheme="majorBidi"/>
      <w:i/>
      <w:iCs/>
      <w:color w:val="034754" w:themeColor="accent1" w:themeShade="BF"/>
    </w:rPr>
  </w:style>
  <w:style w:type="paragraph" w:styleId="Heading6">
    <w:name w:val="heading 6"/>
    <w:basedOn w:val="Normal"/>
    <w:next w:val="Normal"/>
    <w:link w:val="Heading6Char"/>
    <w:uiPriority w:val="9"/>
    <w:unhideWhenUsed/>
    <w:qFormat/>
    <w:rsid w:val="004827C7"/>
    <w:pPr>
      <w:keepNext/>
      <w:keepLines/>
      <w:spacing w:before="40" w:after="0"/>
      <w:outlineLvl w:val="5"/>
    </w:pPr>
    <w:rPr>
      <w:rFonts w:asciiTheme="majorHAnsi" w:eastAsiaTheme="majorEastAsia" w:hAnsiTheme="majorHAnsi" w:cstheme="majorBidi"/>
      <w:color w:val="022F3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B2"/>
    <w:rPr>
      <w:rFonts w:ascii="Helvetica" w:eastAsiaTheme="majorEastAsia" w:hAnsi="Helvetica" w:cstheme="majorBidi"/>
      <w:b/>
      <w:color w:val="056071" w:themeColor="accent1"/>
      <w:sz w:val="48"/>
      <w:szCs w:val="32"/>
    </w:rPr>
  </w:style>
  <w:style w:type="character" w:customStyle="1" w:styleId="Heading2Char">
    <w:name w:val="Heading 2 Char"/>
    <w:basedOn w:val="DefaultParagraphFont"/>
    <w:link w:val="Heading2"/>
    <w:uiPriority w:val="9"/>
    <w:rsid w:val="006E4BFF"/>
    <w:rPr>
      <w:rFonts w:ascii="Helvetica" w:eastAsiaTheme="majorEastAsia" w:hAnsi="Helvetica" w:cstheme="majorBidi"/>
      <w:b/>
      <w:color w:val="1E1545" w:themeColor="text2"/>
      <w:sz w:val="36"/>
      <w:szCs w:val="26"/>
    </w:rPr>
  </w:style>
  <w:style w:type="character" w:customStyle="1" w:styleId="Heading3Char">
    <w:name w:val="Heading 3 Char"/>
    <w:basedOn w:val="DefaultParagraphFont"/>
    <w:link w:val="Heading3"/>
    <w:uiPriority w:val="9"/>
    <w:rsid w:val="006E4BFF"/>
    <w:rPr>
      <w:rFonts w:ascii="Helvetica" w:eastAsiaTheme="majorEastAsia" w:hAnsi="Helvetica" w:cstheme="majorBidi"/>
      <w:b/>
      <w:color w:val="056071" w:themeColor="accent1"/>
      <w:sz w:val="28"/>
    </w:rPr>
  </w:style>
  <w:style w:type="paragraph" w:styleId="ListParagraph">
    <w:name w:val="List Paragraph"/>
    <w:aliases w:val="Recommendation,List Paragraph1,List Paragraph11,L,Bullet Point 1,Bullet point,#List Paragraph,List Paragraph - bullet,List - bullet,List Paragraph - bullets,Use Case List Paragraph,Bullets,CV text,Dot pt,F5 List Paragraph,FooterText,列,lp1"/>
    <w:basedOn w:val="Normal"/>
    <w:link w:val="ListParagraphChar"/>
    <w:uiPriority w:val="34"/>
    <w:qFormat/>
    <w:rsid w:val="002C0B3F"/>
    <w:pPr>
      <w:ind w:left="720"/>
    </w:pPr>
  </w:style>
  <w:style w:type="paragraph" w:styleId="BlockText">
    <w:name w:val="Block Text"/>
    <w:basedOn w:val="Normal"/>
    <w:uiPriority w:val="99"/>
    <w:unhideWhenUsed/>
    <w:rsid w:val="00A00160"/>
    <w:pPr>
      <w:pBdr>
        <w:top w:val="single" w:sz="18" w:space="10" w:color="2AB1BB" w:themeColor="accent2"/>
        <w:left w:val="single" w:sz="18" w:space="10" w:color="2AB1BB" w:themeColor="accent2"/>
        <w:bottom w:val="single" w:sz="18" w:space="10" w:color="2AB1BB" w:themeColor="accent2"/>
        <w:right w:val="single" w:sz="18" w:space="10" w:color="2AB1BB" w:themeColor="accent2"/>
      </w:pBdr>
      <w:spacing w:before="240" w:after="240"/>
      <w:ind w:left="284" w:right="284"/>
    </w:pPr>
    <w:rPr>
      <w:rFonts w:eastAsiaTheme="minorEastAsia"/>
      <w:iCs/>
      <w:color w:val="000000" w:themeColor="text1"/>
    </w:rPr>
  </w:style>
  <w:style w:type="paragraph" w:styleId="Header">
    <w:name w:val="header"/>
    <w:basedOn w:val="Normal"/>
    <w:link w:val="HeaderChar"/>
    <w:uiPriority w:val="99"/>
    <w:unhideWhenUsed/>
    <w:rsid w:val="00FF38F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F38FB"/>
    <w:rPr>
      <w:rFonts w:ascii="Helvetica Light" w:hAnsi="Helvetica Light"/>
    </w:rPr>
  </w:style>
  <w:style w:type="paragraph" w:styleId="Footer">
    <w:name w:val="footer"/>
    <w:basedOn w:val="Normal"/>
    <w:link w:val="FooterChar"/>
    <w:uiPriority w:val="99"/>
    <w:unhideWhenUsed/>
    <w:rsid w:val="009D3DB5"/>
    <w:pPr>
      <w:tabs>
        <w:tab w:val="center" w:pos="4680"/>
        <w:tab w:val="right" w:pos="9360"/>
      </w:tabs>
      <w:spacing w:before="0" w:after="0" w:line="240" w:lineRule="auto"/>
    </w:pPr>
    <w:rPr>
      <w:sz w:val="20"/>
    </w:rPr>
  </w:style>
  <w:style w:type="character" w:customStyle="1" w:styleId="FooterChar">
    <w:name w:val="Footer Char"/>
    <w:basedOn w:val="DefaultParagraphFont"/>
    <w:link w:val="Footer"/>
    <w:uiPriority w:val="99"/>
    <w:rsid w:val="009D3DB5"/>
    <w:rPr>
      <w:rFonts w:ascii="Helvetica" w:hAnsi="Helvetica"/>
      <w:sz w:val="20"/>
    </w:rPr>
  </w:style>
  <w:style w:type="paragraph" w:styleId="Title">
    <w:name w:val="Title"/>
    <w:basedOn w:val="Normal"/>
    <w:next w:val="Normal"/>
    <w:link w:val="TitleChar"/>
    <w:uiPriority w:val="10"/>
    <w:qFormat/>
    <w:rsid w:val="0008318B"/>
    <w:pPr>
      <w:spacing w:before="4920" w:after="0" w:line="180" w:lineRule="atLeast"/>
      <w:ind w:right="567"/>
      <w:contextualSpacing/>
      <w:jc w:val="right"/>
    </w:pPr>
    <w:rPr>
      <w:rFonts w:eastAsiaTheme="majorEastAsia" w:cstheme="majorBidi"/>
      <w:b/>
      <w:color w:val="FFFFFF" w:themeColor="background1"/>
      <w:spacing w:val="-10"/>
      <w:kern w:val="28"/>
      <w:sz w:val="80"/>
      <w:szCs w:val="56"/>
    </w:rPr>
  </w:style>
  <w:style w:type="character" w:customStyle="1" w:styleId="TitleChar">
    <w:name w:val="Title Char"/>
    <w:basedOn w:val="DefaultParagraphFont"/>
    <w:link w:val="Title"/>
    <w:uiPriority w:val="10"/>
    <w:rsid w:val="0008318B"/>
    <w:rPr>
      <w:rFonts w:ascii="Helvetica" w:eastAsiaTheme="majorEastAsia" w:hAnsi="Helvetica" w:cstheme="majorBidi"/>
      <w:b/>
      <w:color w:val="FFFFFF" w:themeColor="background1"/>
      <w:spacing w:val="-10"/>
      <w:kern w:val="28"/>
      <w:sz w:val="80"/>
      <w:szCs w:val="56"/>
    </w:rPr>
  </w:style>
  <w:style w:type="paragraph" w:styleId="Subtitle">
    <w:name w:val="Subtitle"/>
    <w:basedOn w:val="Normal"/>
    <w:next w:val="Normal"/>
    <w:link w:val="SubtitleChar"/>
    <w:uiPriority w:val="11"/>
    <w:qFormat/>
    <w:rsid w:val="0008318B"/>
    <w:pPr>
      <w:numPr>
        <w:ilvl w:val="1"/>
      </w:numPr>
      <w:spacing w:before="360" w:after="160"/>
      <w:ind w:right="567"/>
      <w:jc w:val="right"/>
    </w:pPr>
    <w:rPr>
      <w:rFonts w:eastAsiaTheme="minorEastAsia"/>
      <w:b/>
      <w:color w:val="FFFFFF" w:themeColor="background1"/>
      <w:spacing w:val="15"/>
      <w:sz w:val="32"/>
      <w:szCs w:val="22"/>
    </w:rPr>
  </w:style>
  <w:style w:type="character" w:customStyle="1" w:styleId="SubtitleChar">
    <w:name w:val="Subtitle Char"/>
    <w:basedOn w:val="DefaultParagraphFont"/>
    <w:link w:val="Subtitle"/>
    <w:uiPriority w:val="11"/>
    <w:rsid w:val="0008318B"/>
    <w:rPr>
      <w:rFonts w:ascii="Helvetica" w:eastAsiaTheme="minorEastAsia" w:hAnsi="Helvetica"/>
      <w:b/>
      <w:color w:val="FFFFFF" w:themeColor="background1"/>
      <w:spacing w:val="15"/>
      <w:sz w:val="32"/>
      <w:szCs w:val="22"/>
    </w:rPr>
  </w:style>
  <w:style w:type="paragraph" w:customStyle="1" w:styleId="mpcbullets1">
    <w:name w:val="mpc bullets 1"/>
    <w:qFormat/>
    <w:rsid w:val="00AF5881"/>
    <w:pPr>
      <w:numPr>
        <w:numId w:val="1"/>
      </w:numPr>
    </w:pPr>
  </w:style>
  <w:style w:type="paragraph" w:customStyle="1" w:styleId="mpcbullets2">
    <w:name w:val="mpc bullets 2"/>
    <w:qFormat/>
    <w:rsid w:val="00AF5881"/>
    <w:pPr>
      <w:numPr>
        <w:numId w:val="2"/>
      </w:numPr>
    </w:pPr>
  </w:style>
  <w:style w:type="paragraph" w:customStyle="1" w:styleId="mpcNormal">
    <w:name w:val="mpc Normal"/>
    <w:basedOn w:val="Normal"/>
    <w:qFormat/>
    <w:rsid w:val="00AF5881"/>
    <w:pPr>
      <w:spacing w:before="0" w:after="0" w:line="240" w:lineRule="auto"/>
    </w:pPr>
    <w:rPr>
      <w:rFonts w:asciiTheme="minorHAnsi" w:hAnsiTheme="minorHAnsi"/>
    </w:rPr>
  </w:style>
  <w:style w:type="paragraph" w:styleId="FootnoteText">
    <w:name w:val="footnote text"/>
    <w:aliases w:val="Footnotes Text,FSFootnotes Text"/>
    <w:basedOn w:val="Normal"/>
    <w:link w:val="FootnoteTextChar"/>
    <w:uiPriority w:val="99"/>
    <w:unhideWhenUsed/>
    <w:rsid w:val="007A11D2"/>
    <w:pPr>
      <w:spacing w:before="0" w:after="0" w:line="240" w:lineRule="auto"/>
    </w:pPr>
    <w:rPr>
      <w:sz w:val="20"/>
      <w:szCs w:val="20"/>
    </w:rPr>
  </w:style>
  <w:style w:type="character" w:customStyle="1" w:styleId="FootnoteTextChar">
    <w:name w:val="Footnote Text Char"/>
    <w:aliases w:val="Footnotes Text Char,FSFootnotes Text Char"/>
    <w:basedOn w:val="DefaultParagraphFont"/>
    <w:link w:val="FootnoteText"/>
    <w:uiPriority w:val="99"/>
    <w:rsid w:val="007A11D2"/>
    <w:rPr>
      <w:rFonts w:ascii="Helvetica" w:hAnsi="Helvetica"/>
      <w:sz w:val="20"/>
      <w:szCs w:val="20"/>
    </w:rPr>
  </w:style>
  <w:style w:type="character" w:styleId="FootnoteReference">
    <w:name w:val="footnote reference"/>
    <w:basedOn w:val="DefaultParagraphFont"/>
    <w:uiPriority w:val="99"/>
    <w:unhideWhenUsed/>
    <w:rsid w:val="00AF5881"/>
    <w:rPr>
      <w:vertAlign w:val="superscript"/>
    </w:rPr>
  </w:style>
  <w:style w:type="table" w:styleId="TableGrid">
    <w:name w:val="Table Grid"/>
    <w:basedOn w:val="TableNormal"/>
    <w:rsid w:val="00AF588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cbullets1strong">
    <w:name w:val="mpc bullets 1 strong"/>
    <w:basedOn w:val="mpcbullets1"/>
    <w:qFormat/>
    <w:rsid w:val="00AF5881"/>
    <w:rPr>
      <w:b/>
      <w:bCs/>
    </w:rPr>
  </w:style>
  <w:style w:type="character" w:customStyle="1" w:styleId="ListParagraphChar">
    <w:name w:val="List Paragraph Char"/>
    <w:aliases w:val="Recommendation Char,List Paragraph1 Char,List Paragraph11 Char,L Char,Bullet Point 1 Char,Bullet point Char,#List Paragraph Char,List Paragraph - bullet Char,List - bullet Char,List Paragraph - bullets Char,Bullets Char,CV text Char"/>
    <w:link w:val="ListParagraph"/>
    <w:uiPriority w:val="34"/>
    <w:qFormat/>
    <w:locked/>
    <w:rsid w:val="00AF5881"/>
    <w:rPr>
      <w:rFonts w:ascii="Helvetica Light" w:hAnsi="Helvetica Light"/>
    </w:rPr>
  </w:style>
  <w:style w:type="character" w:styleId="Hyperlink">
    <w:name w:val="Hyperlink"/>
    <w:basedOn w:val="DefaultParagraphFont"/>
    <w:uiPriority w:val="99"/>
    <w:unhideWhenUsed/>
    <w:rsid w:val="00AF5881"/>
    <w:rPr>
      <w:b w:val="0"/>
      <w:color w:val="056071" w:themeColor="accent1"/>
      <w:u w:val="single"/>
    </w:rPr>
  </w:style>
  <w:style w:type="character" w:customStyle="1" w:styleId="apple-converted-space">
    <w:name w:val="apple-converted-space"/>
    <w:basedOn w:val="DefaultParagraphFont"/>
    <w:rsid w:val="00AF5881"/>
  </w:style>
  <w:style w:type="table" w:customStyle="1" w:styleId="ACQStablestyle">
    <w:name w:val="ACQS table style"/>
    <w:basedOn w:val="TableNormal"/>
    <w:uiPriority w:val="99"/>
    <w:rsid w:val="00F06A73"/>
    <w:rPr>
      <w:rFonts w:ascii="Helvetica" w:hAnsi="Helvetica"/>
    </w:rPr>
    <w:tblPr>
      <w:tblBorders>
        <w:bottom w:val="single" w:sz="4" w:space="0" w:color="1E1545" w:themeColor="text2"/>
        <w:insideH w:val="single" w:sz="8" w:space="0" w:color="1E1545" w:themeColor="text2"/>
      </w:tblBorders>
      <w:tblCellMar>
        <w:top w:w="85" w:type="dxa"/>
        <w:bottom w:w="85" w:type="dxa"/>
      </w:tblCellMar>
    </w:tblPr>
    <w:tblStylePr w:type="firstRow">
      <w:tblPr/>
      <w:tcPr>
        <w:shd w:val="clear" w:color="auto" w:fill="1E1545" w:themeFill="text2"/>
      </w:tcPr>
    </w:tblStylePr>
    <w:tblStylePr w:type="firstCol">
      <w:tblPr/>
      <w:tcPr>
        <w:shd w:val="clear" w:color="auto" w:fill="D1F2F4" w:themeFill="accent2" w:themeFillTint="33"/>
      </w:tcPr>
    </w:tblStylePr>
  </w:style>
  <w:style w:type="character" w:styleId="FollowedHyperlink">
    <w:name w:val="FollowedHyperlink"/>
    <w:basedOn w:val="DefaultParagraphFont"/>
    <w:uiPriority w:val="99"/>
    <w:semiHidden/>
    <w:unhideWhenUsed/>
    <w:rsid w:val="00C12E54"/>
    <w:rPr>
      <w:color w:val="056071" w:themeColor="accent1"/>
      <w:u w:val="single"/>
    </w:rPr>
  </w:style>
  <w:style w:type="character" w:styleId="PageNumber">
    <w:name w:val="page number"/>
    <w:basedOn w:val="DefaultParagraphFont"/>
    <w:uiPriority w:val="99"/>
    <w:semiHidden/>
    <w:unhideWhenUsed/>
    <w:rsid w:val="009D3DB5"/>
    <w:rPr>
      <w:b/>
      <w:color w:val="056071" w:themeColor="accent1"/>
    </w:rPr>
  </w:style>
  <w:style w:type="paragraph" w:styleId="TOCHeading">
    <w:name w:val="TOC Heading"/>
    <w:basedOn w:val="Heading1"/>
    <w:next w:val="Normal"/>
    <w:uiPriority w:val="39"/>
    <w:unhideWhenUsed/>
    <w:qFormat/>
    <w:rsid w:val="009D3DB5"/>
    <w:pPr>
      <w:spacing w:before="480" w:after="0" w:line="276" w:lineRule="auto"/>
      <w:outlineLvl w:val="9"/>
    </w:pPr>
    <w:rPr>
      <w:rFonts w:asciiTheme="majorHAnsi" w:hAnsiTheme="majorHAnsi"/>
      <w:bCs/>
      <w:color w:val="034754" w:themeColor="accent1" w:themeShade="BF"/>
      <w:sz w:val="28"/>
      <w:szCs w:val="28"/>
      <w:lang w:val="en-US"/>
    </w:rPr>
  </w:style>
  <w:style w:type="paragraph" w:styleId="TOC2">
    <w:name w:val="toc 2"/>
    <w:basedOn w:val="Normal"/>
    <w:next w:val="Normal"/>
    <w:autoRedefine/>
    <w:uiPriority w:val="39"/>
    <w:unhideWhenUsed/>
    <w:rsid w:val="004710B5"/>
    <w:pPr>
      <w:tabs>
        <w:tab w:val="right" w:pos="9010"/>
      </w:tabs>
      <w:spacing w:before="0" w:after="0"/>
      <w:ind w:left="238"/>
    </w:pPr>
    <w:rPr>
      <w:rFonts w:cstheme="minorHAnsi"/>
      <w:iCs/>
      <w:color w:val="056071" w:themeColor="accent1"/>
      <w:szCs w:val="20"/>
    </w:rPr>
  </w:style>
  <w:style w:type="paragraph" w:styleId="TOC1">
    <w:name w:val="toc 1"/>
    <w:basedOn w:val="Normal"/>
    <w:next w:val="Normal"/>
    <w:autoRedefine/>
    <w:uiPriority w:val="39"/>
    <w:unhideWhenUsed/>
    <w:rsid w:val="007B2DF5"/>
    <w:pPr>
      <w:tabs>
        <w:tab w:val="right" w:leader="dot" w:pos="9010"/>
      </w:tabs>
    </w:pPr>
    <w:rPr>
      <w:rFonts w:cstheme="minorHAnsi"/>
      <w:b/>
      <w:bCs/>
      <w:color w:val="056071" w:themeColor="accent1"/>
      <w:szCs w:val="20"/>
    </w:rPr>
  </w:style>
  <w:style w:type="paragraph" w:styleId="TOC3">
    <w:name w:val="toc 3"/>
    <w:basedOn w:val="Normal"/>
    <w:next w:val="Normal"/>
    <w:autoRedefine/>
    <w:uiPriority w:val="39"/>
    <w:unhideWhenUsed/>
    <w:rsid w:val="007B2DF5"/>
    <w:pPr>
      <w:spacing w:before="0" w:after="0"/>
      <w:ind w:left="480"/>
    </w:pPr>
    <w:rPr>
      <w:rFonts w:cstheme="minorHAnsi"/>
      <w:szCs w:val="20"/>
    </w:rPr>
  </w:style>
  <w:style w:type="paragraph" w:styleId="TOC4">
    <w:name w:val="toc 4"/>
    <w:basedOn w:val="Normal"/>
    <w:next w:val="Normal"/>
    <w:autoRedefine/>
    <w:uiPriority w:val="39"/>
    <w:semiHidden/>
    <w:unhideWhenUsed/>
    <w:rsid w:val="009D3DB5"/>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D3DB5"/>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D3DB5"/>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D3DB5"/>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D3DB5"/>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D3DB5"/>
    <w:pPr>
      <w:spacing w:before="0" w:after="0"/>
      <w:ind w:left="1920"/>
    </w:pPr>
    <w:rPr>
      <w:rFonts w:asciiTheme="minorHAnsi" w:hAnsiTheme="minorHAnsi" w:cstheme="minorHAnsi"/>
      <w:sz w:val="20"/>
      <w:szCs w:val="20"/>
    </w:rPr>
  </w:style>
  <w:style w:type="character" w:customStyle="1" w:styleId="Heading4Char">
    <w:name w:val="Heading 4 Char"/>
    <w:basedOn w:val="DefaultParagraphFont"/>
    <w:link w:val="Heading4"/>
    <w:uiPriority w:val="9"/>
    <w:semiHidden/>
    <w:rsid w:val="009D3DB5"/>
    <w:rPr>
      <w:rFonts w:asciiTheme="majorHAnsi" w:eastAsiaTheme="majorEastAsia" w:hAnsiTheme="majorHAnsi" w:cstheme="majorBidi"/>
      <w:i/>
      <w:iCs/>
      <w:color w:val="034754"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Helvetica" w:hAnsi="Helvetic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74B02"/>
    <w:rPr>
      <w:rFonts w:ascii="Helvetica" w:hAnsi="Helvetica"/>
    </w:rPr>
  </w:style>
  <w:style w:type="character" w:customStyle="1" w:styleId="Heading6Char">
    <w:name w:val="Heading 6 Char"/>
    <w:basedOn w:val="DefaultParagraphFont"/>
    <w:link w:val="Heading6"/>
    <w:uiPriority w:val="9"/>
    <w:rsid w:val="004827C7"/>
    <w:rPr>
      <w:rFonts w:asciiTheme="majorHAnsi" w:eastAsiaTheme="majorEastAsia" w:hAnsiTheme="majorHAnsi" w:cstheme="majorBidi"/>
      <w:color w:val="022F38" w:themeColor="accent1" w:themeShade="7F"/>
    </w:rPr>
  </w:style>
  <w:style w:type="numbering" w:customStyle="1" w:styleId="CurrentList1">
    <w:name w:val="Current List1"/>
    <w:uiPriority w:val="99"/>
    <w:rsid w:val="001C3E01"/>
    <w:pPr>
      <w:numPr>
        <w:numId w:val="62"/>
      </w:numPr>
    </w:pPr>
  </w:style>
  <w:style w:type="paragraph" w:styleId="CommentSubject">
    <w:name w:val="annotation subject"/>
    <w:basedOn w:val="CommentText"/>
    <w:next w:val="CommentText"/>
    <w:link w:val="CommentSubjectChar"/>
    <w:uiPriority w:val="99"/>
    <w:semiHidden/>
    <w:unhideWhenUsed/>
    <w:rsid w:val="000437A4"/>
    <w:rPr>
      <w:b/>
      <w:bCs/>
    </w:rPr>
  </w:style>
  <w:style w:type="character" w:customStyle="1" w:styleId="CommentSubjectChar">
    <w:name w:val="Comment Subject Char"/>
    <w:basedOn w:val="CommentTextChar"/>
    <w:link w:val="CommentSubject"/>
    <w:uiPriority w:val="99"/>
    <w:semiHidden/>
    <w:rsid w:val="000437A4"/>
    <w:rPr>
      <w:rFonts w:ascii="Helvetica" w:hAnsi="Helvetica"/>
      <w:b/>
      <w:bCs/>
      <w:sz w:val="20"/>
      <w:szCs w:val="20"/>
    </w:rPr>
  </w:style>
  <w:style w:type="character" w:styleId="UnresolvedMention">
    <w:name w:val="Unresolved Mention"/>
    <w:basedOn w:val="DefaultParagraphFont"/>
    <w:uiPriority w:val="99"/>
    <w:semiHidden/>
    <w:unhideWhenUsed/>
    <w:rsid w:val="00C3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edcareengagement.health.gov.au/quality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gov.au/resources/publications/consultation-paper-detailed-aged-care-quality-standards-re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CQS colours">
      <a:dk1>
        <a:srgbClr val="000000"/>
      </a:dk1>
      <a:lt1>
        <a:srgbClr val="FFFFFF"/>
      </a:lt1>
      <a:dk2>
        <a:srgbClr val="1E1545"/>
      </a:dk2>
      <a:lt2>
        <a:srgbClr val="FFFFFF"/>
      </a:lt2>
      <a:accent1>
        <a:srgbClr val="056071"/>
      </a:accent1>
      <a:accent2>
        <a:srgbClr val="2AB1BB"/>
      </a:accent2>
      <a:accent3>
        <a:srgbClr val="78BE43"/>
      </a:accent3>
      <a:accent4>
        <a:srgbClr val="8C59A5"/>
      </a:accent4>
      <a:accent5>
        <a:srgbClr val="DA576C"/>
      </a:accent5>
      <a:accent6>
        <a:srgbClr val="F2692B"/>
      </a:accent6>
      <a:hlink>
        <a:srgbClr val="1E1545"/>
      </a:hlink>
      <a:folHlink>
        <a:srgbClr val="1E15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5" ma:contentTypeDescription="Create a new document." ma:contentTypeScope="" ma:versionID="1bc02cd04a71f6ef87bd2508eb50c92a">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3d2a20c1e8b2c783d3889fe096844dbc"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bc7fab-8ab7-46ff-b906-4fd78cb065de}"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FAD9F-E603-464A-925C-01CEF435CBA9}">
  <ds:schemaRefs>
    <ds:schemaRef ds:uri="http://schemas.microsoft.com/office/2006/metadata/properties"/>
    <ds:schemaRef ds:uri="http://schemas.microsoft.com/office/infopath/2007/PartnerControls"/>
    <ds:schemaRef ds:uri="c4876c76-5897-4d5d-ac80-954d0599e137"/>
    <ds:schemaRef ds:uri="01920aa1-7832-453e-a147-98c77996387c"/>
  </ds:schemaRefs>
</ds:datastoreItem>
</file>

<file path=customXml/itemProps2.xml><?xml version="1.0" encoding="utf-8"?>
<ds:datastoreItem xmlns:ds="http://schemas.openxmlformats.org/officeDocument/2006/customXml" ds:itemID="{43271C19-7BC1-402E-B64D-B645F99F4E1A}">
  <ds:schemaRefs>
    <ds:schemaRef ds:uri="http://schemas.microsoft.com/sharepoint/v3/contenttype/forms"/>
  </ds:schemaRefs>
</ds:datastoreItem>
</file>

<file path=customXml/itemProps3.xml><?xml version="1.0" encoding="utf-8"?>
<ds:datastoreItem xmlns:ds="http://schemas.openxmlformats.org/officeDocument/2006/customXml" ds:itemID="{3B12C572-581B-8B4C-B9D2-0EFB85486F2C}">
  <ds:schemaRefs>
    <ds:schemaRef ds:uri="http://schemas.openxmlformats.org/officeDocument/2006/bibliography"/>
  </ds:schemaRefs>
</ds:datastoreItem>
</file>

<file path=customXml/itemProps4.xml><?xml version="1.0" encoding="utf-8"?>
<ds:datastoreItem xmlns:ds="http://schemas.openxmlformats.org/officeDocument/2006/customXml" ds:itemID="{25447B3D-B098-4685-9FB4-8A8181B15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Steele</dc:creator>
  <cp:keywords/>
  <dc:description/>
  <cp:lastModifiedBy>HILLS, Lucinda</cp:lastModifiedBy>
  <cp:revision>6</cp:revision>
  <dcterms:created xsi:type="dcterms:W3CDTF">2022-10-12T04:14:00Z</dcterms:created>
  <dcterms:modified xsi:type="dcterms:W3CDTF">2022-10-13T00:13:00Z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y fmtid="{D5CDD505-2E9C-101B-9397-08002B2CF9AE}" pid="3" name="MediaServiceImageTags">
    <vt:lpwstr/>
  </property>
</Properties>
</file>