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2F4A5" w14:textId="03F5AABE" w:rsidR="00B528D0" w:rsidRPr="006053ED" w:rsidRDefault="00454DDA" w:rsidP="00086E7C">
      <w:pPr>
        <w:pStyle w:val="CoverTitle"/>
      </w:pPr>
      <w:r w:rsidRPr="006053ED">
        <w:t xml:space="preserve">Places to people </w:t>
      </w:r>
      <w:r w:rsidR="00B528D0" w:rsidRPr="006053ED">
        <w:t>–</w:t>
      </w:r>
      <w:r w:rsidRPr="006053ED">
        <w:t xml:space="preserve"> </w:t>
      </w:r>
      <w:r w:rsidR="00B528D0" w:rsidRPr="006053ED">
        <w:t>embedding c</w:t>
      </w:r>
      <w:r w:rsidR="003B5CB6" w:rsidRPr="006053ED">
        <w:t>hoice</w:t>
      </w:r>
      <w:r w:rsidR="00B528D0" w:rsidRPr="006053ED">
        <w:t xml:space="preserve"> in residential aged care</w:t>
      </w:r>
    </w:p>
    <w:p w14:paraId="5A6DF1E6" w14:textId="6C002C9D" w:rsidR="003056A3" w:rsidRPr="006053ED" w:rsidRDefault="00762907" w:rsidP="00086E7C">
      <w:pPr>
        <w:pStyle w:val="CoverSubtitle"/>
      </w:pPr>
      <w:r w:rsidRPr="006053ED">
        <w:t xml:space="preserve">Consultation </w:t>
      </w:r>
      <w:r w:rsidR="006C7985" w:rsidRPr="006053ED">
        <w:t>outcomes</w:t>
      </w:r>
    </w:p>
    <w:p w14:paraId="46E5FB17" w14:textId="7B2D84F7" w:rsidR="003056A3" w:rsidRPr="00D04C0D" w:rsidRDefault="00C61B97" w:rsidP="00086E7C">
      <w:pPr>
        <w:pStyle w:val="CoverSubtitle"/>
      </w:pPr>
      <w:r w:rsidRPr="00D04C0D">
        <w:t>Summary</w:t>
      </w:r>
      <w:r w:rsidR="00762907" w:rsidRPr="00D04C0D">
        <w:t xml:space="preserve"> report, </w:t>
      </w:r>
      <w:r w:rsidR="00905717" w:rsidRPr="00D04C0D">
        <w:t xml:space="preserve">October </w:t>
      </w:r>
      <w:r w:rsidR="00762907" w:rsidRPr="00D04C0D">
        <w:t>2022</w:t>
      </w:r>
    </w:p>
    <w:p w14:paraId="1734274D" w14:textId="77777777" w:rsidR="00A61363" w:rsidRPr="00D04C0D" w:rsidRDefault="00A61363" w:rsidP="00D04C0D">
      <w:pPr>
        <w:sectPr w:rsidR="00A61363" w:rsidRPr="00D04C0D" w:rsidSect="0026496A">
          <w:footerReference w:type="even" r:id="rId11"/>
          <w:footerReference w:type="default" r:id="rId12"/>
          <w:headerReference w:type="first" r:id="rId13"/>
          <w:type w:val="continuous"/>
          <w:pgSz w:w="11910" w:h="16840"/>
          <w:pgMar w:top="9438" w:right="1021" w:bottom="278" w:left="1021" w:header="720" w:footer="720" w:gutter="0"/>
          <w:cols w:space="720"/>
          <w:titlePg/>
        </w:sectPr>
      </w:pPr>
    </w:p>
    <w:p w14:paraId="6E211DAC" w14:textId="593E63F1" w:rsidR="003056A3" w:rsidRPr="003A426F" w:rsidRDefault="001D0D47" w:rsidP="003A426F">
      <w:r w:rsidRPr="00B528D0">
        <w:rPr>
          <w:noProof/>
        </w:rPr>
        <w:lastRenderedPageBreak/>
        <mc:AlternateContent>
          <mc:Choice Requires="wps">
            <w:drawing>
              <wp:anchor distT="0" distB="0" distL="114300" distR="114300" simplePos="0" relativeHeight="487300608" behindDoc="1" locked="0" layoutInCell="1" allowOverlap="1" wp14:anchorId="58500D36" wp14:editId="1FD3FB14">
                <wp:simplePos x="0" y="0"/>
                <wp:positionH relativeFrom="page">
                  <wp:posOffset>9842</wp:posOffset>
                </wp:positionH>
                <wp:positionV relativeFrom="page">
                  <wp:posOffset>0</wp:posOffset>
                </wp:positionV>
                <wp:extent cx="7535545" cy="10692130"/>
                <wp:effectExtent l="0" t="0" r="0" b="1270"/>
                <wp:wrapNone/>
                <wp:docPr id="49"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5545" cy="1069213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1750F" id="docshape13" o:spid="_x0000_s1026" alt="&quot;&quot;" style="position:absolute;margin-left:.75pt;margin-top:0;width:593.35pt;height:841.9pt;z-index:-160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" fillcolor="#f1f2f2" stroked="f">
                <v:path arrowok="t"/>
                <w10:wrap anchorx="page" anchory="page"/>
              </v:rect>
            </w:pict>
          </mc:Fallback>
        </mc:AlternateContent>
      </w:r>
    </w:p>
    <w:sdt>
      <w:sdtPr>
        <w:id w:val="-1990779602"/>
        <w:docPartObj>
          <w:docPartGallery w:val="Table of Contents"/>
          <w:docPartUnique/>
        </w:docPartObj>
      </w:sdtPr>
      <w:sdtEndPr>
        <w:rPr>
          <w:rFonts w:eastAsia="Proxima Nova" w:cs="Proxima Nova"/>
          <w:b w:val="0"/>
          <w:color w:val="1E1545" w:themeColor="text2"/>
          <w:sz w:val="22"/>
          <w:szCs w:val="22"/>
        </w:rPr>
      </w:sdtEndPr>
      <w:sdtContent>
        <w:p w14:paraId="0F576070" w14:textId="04EAF453" w:rsidR="00F55A5E" w:rsidRDefault="00F55A5E" w:rsidP="001B7B17">
          <w:pPr>
            <w:pStyle w:val="TOCHeading"/>
          </w:pPr>
          <w:r>
            <w:t>Contents</w:t>
          </w:r>
        </w:p>
        <w:p w14:paraId="4B1684E7" w14:textId="03A89FE3" w:rsidR="00086E7C" w:rsidRDefault="00F55A5E">
          <w:pPr>
            <w:pStyle w:val="TOC1"/>
            <w:tabs>
              <w:tab w:val="right" w:leader="dot" w:pos="9858"/>
            </w:tabs>
            <w:rPr>
              <w:rFonts w:asciiTheme="minorHAnsi" w:eastAsiaTheme="minorEastAsia" w:hAnsiTheme="minorHAnsi" w:cstheme="minorBidi"/>
              <w:noProof/>
              <w:color w:val="auto"/>
              <w:lang w:val="en-AU" w:eastAsia="en-AU"/>
            </w:rPr>
          </w:pPr>
          <w:r>
            <w:fldChar w:fldCharType="begin"/>
          </w:r>
          <w:r>
            <w:instrText xml:space="preserve"> TOC \o "1-1" \h \z \u </w:instrText>
          </w:r>
          <w:r>
            <w:fldChar w:fldCharType="separate"/>
          </w:r>
          <w:hyperlink w:anchor="_Toc117872975" w:history="1">
            <w:r w:rsidR="00086E7C" w:rsidRPr="00226103">
              <w:rPr>
                <w:rStyle w:val="Hyperlink"/>
                <w:noProof/>
              </w:rPr>
              <w:t>Putting older Australians at the center of residential aged care</w:t>
            </w:r>
            <w:r w:rsidR="00086E7C">
              <w:rPr>
                <w:noProof/>
                <w:webHidden/>
              </w:rPr>
              <w:tab/>
            </w:r>
            <w:r w:rsidR="00086E7C">
              <w:rPr>
                <w:noProof/>
                <w:webHidden/>
              </w:rPr>
              <w:fldChar w:fldCharType="begin"/>
            </w:r>
            <w:r w:rsidR="00086E7C">
              <w:rPr>
                <w:noProof/>
                <w:webHidden/>
              </w:rPr>
              <w:instrText xml:space="preserve"> PAGEREF _Toc117872975 \h </w:instrText>
            </w:r>
            <w:r w:rsidR="00086E7C">
              <w:rPr>
                <w:noProof/>
                <w:webHidden/>
              </w:rPr>
            </w:r>
            <w:r w:rsidR="00086E7C">
              <w:rPr>
                <w:noProof/>
                <w:webHidden/>
              </w:rPr>
              <w:fldChar w:fldCharType="separate"/>
            </w:r>
            <w:r w:rsidR="00086E7C">
              <w:rPr>
                <w:noProof/>
                <w:webHidden/>
              </w:rPr>
              <w:t>3</w:t>
            </w:r>
            <w:r w:rsidR="00086E7C">
              <w:rPr>
                <w:noProof/>
                <w:webHidden/>
              </w:rPr>
              <w:fldChar w:fldCharType="end"/>
            </w:r>
          </w:hyperlink>
        </w:p>
        <w:p w14:paraId="39F5659D" w14:textId="65DF46EE"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76" w:history="1">
            <w:r w:rsidRPr="00226103">
              <w:rPr>
                <w:rStyle w:val="Hyperlink"/>
                <w:noProof/>
              </w:rPr>
              <w:t>Section one</w:t>
            </w:r>
            <w:r>
              <w:rPr>
                <w:noProof/>
                <w:webHidden/>
              </w:rPr>
              <w:tab/>
            </w:r>
            <w:r>
              <w:rPr>
                <w:noProof/>
                <w:webHidden/>
              </w:rPr>
              <w:fldChar w:fldCharType="begin"/>
            </w:r>
            <w:r>
              <w:rPr>
                <w:noProof/>
                <w:webHidden/>
              </w:rPr>
              <w:instrText xml:space="preserve"> PAGEREF _Toc117872976 \h </w:instrText>
            </w:r>
            <w:r>
              <w:rPr>
                <w:noProof/>
                <w:webHidden/>
              </w:rPr>
            </w:r>
            <w:r>
              <w:rPr>
                <w:noProof/>
                <w:webHidden/>
              </w:rPr>
              <w:fldChar w:fldCharType="separate"/>
            </w:r>
            <w:r>
              <w:rPr>
                <w:noProof/>
                <w:webHidden/>
              </w:rPr>
              <w:t>7</w:t>
            </w:r>
            <w:r>
              <w:rPr>
                <w:noProof/>
                <w:webHidden/>
              </w:rPr>
              <w:fldChar w:fldCharType="end"/>
            </w:r>
          </w:hyperlink>
        </w:p>
        <w:p w14:paraId="16480DC2" w14:textId="35EA780A"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77" w:history="1">
            <w:r w:rsidRPr="00226103">
              <w:rPr>
                <w:rStyle w:val="Hyperlink"/>
                <w:noProof/>
              </w:rPr>
              <w:t>First round of consultation</w:t>
            </w:r>
            <w:r>
              <w:rPr>
                <w:noProof/>
                <w:webHidden/>
              </w:rPr>
              <w:tab/>
            </w:r>
            <w:r>
              <w:rPr>
                <w:noProof/>
                <w:webHidden/>
              </w:rPr>
              <w:fldChar w:fldCharType="begin"/>
            </w:r>
            <w:r>
              <w:rPr>
                <w:noProof/>
                <w:webHidden/>
              </w:rPr>
              <w:instrText xml:space="preserve"> PAGEREF _Toc117872977 \h </w:instrText>
            </w:r>
            <w:r>
              <w:rPr>
                <w:noProof/>
                <w:webHidden/>
              </w:rPr>
            </w:r>
            <w:r>
              <w:rPr>
                <w:noProof/>
                <w:webHidden/>
              </w:rPr>
              <w:fldChar w:fldCharType="separate"/>
            </w:r>
            <w:r>
              <w:rPr>
                <w:noProof/>
                <w:webHidden/>
              </w:rPr>
              <w:t>7</w:t>
            </w:r>
            <w:r>
              <w:rPr>
                <w:noProof/>
                <w:webHidden/>
              </w:rPr>
              <w:fldChar w:fldCharType="end"/>
            </w:r>
          </w:hyperlink>
        </w:p>
        <w:p w14:paraId="65447728" w14:textId="1726F812"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78" w:history="1">
            <w:r w:rsidRPr="00226103">
              <w:rPr>
                <w:rStyle w:val="Hyperlink"/>
                <w:noProof/>
              </w:rPr>
              <w:t>Section two</w:t>
            </w:r>
            <w:r>
              <w:rPr>
                <w:noProof/>
                <w:webHidden/>
              </w:rPr>
              <w:tab/>
            </w:r>
            <w:r>
              <w:rPr>
                <w:noProof/>
                <w:webHidden/>
              </w:rPr>
              <w:fldChar w:fldCharType="begin"/>
            </w:r>
            <w:r>
              <w:rPr>
                <w:noProof/>
                <w:webHidden/>
              </w:rPr>
              <w:instrText xml:space="preserve"> PAGEREF _Toc117872978 \h </w:instrText>
            </w:r>
            <w:r>
              <w:rPr>
                <w:noProof/>
                <w:webHidden/>
              </w:rPr>
            </w:r>
            <w:r>
              <w:rPr>
                <w:noProof/>
                <w:webHidden/>
              </w:rPr>
              <w:fldChar w:fldCharType="separate"/>
            </w:r>
            <w:r>
              <w:rPr>
                <w:noProof/>
                <w:webHidden/>
              </w:rPr>
              <w:t>8</w:t>
            </w:r>
            <w:r>
              <w:rPr>
                <w:noProof/>
                <w:webHidden/>
              </w:rPr>
              <w:fldChar w:fldCharType="end"/>
            </w:r>
          </w:hyperlink>
        </w:p>
        <w:p w14:paraId="0E9C35C4" w14:textId="7CDF20F7"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79" w:history="1">
            <w:r w:rsidRPr="00226103">
              <w:rPr>
                <w:rStyle w:val="Hyperlink"/>
                <w:noProof/>
              </w:rPr>
              <w:t>Overall impacts</w:t>
            </w:r>
            <w:r>
              <w:rPr>
                <w:noProof/>
                <w:webHidden/>
              </w:rPr>
              <w:tab/>
            </w:r>
            <w:r>
              <w:rPr>
                <w:noProof/>
                <w:webHidden/>
              </w:rPr>
              <w:fldChar w:fldCharType="begin"/>
            </w:r>
            <w:r>
              <w:rPr>
                <w:noProof/>
                <w:webHidden/>
              </w:rPr>
              <w:instrText xml:space="preserve"> PAGEREF _Toc117872979 \h </w:instrText>
            </w:r>
            <w:r>
              <w:rPr>
                <w:noProof/>
                <w:webHidden/>
              </w:rPr>
            </w:r>
            <w:r>
              <w:rPr>
                <w:noProof/>
                <w:webHidden/>
              </w:rPr>
              <w:fldChar w:fldCharType="separate"/>
            </w:r>
            <w:r>
              <w:rPr>
                <w:noProof/>
                <w:webHidden/>
              </w:rPr>
              <w:t>8</w:t>
            </w:r>
            <w:r>
              <w:rPr>
                <w:noProof/>
                <w:webHidden/>
              </w:rPr>
              <w:fldChar w:fldCharType="end"/>
            </w:r>
          </w:hyperlink>
        </w:p>
        <w:p w14:paraId="19C759D3" w14:textId="513EC51A"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0" w:history="1">
            <w:r w:rsidRPr="00226103">
              <w:rPr>
                <w:rStyle w:val="Hyperlink"/>
                <w:noProof/>
              </w:rPr>
              <w:t>Section three</w:t>
            </w:r>
            <w:r>
              <w:rPr>
                <w:noProof/>
                <w:webHidden/>
              </w:rPr>
              <w:tab/>
            </w:r>
            <w:r>
              <w:rPr>
                <w:noProof/>
                <w:webHidden/>
              </w:rPr>
              <w:fldChar w:fldCharType="begin"/>
            </w:r>
            <w:r>
              <w:rPr>
                <w:noProof/>
                <w:webHidden/>
              </w:rPr>
              <w:instrText xml:space="preserve"> PAGEREF _Toc117872980 \h </w:instrText>
            </w:r>
            <w:r>
              <w:rPr>
                <w:noProof/>
                <w:webHidden/>
              </w:rPr>
            </w:r>
            <w:r>
              <w:rPr>
                <w:noProof/>
                <w:webHidden/>
              </w:rPr>
              <w:fldChar w:fldCharType="separate"/>
            </w:r>
            <w:r>
              <w:rPr>
                <w:noProof/>
                <w:webHidden/>
              </w:rPr>
              <w:t>9</w:t>
            </w:r>
            <w:r>
              <w:rPr>
                <w:noProof/>
                <w:webHidden/>
              </w:rPr>
              <w:fldChar w:fldCharType="end"/>
            </w:r>
          </w:hyperlink>
        </w:p>
        <w:p w14:paraId="0FCDC148" w14:textId="03DE972D"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1" w:history="1">
            <w:r w:rsidRPr="00226103">
              <w:rPr>
                <w:rStyle w:val="Hyperlink"/>
                <w:noProof/>
                <w:lang w:val="en-AU" w:eastAsia="zh-CN"/>
              </w:rPr>
              <w:t>Assessment</w:t>
            </w:r>
            <w:r>
              <w:rPr>
                <w:noProof/>
                <w:webHidden/>
              </w:rPr>
              <w:tab/>
            </w:r>
            <w:r>
              <w:rPr>
                <w:noProof/>
                <w:webHidden/>
              </w:rPr>
              <w:fldChar w:fldCharType="begin"/>
            </w:r>
            <w:r>
              <w:rPr>
                <w:noProof/>
                <w:webHidden/>
              </w:rPr>
              <w:instrText xml:space="preserve"> PAGEREF _Toc117872981 \h </w:instrText>
            </w:r>
            <w:r>
              <w:rPr>
                <w:noProof/>
                <w:webHidden/>
              </w:rPr>
            </w:r>
            <w:r>
              <w:rPr>
                <w:noProof/>
                <w:webHidden/>
              </w:rPr>
              <w:fldChar w:fldCharType="separate"/>
            </w:r>
            <w:r>
              <w:rPr>
                <w:noProof/>
                <w:webHidden/>
              </w:rPr>
              <w:t>9</w:t>
            </w:r>
            <w:r>
              <w:rPr>
                <w:noProof/>
                <w:webHidden/>
              </w:rPr>
              <w:fldChar w:fldCharType="end"/>
            </w:r>
          </w:hyperlink>
        </w:p>
        <w:p w14:paraId="637CA186" w14:textId="7EE272A2"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2" w:history="1">
            <w:r w:rsidRPr="00226103">
              <w:rPr>
                <w:rStyle w:val="Hyperlink"/>
                <w:noProof/>
              </w:rPr>
              <w:t>Section four</w:t>
            </w:r>
            <w:r>
              <w:rPr>
                <w:noProof/>
                <w:webHidden/>
              </w:rPr>
              <w:tab/>
            </w:r>
            <w:r>
              <w:rPr>
                <w:noProof/>
                <w:webHidden/>
              </w:rPr>
              <w:fldChar w:fldCharType="begin"/>
            </w:r>
            <w:r>
              <w:rPr>
                <w:noProof/>
                <w:webHidden/>
              </w:rPr>
              <w:instrText xml:space="preserve"> PAGEREF _Toc117872982 \h </w:instrText>
            </w:r>
            <w:r>
              <w:rPr>
                <w:noProof/>
                <w:webHidden/>
              </w:rPr>
            </w:r>
            <w:r>
              <w:rPr>
                <w:noProof/>
                <w:webHidden/>
              </w:rPr>
              <w:fldChar w:fldCharType="separate"/>
            </w:r>
            <w:r>
              <w:rPr>
                <w:noProof/>
                <w:webHidden/>
              </w:rPr>
              <w:t>11</w:t>
            </w:r>
            <w:r>
              <w:rPr>
                <w:noProof/>
                <w:webHidden/>
              </w:rPr>
              <w:fldChar w:fldCharType="end"/>
            </w:r>
          </w:hyperlink>
        </w:p>
        <w:p w14:paraId="3F4D7EA0" w14:textId="114C6BF1"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3" w:history="1">
            <w:r w:rsidRPr="00226103">
              <w:rPr>
                <w:rStyle w:val="Hyperlink"/>
                <w:noProof/>
                <w:lang w:val="en-AU" w:eastAsia="zh-CN"/>
              </w:rPr>
              <w:t>Allocation of places</w:t>
            </w:r>
            <w:r>
              <w:rPr>
                <w:noProof/>
                <w:webHidden/>
              </w:rPr>
              <w:tab/>
            </w:r>
            <w:r>
              <w:rPr>
                <w:noProof/>
                <w:webHidden/>
              </w:rPr>
              <w:fldChar w:fldCharType="begin"/>
            </w:r>
            <w:r>
              <w:rPr>
                <w:noProof/>
                <w:webHidden/>
              </w:rPr>
              <w:instrText xml:space="preserve"> PAGEREF _Toc117872983 \h </w:instrText>
            </w:r>
            <w:r>
              <w:rPr>
                <w:noProof/>
                <w:webHidden/>
              </w:rPr>
            </w:r>
            <w:r>
              <w:rPr>
                <w:noProof/>
                <w:webHidden/>
              </w:rPr>
              <w:fldChar w:fldCharType="separate"/>
            </w:r>
            <w:r>
              <w:rPr>
                <w:noProof/>
                <w:webHidden/>
              </w:rPr>
              <w:t>11</w:t>
            </w:r>
            <w:r>
              <w:rPr>
                <w:noProof/>
                <w:webHidden/>
              </w:rPr>
              <w:fldChar w:fldCharType="end"/>
            </w:r>
          </w:hyperlink>
        </w:p>
        <w:p w14:paraId="1AFF9E03" w14:textId="3A7F32E4"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4" w:history="1">
            <w:r w:rsidRPr="00226103">
              <w:rPr>
                <w:rStyle w:val="Hyperlink"/>
                <w:noProof/>
              </w:rPr>
              <w:t>Section five</w:t>
            </w:r>
            <w:r>
              <w:rPr>
                <w:noProof/>
                <w:webHidden/>
              </w:rPr>
              <w:tab/>
            </w:r>
            <w:r>
              <w:rPr>
                <w:noProof/>
                <w:webHidden/>
              </w:rPr>
              <w:fldChar w:fldCharType="begin"/>
            </w:r>
            <w:r>
              <w:rPr>
                <w:noProof/>
                <w:webHidden/>
              </w:rPr>
              <w:instrText xml:space="preserve"> PAGEREF _Toc117872984 \h </w:instrText>
            </w:r>
            <w:r>
              <w:rPr>
                <w:noProof/>
                <w:webHidden/>
              </w:rPr>
            </w:r>
            <w:r>
              <w:rPr>
                <w:noProof/>
                <w:webHidden/>
              </w:rPr>
              <w:fldChar w:fldCharType="separate"/>
            </w:r>
            <w:r>
              <w:rPr>
                <w:noProof/>
                <w:webHidden/>
              </w:rPr>
              <w:t>13</w:t>
            </w:r>
            <w:r>
              <w:rPr>
                <w:noProof/>
                <w:webHidden/>
              </w:rPr>
              <w:fldChar w:fldCharType="end"/>
            </w:r>
          </w:hyperlink>
        </w:p>
        <w:p w14:paraId="5B5DA36B" w14:textId="79F5A1FF"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5" w:history="1">
            <w:r w:rsidRPr="00226103">
              <w:rPr>
                <w:rStyle w:val="Hyperlink"/>
                <w:noProof/>
                <w:lang w:val="en-AU" w:eastAsia="zh-CN"/>
              </w:rPr>
              <w:t>Choice</w:t>
            </w:r>
            <w:r>
              <w:rPr>
                <w:noProof/>
                <w:webHidden/>
              </w:rPr>
              <w:tab/>
            </w:r>
            <w:r>
              <w:rPr>
                <w:noProof/>
                <w:webHidden/>
              </w:rPr>
              <w:fldChar w:fldCharType="begin"/>
            </w:r>
            <w:r>
              <w:rPr>
                <w:noProof/>
                <w:webHidden/>
              </w:rPr>
              <w:instrText xml:space="preserve"> PAGEREF _Toc117872985 \h </w:instrText>
            </w:r>
            <w:r>
              <w:rPr>
                <w:noProof/>
                <w:webHidden/>
              </w:rPr>
            </w:r>
            <w:r>
              <w:rPr>
                <w:noProof/>
                <w:webHidden/>
              </w:rPr>
              <w:fldChar w:fldCharType="separate"/>
            </w:r>
            <w:r>
              <w:rPr>
                <w:noProof/>
                <w:webHidden/>
              </w:rPr>
              <w:t>13</w:t>
            </w:r>
            <w:r>
              <w:rPr>
                <w:noProof/>
                <w:webHidden/>
              </w:rPr>
              <w:fldChar w:fldCharType="end"/>
            </w:r>
          </w:hyperlink>
        </w:p>
        <w:p w14:paraId="325320E8" w14:textId="73DE745E"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6" w:history="1">
            <w:r w:rsidRPr="00226103">
              <w:rPr>
                <w:rStyle w:val="Hyperlink"/>
                <w:noProof/>
              </w:rPr>
              <w:t>Section six</w:t>
            </w:r>
            <w:r>
              <w:rPr>
                <w:noProof/>
                <w:webHidden/>
              </w:rPr>
              <w:tab/>
            </w:r>
            <w:r>
              <w:rPr>
                <w:noProof/>
                <w:webHidden/>
              </w:rPr>
              <w:fldChar w:fldCharType="begin"/>
            </w:r>
            <w:r>
              <w:rPr>
                <w:noProof/>
                <w:webHidden/>
              </w:rPr>
              <w:instrText xml:space="preserve"> PAGEREF _Toc117872986 \h </w:instrText>
            </w:r>
            <w:r>
              <w:rPr>
                <w:noProof/>
                <w:webHidden/>
              </w:rPr>
            </w:r>
            <w:r>
              <w:rPr>
                <w:noProof/>
                <w:webHidden/>
              </w:rPr>
              <w:fldChar w:fldCharType="separate"/>
            </w:r>
            <w:r>
              <w:rPr>
                <w:noProof/>
                <w:webHidden/>
              </w:rPr>
              <w:t>15</w:t>
            </w:r>
            <w:r>
              <w:rPr>
                <w:noProof/>
                <w:webHidden/>
              </w:rPr>
              <w:fldChar w:fldCharType="end"/>
            </w:r>
          </w:hyperlink>
        </w:p>
        <w:p w14:paraId="3A222060" w14:textId="30C27C9D"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7" w:history="1">
            <w:r w:rsidRPr="00226103">
              <w:rPr>
                <w:rStyle w:val="Hyperlink"/>
                <w:noProof/>
                <w:lang w:val="en-AU" w:eastAsia="zh-CN"/>
              </w:rPr>
              <w:t>Market stewardship and intelligence</w:t>
            </w:r>
            <w:r>
              <w:rPr>
                <w:noProof/>
                <w:webHidden/>
              </w:rPr>
              <w:tab/>
            </w:r>
            <w:r>
              <w:rPr>
                <w:noProof/>
                <w:webHidden/>
              </w:rPr>
              <w:fldChar w:fldCharType="begin"/>
            </w:r>
            <w:r>
              <w:rPr>
                <w:noProof/>
                <w:webHidden/>
              </w:rPr>
              <w:instrText xml:space="preserve"> PAGEREF _Toc117872987 \h </w:instrText>
            </w:r>
            <w:r>
              <w:rPr>
                <w:noProof/>
                <w:webHidden/>
              </w:rPr>
            </w:r>
            <w:r>
              <w:rPr>
                <w:noProof/>
                <w:webHidden/>
              </w:rPr>
              <w:fldChar w:fldCharType="separate"/>
            </w:r>
            <w:r>
              <w:rPr>
                <w:noProof/>
                <w:webHidden/>
              </w:rPr>
              <w:t>15</w:t>
            </w:r>
            <w:r>
              <w:rPr>
                <w:noProof/>
                <w:webHidden/>
              </w:rPr>
              <w:fldChar w:fldCharType="end"/>
            </w:r>
          </w:hyperlink>
        </w:p>
        <w:p w14:paraId="4A40D047" w14:textId="13794D57"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8" w:history="1">
            <w:r w:rsidRPr="00226103">
              <w:rPr>
                <w:rStyle w:val="Hyperlink"/>
                <w:noProof/>
              </w:rPr>
              <w:t>Section seven</w:t>
            </w:r>
            <w:r>
              <w:rPr>
                <w:noProof/>
                <w:webHidden/>
              </w:rPr>
              <w:tab/>
            </w:r>
            <w:r>
              <w:rPr>
                <w:noProof/>
                <w:webHidden/>
              </w:rPr>
              <w:fldChar w:fldCharType="begin"/>
            </w:r>
            <w:r>
              <w:rPr>
                <w:noProof/>
                <w:webHidden/>
              </w:rPr>
              <w:instrText xml:space="preserve"> PAGEREF _Toc117872988 \h </w:instrText>
            </w:r>
            <w:r>
              <w:rPr>
                <w:noProof/>
                <w:webHidden/>
              </w:rPr>
            </w:r>
            <w:r>
              <w:rPr>
                <w:noProof/>
                <w:webHidden/>
              </w:rPr>
              <w:fldChar w:fldCharType="separate"/>
            </w:r>
            <w:r>
              <w:rPr>
                <w:noProof/>
                <w:webHidden/>
              </w:rPr>
              <w:t>19</w:t>
            </w:r>
            <w:r>
              <w:rPr>
                <w:noProof/>
                <w:webHidden/>
              </w:rPr>
              <w:fldChar w:fldCharType="end"/>
            </w:r>
          </w:hyperlink>
        </w:p>
        <w:p w14:paraId="3382FF9F" w14:textId="4BB85922"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89" w:history="1">
            <w:r w:rsidRPr="00226103">
              <w:rPr>
                <w:rStyle w:val="Hyperlink"/>
                <w:noProof/>
                <w:lang w:val="en-AU" w:eastAsia="zh-CN"/>
              </w:rPr>
              <w:t>Provider viability</w:t>
            </w:r>
            <w:r>
              <w:rPr>
                <w:noProof/>
                <w:webHidden/>
              </w:rPr>
              <w:tab/>
            </w:r>
            <w:r>
              <w:rPr>
                <w:noProof/>
                <w:webHidden/>
              </w:rPr>
              <w:fldChar w:fldCharType="begin"/>
            </w:r>
            <w:r>
              <w:rPr>
                <w:noProof/>
                <w:webHidden/>
              </w:rPr>
              <w:instrText xml:space="preserve"> PAGEREF _Toc117872989 \h </w:instrText>
            </w:r>
            <w:r>
              <w:rPr>
                <w:noProof/>
                <w:webHidden/>
              </w:rPr>
            </w:r>
            <w:r>
              <w:rPr>
                <w:noProof/>
                <w:webHidden/>
              </w:rPr>
              <w:fldChar w:fldCharType="separate"/>
            </w:r>
            <w:r>
              <w:rPr>
                <w:noProof/>
                <w:webHidden/>
              </w:rPr>
              <w:t>19</w:t>
            </w:r>
            <w:r>
              <w:rPr>
                <w:noProof/>
                <w:webHidden/>
              </w:rPr>
              <w:fldChar w:fldCharType="end"/>
            </w:r>
          </w:hyperlink>
        </w:p>
        <w:p w14:paraId="439549B5" w14:textId="09993D89"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90" w:history="1">
            <w:r w:rsidRPr="00226103">
              <w:rPr>
                <w:rStyle w:val="Hyperlink"/>
                <w:noProof/>
              </w:rPr>
              <w:t>Section eight</w:t>
            </w:r>
            <w:r>
              <w:rPr>
                <w:noProof/>
                <w:webHidden/>
              </w:rPr>
              <w:tab/>
            </w:r>
            <w:r>
              <w:rPr>
                <w:noProof/>
                <w:webHidden/>
              </w:rPr>
              <w:fldChar w:fldCharType="begin"/>
            </w:r>
            <w:r>
              <w:rPr>
                <w:noProof/>
                <w:webHidden/>
              </w:rPr>
              <w:instrText xml:space="preserve"> PAGEREF _Toc117872990 \h </w:instrText>
            </w:r>
            <w:r>
              <w:rPr>
                <w:noProof/>
                <w:webHidden/>
              </w:rPr>
            </w:r>
            <w:r>
              <w:rPr>
                <w:noProof/>
                <w:webHidden/>
              </w:rPr>
              <w:fldChar w:fldCharType="separate"/>
            </w:r>
            <w:r>
              <w:rPr>
                <w:noProof/>
                <w:webHidden/>
              </w:rPr>
              <w:t>22</w:t>
            </w:r>
            <w:r>
              <w:rPr>
                <w:noProof/>
                <w:webHidden/>
              </w:rPr>
              <w:fldChar w:fldCharType="end"/>
            </w:r>
          </w:hyperlink>
        </w:p>
        <w:p w14:paraId="51398184" w14:textId="5DE225A5"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91" w:history="1">
            <w:r w:rsidRPr="00226103">
              <w:rPr>
                <w:rStyle w:val="Hyperlink"/>
                <w:noProof/>
                <w:lang w:val="en-AU" w:eastAsia="zh-CN"/>
              </w:rPr>
              <w:t>Transitional arrangements</w:t>
            </w:r>
            <w:r>
              <w:rPr>
                <w:noProof/>
                <w:webHidden/>
              </w:rPr>
              <w:tab/>
            </w:r>
            <w:r>
              <w:rPr>
                <w:noProof/>
                <w:webHidden/>
              </w:rPr>
              <w:fldChar w:fldCharType="begin"/>
            </w:r>
            <w:r>
              <w:rPr>
                <w:noProof/>
                <w:webHidden/>
              </w:rPr>
              <w:instrText xml:space="preserve"> PAGEREF _Toc117872991 \h </w:instrText>
            </w:r>
            <w:r>
              <w:rPr>
                <w:noProof/>
                <w:webHidden/>
              </w:rPr>
            </w:r>
            <w:r>
              <w:rPr>
                <w:noProof/>
                <w:webHidden/>
              </w:rPr>
              <w:fldChar w:fldCharType="separate"/>
            </w:r>
            <w:r>
              <w:rPr>
                <w:noProof/>
                <w:webHidden/>
              </w:rPr>
              <w:t>22</w:t>
            </w:r>
            <w:r>
              <w:rPr>
                <w:noProof/>
                <w:webHidden/>
              </w:rPr>
              <w:fldChar w:fldCharType="end"/>
            </w:r>
          </w:hyperlink>
        </w:p>
        <w:p w14:paraId="262A79D9" w14:textId="0E7C5082"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92" w:history="1">
            <w:r w:rsidRPr="00226103">
              <w:rPr>
                <w:rStyle w:val="Hyperlink"/>
                <w:noProof/>
              </w:rPr>
              <w:t>Section nine</w:t>
            </w:r>
            <w:r>
              <w:rPr>
                <w:noProof/>
                <w:webHidden/>
              </w:rPr>
              <w:tab/>
            </w:r>
            <w:r>
              <w:rPr>
                <w:noProof/>
                <w:webHidden/>
              </w:rPr>
              <w:fldChar w:fldCharType="begin"/>
            </w:r>
            <w:r>
              <w:rPr>
                <w:noProof/>
                <w:webHidden/>
              </w:rPr>
              <w:instrText xml:space="preserve"> PAGEREF _Toc117872992 \h </w:instrText>
            </w:r>
            <w:r>
              <w:rPr>
                <w:noProof/>
                <w:webHidden/>
              </w:rPr>
            </w:r>
            <w:r>
              <w:rPr>
                <w:noProof/>
                <w:webHidden/>
              </w:rPr>
              <w:fldChar w:fldCharType="separate"/>
            </w:r>
            <w:r>
              <w:rPr>
                <w:noProof/>
                <w:webHidden/>
              </w:rPr>
              <w:t>24</w:t>
            </w:r>
            <w:r>
              <w:rPr>
                <w:noProof/>
                <w:webHidden/>
              </w:rPr>
              <w:fldChar w:fldCharType="end"/>
            </w:r>
          </w:hyperlink>
        </w:p>
        <w:p w14:paraId="46914BF4" w14:textId="0A3F386F"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93" w:history="1">
            <w:r w:rsidRPr="00226103">
              <w:rPr>
                <w:rStyle w:val="Hyperlink"/>
                <w:noProof/>
                <w:lang w:val="en-AU" w:eastAsia="zh-CN"/>
              </w:rPr>
              <w:t>Next steps</w:t>
            </w:r>
            <w:r>
              <w:rPr>
                <w:noProof/>
                <w:webHidden/>
              </w:rPr>
              <w:tab/>
            </w:r>
            <w:r>
              <w:rPr>
                <w:noProof/>
                <w:webHidden/>
              </w:rPr>
              <w:fldChar w:fldCharType="begin"/>
            </w:r>
            <w:r>
              <w:rPr>
                <w:noProof/>
                <w:webHidden/>
              </w:rPr>
              <w:instrText xml:space="preserve"> PAGEREF _Toc117872993 \h </w:instrText>
            </w:r>
            <w:r>
              <w:rPr>
                <w:noProof/>
                <w:webHidden/>
              </w:rPr>
            </w:r>
            <w:r>
              <w:rPr>
                <w:noProof/>
                <w:webHidden/>
              </w:rPr>
              <w:fldChar w:fldCharType="separate"/>
            </w:r>
            <w:r>
              <w:rPr>
                <w:noProof/>
                <w:webHidden/>
              </w:rPr>
              <w:t>24</w:t>
            </w:r>
            <w:r>
              <w:rPr>
                <w:noProof/>
                <w:webHidden/>
              </w:rPr>
              <w:fldChar w:fldCharType="end"/>
            </w:r>
          </w:hyperlink>
        </w:p>
        <w:p w14:paraId="4F1BAC7A" w14:textId="51A2C2BF"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94" w:history="1">
            <w:r w:rsidRPr="00226103">
              <w:rPr>
                <w:rStyle w:val="Hyperlink"/>
                <w:noProof/>
                <w:lang w:val="en-AU" w:eastAsia="zh-CN"/>
              </w:rPr>
              <w:t>Appendix B – Glossary</w:t>
            </w:r>
            <w:r>
              <w:rPr>
                <w:noProof/>
                <w:webHidden/>
              </w:rPr>
              <w:tab/>
            </w:r>
            <w:r>
              <w:rPr>
                <w:noProof/>
                <w:webHidden/>
              </w:rPr>
              <w:fldChar w:fldCharType="begin"/>
            </w:r>
            <w:r>
              <w:rPr>
                <w:noProof/>
                <w:webHidden/>
              </w:rPr>
              <w:instrText xml:space="preserve"> PAGEREF _Toc117872994 \h </w:instrText>
            </w:r>
            <w:r>
              <w:rPr>
                <w:noProof/>
                <w:webHidden/>
              </w:rPr>
            </w:r>
            <w:r>
              <w:rPr>
                <w:noProof/>
                <w:webHidden/>
              </w:rPr>
              <w:fldChar w:fldCharType="separate"/>
            </w:r>
            <w:r>
              <w:rPr>
                <w:noProof/>
                <w:webHidden/>
              </w:rPr>
              <w:t>36</w:t>
            </w:r>
            <w:r>
              <w:rPr>
                <w:noProof/>
                <w:webHidden/>
              </w:rPr>
              <w:fldChar w:fldCharType="end"/>
            </w:r>
          </w:hyperlink>
        </w:p>
        <w:p w14:paraId="73B4A02E" w14:textId="1403685B" w:rsidR="00086E7C" w:rsidRDefault="00086E7C">
          <w:pPr>
            <w:pStyle w:val="TOC1"/>
            <w:tabs>
              <w:tab w:val="right" w:leader="dot" w:pos="9858"/>
            </w:tabs>
            <w:rPr>
              <w:rFonts w:asciiTheme="minorHAnsi" w:eastAsiaTheme="minorEastAsia" w:hAnsiTheme="minorHAnsi" w:cstheme="minorBidi"/>
              <w:noProof/>
              <w:color w:val="auto"/>
              <w:lang w:val="en-AU" w:eastAsia="en-AU"/>
            </w:rPr>
          </w:pPr>
          <w:hyperlink w:anchor="_Toc117872995" w:history="1">
            <w:r w:rsidRPr="00226103">
              <w:rPr>
                <w:rStyle w:val="Hyperlink"/>
                <w:noProof/>
                <w:lang w:val="en-AU" w:eastAsia="zh-CN"/>
              </w:rPr>
              <w:t>Appendix C – Stakeholders consulted</w:t>
            </w:r>
            <w:r>
              <w:rPr>
                <w:noProof/>
                <w:webHidden/>
              </w:rPr>
              <w:tab/>
            </w:r>
            <w:r>
              <w:rPr>
                <w:noProof/>
                <w:webHidden/>
              </w:rPr>
              <w:fldChar w:fldCharType="begin"/>
            </w:r>
            <w:r>
              <w:rPr>
                <w:noProof/>
                <w:webHidden/>
              </w:rPr>
              <w:instrText xml:space="preserve"> PAGEREF _Toc117872995 \h </w:instrText>
            </w:r>
            <w:r>
              <w:rPr>
                <w:noProof/>
                <w:webHidden/>
              </w:rPr>
            </w:r>
            <w:r>
              <w:rPr>
                <w:noProof/>
                <w:webHidden/>
              </w:rPr>
              <w:fldChar w:fldCharType="separate"/>
            </w:r>
            <w:r>
              <w:rPr>
                <w:noProof/>
                <w:webHidden/>
              </w:rPr>
              <w:t>42</w:t>
            </w:r>
            <w:r>
              <w:rPr>
                <w:noProof/>
                <w:webHidden/>
              </w:rPr>
              <w:fldChar w:fldCharType="end"/>
            </w:r>
          </w:hyperlink>
        </w:p>
        <w:p w14:paraId="18A1B96D" w14:textId="7371F912" w:rsidR="00A96670" w:rsidRPr="00D04C0D" w:rsidRDefault="00F55A5E" w:rsidP="00D04C0D">
          <w:pPr>
            <w:sectPr w:rsidR="00A96670" w:rsidRPr="00D04C0D" w:rsidSect="003222B2">
              <w:pgSz w:w="11910" w:h="16840"/>
              <w:pgMar w:top="4077" w:right="1021" w:bottom="278" w:left="1021" w:header="720" w:footer="720" w:gutter="0"/>
              <w:cols w:space="720"/>
            </w:sectPr>
          </w:pPr>
          <w:r>
            <w:fldChar w:fldCharType="end"/>
          </w:r>
        </w:p>
      </w:sdtContent>
    </w:sdt>
    <w:p w14:paraId="5545B1C5" w14:textId="77777777" w:rsidR="0061193D" w:rsidRPr="00D04C0D" w:rsidRDefault="0061193D" w:rsidP="00D04C0D">
      <w:r>
        <w:br w:type="page"/>
      </w:r>
    </w:p>
    <w:p w14:paraId="4294A5FD" w14:textId="506BDE8D" w:rsidR="006C7985" w:rsidRPr="00086E7C" w:rsidRDefault="006C7985" w:rsidP="00086E7C">
      <w:pPr>
        <w:pStyle w:val="Heading1"/>
      </w:pPr>
      <w:bookmarkStart w:id="0" w:name="_Toc117872975"/>
      <w:r w:rsidRPr="00086E7C">
        <w:lastRenderedPageBreak/>
        <w:t>Putting older Australians at the center of residential aged care</w:t>
      </w:r>
      <w:bookmarkEnd w:id="0"/>
    </w:p>
    <w:p w14:paraId="2597357A" w14:textId="7869B4C5" w:rsidR="006C7985" w:rsidRPr="001B7B17" w:rsidRDefault="006C7985" w:rsidP="001B7B17">
      <w:r w:rsidRPr="00B528D0">
        <w:t xml:space="preserve">A </w:t>
      </w:r>
      <w:r w:rsidRPr="001B7B17">
        <w:t>new residential aged care system, where places are allocated to people</w:t>
      </w:r>
      <w:r w:rsidR="00F9357A" w:rsidRPr="001B7B17">
        <w:t xml:space="preserve"> instead of </w:t>
      </w:r>
      <w:r w:rsidRPr="001B7B17">
        <w:t>providers, will progress the Australian Government’s commitment to putting security, dignity, quality, and humanity back into aged care.</w:t>
      </w:r>
    </w:p>
    <w:p w14:paraId="3FCD2CAD" w14:textId="5D8FC176" w:rsidR="006C7985" w:rsidRPr="001B7B17" w:rsidRDefault="006C7985" w:rsidP="001B7B17">
      <w:r w:rsidRPr="001B7B17">
        <w:t xml:space="preserve">It will put people first – giving older Australians more control to select a home of their choice and </w:t>
      </w:r>
      <w:r w:rsidR="00F9357A" w:rsidRPr="001B7B17">
        <w:t>making it easier for them to move to a new home if they choose to.</w:t>
      </w:r>
    </w:p>
    <w:p w14:paraId="4C1FB5BF" w14:textId="6EFDB224" w:rsidR="003713BF" w:rsidRPr="001B7B17" w:rsidRDefault="006C7985" w:rsidP="001B7B17">
      <w:r w:rsidRPr="003713BF">
        <w:t xml:space="preserve">Residential aged care providers will need to </w:t>
      </w:r>
      <w:r w:rsidR="00F9357A" w:rsidRPr="003713BF">
        <w:t>lift</w:t>
      </w:r>
      <w:r w:rsidRPr="003713BF">
        <w:t xml:space="preserve"> the quality of their services and innovate to </w:t>
      </w:r>
      <w:r w:rsidR="00F9357A" w:rsidRPr="003713BF">
        <w:t>attract residents.</w:t>
      </w:r>
    </w:p>
    <w:p w14:paraId="2574380B" w14:textId="60DE52EA" w:rsidR="00F9226B" w:rsidRPr="00B528D0" w:rsidRDefault="00966C8E" w:rsidP="00A76B05">
      <w:pPr>
        <w:pStyle w:val="Heading2"/>
      </w:pPr>
      <w:r w:rsidRPr="00B528D0">
        <w:t>How the new system will dignify older Australians</w:t>
      </w:r>
      <w:r w:rsidR="009621F6" w:rsidRPr="00B528D0">
        <w:t xml:space="preserve"> in accessing residential aged care</w:t>
      </w:r>
    </w:p>
    <w:p w14:paraId="2E3B01AA" w14:textId="5E41E1CB" w:rsidR="00026E2F" w:rsidRPr="00086E7C" w:rsidRDefault="00966C8E" w:rsidP="00086E7C">
      <w:r w:rsidRPr="00B528D0">
        <w:t xml:space="preserve">The new </w:t>
      </w:r>
      <w:r w:rsidR="006C7985" w:rsidRPr="00B528D0">
        <w:t xml:space="preserve">aged care system </w:t>
      </w:r>
      <w:r w:rsidRPr="00B528D0">
        <w:t>will enhance protections for older Australians through a rights-based, person-centered</w:t>
      </w:r>
      <w:r w:rsidR="006C7985" w:rsidRPr="00B528D0">
        <w:t xml:space="preserve"> system</w:t>
      </w:r>
      <w:r w:rsidRPr="00B528D0">
        <w:t xml:space="preserve"> </w:t>
      </w:r>
      <w:r w:rsidR="006C7985" w:rsidRPr="00B528D0">
        <w:t>th</w:t>
      </w:r>
      <w:r w:rsidR="006C7985" w:rsidRPr="00086E7C">
        <w:t xml:space="preserve">at encourages </w:t>
      </w:r>
      <w:r w:rsidRPr="00086E7C">
        <w:t>innovation.</w:t>
      </w:r>
    </w:p>
    <w:p w14:paraId="5A2A6B93" w14:textId="208011DF" w:rsidR="0042055F" w:rsidRPr="00086E7C" w:rsidRDefault="00B9461B" w:rsidP="00086E7C">
      <w:r w:rsidRPr="00086E7C">
        <w:t xml:space="preserve">Various reviews into aged care, including the </w:t>
      </w:r>
      <w:hyperlink r:id="rId14" w:history="1">
        <w:r w:rsidRPr="00086E7C">
          <w:rPr>
            <w:rStyle w:val="Hyperlink"/>
          </w:rPr>
          <w:t>Royal Commission into Aged Care Quality and Safety</w:t>
        </w:r>
      </w:hyperlink>
      <w:r w:rsidRPr="00086E7C">
        <w:t xml:space="preserve"> (Royal Commission), have found that the aged care system needs significant improvement.</w:t>
      </w:r>
    </w:p>
    <w:p w14:paraId="15C8772D" w14:textId="0EAB3C06" w:rsidR="00B9461B" w:rsidRPr="00B528D0" w:rsidRDefault="00B9461B" w:rsidP="00086E7C">
      <w:r w:rsidRPr="00086E7C">
        <w:t xml:space="preserve">The Department of Health and Aged Care (the </w:t>
      </w:r>
      <w:r w:rsidR="006C7985" w:rsidRPr="00086E7C">
        <w:t>department</w:t>
      </w:r>
      <w:r w:rsidRPr="00086E7C">
        <w:t xml:space="preserve">) is leading </w:t>
      </w:r>
      <w:r w:rsidR="0042055F" w:rsidRPr="00086E7C">
        <w:t xml:space="preserve">the </w:t>
      </w:r>
      <w:r w:rsidRPr="00086E7C">
        <w:t xml:space="preserve">development of a wide range of reforms including a new </w:t>
      </w:r>
      <w:r w:rsidR="00A71EA8" w:rsidRPr="00086E7C">
        <w:t xml:space="preserve">system to improve </w:t>
      </w:r>
      <w:r w:rsidR="006C7985" w:rsidRPr="00086E7C">
        <w:t>choice and control for older Australians to make informed decisions on their aged car</w:t>
      </w:r>
      <w:r w:rsidR="006C7985" w:rsidRPr="00B528D0">
        <w:t>e services.</w:t>
      </w:r>
    </w:p>
    <w:p w14:paraId="48C6EDB5" w14:textId="18447552" w:rsidR="009F0009" w:rsidRPr="00086E7C" w:rsidRDefault="0042055F" w:rsidP="00086E7C">
      <w:r w:rsidRPr="00B528D0">
        <w:t xml:space="preserve">A key </w:t>
      </w:r>
      <w:r w:rsidR="003A76D5">
        <w:t>part of these reforms</w:t>
      </w:r>
      <w:r w:rsidRPr="00B528D0">
        <w:t xml:space="preserve"> </w:t>
      </w:r>
      <w:r w:rsidR="00A71EA8" w:rsidRPr="00B528D0">
        <w:t>will be</w:t>
      </w:r>
      <w:r w:rsidRPr="00B528D0">
        <w:t xml:space="preserve"> to </w:t>
      </w:r>
      <w:r w:rsidR="009621F6" w:rsidRPr="00B528D0">
        <w:t>improve how people can access</w:t>
      </w:r>
      <w:r w:rsidR="00142E13" w:rsidRPr="00B528D0">
        <w:t xml:space="preserve"> residential aged care</w:t>
      </w:r>
      <w:r w:rsidR="009621F6" w:rsidRPr="00B528D0">
        <w:t xml:space="preserve"> and choose a</w:t>
      </w:r>
      <w:r w:rsidR="00142E13" w:rsidRPr="00B528D0">
        <w:t>n</w:t>
      </w:r>
      <w:r w:rsidR="009621F6" w:rsidRPr="00B528D0">
        <w:t xml:space="preserve"> aged</w:t>
      </w:r>
      <w:r w:rsidR="009621F6" w:rsidRPr="00086E7C">
        <w:t xml:space="preserve"> care home.</w:t>
      </w:r>
    </w:p>
    <w:p w14:paraId="53502691" w14:textId="6C3A6BC7" w:rsidR="00A22A21" w:rsidRPr="00086E7C" w:rsidRDefault="00A22A21" w:rsidP="00086E7C">
      <w:r w:rsidRPr="00086E7C">
        <w:t xml:space="preserve">The main change being discussed in this report is that the </w:t>
      </w:r>
      <w:r w:rsidR="00E72828" w:rsidRPr="00086E7C">
        <w:t>Aged Care A</w:t>
      </w:r>
      <w:r w:rsidR="00DD3B6D" w:rsidRPr="00086E7C">
        <w:t>pprovals</w:t>
      </w:r>
      <w:r w:rsidR="00E72828" w:rsidRPr="00086E7C">
        <w:t xml:space="preserve"> Round (</w:t>
      </w:r>
      <w:r w:rsidRPr="00086E7C">
        <w:t>ACAR</w:t>
      </w:r>
      <w:r w:rsidR="00E72828" w:rsidRPr="00086E7C">
        <w:t>)</w:t>
      </w:r>
      <w:r w:rsidRPr="00086E7C">
        <w:t xml:space="preserve"> has now ceased. A more competitive market will be introduced from 1 July 2024 with residential aged care places allocated directly to older Australians. This, along with other changes, will provide older Australians with more choice on which approved provider delivers their care.</w:t>
      </w:r>
    </w:p>
    <w:p w14:paraId="2093AE76" w14:textId="1845B458" w:rsidR="004E0A05" w:rsidRPr="00B528D0" w:rsidRDefault="00CB1F7A" w:rsidP="00086E7C">
      <w:r w:rsidRPr="00086E7C">
        <w:t>The changes</w:t>
      </w:r>
      <w:r w:rsidR="009621F6" w:rsidRPr="00086E7C">
        <w:t xml:space="preserve"> </w:t>
      </w:r>
      <w:r w:rsidR="0042055F" w:rsidRPr="00086E7C">
        <w:t>are designed to</w:t>
      </w:r>
      <w:r w:rsidR="009621F6" w:rsidRPr="00086E7C">
        <w:t xml:space="preserve"> </w:t>
      </w:r>
      <w:r w:rsidR="0042055F" w:rsidRPr="00086E7C">
        <w:t xml:space="preserve">empower older people. However, the changes will </w:t>
      </w:r>
      <w:r w:rsidR="009621F6" w:rsidRPr="00086E7C">
        <w:t>also affect the residential aged care sector</w:t>
      </w:r>
      <w:r w:rsidR="009621F6" w:rsidRPr="00B528D0">
        <w:t xml:space="preserve"> more broadly</w:t>
      </w:r>
      <w:r w:rsidR="004E0A05" w:rsidRPr="00B528D0">
        <w:t>:</w:t>
      </w:r>
    </w:p>
    <w:p w14:paraId="3C6932D1" w14:textId="23A59A99" w:rsidR="004E0A05" w:rsidRPr="00B528D0" w:rsidRDefault="00A6234A" w:rsidP="00086E7C">
      <w:pPr>
        <w:pStyle w:val="ListBullet"/>
      </w:pPr>
      <w:r w:rsidRPr="00B528D0">
        <w:t>providers</w:t>
      </w:r>
      <w:r w:rsidR="00E12929" w:rsidRPr="00B528D0">
        <w:t xml:space="preserve"> will have more freedom and flexibility</w:t>
      </w:r>
      <w:r w:rsidRPr="00B528D0">
        <w:t xml:space="preserve"> to expand services </w:t>
      </w:r>
      <w:r w:rsidR="009621F6" w:rsidRPr="00B528D0">
        <w:t>and</w:t>
      </w:r>
      <w:r w:rsidRPr="00B528D0">
        <w:t xml:space="preserve"> meet community demands responsive</w:t>
      </w:r>
      <w:r w:rsidR="004E2BE5" w:rsidRPr="00B528D0">
        <w:t>ly</w:t>
      </w:r>
    </w:p>
    <w:p w14:paraId="12C99DC4" w14:textId="19B2F3BF" w:rsidR="004E0A05" w:rsidRPr="00B528D0" w:rsidRDefault="004E0A05" w:rsidP="00086E7C">
      <w:pPr>
        <w:pStyle w:val="ListBullet"/>
      </w:pPr>
      <w:r w:rsidRPr="00B528D0">
        <w:t xml:space="preserve">where </w:t>
      </w:r>
      <w:r w:rsidR="009621F6" w:rsidRPr="00B528D0">
        <w:t>there is competition</w:t>
      </w:r>
      <w:r w:rsidRPr="00B528D0">
        <w:t>,</w:t>
      </w:r>
      <w:r w:rsidR="009621F6" w:rsidRPr="00B528D0">
        <w:t xml:space="preserve"> </w:t>
      </w:r>
      <w:r w:rsidRPr="00B528D0">
        <w:t>providers will</w:t>
      </w:r>
      <w:r w:rsidR="009621F6" w:rsidRPr="00B528D0">
        <w:t xml:space="preserve"> need to improve quality and innovation </w:t>
      </w:r>
      <w:r w:rsidRPr="00B528D0">
        <w:t xml:space="preserve">to attract older Australians, their </w:t>
      </w:r>
      <w:proofErr w:type="gramStart"/>
      <w:r w:rsidRPr="00B528D0">
        <w:t>families</w:t>
      </w:r>
      <w:proofErr w:type="gramEnd"/>
      <w:r w:rsidRPr="00B528D0">
        <w:t xml:space="preserve"> and carers.</w:t>
      </w:r>
    </w:p>
    <w:p w14:paraId="3BAF100E" w14:textId="25B832F0" w:rsidR="0061193D" w:rsidRPr="0095121C" w:rsidRDefault="009621F6" w:rsidP="0095121C">
      <w:pPr>
        <w:pStyle w:val="Heading1Char"/>
      </w:pPr>
      <w:r w:rsidRPr="00B528D0">
        <w:t xml:space="preserve">This </w:t>
      </w:r>
      <w:r w:rsidR="00952094" w:rsidRPr="00B528D0">
        <w:t xml:space="preserve">reform </w:t>
      </w:r>
      <w:r w:rsidRPr="00B528D0">
        <w:t xml:space="preserve">will </w:t>
      </w:r>
      <w:r w:rsidR="004E0A05" w:rsidRPr="00B528D0">
        <w:t xml:space="preserve">improve </w:t>
      </w:r>
      <w:r w:rsidR="00952094" w:rsidRPr="00B528D0">
        <w:t>the standard of care and create a higher quality and more innovative sector</w:t>
      </w:r>
      <w:r w:rsidR="004E2BE5" w:rsidRPr="00B528D0">
        <w:t xml:space="preserve"> for the future care needs of Australians.</w:t>
      </w:r>
      <w:r w:rsidR="0061193D" w:rsidRPr="001D6174">
        <w:br w:type="page"/>
      </w:r>
    </w:p>
    <w:p w14:paraId="196AF79F" w14:textId="7260A574" w:rsidR="00752A43" w:rsidRPr="00086E7C" w:rsidRDefault="00752A43" w:rsidP="001D6174">
      <w:pPr>
        <w:rPr>
          <w:rStyle w:val="Strong"/>
        </w:rPr>
      </w:pPr>
      <w:r w:rsidRPr="00086E7C">
        <w:rPr>
          <w:rStyle w:val="Strong"/>
        </w:rPr>
        <w:lastRenderedPageBreak/>
        <w:drawing>
          <wp:anchor distT="0" distB="0" distL="114300" distR="114300" simplePos="0" relativeHeight="487624192" behindDoc="0" locked="0" layoutInCell="1" allowOverlap="1" wp14:anchorId="2F64C3E4" wp14:editId="2253ED95">
            <wp:simplePos x="0" y="0"/>
            <wp:positionH relativeFrom="margin">
              <wp:align>center</wp:align>
            </wp:positionH>
            <wp:positionV relativeFrom="paragraph">
              <wp:posOffset>480060</wp:posOffset>
            </wp:positionV>
            <wp:extent cx="7090410" cy="583438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0410" cy="5834380"/>
                    </a:xfrm>
                    <a:prstGeom prst="rect">
                      <a:avLst/>
                    </a:prstGeom>
                    <a:noFill/>
                  </pic:spPr>
                </pic:pic>
              </a:graphicData>
            </a:graphic>
          </wp:anchor>
        </w:drawing>
      </w:r>
      <w:r w:rsidR="004E0A05" w:rsidRPr="00086E7C">
        <w:rPr>
          <w:rStyle w:val="Strong"/>
        </w:rPr>
        <w:t>The change</w:t>
      </w:r>
      <w:r w:rsidR="003E2D12" w:rsidRPr="00086E7C">
        <w:rPr>
          <w:rStyle w:val="Strong"/>
        </w:rPr>
        <w:t>s</w:t>
      </w:r>
      <w:r w:rsidR="009621F6" w:rsidRPr="00086E7C">
        <w:rPr>
          <w:rStyle w:val="Strong"/>
        </w:rPr>
        <w:t xml:space="preserve"> will mean that people are at the </w:t>
      </w:r>
      <w:r w:rsidR="003E2D12" w:rsidRPr="00086E7C">
        <w:rPr>
          <w:rStyle w:val="Strong"/>
        </w:rPr>
        <w:t>center</w:t>
      </w:r>
      <w:r w:rsidR="004E0A05" w:rsidRPr="00086E7C">
        <w:rPr>
          <w:rStyle w:val="Strong"/>
        </w:rPr>
        <w:t xml:space="preserve"> </w:t>
      </w:r>
      <w:r w:rsidR="009621F6" w:rsidRPr="00086E7C">
        <w:rPr>
          <w:rStyle w:val="Strong"/>
        </w:rPr>
        <w:t xml:space="preserve">of </w:t>
      </w:r>
      <w:r w:rsidR="003E2D12" w:rsidRPr="00086E7C">
        <w:rPr>
          <w:rStyle w:val="Strong"/>
        </w:rPr>
        <w:t xml:space="preserve">choosing and accessing </w:t>
      </w:r>
      <w:r w:rsidR="009621F6" w:rsidRPr="00086E7C">
        <w:rPr>
          <w:rStyle w:val="Strong"/>
        </w:rPr>
        <w:t>residential aged care</w:t>
      </w:r>
      <w:r w:rsidR="003E2D12" w:rsidRPr="00086E7C">
        <w:rPr>
          <w:rStyle w:val="Strong"/>
        </w:rPr>
        <w:t>:</w:t>
      </w:r>
    </w:p>
    <w:p w14:paraId="2D13F53B" w14:textId="50CD6320" w:rsidR="00752A43" w:rsidRPr="00D04C0D" w:rsidRDefault="00752A43" w:rsidP="00D04C0D">
      <w:r>
        <w:br w:type="page"/>
      </w:r>
    </w:p>
    <w:p w14:paraId="58D600B8" w14:textId="4051F4FC" w:rsidR="00180E32" w:rsidRPr="00B528D0" w:rsidRDefault="00180E32" w:rsidP="00A76B05">
      <w:pPr>
        <w:pStyle w:val="Heading3"/>
      </w:pPr>
      <w:r w:rsidRPr="00B528D0">
        <w:lastRenderedPageBreak/>
        <w:t>Related activities and reforms</w:t>
      </w:r>
    </w:p>
    <w:p w14:paraId="48EA5B5F" w14:textId="56D7928C" w:rsidR="00180E32" w:rsidRPr="001B7B17" w:rsidRDefault="00CD4EA1" w:rsidP="001B7B17">
      <w:r w:rsidRPr="00B528D0">
        <w:t>The Governmen</w:t>
      </w:r>
      <w:r w:rsidRPr="001B7B17">
        <w:t xml:space="preserve">t is </w:t>
      </w:r>
      <w:r w:rsidR="003337A0" w:rsidRPr="001B7B17">
        <w:t>making practical changes</w:t>
      </w:r>
      <w:r w:rsidRPr="001B7B17">
        <w:t xml:space="preserve"> to ensure the aged care system meets the needs of older Australians.</w:t>
      </w:r>
    </w:p>
    <w:p w14:paraId="02E865C2" w14:textId="6635270D" w:rsidR="001F11D0" w:rsidRPr="00B528D0" w:rsidRDefault="006C7781" w:rsidP="001B7B17">
      <w:r w:rsidRPr="001B7B17">
        <w:t xml:space="preserve">This includes a range of </w:t>
      </w:r>
      <w:r w:rsidR="003337A0" w:rsidRPr="001B7B17">
        <w:t xml:space="preserve">changes </w:t>
      </w:r>
      <w:r w:rsidRPr="001B7B17">
        <w:t xml:space="preserve">that will work alongside the </w:t>
      </w:r>
      <w:r w:rsidR="002033F6" w:rsidRPr="001B7B17">
        <w:t xml:space="preserve">ACAR </w:t>
      </w:r>
      <w:r w:rsidRPr="001B7B17">
        <w:t>transition to deliver a modern residentia</w:t>
      </w:r>
      <w:r w:rsidRPr="00B528D0">
        <w:t>l aged care system that enables:</w:t>
      </w:r>
    </w:p>
    <w:p w14:paraId="64AD3EBC" w14:textId="293ACB68" w:rsidR="00180E32" w:rsidRPr="00B528D0" w:rsidRDefault="00C61B97" w:rsidP="001B7B17">
      <w:pPr>
        <w:pStyle w:val="ListBullet"/>
      </w:pPr>
      <w:r w:rsidRPr="00B528D0">
        <w:t>better and more</w:t>
      </w:r>
      <w:r w:rsidR="00180E32" w:rsidRPr="00B528D0">
        <w:t xml:space="preserve"> meaning</w:t>
      </w:r>
      <w:r w:rsidRPr="00B528D0">
        <w:t>ful</w:t>
      </w:r>
      <w:r w:rsidR="00180E32" w:rsidRPr="00B528D0">
        <w:t xml:space="preserve"> </w:t>
      </w:r>
      <w:hyperlink r:id="rId16" w:history="1">
        <w:r w:rsidRPr="00B528D0">
          <w:rPr>
            <w:rStyle w:val="HTMLVariable"/>
          </w:rPr>
          <w:t>choice</w:t>
        </w:r>
      </w:hyperlink>
      <w:r w:rsidR="00180E32" w:rsidRPr="00B528D0">
        <w:t xml:space="preserve"> between providers, including through </w:t>
      </w:r>
      <w:hyperlink r:id="rId17" w:history="1">
        <w:r w:rsidR="00180E32" w:rsidRPr="00B528D0">
          <w:rPr>
            <w:rStyle w:val="HTMLVariable"/>
          </w:rPr>
          <w:t>star ratings</w:t>
        </w:r>
      </w:hyperlink>
      <w:r w:rsidRPr="00B528D0">
        <w:t xml:space="preserve"> and </w:t>
      </w:r>
      <w:hyperlink r:id="rId18" w:history="1">
        <w:r w:rsidRPr="007D7DB4">
          <w:t>face-to-face services</w:t>
        </w:r>
      </w:hyperlink>
      <w:r w:rsidRPr="00B528D0">
        <w:t xml:space="preserve"> to find care</w:t>
      </w:r>
    </w:p>
    <w:p w14:paraId="0B8458B1" w14:textId="05236E5A" w:rsidR="00B9461B" w:rsidRPr="001B7B17" w:rsidRDefault="00000A62" w:rsidP="001B7B17">
      <w:pPr>
        <w:pStyle w:val="ListBullet"/>
      </w:pPr>
      <w:hyperlink r:id="rId19" w:history="1">
        <w:r w:rsidR="00952094" w:rsidRPr="00B528D0">
          <w:rPr>
            <w:rStyle w:val="HTMLVariable"/>
          </w:rPr>
          <w:t>transparency</w:t>
        </w:r>
      </w:hyperlink>
      <w:r w:rsidR="00952094" w:rsidRPr="00B528D0">
        <w:t xml:space="preserve"> and </w:t>
      </w:r>
      <w:hyperlink r:id="rId20" w:history="1">
        <w:r w:rsidR="00952094" w:rsidRPr="00B528D0">
          <w:rPr>
            <w:rStyle w:val="HTMLVariable"/>
          </w:rPr>
          <w:t>accountability</w:t>
        </w:r>
      </w:hyperlink>
      <w:r w:rsidR="00952094" w:rsidRPr="00B528D0">
        <w:t xml:space="preserve"> of aged care providers</w:t>
      </w:r>
    </w:p>
    <w:p w14:paraId="617E4C8E" w14:textId="12B35355" w:rsidR="00180E32" w:rsidRPr="001B7B17" w:rsidRDefault="00180E32" w:rsidP="001B7B17">
      <w:pPr>
        <w:pStyle w:val="ListBullet"/>
      </w:pPr>
      <w:r w:rsidRPr="00B528D0">
        <w:t>assessment arrangements that accurately and appropriately recommend the right programs and services that will meet people’s needs</w:t>
      </w:r>
    </w:p>
    <w:p w14:paraId="04908FCA" w14:textId="2038A396" w:rsidR="001F11D0" w:rsidRPr="001B7B17" w:rsidRDefault="00C61B97" w:rsidP="001B7B17">
      <w:pPr>
        <w:pStyle w:val="ListBullet"/>
      </w:pPr>
      <w:r w:rsidRPr="00B528D0">
        <w:t>support for</w:t>
      </w:r>
      <w:r w:rsidR="001F11D0" w:rsidRPr="00B528D0">
        <w:t xml:space="preserve"> people with </w:t>
      </w:r>
      <w:hyperlink r:id="rId21" w:history="1">
        <w:r w:rsidR="001F11D0" w:rsidRPr="00B528D0">
          <w:rPr>
            <w:rStyle w:val="HTMLVariable"/>
          </w:rPr>
          <w:t>diverse needs</w:t>
        </w:r>
      </w:hyperlink>
    </w:p>
    <w:p w14:paraId="218BC876" w14:textId="181231B2" w:rsidR="00F9226B" w:rsidRPr="001B7B17" w:rsidRDefault="00F9226B" w:rsidP="001B7B17">
      <w:pPr>
        <w:pStyle w:val="ListBullet"/>
      </w:pPr>
      <w:r w:rsidRPr="00B528D0">
        <w:t xml:space="preserve">funding that drives </w:t>
      </w:r>
      <w:hyperlink r:id="rId22" w:history="1">
        <w:r w:rsidRPr="00B528D0">
          <w:rPr>
            <w:rStyle w:val="HTMLVariable"/>
          </w:rPr>
          <w:t>better care and a viable system</w:t>
        </w:r>
      </w:hyperlink>
      <w:r w:rsidR="00430EE1" w:rsidRPr="00B528D0">
        <w:t xml:space="preserve"> ,that is </w:t>
      </w:r>
      <w:hyperlink r:id="rId23" w:history="1">
        <w:r w:rsidR="00430EE1" w:rsidRPr="00B528D0">
          <w:rPr>
            <w:rStyle w:val="HTMLVariable"/>
          </w:rPr>
          <w:t>more fair</w:t>
        </w:r>
      </w:hyperlink>
      <w:r w:rsidR="00430EE1" w:rsidRPr="00B528D0">
        <w:t xml:space="preserve"> and better supports:</w:t>
      </w:r>
    </w:p>
    <w:p w14:paraId="0D092D85" w14:textId="2FB53F88" w:rsidR="00430EE1" w:rsidRPr="001B7B17" w:rsidRDefault="00430EE1" w:rsidP="001B7B17">
      <w:pPr>
        <w:pStyle w:val="ListBullet2"/>
      </w:pPr>
      <w:r w:rsidRPr="00B528D0">
        <w:t xml:space="preserve">older Australians in rural, </w:t>
      </w:r>
      <w:proofErr w:type="gramStart"/>
      <w:r w:rsidRPr="00B528D0">
        <w:t>regional</w:t>
      </w:r>
      <w:proofErr w:type="gramEnd"/>
      <w:r w:rsidRPr="00B528D0">
        <w:t xml:space="preserve"> and remote areas</w:t>
      </w:r>
    </w:p>
    <w:p w14:paraId="5752FE53" w14:textId="3294DB03" w:rsidR="00430EE1" w:rsidRPr="001B7B17" w:rsidRDefault="00430EE1" w:rsidP="001B7B17">
      <w:pPr>
        <w:pStyle w:val="ListBullet2"/>
      </w:pPr>
      <w:r w:rsidRPr="00B528D0">
        <w:t>First Nations people</w:t>
      </w:r>
    </w:p>
    <w:p w14:paraId="13A2CC32" w14:textId="6C7CBD71" w:rsidR="00430EE1" w:rsidRPr="001B7B17" w:rsidRDefault="00430EE1" w:rsidP="001B7B17">
      <w:pPr>
        <w:pStyle w:val="ListBullet2"/>
      </w:pPr>
      <w:r w:rsidRPr="00B528D0">
        <w:t>older Australians who require more support than others</w:t>
      </w:r>
      <w:r w:rsidR="00D602A0">
        <w:t>.</w:t>
      </w:r>
    </w:p>
    <w:p w14:paraId="36E81A17" w14:textId="03D77539" w:rsidR="000D2BE0" w:rsidRPr="001B7B17" w:rsidRDefault="00F856E0" w:rsidP="001B7B17">
      <w:pPr>
        <w:pStyle w:val="ListBullet"/>
      </w:pPr>
      <w:r w:rsidRPr="00B528D0">
        <w:t xml:space="preserve">better </w:t>
      </w:r>
      <w:hyperlink r:id="rId24" w:history="1">
        <w:r w:rsidR="00F9226B" w:rsidRPr="00B528D0">
          <w:rPr>
            <w:rStyle w:val="HTMLVariable"/>
          </w:rPr>
          <w:t>accommodation settings</w:t>
        </w:r>
      </w:hyperlink>
      <w:r w:rsidR="00F9226B" w:rsidRPr="00B528D0">
        <w:t xml:space="preserve"> in residential aged care</w:t>
      </w:r>
    </w:p>
    <w:p w14:paraId="32F29429" w14:textId="0AA02732" w:rsidR="00447CDC" w:rsidRPr="003A426F" w:rsidRDefault="00000A62" w:rsidP="001B7B17">
      <w:pPr>
        <w:pStyle w:val="ListBullet"/>
      </w:pPr>
      <w:hyperlink r:id="rId25" w:history="1">
        <w:r w:rsidR="00447CDC" w:rsidRPr="00B528D0">
          <w:rPr>
            <w:rStyle w:val="HTMLVariable"/>
            <w:szCs w:val="24"/>
          </w:rPr>
          <w:t>market stewardship arrangements</w:t>
        </w:r>
      </w:hyperlink>
      <w:r w:rsidR="00447CDC" w:rsidRPr="00B528D0">
        <w:rPr>
          <w:szCs w:val="24"/>
        </w:rPr>
        <w:t>, to monitor and make sure people can access suitable and quality residential aged care services</w:t>
      </w:r>
    </w:p>
    <w:p w14:paraId="31881F10" w14:textId="50B8BDB5" w:rsidR="00B9461B" w:rsidRPr="00B528D0" w:rsidRDefault="00000A62" w:rsidP="001B7B17">
      <w:pPr>
        <w:pStyle w:val="ListBullet"/>
      </w:pPr>
      <w:hyperlink r:id="rId26" w:history="1">
        <w:r w:rsidR="00C61B97" w:rsidRPr="00B528D0">
          <w:rPr>
            <w:rStyle w:val="HTMLVariable"/>
          </w:rPr>
          <w:t xml:space="preserve">stronger </w:t>
        </w:r>
        <w:r w:rsidR="00F9226B" w:rsidRPr="00B528D0">
          <w:rPr>
            <w:rStyle w:val="HTMLVariable"/>
          </w:rPr>
          <w:t>regulatory</w:t>
        </w:r>
      </w:hyperlink>
      <w:r w:rsidR="00F9226B" w:rsidRPr="00B528D0">
        <w:t xml:space="preserve"> and </w:t>
      </w:r>
      <w:r w:rsidR="00CD4EA1" w:rsidRPr="00B528D0">
        <w:t>governance arrangements,</w:t>
      </w:r>
      <w:r w:rsidR="00F9226B" w:rsidRPr="00B528D0">
        <w:t xml:space="preserve"> including through the introduction of a new </w:t>
      </w:r>
      <w:r w:rsidR="00CD4EA1" w:rsidRPr="00B528D0">
        <w:t>Aged Care Act</w:t>
      </w:r>
    </w:p>
    <w:p w14:paraId="5A52B3E4" w14:textId="087C9BEE" w:rsidR="003A09BD" w:rsidRPr="00B528D0" w:rsidRDefault="003A09BD" w:rsidP="001B7B17">
      <w:pPr>
        <w:pStyle w:val="ListBullet"/>
      </w:pPr>
      <w:r w:rsidRPr="00B528D0">
        <w:t>better quality and safe</w:t>
      </w:r>
      <w:r w:rsidR="00430EE1" w:rsidRPr="00B528D0">
        <w:t>r</w:t>
      </w:r>
      <w:r w:rsidRPr="00B528D0">
        <w:t xml:space="preserve"> care through making sure </w:t>
      </w:r>
      <w:hyperlink r:id="rId27" w:history="1">
        <w:r w:rsidRPr="00B528D0">
          <w:rPr>
            <w:rStyle w:val="HTMLVariable"/>
          </w:rPr>
          <w:t>more time is spent caring for residents</w:t>
        </w:r>
      </w:hyperlink>
      <w:r w:rsidRPr="00B528D0">
        <w:t xml:space="preserve">, and that there is </w:t>
      </w:r>
      <w:hyperlink r:id="rId28" w:history="1">
        <w:r w:rsidRPr="00B528D0">
          <w:rPr>
            <w:rStyle w:val="HTMLVariable"/>
          </w:rPr>
          <w:t>always a registered nurse</w:t>
        </w:r>
      </w:hyperlink>
      <w:r w:rsidRPr="00B528D0">
        <w:t xml:space="preserve"> available</w:t>
      </w:r>
      <w:r w:rsidR="00D602A0">
        <w:t>.</w:t>
      </w:r>
    </w:p>
    <w:p w14:paraId="5FC094CE" w14:textId="77777777" w:rsidR="00086E7C" w:rsidRDefault="00B9461B" w:rsidP="00086E7C">
      <w:pPr>
        <w:pStyle w:val="Body"/>
        <w:rPr>
          <w:rStyle w:val="Strong"/>
        </w:rPr>
      </w:pPr>
      <w:r w:rsidRPr="00086E7C">
        <w:rPr>
          <w:rStyle w:val="Strong"/>
        </w:rPr>
        <w:t xml:space="preserve">Further information on aged care reforms is available on the </w:t>
      </w:r>
      <w:hyperlink r:id="rId29" w:history="1">
        <w:r w:rsidR="00870C4F" w:rsidRPr="00086E7C">
          <w:rPr>
            <w:rStyle w:val="Hyperlink"/>
          </w:rPr>
          <w:t>d</w:t>
        </w:r>
        <w:r w:rsidRPr="00086E7C">
          <w:rPr>
            <w:rStyle w:val="Hyperlink"/>
          </w:rPr>
          <w:t>epartment’s website</w:t>
        </w:r>
      </w:hyperlink>
      <w:r w:rsidRPr="00086E7C">
        <w:rPr>
          <w:rStyle w:val="Strong"/>
        </w:rPr>
        <w:t xml:space="preserve"> and the </w:t>
      </w:r>
      <w:hyperlink r:id="rId30" w:history="1">
        <w:r w:rsidRPr="00086E7C">
          <w:rPr>
            <w:rStyle w:val="Hyperlink"/>
          </w:rPr>
          <w:t>Ageing and Aged Care Engagement Hub</w:t>
        </w:r>
      </w:hyperlink>
      <w:r w:rsidRPr="00086E7C">
        <w:rPr>
          <w:rStyle w:val="Strong"/>
        </w:rPr>
        <w:t>.</w:t>
      </w:r>
    </w:p>
    <w:p w14:paraId="329E4502" w14:textId="77777777" w:rsidR="00086E7C" w:rsidRPr="00C62D3D" w:rsidRDefault="00086E7C" w:rsidP="00C62D3D">
      <w:r>
        <w:br w:type="page"/>
      </w:r>
    </w:p>
    <w:p w14:paraId="00C9B6D8" w14:textId="40518983" w:rsidR="003056A3" w:rsidRPr="00B528D0" w:rsidRDefault="000D2BE0" w:rsidP="00086E7C">
      <w:pPr>
        <w:pStyle w:val="Heading2"/>
      </w:pPr>
      <w:r w:rsidRPr="00B528D0">
        <w:lastRenderedPageBreak/>
        <w:t>P</w:t>
      </w:r>
      <w:r w:rsidR="004E447F" w:rsidRPr="00B528D0">
        <w:t>urpose of this paper</w:t>
      </w:r>
    </w:p>
    <w:p w14:paraId="30059DE4" w14:textId="6BE32CD6" w:rsidR="00870C4F" w:rsidRPr="001753EA" w:rsidRDefault="00870C4F" w:rsidP="001753EA">
      <w:bookmarkStart w:id="1" w:name="_Hlk94257975"/>
      <w:r w:rsidRPr="001753EA">
        <w:t>This summary report provides</w:t>
      </w:r>
      <w:r w:rsidR="004E447F" w:rsidRPr="001753EA">
        <w:t xml:space="preserve"> the key themes and outcomes from consultation undertaken by </w:t>
      </w:r>
      <w:r w:rsidR="00932A86" w:rsidRPr="001753EA">
        <w:t>the department</w:t>
      </w:r>
      <w:r w:rsidR="004E447F" w:rsidRPr="001753EA">
        <w:t xml:space="preserve"> in late 2021 on the </w:t>
      </w:r>
      <w:r w:rsidR="00447CDC" w:rsidRPr="001753EA">
        <w:t xml:space="preserve">ACAR transition </w:t>
      </w:r>
      <w:r w:rsidR="004E447F" w:rsidRPr="001753EA">
        <w:t>reform</w:t>
      </w:r>
      <w:r w:rsidR="004875B1" w:rsidRPr="001753EA">
        <w:t xml:space="preserve">. </w:t>
      </w:r>
      <w:r w:rsidR="004E447F" w:rsidRPr="001753EA">
        <w:t xml:space="preserve">The outcomes of this consultation will help guide </w:t>
      </w:r>
      <w:r w:rsidRPr="001753EA">
        <w:t xml:space="preserve">implementation of </w:t>
      </w:r>
      <w:r w:rsidR="004E447F" w:rsidRPr="001753EA">
        <w:t xml:space="preserve">the </w:t>
      </w:r>
      <w:r w:rsidR="009227BD" w:rsidRPr="001753EA">
        <w:t xml:space="preserve">reform and </w:t>
      </w:r>
      <w:r w:rsidRPr="001753EA">
        <w:t xml:space="preserve">related </w:t>
      </w:r>
      <w:r w:rsidR="009227BD" w:rsidRPr="001753EA">
        <w:t>reforms</w:t>
      </w:r>
      <w:r w:rsidRPr="001753EA">
        <w:t>, including</w:t>
      </w:r>
      <w:r w:rsidR="0041017D" w:rsidRPr="001753EA">
        <w:t>:</w:t>
      </w:r>
    </w:p>
    <w:p w14:paraId="1483FD31" w14:textId="77777777" w:rsidR="00CD4518" w:rsidRPr="003A426F" w:rsidRDefault="00CD4518" w:rsidP="003A426F"/>
    <w:p w14:paraId="6B5CBB31" w14:textId="77777777" w:rsidR="00FC34E2" w:rsidRPr="00B528D0" w:rsidRDefault="00FC34E2" w:rsidP="00FC34E2">
      <w:pPr>
        <w:pStyle w:val="Heading1Char"/>
        <w:sectPr w:rsidR="00FC34E2" w:rsidRPr="00B528D0" w:rsidSect="000A2544">
          <w:footerReference w:type="default" r:id="rId31"/>
          <w:type w:val="continuous"/>
          <w:pgSz w:w="11910" w:h="16840"/>
          <w:pgMar w:top="1134" w:right="1021" w:bottom="278" w:left="1021" w:header="720" w:footer="720" w:gutter="0"/>
          <w:cols w:space="720"/>
        </w:sectPr>
      </w:pPr>
    </w:p>
    <w:p w14:paraId="670EE2CF" w14:textId="6E025AA7" w:rsidR="00870C4F" w:rsidRPr="00B528D0" w:rsidRDefault="00870C4F" w:rsidP="001753EA">
      <w:pPr>
        <w:pStyle w:val="ListBullet3"/>
      </w:pPr>
      <w:r w:rsidRPr="00B528D0">
        <w:t xml:space="preserve">issues </w:t>
      </w:r>
      <w:r w:rsidR="004E447F" w:rsidRPr="00B528D0">
        <w:t>related to assessment</w:t>
      </w:r>
    </w:p>
    <w:p w14:paraId="057625B8" w14:textId="4908C62C" w:rsidR="00870C4F" w:rsidRPr="00B528D0" w:rsidRDefault="004E447F" w:rsidP="001753EA">
      <w:pPr>
        <w:pStyle w:val="ListBullet3"/>
      </w:pPr>
      <w:r w:rsidRPr="00B528D0">
        <w:t>allocation of places</w:t>
      </w:r>
    </w:p>
    <w:p w14:paraId="10B9DBE5" w14:textId="09905514" w:rsidR="00870C4F" w:rsidRPr="00B528D0" w:rsidRDefault="004E447F" w:rsidP="001753EA">
      <w:pPr>
        <w:pStyle w:val="ListBullet3"/>
      </w:pPr>
      <w:r w:rsidRPr="00B528D0">
        <w:t>informed choice</w:t>
      </w:r>
    </w:p>
    <w:p w14:paraId="364EB7B0" w14:textId="751D735B" w:rsidR="00870C4F" w:rsidRPr="00B528D0" w:rsidRDefault="004E447F" w:rsidP="001753EA">
      <w:pPr>
        <w:pStyle w:val="ListBullet3"/>
      </w:pPr>
      <w:r w:rsidRPr="00B528D0">
        <w:t>market stewardship</w:t>
      </w:r>
    </w:p>
    <w:p w14:paraId="31484323" w14:textId="7E77F894" w:rsidR="004E447F" w:rsidRPr="00B528D0" w:rsidRDefault="004E447F" w:rsidP="001753EA">
      <w:pPr>
        <w:pStyle w:val="ListBullet3"/>
      </w:pPr>
      <w:r w:rsidRPr="00B528D0">
        <w:t>provider viability</w:t>
      </w:r>
      <w:bookmarkEnd w:id="1"/>
    </w:p>
    <w:p w14:paraId="3A0BE964" w14:textId="77777777" w:rsidR="00FC34E2" w:rsidRPr="00B528D0" w:rsidRDefault="00FC34E2" w:rsidP="00BF1ACF">
      <w:pPr>
        <w:pStyle w:val="Heading1Char"/>
        <w:sectPr w:rsidR="00FC34E2" w:rsidRPr="00B528D0" w:rsidSect="00CD4518">
          <w:type w:val="continuous"/>
          <w:pgSz w:w="11910" w:h="16840"/>
          <w:pgMar w:top="1134" w:right="1021" w:bottom="278" w:left="1021" w:header="720" w:footer="720" w:gutter="0"/>
          <w:cols w:num="3" w:space="720"/>
        </w:sectPr>
      </w:pPr>
    </w:p>
    <w:p w14:paraId="39231C1E" w14:textId="77777777" w:rsidR="00086E7C" w:rsidRDefault="00086E7C" w:rsidP="00802F47">
      <w:pPr>
        <w:sectPr w:rsidR="00086E7C" w:rsidSect="000A2544">
          <w:type w:val="continuous"/>
          <w:pgSz w:w="11910" w:h="16840"/>
          <w:pgMar w:top="1134" w:right="1021" w:bottom="278" w:left="1021" w:header="720" w:footer="720" w:gutter="0"/>
          <w:cols w:space="720"/>
        </w:sectPr>
      </w:pPr>
    </w:p>
    <w:p w14:paraId="2BF1B765" w14:textId="75E144BE" w:rsidR="004E447F" w:rsidRPr="00B528D0" w:rsidRDefault="00870C4F" w:rsidP="00802F47">
      <w:r w:rsidRPr="00802F47">
        <w:t>The</w:t>
      </w:r>
      <w:r w:rsidRPr="00B528D0">
        <w:t xml:space="preserve"> report </w:t>
      </w:r>
      <w:r w:rsidR="004E447F" w:rsidRPr="00B528D0">
        <w:t xml:space="preserve">has </w:t>
      </w:r>
      <w:r w:rsidR="004F3ED5" w:rsidRPr="00B528D0">
        <w:t>nine</w:t>
      </w:r>
      <w:r w:rsidR="00932A86" w:rsidRPr="00B528D0">
        <w:t xml:space="preserve"> </w:t>
      </w:r>
      <w:r w:rsidR="004E447F" w:rsidRPr="00B528D0">
        <w:t>main parts:</w:t>
      </w:r>
    </w:p>
    <w:p w14:paraId="0467DC28" w14:textId="075EA0DE" w:rsidR="00C55235" w:rsidRPr="001B7B17" w:rsidRDefault="00C55235" w:rsidP="001B7B17">
      <w:pPr>
        <w:pStyle w:val="ListNumber"/>
      </w:pPr>
      <w:r w:rsidRPr="001B7B17">
        <w:t>Consultation approach</w:t>
      </w:r>
    </w:p>
    <w:p w14:paraId="244A6F15" w14:textId="71B83A1C" w:rsidR="004E447F" w:rsidRPr="00B528D0" w:rsidRDefault="004E447F" w:rsidP="00447CDC">
      <w:pPr>
        <w:pStyle w:val="Heading1Char"/>
      </w:pPr>
      <w:r w:rsidRPr="00B528D0">
        <w:t xml:space="preserve">This section provides an overview </w:t>
      </w:r>
      <w:r w:rsidR="00C55235" w:rsidRPr="00B528D0">
        <w:t>how the</w:t>
      </w:r>
      <w:r w:rsidR="004F3ED5" w:rsidRPr="00B528D0">
        <w:t xml:space="preserve"> first round of</w:t>
      </w:r>
      <w:r w:rsidR="00C55235" w:rsidRPr="00B528D0">
        <w:t xml:space="preserve"> consultation </w:t>
      </w:r>
      <w:r w:rsidR="004F3ED5" w:rsidRPr="00B528D0">
        <w:t xml:space="preserve">in 2021 </w:t>
      </w:r>
      <w:r w:rsidR="00C55235" w:rsidRPr="00B528D0">
        <w:t>was undertaken and who participated</w:t>
      </w:r>
      <w:r w:rsidR="004875B1" w:rsidRPr="00B528D0">
        <w:t>.</w:t>
      </w:r>
    </w:p>
    <w:p w14:paraId="0DDD8290" w14:textId="70173C86" w:rsidR="00C55235" w:rsidRPr="001B7B17" w:rsidRDefault="00C55235" w:rsidP="001B7B17">
      <w:pPr>
        <w:pStyle w:val="ListNumber"/>
      </w:pPr>
      <w:r w:rsidRPr="001B7B17">
        <w:t>Overall impacts</w:t>
      </w:r>
    </w:p>
    <w:p w14:paraId="2105AF88" w14:textId="4679CDDA" w:rsidR="00C55235" w:rsidRPr="00B528D0" w:rsidRDefault="00C55235" w:rsidP="00447CDC">
      <w:pPr>
        <w:pStyle w:val="Heading1Char"/>
      </w:pPr>
      <w:r w:rsidRPr="00B528D0">
        <w:t xml:space="preserve">This section covers what people said in the consultation about the overall impacts of the reform, including for older Australians, the aged care </w:t>
      </w:r>
      <w:proofErr w:type="gramStart"/>
      <w:r w:rsidRPr="00B528D0">
        <w:t>system</w:t>
      </w:r>
      <w:proofErr w:type="gramEnd"/>
      <w:r w:rsidRPr="00B528D0">
        <w:t xml:space="preserve"> and </w:t>
      </w:r>
      <w:proofErr w:type="spellStart"/>
      <w:r w:rsidRPr="00B528D0">
        <w:t>organisations</w:t>
      </w:r>
      <w:proofErr w:type="spellEnd"/>
      <w:r w:rsidRPr="00B528D0">
        <w:t>.</w:t>
      </w:r>
    </w:p>
    <w:p w14:paraId="7059DF6D" w14:textId="49DAF0B2" w:rsidR="00C55235" w:rsidRPr="001B7B17" w:rsidRDefault="00C55235" w:rsidP="001B7B17">
      <w:pPr>
        <w:pStyle w:val="ListNumber"/>
      </w:pPr>
      <w:r w:rsidRPr="001B7B17">
        <w:t>Assessment</w:t>
      </w:r>
    </w:p>
    <w:p w14:paraId="251544F2" w14:textId="2A6171E6" w:rsidR="004F3ED5" w:rsidRPr="00B528D0" w:rsidRDefault="00C55235" w:rsidP="00447CDC">
      <w:pPr>
        <w:pStyle w:val="Heading1Char"/>
      </w:pPr>
      <w:r w:rsidRPr="00B528D0">
        <w:t>This section describes feedback and next steps relat</w:t>
      </w:r>
      <w:r w:rsidR="00870C4F" w:rsidRPr="00B528D0">
        <w:t>ed</w:t>
      </w:r>
      <w:r w:rsidRPr="00B528D0">
        <w:t xml:space="preserve"> to the new assessment arrangements, including how urgency and special needs should be considered, and how assessment information should be used in the future.</w:t>
      </w:r>
    </w:p>
    <w:p w14:paraId="0C8DD9EA" w14:textId="6695D78D" w:rsidR="004F3ED5" w:rsidRPr="001B7B17" w:rsidRDefault="004F3ED5" w:rsidP="001B7B17">
      <w:pPr>
        <w:pStyle w:val="ListNumber"/>
      </w:pPr>
      <w:r w:rsidRPr="001B7B17">
        <w:t>Allocation of places</w:t>
      </w:r>
    </w:p>
    <w:p w14:paraId="658A5616" w14:textId="1C461EA0" w:rsidR="00C55235" w:rsidRPr="00B528D0" w:rsidRDefault="004F3ED5" w:rsidP="00447CDC">
      <w:pPr>
        <w:pStyle w:val="Heading1Char"/>
      </w:pPr>
      <w:r w:rsidRPr="00B528D0">
        <w:t xml:space="preserve">This section </w:t>
      </w:r>
      <w:r w:rsidR="00932A86" w:rsidRPr="00B528D0">
        <w:t>discusses how the system for deciding who should be recommended and able to access residential aged care should look like into the future.</w:t>
      </w:r>
    </w:p>
    <w:p w14:paraId="25E63716" w14:textId="38B457BA" w:rsidR="00C55235" w:rsidRPr="001B7B17" w:rsidRDefault="00C55235" w:rsidP="001B7B17">
      <w:pPr>
        <w:pStyle w:val="ListNumber"/>
      </w:pPr>
      <w:r w:rsidRPr="001B7B17">
        <w:t>Choice</w:t>
      </w:r>
    </w:p>
    <w:p w14:paraId="11C58948" w14:textId="77777777" w:rsidR="00802F47" w:rsidRPr="003A426F" w:rsidRDefault="00C55235" w:rsidP="00802F47">
      <w:r w:rsidRPr="00B528D0">
        <w:t>This section discusses what is being done and will need to be done to improve the ability for pe</w:t>
      </w:r>
    </w:p>
    <w:p w14:paraId="0BDC0017" w14:textId="62305C42" w:rsidR="00C55235" w:rsidRPr="00B528D0" w:rsidRDefault="00C55235" w:rsidP="00447CDC">
      <w:pPr>
        <w:pStyle w:val="Heading1Char"/>
      </w:pPr>
      <w:proofErr w:type="spellStart"/>
      <w:r w:rsidRPr="00B528D0">
        <w:t>ople</w:t>
      </w:r>
      <w:proofErr w:type="spellEnd"/>
      <w:r w:rsidRPr="00B528D0">
        <w:t xml:space="preserve"> to choose and move between residential aged care providers.</w:t>
      </w:r>
    </w:p>
    <w:p w14:paraId="4013B85B" w14:textId="5D7BEF17" w:rsidR="00C55235" w:rsidRPr="001B7B17" w:rsidRDefault="00C55235" w:rsidP="001B7B17">
      <w:pPr>
        <w:pStyle w:val="ListNumber"/>
      </w:pPr>
      <w:r w:rsidRPr="001B7B17">
        <w:t>Market stewardship and intelligence</w:t>
      </w:r>
    </w:p>
    <w:p w14:paraId="4F94440A" w14:textId="002C5744" w:rsidR="00C55235" w:rsidRPr="00B528D0" w:rsidRDefault="00C55235" w:rsidP="00447CDC">
      <w:pPr>
        <w:pStyle w:val="Heading1Char"/>
      </w:pPr>
      <w:r w:rsidRPr="00B528D0">
        <w:t>This section covers new arrangements to improve regulating entry into the aged care market, ensuring that all people can access suitable residential aged care homes and services, and ensuring that important information is available to support older Australians and the sector.</w:t>
      </w:r>
    </w:p>
    <w:p w14:paraId="11856280" w14:textId="7F3E75DB" w:rsidR="00C55235" w:rsidRPr="001B7B17" w:rsidRDefault="008F67EB" w:rsidP="001B7B17">
      <w:pPr>
        <w:pStyle w:val="ListNumber"/>
      </w:pPr>
      <w:r w:rsidRPr="001B7B17">
        <w:t>Provider viability</w:t>
      </w:r>
    </w:p>
    <w:p w14:paraId="452079E1" w14:textId="0AC977B7" w:rsidR="00C55235" w:rsidRPr="00B528D0" w:rsidRDefault="00C55235" w:rsidP="00447CDC">
      <w:pPr>
        <w:pStyle w:val="Heading1Char"/>
      </w:pPr>
      <w:r w:rsidRPr="00B528D0">
        <w:t xml:space="preserve">This section </w:t>
      </w:r>
      <w:r w:rsidR="008F67EB" w:rsidRPr="00B528D0">
        <w:t xml:space="preserve">discusses viability impacts for </w:t>
      </w:r>
      <w:r w:rsidR="006C7781" w:rsidRPr="00B528D0">
        <w:t>aged care providers</w:t>
      </w:r>
      <w:r w:rsidR="008F67EB" w:rsidRPr="00B528D0">
        <w:t xml:space="preserve">, and ways to make sure that </w:t>
      </w:r>
      <w:r w:rsidR="006C7781" w:rsidRPr="00B528D0">
        <w:t>they</w:t>
      </w:r>
      <w:r w:rsidR="008F67EB" w:rsidRPr="00B528D0">
        <w:t xml:space="preserve"> </w:t>
      </w:r>
      <w:r w:rsidR="001F11D0" w:rsidRPr="00B528D0">
        <w:t>can</w:t>
      </w:r>
      <w:r w:rsidR="008F67EB" w:rsidRPr="00B528D0">
        <w:t xml:space="preserve"> deliver quality residential aged care to older Australians into the future.</w:t>
      </w:r>
    </w:p>
    <w:p w14:paraId="6DFE6AA4" w14:textId="230F5213" w:rsidR="008F67EB" w:rsidRPr="001B7B17" w:rsidRDefault="008F67EB" w:rsidP="001B7B17">
      <w:pPr>
        <w:pStyle w:val="ListNumber"/>
      </w:pPr>
      <w:r w:rsidRPr="001B7B17">
        <w:t>Transitional arrangements</w:t>
      </w:r>
    </w:p>
    <w:p w14:paraId="544E0838" w14:textId="54BF12DC" w:rsidR="008F67EB" w:rsidRPr="00B528D0" w:rsidRDefault="008F67EB" w:rsidP="000E6AFB">
      <w:pPr>
        <w:pStyle w:val="Heading1Char"/>
      </w:pPr>
      <w:r w:rsidRPr="00B528D0">
        <w:t xml:space="preserve">This section describes what is happening </w:t>
      </w:r>
      <w:r w:rsidR="001F11D0" w:rsidRPr="00B528D0">
        <w:t>now</w:t>
      </w:r>
      <w:r w:rsidRPr="00B528D0">
        <w:t xml:space="preserve"> to ensure the ongoing supply of residential aged care places, in the lead up to reform implementation</w:t>
      </w:r>
      <w:r w:rsidR="00870C4F" w:rsidRPr="00B528D0">
        <w:t>.</w:t>
      </w:r>
    </w:p>
    <w:p w14:paraId="6EF28F0B" w14:textId="09099C20" w:rsidR="008F67EB" w:rsidRPr="001B7B17" w:rsidRDefault="008F67EB" w:rsidP="001B7B17">
      <w:pPr>
        <w:pStyle w:val="ListNumber"/>
      </w:pPr>
      <w:r w:rsidRPr="001B7B17">
        <w:t>Next steps</w:t>
      </w:r>
    </w:p>
    <w:p w14:paraId="3F2AA2F3" w14:textId="287D62AD" w:rsidR="00086E7C" w:rsidRDefault="008F67EB" w:rsidP="000E6AFB">
      <w:pPr>
        <w:pStyle w:val="Heading1Char"/>
      </w:pPr>
      <w:r w:rsidRPr="00B528D0">
        <w:t xml:space="preserve">This section outlines </w:t>
      </w:r>
      <w:r w:rsidR="003A76D5">
        <w:t>how the consultation outcomes will be used to guide implementation</w:t>
      </w:r>
      <w:r w:rsidRPr="00B528D0">
        <w:t>.</w:t>
      </w:r>
      <w:r w:rsidR="00086E7C">
        <w:br w:type="page"/>
      </w:r>
    </w:p>
    <w:p w14:paraId="03895FAC" w14:textId="374720AE" w:rsidR="00362410" w:rsidRPr="00D04C0D" w:rsidRDefault="00362410" w:rsidP="00D04C0D">
      <w:pPr>
        <w:pStyle w:val="SectionTitle"/>
      </w:pPr>
      <w:bookmarkStart w:id="2" w:name="_Toc117872976"/>
      <w:r w:rsidRPr="00D04C0D">
        <w:lastRenderedPageBreak/>
        <w:t xml:space="preserve">Section </w:t>
      </w:r>
      <w:r w:rsidR="00F366FE" w:rsidRPr="00D04C0D">
        <w:t>one</w:t>
      </w:r>
      <w:bookmarkEnd w:id="2"/>
    </w:p>
    <w:p w14:paraId="5700784A" w14:textId="6177D072" w:rsidR="00815525" w:rsidRPr="00086E7C" w:rsidRDefault="00815525" w:rsidP="00086E7C">
      <w:pPr>
        <w:pStyle w:val="Heading1"/>
      </w:pPr>
      <w:bookmarkStart w:id="3" w:name="_Toc117872977"/>
      <w:r w:rsidRPr="00086E7C">
        <w:t>First round of consultation</w:t>
      </w:r>
      <w:bookmarkEnd w:id="3"/>
    </w:p>
    <w:p w14:paraId="6BA77C8F" w14:textId="16F9D0DD" w:rsidR="00815525" w:rsidRPr="00B528D0" w:rsidRDefault="00815525" w:rsidP="00C62D3D">
      <w:pPr>
        <w:pStyle w:val="IntroPara"/>
      </w:pPr>
      <w:r w:rsidRPr="00B528D0">
        <w:t xml:space="preserve">In late 2021, the department </w:t>
      </w:r>
      <w:r w:rsidR="00F9357A" w:rsidRPr="00B528D0">
        <w:t xml:space="preserve">sought views </w:t>
      </w:r>
      <w:r w:rsidR="00BF3231" w:rsidRPr="00B528D0">
        <w:t>on</w:t>
      </w:r>
      <w:r w:rsidR="00F9357A" w:rsidRPr="00B528D0">
        <w:t xml:space="preserve"> changes</w:t>
      </w:r>
      <w:r w:rsidR="00BF3231" w:rsidRPr="00B528D0">
        <w:t xml:space="preserve"> to the allocation of residential aged care places</w:t>
      </w:r>
      <w:r w:rsidR="00F9357A" w:rsidRPr="00B528D0">
        <w:t>. We</w:t>
      </w:r>
      <w:r w:rsidRPr="00B528D0">
        <w:t xml:space="preserve"> focused on important issues, including assessment, allocation of places, choice, market stewardship and intelligence, provider viability, and transitional arrangements.</w:t>
      </w:r>
    </w:p>
    <w:p w14:paraId="2DB9E80F" w14:textId="65C5ADC0" w:rsidR="00D8790B" w:rsidRPr="00B528D0" w:rsidRDefault="00D8790B" w:rsidP="000E6AFB">
      <w:pPr>
        <w:pStyle w:val="Heading2"/>
      </w:pPr>
      <w:r w:rsidRPr="00B528D0">
        <w:t>Discussion paper and survey</w:t>
      </w:r>
    </w:p>
    <w:p w14:paraId="19025785" w14:textId="544E25C3" w:rsidR="00D8790B" w:rsidRPr="003A426F" w:rsidRDefault="00D8790B" w:rsidP="003A426F">
      <w:r w:rsidRPr="00B528D0">
        <w:t xml:space="preserve">On 29 September 2021, the department released </w:t>
      </w:r>
      <w:r w:rsidR="00FF5D76" w:rsidRPr="00B528D0">
        <w:t xml:space="preserve">a </w:t>
      </w:r>
      <w:hyperlink r:id="rId32" w:history="1">
        <w:r w:rsidR="00FF5D76" w:rsidRPr="00B528D0">
          <w:rPr>
            <w:rStyle w:val="HTMLVariable"/>
          </w:rPr>
          <w:t>discussion paper</w:t>
        </w:r>
      </w:hyperlink>
      <w:r w:rsidR="00FF5D76" w:rsidRPr="00B528D0">
        <w:t xml:space="preserve"> and </w:t>
      </w:r>
      <w:r w:rsidRPr="00B528D0">
        <w:t>online survey seeking public comment on the details of the reform. Written submissions were also welcomed.</w:t>
      </w:r>
      <w:r w:rsidR="00576721" w:rsidRPr="00B528D0">
        <w:t xml:space="preserve"> Most people who responded to the survey worked in aged care (30</w:t>
      </w:r>
      <w:r w:rsidR="00DD1449">
        <w:t xml:space="preserve"> per cent</w:t>
      </w:r>
      <w:r w:rsidR="00576721" w:rsidRPr="00B528D0">
        <w:t xml:space="preserve">), </w:t>
      </w:r>
      <w:r w:rsidR="00BE666D" w:rsidRPr="00B528D0">
        <w:t xml:space="preserve">represented a </w:t>
      </w:r>
      <w:r w:rsidR="00576721" w:rsidRPr="00B528D0">
        <w:t xml:space="preserve">peak body </w:t>
      </w:r>
      <w:r w:rsidR="00576721" w:rsidRPr="003A426F">
        <w:t>(21</w:t>
      </w:r>
      <w:r w:rsidR="00DD1449" w:rsidRPr="003A426F">
        <w:t xml:space="preserve"> per cent</w:t>
      </w:r>
      <w:r w:rsidR="00576721" w:rsidRPr="003A426F">
        <w:t>), or ran an aged care business/other enterprise</w:t>
      </w:r>
      <w:r w:rsidR="004760E8" w:rsidRPr="003A426F">
        <w:t xml:space="preserve"> (20</w:t>
      </w:r>
      <w:r w:rsidR="003713BF" w:rsidRPr="003A426F">
        <w:t> </w:t>
      </w:r>
      <w:r w:rsidR="00DD1449" w:rsidRPr="003A426F">
        <w:t>per cent</w:t>
      </w:r>
      <w:r w:rsidR="004760E8" w:rsidRPr="003A426F">
        <w:t>)</w:t>
      </w:r>
      <w:r w:rsidR="00576721" w:rsidRPr="003A426F">
        <w:t>.</w:t>
      </w:r>
    </w:p>
    <w:p w14:paraId="7130B46C" w14:textId="7265B62E" w:rsidR="000D2BE0" w:rsidRPr="003A426F" w:rsidRDefault="00D8790B" w:rsidP="003A426F">
      <w:r w:rsidRPr="003A426F">
        <w:t xml:space="preserve">The discussion paper was directed towards providers, peak bodies, aged care assessment teams, and other </w:t>
      </w:r>
      <w:proofErr w:type="spellStart"/>
      <w:r w:rsidRPr="003A426F">
        <w:t>organisations</w:t>
      </w:r>
      <w:proofErr w:type="spellEnd"/>
      <w:r w:rsidRPr="003A426F">
        <w:t>. Older Australians, their families and carers also had the opportunity to provide feedback through this process.</w:t>
      </w:r>
    </w:p>
    <w:p w14:paraId="294D14AD" w14:textId="2530F9C8" w:rsidR="002B2593" w:rsidRPr="00802F47" w:rsidRDefault="002B2593" w:rsidP="00802F47">
      <w:r w:rsidRPr="003A426F">
        <w:t>In total, 165</w:t>
      </w:r>
      <w:r w:rsidRPr="00802F47">
        <w:t xml:space="preserve"> responses to the discussion paper were received:</w:t>
      </w:r>
    </w:p>
    <w:p w14:paraId="31B20A21" w14:textId="0658DEEB" w:rsidR="00FF5D76" w:rsidRPr="00802F47" w:rsidRDefault="002B2593" w:rsidP="00802F47">
      <w:pPr>
        <w:pStyle w:val="ListBullet"/>
      </w:pPr>
      <w:r w:rsidRPr="00802F47">
        <w:t>152 respondents provided answers to questions in the online survey format</w:t>
      </w:r>
    </w:p>
    <w:p w14:paraId="7D80FB26" w14:textId="227D9ED0" w:rsidR="00FF5D76" w:rsidRPr="00802F47" w:rsidRDefault="00FF5D76" w:rsidP="00802F47">
      <w:pPr>
        <w:pStyle w:val="ListBullet"/>
      </w:pPr>
      <w:r w:rsidRPr="00802F47">
        <w:t>13 respondents address the substance of the paper through detailed submission.</w:t>
      </w:r>
    </w:p>
    <w:p w14:paraId="4BC38FE5" w14:textId="1651E56B" w:rsidR="00561B91" w:rsidRPr="00B528D0" w:rsidRDefault="004B7756" w:rsidP="00802F47">
      <w:pPr>
        <w:rPr>
          <w:lang w:val="en-GB" w:eastAsia="zh-CN"/>
        </w:rPr>
      </w:pPr>
      <w:r w:rsidRPr="00802F47">
        <w:t>An analysis of survey</w:t>
      </w:r>
      <w:r w:rsidRPr="00B528D0">
        <w:rPr>
          <w:lang w:val="en-GB" w:eastAsia="zh-CN"/>
        </w:rPr>
        <w:t xml:space="preserve"> responses is presented in </w:t>
      </w:r>
      <w:hyperlink w:anchor="_Appendix_B_–" w:history="1">
        <w:r w:rsidRPr="00C62D3D">
          <w:rPr>
            <w:rStyle w:val="Hyperlink"/>
            <w:rFonts w:eastAsiaTheme="minorEastAsia" w:cstheme="minorBidi"/>
            <w:szCs w:val="20"/>
            <w:lang w:val="en-GB" w:eastAsia="zh-CN"/>
          </w:rPr>
          <w:t>Appendix A</w:t>
        </w:r>
      </w:hyperlink>
      <w:r w:rsidRPr="00B528D0">
        <w:rPr>
          <w:lang w:val="en-GB" w:eastAsia="zh-CN"/>
        </w:rPr>
        <w:t>.</w:t>
      </w:r>
    </w:p>
    <w:p w14:paraId="6751A178" w14:textId="77777777" w:rsidR="00F863CC" w:rsidRPr="00B528D0" w:rsidRDefault="000E6AFB" w:rsidP="00A76B05">
      <w:pPr>
        <w:pStyle w:val="Heading2"/>
      </w:pPr>
      <w:r w:rsidRPr="00B528D0">
        <w:t>Workshops</w:t>
      </w:r>
      <w:bookmarkStart w:id="4" w:name="_Toc74137114"/>
      <w:bookmarkStart w:id="5" w:name="_Toc80001377"/>
    </w:p>
    <w:p w14:paraId="716BA5E2" w14:textId="5AE3BA18" w:rsidR="00F366FE" w:rsidRPr="001D6174" w:rsidRDefault="00F366FE" w:rsidP="001D6174">
      <w:r w:rsidRPr="001D6174">
        <w:t xml:space="preserve">In October and November 2021, the department held 17 virtual workshops. Over 130 individuals attended, representing older Australians, providers, peak bodies, and state </w:t>
      </w:r>
      <w:r w:rsidR="00BE666D" w:rsidRPr="001D6174">
        <w:t xml:space="preserve">and territory </w:t>
      </w:r>
      <w:r w:rsidRPr="001D6174">
        <w:t>governments. These workshops focused on the issues and questions outlined in the discussion paper.</w:t>
      </w:r>
    </w:p>
    <w:p w14:paraId="38DD1557" w14:textId="63DDA9BB" w:rsidR="0054223A" w:rsidRPr="001D6174" w:rsidRDefault="00F366FE" w:rsidP="001D6174">
      <w:r w:rsidRPr="001D6174">
        <w:t>There was broad representation across the provider sector – from large providers to mid-sized operators and small stand-alone providers operating in regional areas. All provider types were consulted, including private for-profits, not-for-</w:t>
      </w:r>
      <w:r w:rsidR="00BE666D" w:rsidRPr="001D6174">
        <w:t>profits,</w:t>
      </w:r>
      <w:r w:rsidRPr="001D6174">
        <w:t xml:space="preserve"> and government providers.</w:t>
      </w:r>
      <w:bookmarkEnd w:id="4"/>
      <w:bookmarkEnd w:id="5"/>
      <w:r w:rsidR="0054223A" w:rsidRPr="001D6174">
        <w:br w:type="page"/>
      </w:r>
    </w:p>
    <w:p w14:paraId="4954D38C" w14:textId="77777777" w:rsidR="00F366FE" w:rsidRPr="00D04C0D" w:rsidRDefault="00F366FE" w:rsidP="00D04C0D">
      <w:pPr>
        <w:sectPr w:rsidR="00F366FE" w:rsidRPr="00D04C0D" w:rsidSect="000A2544">
          <w:type w:val="continuous"/>
          <w:pgSz w:w="11910" w:h="16840"/>
          <w:pgMar w:top="1134" w:right="1021" w:bottom="278" w:left="1021" w:header="720" w:footer="720" w:gutter="0"/>
          <w:cols w:space="720"/>
        </w:sectPr>
      </w:pPr>
    </w:p>
    <w:p w14:paraId="35C083A4" w14:textId="12B4152B" w:rsidR="0054223A" w:rsidRPr="00D04C0D" w:rsidRDefault="0054223A" w:rsidP="00D04C0D">
      <w:pPr>
        <w:pStyle w:val="SectionTitle"/>
      </w:pPr>
      <w:bookmarkStart w:id="6" w:name="_Toc117872978"/>
      <w:r w:rsidRPr="00D04C0D">
        <w:lastRenderedPageBreak/>
        <w:t>Section two</w:t>
      </w:r>
      <w:bookmarkEnd w:id="6"/>
    </w:p>
    <w:p w14:paraId="17347747" w14:textId="5CB6668F" w:rsidR="00A178B1" w:rsidRPr="00086E7C" w:rsidRDefault="00A178B1" w:rsidP="00086E7C">
      <w:pPr>
        <w:pStyle w:val="Heading1"/>
      </w:pPr>
      <w:bookmarkStart w:id="7" w:name="_Toc117872979"/>
      <w:r w:rsidRPr="00086E7C">
        <w:t>Overall impacts</w:t>
      </w:r>
      <w:bookmarkEnd w:id="7"/>
    </w:p>
    <w:p w14:paraId="52D0A3E0" w14:textId="1F0AE083" w:rsidR="00A178B1" w:rsidRPr="00B528D0" w:rsidRDefault="00A178B1" w:rsidP="00C62D3D">
      <w:pPr>
        <w:pStyle w:val="IntroPara"/>
      </w:pPr>
      <w:r w:rsidRPr="00B528D0">
        <w:t xml:space="preserve">There was widespread support to allocate </w:t>
      </w:r>
      <w:r w:rsidR="00BE666D" w:rsidRPr="00B528D0">
        <w:t xml:space="preserve">residential aged care </w:t>
      </w:r>
      <w:r w:rsidRPr="00B528D0">
        <w:t>places directly to older Australians</w:t>
      </w:r>
      <w:r w:rsidR="00F863CC" w:rsidRPr="00B528D0">
        <w:t>.</w:t>
      </w:r>
    </w:p>
    <w:p w14:paraId="533C9A81" w14:textId="0574617E" w:rsidR="0054223A" w:rsidRPr="00B528D0" w:rsidRDefault="0054223A" w:rsidP="000E6AFB">
      <w:pPr>
        <w:pStyle w:val="Heading2"/>
      </w:pPr>
      <w:r w:rsidRPr="00B528D0">
        <w:t>Impacts for older Australians</w:t>
      </w:r>
    </w:p>
    <w:p w14:paraId="282203D4" w14:textId="2315B707" w:rsidR="00996DC7" w:rsidRPr="00A76B05" w:rsidRDefault="00F9357A" w:rsidP="00A76B05">
      <w:pPr>
        <w:pStyle w:val="Heading1Char"/>
        <w:rPr>
          <w:szCs w:val="8"/>
          <w:lang w:eastAsia="zh-CN"/>
        </w:rPr>
      </w:pPr>
      <w:r w:rsidRPr="00D602A0">
        <w:rPr>
          <w:lang w:eastAsia="zh-CN"/>
        </w:rPr>
        <w:t xml:space="preserve">There was agreement that the reform would positively impact older Australians seeking residential aged care. </w:t>
      </w:r>
      <w:r w:rsidR="00B24DC7" w:rsidRPr="00D602A0">
        <w:rPr>
          <w:lang w:eastAsia="zh-CN"/>
        </w:rPr>
        <w:t>Around half</w:t>
      </w:r>
      <w:r w:rsidR="00B24DC7" w:rsidRPr="006C4DE1">
        <w:rPr>
          <w:lang w:eastAsia="zh-CN"/>
        </w:rPr>
        <w:t xml:space="preserve"> of survey respondents indicated that the change would lead to better choice</w:t>
      </w:r>
      <w:r w:rsidR="00B24DC7" w:rsidRPr="004155EB">
        <w:rPr>
          <w:lang w:eastAsia="zh-CN"/>
        </w:rPr>
        <w:t xml:space="preserve"> (49 per cent), access (48 per cent), quality (48 per cent) and innovation (43 per cent). Less than 30 per cent disagreed that the changes would improve each of these aspects for older Australians.</w:t>
      </w:r>
    </w:p>
    <w:p w14:paraId="4398E1F0" w14:textId="18E1A767" w:rsidR="00996DC7" w:rsidRPr="00A76B05" w:rsidRDefault="00F9357A" w:rsidP="00A76B05">
      <w:pPr>
        <w:pStyle w:val="Heading1Char"/>
        <w:rPr>
          <w:szCs w:val="10"/>
          <w:lang w:eastAsia="zh-CN"/>
        </w:rPr>
      </w:pPr>
      <w:r w:rsidRPr="00D602A0">
        <w:rPr>
          <w:lang w:eastAsia="zh-CN"/>
        </w:rPr>
        <w:t>People said that it would improve choice, by giving older Australians more options for which approved provider delivers their residential aged care services.</w:t>
      </w:r>
    </w:p>
    <w:p w14:paraId="2EEC4E53" w14:textId="5CC51208" w:rsidR="00F9357A" w:rsidRPr="00A76B05" w:rsidRDefault="00996DC7" w:rsidP="00A76B05">
      <w:pPr>
        <w:pStyle w:val="Heading1Char"/>
        <w:rPr>
          <w:lang w:eastAsia="zh-CN"/>
        </w:rPr>
      </w:pPr>
      <w:r w:rsidRPr="00D602A0">
        <w:rPr>
          <w:lang w:eastAsia="zh-CN"/>
        </w:rPr>
        <w:t xml:space="preserve">There was also agreement that it could improve quality, accountability, and transparency across </w:t>
      </w:r>
      <w:r w:rsidRPr="004155EB">
        <w:rPr>
          <w:lang w:eastAsia="zh-CN"/>
        </w:rPr>
        <w:t>the sector</w:t>
      </w:r>
      <w:r w:rsidR="00F9357A" w:rsidRPr="004155EB">
        <w:rPr>
          <w:lang w:eastAsia="zh-CN"/>
        </w:rPr>
        <w:t>.</w:t>
      </w:r>
    </w:p>
    <w:p w14:paraId="31A9187A" w14:textId="008EB95C" w:rsidR="00E73387" w:rsidRPr="001B7B17" w:rsidRDefault="000E6D2E" w:rsidP="005416BC">
      <w:pPr>
        <w:pStyle w:val="Heading2"/>
      </w:pPr>
      <w:r w:rsidRPr="00B528D0">
        <w:t>Impacts for the</w:t>
      </w:r>
      <w:r w:rsidR="001B4CBD" w:rsidRPr="00B528D0">
        <w:t xml:space="preserve"> residential aged care</w:t>
      </w:r>
      <w:r w:rsidRPr="00B528D0">
        <w:t xml:space="preserve"> sector</w:t>
      </w:r>
    </w:p>
    <w:p w14:paraId="7A9CD6A6" w14:textId="4CCDF87C" w:rsidR="005416BC" w:rsidRPr="003A426F" w:rsidRDefault="005416BC" w:rsidP="00A76B05">
      <w:pPr>
        <w:pStyle w:val="Heading1Char"/>
      </w:pPr>
      <w:r w:rsidRPr="00B528D0">
        <w:rPr>
          <w:lang w:val="en-AU" w:eastAsia="zh-CN"/>
        </w:rPr>
        <w:t>The perceived impact of the changes on the sector are generally perceived as positive.</w:t>
      </w:r>
    </w:p>
    <w:p w14:paraId="5BE7D637" w14:textId="03C39AE7" w:rsidR="00996DC7" w:rsidRPr="003A426F" w:rsidRDefault="00F9357A" w:rsidP="00A76B05">
      <w:pPr>
        <w:pStyle w:val="Heading1Char"/>
      </w:pPr>
      <w:r w:rsidRPr="00B528D0">
        <w:rPr>
          <w:lang w:val="en-AU" w:eastAsia="zh-CN"/>
        </w:rPr>
        <w:t>Many</w:t>
      </w:r>
      <w:r w:rsidRPr="003A426F">
        <w:t xml:space="preserve"> </w:t>
      </w:r>
      <w:r w:rsidRPr="00B528D0">
        <w:rPr>
          <w:lang w:val="en-AU" w:eastAsia="zh-CN"/>
        </w:rPr>
        <w:t>people agreed that the current system has not created equitable access to residential aged care services across different regions.</w:t>
      </w:r>
    </w:p>
    <w:p w14:paraId="55FA78DD" w14:textId="43FD1259" w:rsidR="00996DC7" w:rsidRPr="003A426F" w:rsidRDefault="00996DC7" w:rsidP="00A76B05">
      <w:pPr>
        <w:pStyle w:val="Heading1Char"/>
      </w:pPr>
      <w:r w:rsidRPr="00B528D0">
        <w:rPr>
          <w:lang w:val="en-AU" w:eastAsia="zh-CN"/>
        </w:rPr>
        <w:t xml:space="preserve">The current system has limitations in its ability to drive expansion and investment </w:t>
      </w:r>
      <w:r w:rsidR="005A0591" w:rsidRPr="00B528D0">
        <w:rPr>
          <w:lang w:val="en-AU" w:eastAsia="zh-CN"/>
        </w:rPr>
        <w:t>into</w:t>
      </w:r>
      <w:r w:rsidRPr="00B528D0">
        <w:rPr>
          <w:lang w:val="en-AU" w:eastAsia="zh-CN"/>
        </w:rPr>
        <w:t xml:space="preserve"> aged care in thin markets, whilst at the same time restricting providers in more competitive markets.</w:t>
      </w:r>
    </w:p>
    <w:p w14:paraId="6A7D45A3" w14:textId="084B8EBE" w:rsidR="00996DC7" w:rsidRPr="00B528D0" w:rsidRDefault="00996DC7" w:rsidP="00A76B05">
      <w:pPr>
        <w:pStyle w:val="Heading1Char"/>
        <w:rPr>
          <w:lang w:val="en-AU" w:eastAsia="zh-CN"/>
        </w:rPr>
      </w:pPr>
      <w:r w:rsidRPr="00B528D0">
        <w:rPr>
          <w:lang w:val="en-AU" w:eastAsia="zh-CN"/>
        </w:rPr>
        <w:t xml:space="preserve">Many providers view the reform as an opportunity to improve quality of care and accommodation offerings across the sector. </w:t>
      </w:r>
      <w:r w:rsidR="002C28E8" w:rsidRPr="00B528D0">
        <w:rPr>
          <w:lang w:val="en-AU" w:eastAsia="zh-CN"/>
        </w:rPr>
        <w:t xml:space="preserve">Around half of respondents agreed that the reforms would lead to increased quality and increased innovation. </w:t>
      </w:r>
      <w:r w:rsidR="003713BF" w:rsidRPr="00B528D0">
        <w:rPr>
          <w:lang w:val="en-AU" w:eastAsia="zh-CN"/>
        </w:rPr>
        <w:t>Most (54 per cent) survey respondents indicated that provider business models would be more sustainable</w:t>
      </w:r>
      <w:r w:rsidR="00BE1F1E" w:rsidRPr="00B528D0">
        <w:rPr>
          <w:lang w:val="en-AU" w:eastAsia="zh-CN"/>
        </w:rPr>
        <w:t xml:space="preserve">. </w:t>
      </w:r>
      <w:r w:rsidRPr="00B528D0">
        <w:rPr>
          <w:lang w:val="en-AU" w:eastAsia="zh-CN"/>
        </w:rPr>
        <w:t>However, it was noted that there is likely to be a gradual transition as older facilities are re-developed or refurbished and new services are constructed.</w:t>
      </w:r>
    </w:p>
    <w:p w14:paraId="2DDAF261" w14:textId="516A7C8E" w:rsidR="00D76E5A" w:rsidRPr="00D04C0D" w:rsidRDefault="00D76E5A" w:rsidP="00C62D3D">
      <w:pPr>
        <w:pStyle w:val="Pull-out"/>
      </w:pPr>
      <w:r w:rsidRPr="00D04C0D">
        <w:t xml:space="preserve">“The changes will allow a provider to determine where they operate and how many people to offer care to. This is a positive reform for both senior Australians and providers… </w:t>
      </w:r>
      <w:r w:rsidR="00BE666D" w:rsidRPr="00D04C0D">
        <w:t>a</w:t>
      </w:r>
      <w:r w:rsidRPr="00D04C0D">
        <w:t xml:space="preserve">s long as appropriate assistance is </w:t>
      </w:r>
      <w:proofErr w:type="gramStart"/>
      <w:r w:rsidRPr="00D04C0D">
        <w:t>available,</w:t>
      </w:r>
      <w:proofErr w:type="gramEnd"/>
      <w:r w:rsidRPr="00D04C0D">
        <w:t xml:space="preserve"> we do believe allocating places to consumers has the potential to improve choice and control and could improve quality of service delivery as providers who are responsive to consumer preferences will likely thrive.” - Peak body</w:t>
      </w:r>
    </w:p>
    <w:p w14:paraId="224447C2" w14:textId="6208921B" w:rsidR="00D20337" w:rsidRPr="00D04C0D" w:rsidRDefault="00D20337" w:rsidP="00D04C0D">
      <w:pPr>
        <w:pStyle w:val="SectionTitle"/>
      </w:pPr>
      <w:r w:rsidRPr="00B528D0">
        <w:rPr>
          <w:lang w:val="en-AU" w:eastAsia="zh-CN"/>
        </w:rPr>
        <w:br w:type="page"/>
      </w:r>
      <w:bookmarkStart w:id="8" w:name="_Toc117872980"/>
      <w:r w:rsidRPr="00D04C0D">
        <w:lastRenderedPageBreak/>
        <w:t>Section three</w:t>
      </w:r>
      <w:bookmarkEnd w:id="8"/>
    </w:p>
    <w:p w14:paraId="29D27409" w14:textId="06787325" w:rsidR="00FF5D76" w:rsidRPr="00086E7C" w:rsidRDefault="00FF5D76" w:rsidP="00086E7C">
      <w:pPr>
        <w:pStyle w:val="Heading1"/>
      </w:pPr>
      <w:bookmarkStart w:id="9" w:name="_Toc117872981"/>
      <w:r w:rsidRPr="00086E7C">
        <w:t>Assessment</w:t>
      </w:r>
      <w:bookmarkEnd w:id="9"/>
    </w:p>
    <w:p w14:paraId="545652B6" w14:textId="50AF851F" w:rsidR="004F3ED5" w:rsidRPr="00B528D0" w:rsidRDefault="00FF5D76" w:rsidP="00C62D3D">
      <w:pPr>
        <w:pStyle w:val="IntroPara"/>
      </w:pPr>
      <w:r w:rsidRPr="00B528D0">
        <w:t>Access to residential aged care will continue to be determined by an independent assessment of individual need. New aged care assessment arrangements will be introduced to simplify and improve the assessment experience. This will include specialised arrangements dedicated to assessing the unique needs of Aboriginal and Torres Strait Islander people</w:t>
      </w:r>
      <w:r w:rsidR="00DB5916" w:rsidRPr="00B528D0">
        <w:t>s</w:t>
      </w:r>
      <w:r w:rsidRPr="00B528D0">
        <w:t>.</w:t>
      </w:r>
    </w:p>
    <w:p w14:paraId="2D6FA9B5" w14:textId="190A3CB6" w:rsidR="004F3ED5" w:rsidRPr="00B528D0" w:rsidRDefault="00A74B4B" w:rsidP="000E6AFB">
      <w:pPr>
        <w:pStyle w:val="Heading2"/>
      </w:pPr>
      <w:r w:rsidRPr="00B528D0">
        <w:t>Considering urgency for residential aged care</w:t>
      </w:r>
    </w:p>
    <w:p w14:paraId="724C501C" w14:textId="724A5AE6" w:rsidR="00A74B4B" w:rsidRPr="00B528D0" w:rsidRDefault="00A74B4B" w:rsidP="000E6AFB">
      <w:pPr>
        <w:pStyle w:val="Heading1Char"/>
        <w:rPr>
          <w:lang w:val="en-AU" w:eastAsia="zh-CN"/>
        </w:rPr>
      </w:pPr>
      <w:r w:rsidRPr="00B528D0">
        <w:rPr>
          <w:lang w:val="en-AU" w:eastAsia="zh-CN"/>
        </w:rPr>
        <w:t>Most people</w:t>
      </w:r>
      <w:r w:rsidR="00BE1F1E" w:rsidRPr="00B528D0">
        <w:rPr>
          <w:lang w:val="en-AU" w:eastAsia="zh-CN"/>
        </w:rPr>
        <w:t xml:space="preserve"> (72</w:t>
      </w:r>
      <w:r w:rsidR="00E743F3" w:rsidRPr="00B528D0">
        <w:rPr>
          <w:lang w:val="en-AU" w:eastAsia="zh-CN"/>
        </w:rPr>
        <w:t xml:space="preserve"> per cent</w:t>
      </w:r>
      <w:r w:rsidR="00BE1F1E" w:rsidRPr="00B528D0">
        <w:rPr>
          <w:lang w:val="en-AU" w:eastAsia="zh-CN"/>
        </w:rPr>
        <w:t>)</w:t>
      </w:r>
      <w:r w:rsidRPr="00B528D0">
        <w:rPr>
          <w:lang w:val="en-AU" w:eastAsia="zh-CN"/>
        </w:rPr>
        <w:t xml:space="preserve"> strongly agreed that aged care assessments should consider a person’s urgency for care and whether the person identifies with a diverse needs group. These considerations would be provided as guidance only to help providers and others (for example</w:t>
      </w:r>
      <w:r w:rsidR="006F51F3" w:rsidRPr="00B528D0">
        <w:rPr>
          <w:lang w:val="en-AU" w:eastAsia="zh-CN"/>
        </w:rPr>
        <w:t>,</w:t>
      </w:r>
      <w:r w:rsidRPr="00B528D0">
        <w:rPr>
          <w:lang w:val="en-AU" w:eastAsia="zh-CN"/>
        </w:rPr>
        <w:t xml:space="preserve"> care finders) prioritise which people to assist first.</w:t>
      </w:r>
    </w:p>
    <w:p w14:paraId="60EA2112" w14:textId="543FFE59" w:rsidR="00A74B4B" w:rsidRPr="00B528D0" w:rsidRDefault="00A74B4B" w:rsidP="000E6AFB">
      <w:pPr>
        <w:pStyle w:val="Heading2"/>
      </w:pPr>
      <w:r w:rsidRPr="00B528D0">
        <w:t>Training for assessors</w:t>
      </w:r>
    </w:p>
    <w:p w14:paraId="43BD7B25" w14:textId="5EB5B214" w:rsidR="00A74B4B" w:rsidRPr="001D6174" w:rsidRDefault="00A74B4B" w:rsidP="001D6174">
      <w:r w:rsidRPr="001D6174">
        <w:t xml:space="preserve">Most people </w:t>
      </w:r>
      <w:r w:rsidR="00BE1F1E" w:rsidRPr="001D6174">
        <w:t>(8</w:t>
      </w:r>
      <w:r w:rsidR="00E743F3" w:rsidRPr="001D6174">
        <w:t>4 per cent</w:t>
      </w:r>
      <w:r w:rsidR="00BE1F1E" w:rsidRPr="001D6174">
        <w:t xml:space="preserve">) agreed that assessments should consider the </w:t>
      </w:r>
      <w:r w:rsidRPr="001D6174">
        <w:t>diverse needs of people accessing aged care</w:t>
      </w:r>
      <w:r w:rsidR="00BE1F1E" w:rsidRPr="001D6174">
        <w:t>. Participants addressed the importance of assessors having comprehensive training and knowledge in this area.</w:t>
      </w:r>
    </w:p>
    <w:p w14:paraId="046A1F0E" w14:textId="48F9E7FE" w:rsidR="00A74B4B" w:rsidRPr="00B528D0" w:rsidRDefault="00A74B4B" w:rsidP="000E6AFB">
      <w:pPr>
        <w:pStyle w:val="Heading2"/>
      </w:pPr>
      <w:r w:rsidRPr="00B528D0">
        <w:t xml:space="preserve">Putting people at the </w:t>
      </w:r>
      <w:r w:rsidR="000E6AFB" w:rsidRPr="00B528D0">
        <w:t>center</w:t>
      </w:r>
      <w:r w:rsidRPr="00B528D0">
        <w:t xml:space="preserve"> of assessment</w:t>
      </w:r>
    </w:p>
    <w:p w14:paraId="412900FC" w14:textId="6124DDC5" w:rsidR="00A74B4B" w:rsidRPr="00B528D0" w:rsidRDefault="00A74B4B" w:rsidP="000E6AFB">
      <w:pPr>
        <w:pStyle w:val="Heading1Char"/>
        <w:rPr>
          <w:lang w:val="en-AU" w:eastAsia="zh-CN"/>
        </w:rPr>
      </w:pPr>
      <w:r w:rsidRPr="00B528D0">
        <w:rPr>
          <w:szCs w:val="20"/>
          <w:lang w:val="en-AU" w:eastAsia="zh-CN"/>
        </w:rPr>
        <w:t>Providers also emphasised the need for assessors to get an accurate and comprehensive understanding of the person’s current care needs. This information would assist providers with their intake processes and to determine their capacity to meet the person’s needs</w:t>
      </w:r>
      <w:r w:rsidRPr="00B528D0">
        <w:rPr>
          <w:szCs w:val="20"/>
          <w:lang w:val="en-GB" w:eastAsia="zh-CN"/>
        </w:rPr>
        <w:t>, including if they have diverse needs.</w:t>
      </w:r>
    </w:p>
    <w:p w14:paraId="44FA3226" w14:textId="4698528A" w:rsidR="00A74B4B" w:rsidRPr="00B528D0" w:rsidRDefault="00A74B4B" w:rsidP="000E6AFB">
      <w:pPr>
        <w:pStyle w:val="Heading2"/>
        <w:rPr>
          <w:lang w:val="en-AU" w:eastAsia="zh-CN"/>
        </w:rPr>
      </w:pPr>
      <w:r w:rsidRPr="00B528D0">
        <w:t>Policy response</w:t>
      </w:r>
    </w:p>
    <w:p w14:paraId="0579005C" w14:textId="1FF10D0C" w:rsidR="001B4CBD" w:rsidRPr="003A426F" w:rsidRDefault="001B4CBD" w:rsidP="003A426F">
      <w:r w:rsidRPr="00B528D0">
        <w:rPr>
          <w:lang w:val="en-GB" w:eastAsia="zh-CN"/>
        </w:rPr>
        <w:t xml:space="preserve">Work is already underway to change </w:t>
      </w:r>
      <w:r w:rsidR="00C62D3D">
        <w:rPr>
          <w:rStyle w:val="HTMLVariable"/>
          <w:rFonts w:eastAsiaTheme="minorEastAsia" w:cstheme="minorBidi"/>
          <w:szCs w:val="20"/>
          <w:lang w:val="en-GB" w:eastAsia="zh-CN"/>
        </w:rPr>
        <w:fldChar w:fldCharType="begin"/>
      </w:r>
      <w:r w:rsidR="00C62D3D">
        <w:rPr>
          <w:rStyle w:val="HTMLVariable"/>
          <w:rFonts w:eastAsiaTheme="minorEastAsia" w:cstheme="minorBidi"/>
          <w:szCs w:val="20"/>
          <w:lang w:val="en-GB" w:eastAsia="zh-CN"/>
        </w:rPr>
        <w:instrText xml:space="preserve"> HYPERLINK "https://www.health.gov.au/health-topics/aged-care/aged-care-reforms-and-reviews/aged-care-assessment-arrangements" </w:instrText>
      </w:r>
      <w:r w:rsidR="00C62D3D">
        <w:rPr>
          <w:rStyle w:val="HTMLVariable"/>
          <w:rFonts w:eastAsiaTheme="minorEastAsia" w:cstheme="minorBidi"/>
          <w:szCs w:val="20"/>
          <w:lang w:val="en-GB" w:eastAsia="zh-CN"/>
        </w:rPr>
      </w:r>
      <w:r w:rsidR="00C62D3D">
        <w:rPr>
          <w:rStyle w:val="HTMLVariable"/>
          <w:rFonts w:eastAsiaTheme="minorEastAsia" w:cstheme="minorBidi"/>
          <w:szCs w:val="20"/>
          <w:lang w:val="en-GB" w:eastAsia="zh-CN"/>
        </w:rPr>
        <w:fldChar w:fldCharType="separate"/>
      </w:r>
      <w:r w:rsidRPr="00C62D3D">
        <w:rPr>
          <w:rStyle w:val="Hyperlink"/>
          <w:rFonts w:eastAsiaTheme="minorEastAsia" w:cstheme="minorBidi"/>
          <w:szCs w:val="20"/>
          <w:lang w:val="en-GB" w:eastAsia="zh-CN"/>
        </w:rPr>
        <w:t>how older Australians are assessed</w:t>
      </w:r>
      <w:r w:rsidR="00C62D3D">
        <w:rPr>
          <w:rStyle w:val="HTMLVariable"/>
          <w:rFonts w:eastAsiaTheme="minorEastAsia" w:cstheme="minorBidi"/>
          <w:szCs w:val="20"/>
          <w:lang w:val="en-GB" w:eastAsia="zh-CN"/>
        </w:rPr>
        <w:fldChar w:fldCharType="end"/>
      </w:r>
      <w:r w:rsidRPr="00B528D0">
        <w:rPr>
          <w:lang w:val="en-GB" w:eastAsia="zh-CN"/>
        </w:rPr>
        <w:t xml:space="preserve"> for aged care, including the development of a new assessment tool which will better assess a person’s current and future ne</w:t>
      </w:r>
      <w:r w:rsidRPr="003A426F">
        <w:t>eds.</w:t>
      </w:r>
    </w:p>
    <w:p w14:paraId="303DE67F" w14:textId="7D0A6244" w:rsidR="00B02697" w:rsidRPr="003A426F" w:rsidRDefault="001B4CBD" w:rsidP="003A426F">
      <w:r w:rsidRPr="003A426F">
        <w:t xml:space="preserve">The new tool will consider the need for an urgent assessment so that the assessment process can happen as quickly as possible for those </w:t>
      </w:r>
      <w:r w:rsidR="00B74FD5" w:rsidRPr="003A426F">
        <w:t xml:space="preserve">who are </w:t>
      </w:r>
      <w:r w:rsidRPr="003A426F">
        <w:t>most in need.</w:t>
      </w:r>
    </w:p>
    <w:p w14:paraId="50CA1861" w14:textId="7B7DA0A0" w:rsidR="00B02697" w:rsidRPr="003A426F" w:rsidRDefault="001B4CBD" w:rsidP="003A426F">
      <w:bookmarkStart w:id="10" w:name="_Hlk94170493"/>
      <w:r w:rsidRPr="003A426F">
        <w:t xml:space="preserve">It is also proposed that the new tool will consider </w:t>
      </w:r>
      <w:r w:rsidR="00B74FD5" w:rsidRPr="003A426F">
        <w:t xml:space="preserve">a person’s </w:t>
      </w:r>
      <w:r w:rsidRPr="003A426F">
        <w:t>urgency for residential aged care services</w:t>
      </w:r>
      <w:r w:rsidR="003668BE" w:rsidRPr="003A426F">
        <w:t xml:space="preserve">. </w:t>
      </w:r>
      <w:r w:rsidR="00B74FD5" w:rsidRPr="003A426F">
        <w:t>Urgency may consider</w:t>
      </w:r>
      <w:r w:rsidRPr="003A426F">
        <w:t xml:space="preserve"> the extent to which a person’s safety, health and wellbeing are at immediate risk if they do not enter residential aged care.</w:t>
      </w:r>
    </w:p>
    <w:p w14:paraId="2F161040" w14:textId="1D880187" w:rsidR="003713BF" w:rsidRPr="003A426F" w:rsidRDefault="00B74FD5" w:rsidP="003A426F">
      <w:proofErr w:type="gramStart"/>
      <w:r w:rsidRPr="003A426F">
        <w:t>A</w:t>
      </w:r>
      <w:r w:rsidR="001B4CBD" w:rsidRPr="003A426F">
        <w:t>s long as</w:t>
      </w:r>
      <w:proofErr w:type="gramEnd"/>
      <w:r w:rsidR="001B4CBD" w:rsidRPr="003A426F">
        <w:t xml:space="preserve"> there are enough places </w:t>
      </w:r>
      <w:r w:rsidRPr="003A426F">
        <w:t xml:space="preserve">available </w:t>
      </w:r>
      <w:r w:rsidR="001B4CBD" w:rsidRPr="003A426F">
        <w:t>for those who need them, urgency assessments would not</w:t>
      </w:r>
      <w:r w:rsidRPr="003A426F">
        <w:t xml:space="preserve"> be used to</w:t>
      </w:r>
      <w:r w:rsidR="001B4CBD" w:rsidRPr="003A426F">
        <w:t xml:space="preserve"> determine how quickly a residential aged care place is allocated.</w:t>
      </w:r>
      <w:bookmarkStart w:id="11" w:name="_Hlk94014783"/>
    </w:p>
    <w:p w14:paraId="36E02541" w14:textId="7D8E4652" w:rsidR="0061193D" w:rsidRDefault="00B02697" w:rsidP="003A426F">
      <w:pPr>
        <w:rPr>
          <w:lang w:val="en-GB" w:eastAsia="zh-CN"/>
        </w:rPr>
      </w:pPr>
      <w:r w:rsidRPr="003A426F">
        <w:t>It is proposed that assessment information would also be shared with appropriate providers prior to a person entering</w:t>
      </w:r>
      <w:r w:rsidRPr="00B528D0">
        <w:rPr>
          <w:lang w:val="en-GB" w:eastAsia="zh-CN"/>
        </w:rPr>
        <w:t xml:space="preserve"> care (ensuring that consent is </w:t>
      </w:r>
      <w:proofErr w:type="gramStart"/>
      <w:r w:rsidRPr="00B528D0">
        <w:rPr>
          <w:lang w:val="en-GB" w:eastAsia="zh-CN"/>
        </w:rPr>
        <w:t>sought</w:t>
      </w:r>
      <w:proofErr w:type="gramEnd"/>
      <w:r w:rsidRPr="00B528D0">
        <w:rPr>
          <w:lang w:val="en-GB" w:eastAsia="zh-CN"/>
        </w:rPr>
        <w:t xml:space="preserve"> and privacy requirements are met). This will benefit both older Australians and providers. It would make providers better able to decide who to assist first. People most in need would then be able to access residential aged care more quickly.</w:t>
      </w:r>
    </w:p>
    <w:p w14:paraId="10C2A964" w14:textId="34C25305" w:rsidR="001775D5" w:rsidRPr="00B528D0" w:rsidRDefault="00B02697" w:rsidP="00B02697">
      <w:pPr>
        <w:pStyle w:val="Heading1Char"/>
        <w:rPr>
          <w:lang w:val="en-GB" w:eastAsia="zh-CN"/>
        </w:rPr>
      </w:pPr>
      <w:r w:rsidRPr="00B528D0">
        <w:rPr>
          <w:lang w:val="en-GB" w:eastAsia="zh-CN"/>
        </w:rPr>
        <w:t>At a minimum, this information could include:</w:t>
      </w:r>
    </w:p>
    <w:p w14:paraId="720D2038" w14:textId="77777777" w:rsidR="00B02697" w:rsidRPr="003A426F" w:rsidRDefault="00B02697" w:rsidP="00C62D3D">
      <w:pPr>
        <w:pStyle w:val="ListBullet"/>
      </w:pPr>
      <w:r w:rsidRPr="003A426F">
        <w:t>the date of a person’s assessment</w:t>
      </w:r>
    </w:p>
    <w:p w14:paraId="7C99E79F" w14:textId="77777777" w:rsidR="00B02697" w:rsidRPr="003A426F" w:rsidRDefault="00B02697" w:rsidP="00C62D3D">
      <w:pPr>
        <w:pStyle w:val="ListBullet"/>
      </w:pPr>
      <w:r w:rsidRPr="003A426F">
        <w:t>high level information about the person’s needs and preferences, including identification with a diverse needs group (including cognitive impairment or dementia)</w:t>
      </w:r>
    </w:p>
    <w:p w14:paraId="3757B287" w14:textId="414DAA1C" w:rsidR="001E259B" w:rsidRPr="003A426F" w:rsidRDefault="00B02697" w:rsidP="00C62D3D">
      <w:pPr>
        <w:pStyle w:val="ListBullet"/>
      </w:pPr>
      <w:r w:rsidRPr="003A426F">
        <w:t>the person’s relative urgency for services, as determined by the assessor.</w:t>
      </w:r>
    </w:p>
    <w:p w14:paraId="0CDE2B70" w14:textId="6C849C24" w:rsidR="004F3ED5" w:rsidRPr="00D04C0D" w:rsidRDefault="004F3ED5" w:rsidP="00D04C0D">
      <w:pPr>
        <w:pStyle w:val="SectionTitle"/>
      </w:pPr>
      <w:bookmarkStart w:id="12" w:name="_Toc117872982"/>
      <w:bookmarkEnd w:id="10"/>
      <w:bookmarkEnd w:id="11"/>
      <w:r w:rsidRPr="00D04C0D">
        <w:lastRenderedPageBreak/>
        <w:t>Section four</w:t>
      </w:r>
      <w:bookmarkEnd w:id="12"/>
    </w:p>
    <w:p w14:paraId="405164A7" w14:textId="77777777" w:rsidR="00DB5916" w:rsidRPr="00086E7C" w:rsidRDefault="00DB5916" w:rsidP="00086E7C">
      <w:pPr>
        <w:pStyle w:val="Heading1"/>
      </w:pPr>
      <w:bookmarkStart w:id="13" w:name="_Toc117872983"/>
      <w:r w:rsidRPr="00086E7C">
        <w:t>Allocation of places</w:t>
      </w:r>
      <w:bookmarkEnd w:id="13"/>
    </w:p>
    <w:p w14:paraId="42351A57" w14:textId="004B516A" w:rsidR="004F3ED5" w:rsidRPr="00B528D0" w:rsidRDefault="00F7177A" w:rsidP="00C62D3D">
      <w:pPr>
        <w:pStyle w:val="IntroPara"/>
      </w:pPr>
      <w:r w:rsidRPr="00B528D0">
        <w:t>It was acknowledged</w:t>
      </w:r>
      <w:r w:rsidR="00B61883" w:rsidRPr="00B528D0">
        <w:t xml:space="preserve"> and accepted</w:t>
      </w:r>
      <w:r w:rsidRPr="00B528D0">
        <w:t xml:space="preserve"> that the supply of places is expected to exceed demand well into the future. </w:t>
      </w:r>
      <w:r w:rsidR="00DB5916" w:rsidRPr="00B528D0">
        <w:t>There was support for the current proposal for a person to be able to access residential aged care immediately once they are assessed and approved. It was felt that doing otherwise would place significant pressure on families and carers and require them to manage complex care needs in the home while they waited for a residential care place.</w:t>
      </w:r>
    </w:p>
    <w:p w14:paraId="45588A2B" w14:textId="29F1142C" w:rsidR="00F7177A" w:rsidRPr="00B528D0" w:rsidRDefault="00F7177A" w:rsidP="000E6AFB">
      <w:pPr>
        <w:pStyle w:val="Heading2"/>
      </w:pPr>
      <w:r w:rsidRPr="00B528D0">
        <w:t>Time and location restrictions</w:t>
      </w:r>
    </w:p>
    <w:p w14:paraId="66C49981" w14:textId="28EFBE42" w:rsidR="00F7177A" w:rsidRPr="00B528D0" w:rsidRDefault="00F7177A" w:rsidP="00A76B05">
      <w:pPr>
        <w:pStyle w:val="Heading1Char"/>
      </w:pPr>
      <w:r w:rsidRPr="00B528D0">
        <w:rPr>
          <w:lang w:val="en-AU" w:eastAsia="zh-CN"/>
        </w:rPr>
        <w:t>Most stakeholders (60 per cent) agreed that older Australians should be free to use their residential aged care place in any region they want</w:t>
      </w:r>
      <w:r w:rsidR="00B24DC7">
        <w:rPr>
          <w:lang w:val="en-AU" w:eastAsia="zh-CN"/>
        </w:rPr>
        <w:t>, only 8</w:t>
      </w:r>
      <w:r w:rsidR="007B1FD1">
        <w:rPr>
          <w:lang w:val="en-AU" w:eastAsia="zh-CN"/>
        </w:rPr>
        <w:t xml:space="preserve"> per cent</w:t>
      </w:r>
      <w:r w:rsidR="00B24DC7">
        <w:rPr>
          <w:lang w:val="en-AU" w:eastAsia="zh-CN"/>
        </w:rPr>
        <w:t xml:space="preserve"> disagreed</w:t>
      </w:r>
      <w:r w:rsidRPr="00B528D0">
        <w:rPr>
          <w:lang w:val="en-AU" w:eastAsia="zh-CN"/>
        </w:rPr>
        <w:t>. There was a view that placing restrictions on this would increase complexity for older Australians seeking care and would have few benefits.</w:t>
      </w:r>
    </w:p>
    <w:p w14:paraId="342DBAA3" w14:textId="605927A2" w:rsidR="001E259B" w:rsidRPr="00B528D0" w:rsidRDefault="001775D5" w:rsidP="00A76B05">
      <w:pPr>
        <w:pStyle w:val="Heading1Char"/>
        <w:rPr>
          <w:lang w:val="en-AU" w:eastAsia="zh-CN"/>
        </w:rPr>
      </w:pPr>
      <w:r>
        <w:rPr>
          <w:lang w:val="en-AU" w:eastAsia="zh-CN"/>
        </w:rPr>
        <w:t>Many</w:t>
      </w:r>
      <w:r w:rsidR="00F7177A" w:rsidRPr="00B528D0">
        <w:rPr>
          <w:lang w:val="en-AU" w:eastAsia="zh-CN"/>
        </w:rPr>
        <w:t xml:space="preserve"> people also felt that older Australians should retain their place indefinitely, allowing them to enter care at any time of their choosing (subject to the availability of a bed). They suggested that doing otherwise would introduce undue complexity and put pressure on older Australians to rush decisions relating to their care.</w:t>
      </w:r>
    </w:p>
    <w:p w14:paraId="3AD989C1" w14:textId="2F1E5F8E" w:rsidR="001E259B" w:rsidRPr="00B528D0" w:rsidRDefault="001E259B" w:rsidP="00C62D3D">
      <w:pPr>
        <w:pStyle w:val="Pull-out"/>
        <w:rPr>
          <w:lang w:val="en-AU" w:eastAsia="zh-CN"/>
        </w:rPr>
      </w:pPr>
      <w:r w:rsidRPr="00D04C0D">
        <w:t xml:space="preserve">“...in an environment where the supply of </w:t>
      </w:r>
      <w:proofErr w:type="spellStart"/>
      <w:r w:rsidRPr="00D04C0D">
        <w:t>subsidised</w:t>
      </w:r>
      <w:proofErr w:type="spellEnd"/>
      <w:r w:rsidRPr="00D04C0D">
        <w:t xml:space="preserve"> residential aged care places is expected to exceed demand in the majority of circumstances, </w:t>
      </w:r>
      <w:proofErr w:type="spellStart"/>
      <w:r w:rsidRPr="00D04C0D">
        <w:t>prioritising</w:t>
      </w:r>
      <w:proofErr w:type="spellEnd"/>
      <w:r w:rsidRPr="00D04C0D">
        <w:t xml:space="preserve"> access would not only make the system more complex and be of doubtful effectiveness, but more importantly would not address the causes of any </w:t>
      </w:r>
      <w:proofErr w:type="spellStart"/>
      <w:r w:rsidRPr="00D04C0D">
        <w:t>localised</w:t>
      </w:r>
      <w:proofErr w:type="spellEnd"/>
      <w:r w:rsidRPr="00D04C0D">
        <w:t xml:space="preserve"> access issues.” - Peak body</w:t>
      </w:r>
    </w:p>
    <w:p w14:paraId="3EF69C25" w14:textId="2522DBD7" w:rsidR="004F3ED5" w:rsidRPr="00B528D0" w:rsidRDefault="004407E9" w:rsidP="000E6AFB">
      <w:pPr>
        <w:pStyle w:val="Heading2"/>
      </w:pPr>
      <w:r w:rsidRPr="00B528D0">
        <w:t>Making sure people can access the care they want in areas where there aren’t yet enough available services</w:t>
      </w:r>
    </w:p>
    <w:p w14:paraId="66841D4C" w14:textId="36724C72" w:rsidR="001E259B" w:rsidRPr="00A76B05" w:rsidRDefault="00F9357A" w:rsidP="00A76B05">
      <w:pPr>
        <w:pStyle w:val="Heading1Char"/>
        <w:rPr>
          <w:lang w:val="en-AU" w:eastAsia="zh-CN"/>
        </w:rPr>
      </w:pPr>
      <w:r w:rsidRPr="00D602A0">
        <w:rPr>
          <w:lang w:val="en-AU" w:eastAsia="zh-CN"/>
        </w:rPr>
        <w:t>Sometimes</w:t>
      </w:r>
      <w:r w:rsidR="00B74FD5" w:rsidRPr="00D602A0">
        <w:rPr>
          <w:lang w:val="en-AU" w:eastAsia="zh-CN"/>
        </w:rPr>
        <w:t>,</w:t>
      </w:r>
      <w:r w:rsidRPr="00D602A0">
        <w:rPr>
          <w:lang w:val="en-AU" w:eastAsia="zh-CN"/>
        </w:rPr>
        <w:t xml:space="preserve"> there are </w:t>
      </w:r>
      <w:r w:rsidR="00F7177A" w:rsidRPr="00D602A0">
        <w:rPr>
          <w:lang w:val="en-AU" w:eastAsia="zh-CN"/>
        </w:rPr>
        <w:t xml:space="preserve">not </w:t>
      </w:r>
      <w:r w:rsidRPr="00D602A0">
        <w:rPr>
          <w:lang w:val="en-AU" w:eastAsia="zh-CN"/>
        </w:rPr>
        <w:t xml:space="preserve">enough residential aged care </w:t>
      </w:r>
      <w:r w:rsidR="001E259B" w:rsidRPr="00D602A0">
        <w:rPr>
          <w:lang w:val="en-AU" w:eastAsia="zh-CN"/>
        </w:rPr>
        <w:t>beds for those</w:t>
      </w:r>
      <w:r w:rsidRPr="00D602A0">
        <w:rPr>
          <w:lang w:val="en-AU" w:eastAsia="zh-CN"/>
        </w:rPr>
        <w:t xml:space="preserve"> who need them.</w:t>
      </w:r>
      <w:r w:rsidR="00F7177A" w:rsidRPr="00D602A0">
        <w:rPr>
          <w:lang w:val="en-AU" w:eastAsia="zh-CN"/>
        </w:rPr>
        <w:t xml:space="preserve"> This can especially be the case in rural and remote areas of Australia.</w:t>
      </w:r>
    </w:p>
    <w:p w14:paraId="2151D79F" w14:textId="3B361AB3" w:rsidR="001E259B" w:rsidRPr="00A76B05" w:rsidRDefault="001E259B" w:rsidP="00A76B05">
      <w:pPr>
        <w:pStyle w:val="Heading1Char"/>
        <w:rPr>
          <w:lang w:val="en-AU" w:eastAsia="zh-CN"/>
        </w:rPr>
      </w:pPr>
      <w:r w:rsidRPr="00A76B05">
        <w:rPr>
          <w:lang w:val="en-AU" w:eastAsia="zh-CN"/>
        </w:rPr>
        <w:t>There was broad agreement that government should play a role in ensuring adequate supply in thin markets, and that there would be risks in relying solely on the role of market forces. It was also agreed that this risk would be best addressed through targeted measures such as such as capital funding, regional planning and encouraging building in areas with undersupply.</w:t>
      </w:r>
    </w:p>
    <w:p w14:paraId="6B5DA0D4" w14:textId="72F76256" w:rsidR="003713BF" w:rsidRPr="00D04C0D" w:rsidRDefault="001E259B" w:rsidP="00D04C0D">
      <w:r w:rsidRPr="00D04C0D">
        <w:t>In addition, people suggested that priority could be given to c</w:t>
      </w:r>
      <w:r w:rsidR="00F9357A" w:rsidRPr="00D04C0D">
        <w:t xml:space="preserve">ertain groups of people in local regions so that they can access residential aged care first </w:t>
      </w:r>
      <w:r w:rsidR="00735CD5" w:rsidRPr="00D04C0D">
        <w:t>(57</w:t>
      </w:r>
      <w:r w:rsidR="003259DF" w:rsidRPr="00D04C0D">
        <w:t xml:space="preserve"> per cent of survey respondents agreed</w:t>
      </w:r>
      <w:r w:rsidR="00735CD5" w:rsidRPr="00D04C0D">
        <w:t>)</w:t>
      </w:r>
      <w:r w:rsidR="003259DF" w:rsidRPr="00D04C0D">
        <w:t>.</w:t>
      </w:r>
    </w:p>
    <w:p w14:paraId="6FDBBD56" w14:textId="1784852A" w:rsidR="00CD2349" w:rsidRPr="00B528D0" w:rsidRDefault="001E259B" w:rsidP="00C62D3D">
      <w:pPr>
        <w:pStyle w:val="Heading2"/>
        <w:pageBreakBefore/>
        <w:rPr>
          <w:lang w:val="en-AU" w:eastAsia="zh-CN"/>
        </w:rPr>
      </w:pPr>
      <w:r w:rsidRPr="00B528D0">
        <w:lastRenderedPageBreak/>
        <w:t>Public information</w:t>
      </w:r>
    </w:p>
    <w:p w14:paraId="0720503E" w14:textId="48BBB090" w:rsidR="004407E9" w:rsidRPr="003A426F" w:rsidRDefault="004407E9" w:rsidP="000E6AFB">
      <w:pPr>
        <w:pStyle w:val="Heading1Char"/>
      </w:pPr>
      <w:r w:rsidRPr="00B528D0">
        <w:rPr>
          <w:lang w:val="en-AU" w:eastAsia="zh-CN"/>
        </w:rPr>
        <w:t xml:space="preserve">People discussed the need for publicly available </w:t>
      </w:r>
      <w:r w:rsidR="00F863CC" w:rsidRPr="00B528D0">
        <w:rPr>
          <w:lang w:val="en-AU" w:eastAsia="zh-CN"/>
        </w:rPr>
        <w:t xml:space="preserve">and easily accessible </w:t>
      </w:r>
      <w:r w:rsidRPr="00B528D0">
        <w:rPr>
          <w:lang w:val="en-AU" w:eastAsia="zh-CN"/>
        </w:rPr>
        <w:t>information on how many services are available across areas and how many people are seeking to access them, including what the situation might be in the future. This may help to:</w:t>
      </w:r>
    </w:p>
    <w:p w14:paraId="2F6C1A5C" w14:textId="77777777" w:rsidR="004407E9" w:rsidRPr="001D6174" w:rsidRDefault="004407E9" w:rsidP="001D6174">
      <w:pPr>
        <w:pStyle w:val="ListBullet"/>
      </w:pPr>
      <w:r w:rsidRPr="001D6174">
        <w:t>provide certainty to older Australians considering future access</w:t>
      </w:r>
    </w:p>
    <w:p w14:paraId="613C0C91" w14:textId="51F562EA" w:rsidR="004407E9" w:rsidRPr="001D6174" w:rsidRDefault="004407E9" w:rsidP="001D6174">
      <w:pPr>
        <w:pStyle w:val="ListBullet"/>
      </w:pPr>
      <w:r w:rsidRPr="001D6174">
        <w:t xml:space="preserve">enable providers to make </w:t>
      </w:r>
      <w:r w:rsidR="00270A5A" w:rsidRPr="001D6174">
        <w:t xml:space="preserve">business </w:t>
      </w:r>
      <w:r w:rsidRPr="001D6174">
        <w:t xml:space="preserve">decisions and plan for </w:t>
      </w:r>
      <w:r w:rsidR="00270A5A" w:rsidRPr="001D6174">
        <w:t>growing what they offer</w:t>
      </w:r>
      <w:r w:rsidRPr="001D6174">
        <w:t xml:space="preserve"> in a more competitive market</w:t>
      </w:r>
    </w:p>
    <w:p w14:paraId="0DDA1BDB" w14:textId="30DDC791" w:rsidR="00270A5A" w:rsidRPr="001D6174" w:rsidRDefault="00270A5A" w:rsidP="001D6174">
      <w:pPr>
        <w:pStyle w:val="ListBullet"/>
      </w:pPr>
      <w:r w:rsidRPr="001D6174">
        <w:t>help government to make decisions and assist the sector.</w:t>
      </w:r>
    </w:p>
    <w:p w14:paraId="38C7927A" w14:textId="63B5C92C" w:rsidR="00270A5A" w:rsidRPr="00B528D0" w:rsidRDefault="00270A5A" w:rsidP="000E6AFB">
      <w:pPr>
        <w:pStyle w:val="Heading2"/>
      </w:pPr>
      <w:r w:rsidRPr="00B528D0">
        <w:t>Policy response</w:t>
      </w:r>
    </w:p>
    <w:p w14:paraId="774902AB" w14:textId="73804860" w:rsidR="00270A5A" w:rsidRPr="00B528D0" w:rsidRDefault="00270A5A" w:rsidP="000E6AFB">
      <w:pPr>
        <w:pStyle w:val="Heading3"/>
      </w:pPr>
      <w:r w:rsidRPr="00B528D0">
        <w:t>Supply of residential care places</w:t>
      </w:r>
    </w:p>
    <w:p w14:paraId="03798BC0" w14:textId="1654C912" w:rsidR="000E6AFB" w:rsidRPr="00B528D0" w:rsidRDefault="00270A5A" w:rsidP="000E6AFB">
      <w:pPr>
        <w:pStyle w:val="Heading1Char"/>
        <w:rPr>
          <w:lang w:val="en-AU" w:eastAsia="zh-CN"/>
        </w:rPr>
      </w:pPr>
      <w:bookmarkStart w:id="14" w:name="_Hlk94170545"/>
      <w:r w:rsidRPr="00B528D0">
        <w:rPr>
          <w:lang w:val="en-AU" w:eastAsia="zh-CN"/>
        </w:rPr>
        <w:t xml:space="preserve">There is no intention to make people wait prior to receiving a residential care place. It is intended that people will be assigned a place immediately once they have been approved. </w:t>
      </w:r>
    </w:p>
    <w:p w14:paraId="5F9DB1E4" w14:textId="3E930EEE" w:rsidR="00270A5A" w:rsidRPr="00B528D0" w:rsidRDefault="00270A5A" w:rsidP="000E6AFB">
      <w:pPr>
        <w:pStyle w:val="Heading3"/>
      </w:pPr>
      <w:r w:rsidRPr="00B528D0">
        <w:t>Using a residential care place</w:t>
      </w:r>
    </w:p>
    <w:p w14:paraId="07C8C368" w14:textId="24F73C83" w:rsidR="00DB3F00" w:rsidRPr="001D6174" w:rsidRDefault="00270A5A" w:rsidP="001D6174">
      <w:r w:rsidRPr="001D6174">
        <w:t>There are no plans to introduce time limits on the use of a residential aged care place. Once a person is allocated a place, they w</w:t>
      </w:r>
      <w:r w:rsidR="003713BF" w:rsidRPr="001D6174">
        <w:t>ould</w:t>
      </w:r>
      <w:r w:rsidRPr="001D6174">
        <w:t xml:space="preserve"> be free to use it at any time in the future.</w:t>
      </w:r>
    </w:p>
    <w:p w14:paraId="01C03F51" w14:textId="4DE08FDC" w:rsidR="00DB3F00" w:rsidRPr="001D6174" w:rsidRDefault="00270A5A" w:rsidP="001D6174">
      <w:r w:rsidRPr="001D6174">
        <w:t xml:space="preserve">In addition, there are no plans to </w:t>
      </w:r>
      <w:proofErr w:type="spellStart"/>
      <w:r w:rsidRPr="001D6174">
        <w:t>prioritise</w:t>
      </w:r>
      <w:proofErr w:type="spellEnd"/>
      <w:r w:rsidRPr="001D6174">
        <w:t xml:space="preserve"> the allocation of places to certain regions. </w:t>
      </w:r>
      <w:r w:rsidR="001E259B" w:rsidRPr="001D6174">
        <w:t xml:space="preserve">Doing so </w:t>
      </w:r>
      <w:r w:rsidRPr="001D6174">
        <w:t xml:space="preserve">would move away from what the new system is supposed to do – to create efficiency and make it quick and easy for older Australians to access care. It would </w:t>
      </w:r>
      <w:r w:rsidR="001E259B" w:rsidRPr="001D6174">
        <w:t xml:space="preserve">also </w:t>
      </w:r>
      <w:r w:rsidRPr="001D6174">
        <w:t>be unlikely to address the underlying causes of limited supply, including lack of workers and financial issues for providers.</w:t>
      </w:r>
    </w:p>
    <w:p w14:paraId="6DA7D58A" w14:textId="09DD16CC" w:rsidR="00DB5916" w:rsidRPr="00D04C0D" w:rsidRDefault="00270A5A" w:rsidP="001D6174">
      <w:r w:rsidRPr="001D6174">
        <w:t xml:space="preserve">These issues will instead be addressed through </w:t>
      </w:r>
      <w:hyperlink r:id="rId33" w:history="1">
        <w:r w:rsidRPr="001D6174">
          <w:rPr>
            <w:rStyle w:val="Hyperlink"/>
          </w:rPr>
          <w:t>structural adjustment measures</w:t>
        </w:r>
      </w:hyperlink>
      <w:r w:rsidRPr="001D6174">
        <w:t xml:space="preserve"> </w:t>
      </w:r>
      <w:r w:rsidR="00456896" w:rsidRPr="001D6174">
        <w:t>(supporting providers to keep their businesses running, making sure services continue for older Australians and helping providers to transfer ownership or</w:t>
      </w:r>
      <w:r w:rsidR="00C357A0" w:rsidRPr="001D6174">
        <w:t xml:space="preserve"> to leave the sector) </w:t>
      </w:r>
      <w:r w:rsidRPr="001D6174">
        <w:t xml:space="preserve">and a </w:t>
      </w:r>
      <w:r w:rsidR="00BF1ACF" w:rsidRPr="001D6174">
        <w:t>strengthened stewardship role</w:t>
      </w:r>
      <w:r w:rsidRPr="001D6174">
        <w:t xml:space="preserve"> by government (discussed below).</w:t>
      </w:r>
      <w:r w:rsidR="00DB5916" w:rsidRPr="00D04C0D">
        <w:br w:type="page"/>
      </w:r>
    </w:p>
    <w:p w14:paraId="3AB1E20F" w14:textId="1929F27D" w:rsidR="004F3ED5" w:rsidRPr="00D04C0D" w:rsidRDefault="004F3ED5" w:rsidP="00D04C0D">
      <w:pPr>
        <w:pStyle w:val="SectionTitle"/>
      </w:pPr>
      <w:bookmarkStart w:id="15" w:name="_Toc117872984"/>
      <w:bookmarkEnd w:id="14"/>
      <w:r w:rsidRPr="00D04C0D">
        <w:lastRenderedPageBreak/>
        <w:t>Section five</w:t>
      </w:r>
      <w:bookmarkEnd w:id="15"/>
    </w:p>
    <w:p w14:paraId="70BA194E" w14:textId="77777777" w:rsidR="00DB5916" w:rsidRPr="00086E7C" w:rsidRDefault="00DB5916" w:rsidP="00086E7C">
      <w:pPr>
        <w:pStyle w:val="Heading1"/>
      </w:pPr>
      <w:bookmarkStart w:id="16" w:name="_Toc117872985"/>
      <w:r w:rsidRPr="00086E7C">
        <w:t>Choice</w:t>
      </w:r>
      <w:bookmarkEnd w:id="16"/>
    </w:p>
    <w:p w14:paraId="553A33F6" w14:textId="38A47F41" w:rsidR="004F3ED5" w:rsidRPr="00B528D0" w:rsidRDefault="00DB5916" w:rsidP="00C62D3D">
      <w:pPr>
        <w:pStyle w:val="IntroPara"/>
      </w:pPr>
      <w:r w:rsidRPr="00B528D0">
        <w:t>All stakeholders agreed that it is important to support informed decision making by providing older Australians and their families with appropriate information, educational material and support in a format that can be easily understood.</w:t>
      </w:r>
    </w:p>
    <w:p w14:paraId="4AEFB33E" w14:textId="40ED9E52" w:rsidR="004F3ED5" w:rsidRPr="001B7B17" w:rsidRDefault="007D35CC" w:rsidP="001B7B17">
      <w:pPr>
        <w:pStyle w:val="Heading2"/>
      </w:pPr>
      <w:r w:rsidRPr="001B7B17">
        <w:t>Making sure that older Australians can make informed choices about residential aged care</w:t>
      </w:r>
    </w:p>
    <w:p w14:paraId="28A54494" w14:textId="4DDA55E7" w:rsidR="00A93F0F" w:rsidRPr="00B528D0" w:rsidRDefault="00F9357A" w:rsidP="00A76B05">
      <w:pPr>
        <w:pStyle w:val="Heading1Char"/>
        <w:rPr>
          <w:lang w:val="en-AU" w:eastAsia="zh-CN"/>
        </w:rPr>
      </w:pPr>
      <w:r w:rsidRPr="00B528D0">
        <w:rPr>
          <w:lang w:val="en-AU" w:eastAsia="zh-CN"/>
        </w:rPr>
        <w:t xml:space="preserve">There was </w:t>
      </w:r>
      <w:r w:rsidR="00DB3F00" w:rsidRPr="00B528D0">
        <w:rPr>
          <w:lang w:val="en-AU" w:eastAsia="zh-CN"/>
        </w:rPr>
        <w:t xml:space="preserve">broad </w:t>
      </w:r>
      <w:r w:rsidRPr="00B528D0">
        <w:rPr>
          <w:lang w:val="en-AU" w:eastAsia="zh-CN"/>
        </w:rPr>
        <w:t xml:space="preserve">agreement that </w:t>
      </w:r>
      <w:r w:rsidR="00DB3F00" w:rsidRPr="00B528D0">
        <w:rPr>
          <w:lang w:val="en-AU" w:eastAsia="zh-CN"/>
        </w:rPr>
        <w:t>a range of recent</w:t>
      </w:r>
      <w:r w:rsidRPr="00B528D0">
        <w:rPr>
          <w:lang w:val="en-AU" w:eastAsia="zh-CN"/>
        </w:rPr>
        <w:t xml:space="preserve"> </w:t>
      </w:r>
      <w:r w:rsidR="00B61883" w:rsidRPr="00B528D0">
        <w:rPr>
          <w:lang w:val="en-AU" w:eastAsia="zh-CN"/>
        </w:rPr>
        <w:t>changes</w:t>
      </w:r>
      <w:r w:rsidR="00DB3F00" w:rsidRPr="00B528D0">
        <w:rPr>
          <w:lang w:val="en-AU" w:eastAsia="zh-CN"/>
        </w:rPr>
        <w:t xml:space="preserve"> </w:t>
      </w:r>
      <w:r w:rsidRPr="00B528D0">
        <w:rPr>
          <w:lang w:val="en-AU" w:eastAsia="zh-CN"/>
        </w:rPr>
        <w:t>will assist people to make informed decision</w:t>
      </w:r>
      <w:r w:rsidR="00B61883" w:rsidRPr="00B528D0">
        <w:rPr>
          <w:lang w:val="en-AU" w:eastAsia="zh-CN"/>
        </w:rPr>
        <w:t>s</w:t>
      </w:r>
      <w:r w:rsidRPr="00B528D0">
        <w:rPr>
          <w:lang w:val="en-AU" w:eastAsia="zh-CN"/>
        </w:rPr>
        <w:t xml:space="preserve"> </w:t>
      </w:r>
      <w:r w:rsidR="00B61883" w:rsidRPr="00B528D0">
        <w:rPr>
          <w:lang w:val="en-AU" w:eastAsia="zh-CN"/>
        </w:rPr>
        <w:t>when</w:t>
      </w:r>
      <w:r w:rsidRPr="00B528D0">
        <w:rPr>
          <w:lang w:val="en-AU" w:eastAsia="zh-CN"/>
        </w:rPr>
        <w:t xml:space="preserve"> choosing a residential aged care provider. However, it was suggested that more could be done, especially to support those who need more support than others</w:t>
      </w:r>
      <w:r w:rsidR="00DB3F00" w:rsidRPr="00B528D0">
        <w:rPr>
          <w:lang w:val="en-AU" w:eastAsia="zh-CN"/>
        </w:rPr>
        <w:t>.</w:t>
      </w:r>
    </w:p>
    <w:p w14:paraId="1E3C0EF1" w14:textId="3CC477AC" w:rsidR="00DB3F00" w:rsidRPr="00B528D0" w:rsidRDefault="00DB3F00" w:rsidP="00A76B05">
      <w:pPr>
        <w:pStyle w:val="Heading1Char"/>
        <w:rPr>
          <w:lang w:val="en-AU" w:eastAsia="zh-CN"/>
        </w:rPr>
      </w:pPr>
      <w:r w:rsidRPr="00B528D0">
        <w:rPr>
          <w:lang w:val="en-AU" w:eastAsia="zh-CN"/>
        </w:rPr>
        <w:t>Many survey respondents mentioned the importance of face-to-face support</w:t>
      </w:r>
      <w:r w:rsidR="00E743F3" w:rsidRPr="00B528D0">
        <w:rPr>
          <w:lang w:val="en-AU" w:eastAsia="zh-CN"/>
        </w:rPr>
        <w:t xml:space="preserve"> – 94 per cent said that this was either very or extremely important</w:t>
      </w:r>
      <w:r w:rsidRPr="00B528D0">
        <w:rPr>
          <w:lang w:val="en-AU" w:eastAsia="zh-CN"/>
        </w:rPr>
        <w:t xml:space="preserve">. </w:t>
      </w:r>
      <w:r w:rsidR="00E743F3" w:rsidRPr="00B528D0">
        <w:rPr>
          <w:lang w:val="en-AU" w:eastAsia="zh-CN"/>
        </w:rPr>
        <w:t>Stakeholders</w:t>
      </w:r>
      <w:r w:rsidRPr="00B528D0">
        <w:rPr>
          <w:lang w:val="en-AU" w:eastAsia="zh-CN"/>
        </w:rPr>
        <w:t xml:space="preserve"> also reiterated that information should be accessible, written in clear language, and available in diverse languages.</w:t>
      </w:r>
    </w:p>
    <w:p w14:paraId="29813E0F" w14:textId="4C1E5D2D" w:rsidR="00DB3F00" w:rsidRPr="001B7B17" w:rsidRDefault="00DB3F00" w:rsidP="001B7B17">
      <w:pPr>
        <w:pStyle w:val="Heading2"/>
      </w:pPr>
      <w:r w:rsidRPr="001B7B17">
        <w:t xml:space="preserve">Acknowledging that some areas </w:t>
      </w:r>
      <w:r w:rsidR="00A93F0F" w:rsidRPr="001B7B17">
        <w:t>will have more competition than others</w:t>
      </w:r>
    </w:p>
    <w:p w14:paraId="0C5086B3" w14:textId="6F24A146" w:rsidR="00A93F0F" w:rsidRPr="001B7B17" w:rsidRDefault="00A93F0F" w:rsidP="001B7B17">
      <w:r w:rsidRPr="00B528D0">
        <w:rPr>
          <w:lang w:val="en-AU" w:eastAsia="zh-CN"/>
        </w:rPr>
        <w:t>There was broad acknowledgement that the re</w:t>
      </w:r>
      <w:proofErr w:type="spellStart"/>
      <w:r w:rsidRPr="001B7B17">
        <w:t>moval</w:t>
      </w:r>
      <w:proofErr w:type="spellEnd"/>
      <w:r w:rsidRPr="001B7B17">
        <w:t xml:space="preserve"> of the ACAR will likely lead to increased choice in metropolitan areas where there are more providers and there is more competition.</w:t>
      </w:r>
    </w:p>
    <w:p w14:paraId="6296BDA4" w14:textId="4157DEB5" w:rsidR="007D35CC" w:rsidRPr="001B7B17" w:rsidRDefault="00A93F0F" w:rsidP="001B7B17">
      <w:r w:rsidRPr="001B7B17">
        <w:t>However, i</w:t>
      </w:r>
      <w:r w:rsidR="007D35CC" w:rsidRPr="001B7B17">
        <w:t xml:space="preserve">t was widely acknowledged that </w:t>
      </w:r>
      <w:r w:rsidRPr="001B7B17">
        <w:t xml:space="preserve">competition </w:t>
      </w:r>
      <w:r w:rsidR="007D35CC" w:rsidRPr="001B7B17">
        <w:t xml:space="preserve">will not exist universally across Australia, and that </w:t>
      </w:r>
      <w:r w:rsidRPr="001B7B17">
        <w:t xml:space="preserve">as a result </w:t>
      </w:r>
      <w:r w:rsidR="007D35CC" w:rsidRPr="001B7B17">
        <w:t xml:space="preserve">choice may be more limited in rural, </w:t>
      </w:r>
      <w:proofErr w:type="gramStart"/>
      <w:r w:rsidR="007D35CC" w:rsidRPr="001B7B17">
        <w:t>remote</w:t>
      </w:r>
      <w:proofErr w:type="gramEnd"/>
      <w:r w:rsidR="007D35CC" w:rsidRPr="001B7B17">
        <w:t xml:space="preserve"> or regional areas and other areas where there are not </w:t>
      </w:r>
      <w:r w:rsidRPr="001B7B17">
        <w:t>as many services</w:t>
      </w:r>
      <w:r w:rsidR="007D35CC" w:rsidRPr="001B7B17">
        <w:t>.</w:t>
      </w:r>
    </w:p>
    <w:p w14:paraId="7C25D5AC" w14:textId="7C0A036D" w:rsidR="00A93F0F" w:rsidRPr="001B7B17" w:rsidRDefault="00A93F0F" w:rsidP="001B7B17">
      <w:r w:rsidRPr="001B7B17">
        <w:t xml:space="preserve">Some people are also concerned that providers may select older people with less care or social needs, or those that can afford to pay higher accommodation charges, removing genuine choice </w:t>
      </w:r>
      <w:r w:rsidR="00B61883" w:rsidRPr="001B7B17">
        <w:t>for some</w:t>
      </w:r>
      <w:r w:rsidRPr="001B7B17">
        <w:t xml:space="preserve"> people.</w:t>
      </w:r>
    </w:p>
    <w:p w14:paraId="64B339B8" w14:textId="375DCB74" w:rsidR="007D35CC" w:rsidRPr="00B528D0" w:rsidRDefault="007D35CC" w:rsidP="000E6AFB">
      <w:pPr>
        <w:pStyle w:val="Heading2"/>
        <w:rPr>
          <w:lang w:val="en-AU" w:eastAsia="zh-CN"/>
        </w:rPr>
      </w:pPr>
      <w:r w:rsidRPr="00B528D0">
        <w:t>Supporting people to move between residential aged care homes</w:t>
      </w:r>
    </w:p>
    <w:p w14:paraId="3973AB84" w14:textId="79DD375C" w:rsidR="004F3ED5" w:rsidRPr="001D6174" w:rsidRDefault="00A93F0F" w:rsidP="001D6174">
      <w:r w:rsidRPr="001D6174">
        <w:t xml:space="preserve">Most people (86 per cent) agreed </w:t>
      </w:r>
      <w:r w:rsidR="0016389F" w:rsidRPr="001D6174">
        <w:t xml:space="preserve">older Australians </w:t>
      </w:r>
      <w:r w:rsidRPr="001D6174">
        <w:t xml:space="preserve">should be </w:t>
      </w:r>
      <w:r w:rsidR="0016389F" w:rsidRPr="001D6174">
        <w:t>able to choose to move between aged care homes. However, feedback indicated that additional support is needed to ensure that older Australians are empowered to understand their rights and responsibilities</w:t>
      </w:r>
      <w:r w:rsidR="00D602A0" w:rsidRPr="001D6174">
        <w:t>.</w:t>
      </w:r>
    </w:p>
    <w:p w14:paraId="6EC4233F" w14:textId="429CA871" w:rsidR="007D35CC" w:rsidRPr="001B7B17" w:rsidRDefault="007D35CC" w:rsidP="00C62D3D">
      <w:pPr>
        <w:pStyle w:val="Heading2"/>
        <w:pageBreakBefore/>
      </w:pPr>
      <w:r w:rsidRPr="001B7B17">
        <w:lastRenderedPageBreak/>
        <w:t>Policy response</w:t>
      </w:r>
    </w:p>
    <w:p w14:paraId="09816BE9" w14:textId="42247D69" w:rsidR="007D35CC" w:rsidRPr="001B7B17" w:rsidRDefault="007D35CC" w:rsidP="001B7B17">
      <w:pPr>
        <w:pStyle w:val="Heading3"/>
      </w:pPr>
      <w:r w:rsidRPr="001B7B17">
        <w:t>Supporting better choice</w:t>
      </w:r>
    </w:p>
    <w:p w14:paraId="28052D30" w14:textId="228FEFF8" w:rsidR="007D35CC" w:rsidRPr="003A426F" w:rsidRDefault="007D35CC" w:rsidP="000E6AFB">
      <w:pPr>
        <w:pStyle w:val="Heading1Char"/>
      </w:pPr>
      <w:r w:rsidRPr="00B528D0">
        <w:rPr>
          <w:lang w:val="en-AU" w:eastAsia="zh-CN"/>
        </w:rPr>
        <w:t xml:space="preserve">For people to </w:t>
      </w:r>
      <w:r w:rsidR="00BF1ACF" w:rsidRPr="00B528D0">
        <w:rPr>
          <w:lang w:val="en-AU" w:eastAsia="zh-CN"/>
        </w:rPr>
        <w:t>be enabled</w:t>
      </w:r>
      <w:r w:rsidRPr="00B528D0">
        <w:rPr>
          <w:lang w:val="en-AU" w:eastAsia="zh-CN"/>
        </w:rPr>
        <w:t xml:space="preserve"> to make choices, they need to be able to access accurate and meaningful information about their options.</w:t>
      </w:r>
    </w:p>
    <w:p w14:paraId="44CAE088" w14:textId="306F21B4" w:rsidR="007D35CC" w:rsidRPr="003A426F" w:rsidRDefault="007D35CC" w:rsidP="000E6AFB">
      <w:pPr>
        <w:pStyle w:val="Heading1Char"/>
      </w:pPr>
      <w:r w:rsidRPr="00B528D0">
        <w:rPr>
          <w:lang w:val="en-AU" w:eastAsia="zh-CN"/>
        </w:rPr>
        <w:t>Work is being done to improve support</w:t>
      </w:r>
      <w:r w:rsidR="00B74FD5" w:rsidRPr="00B528D0">
        <w:rPr>
          <w:lang w:val="en-AU" w:eastAsia="zh-CN"/>
        </w:rPr>
        <w:t xml:space="preserve"> for older Australians</w:t>
      </w:r>
      <w:r w:rsidR="001775D5">
        <w:rPr>
          <w:lang w:val="en-AU" w:eastAsia="zh-CN"/>
        </w:rPr>
        <w:t xml:space="preserve"> </w:t>
      </w:r>
      <w:r w:rsidRPr="00B528D0">
        <w:rPr>
          <w:lang w:val="en-AU" w:eastAsia="zh-CN"/>
        </w:rPr>
        <w:t>including:</w:t>
      </w:r>
    </w:p>
    <w:p w14:paraId="6415214C" w14:textId="425F262D" w:rsidR="007D35CC" w:rsidRPr="00B528D0" w:rsidRDefault="007D35CC" w:rsidP="001B7B17">
      <w:pPr>
        <w:pStyle w:val="ListBullet"/>
      </w:pPr>
      <w:r w:rsidRPr="00B528D0">
        <w:t xml:space="preserve">My Aged Care </w:t>
      </w:r>
      <w:r w:rsidR="00C62D3D">
        <w:rPr>
          <w:rStyle w:val="HTMLVariable"/>
        </w:rPr>
        <w:fldChar w:fldCharType="begin"/>
      </w:r>
      <w:r w:rsidR="00C62D3D">
        <w:rPr>
          <w:rStyle w:val="HTMLVariable"/>
        </w:rPr>
        <w:instrText xml:space="preserve"> HYPERLINK "https://www.health.gov.au/initiatives-and-programs/aged-care-system-navigator-measure" </w:instrText>
      </w:r>
      <w:r w:rsidR="00C62D3D">
        <w:rPr>
          <w:rStyle w:val="HTMLVariable"/>
        </w:rPr>
      </w:r>
      <w:r w:rsidR="00C62D3D">
        <w:rPr>
          <w:rStyle w:val="HTMLVariable"/>
        </w:rPr>
        <w:fldChar w:fldCharType="separate"/>
      </w:r>
      <w:r w:rsidRPr="00C62D3D">
        <w:rPr>
          <w:rStyle w:val="Hyperlink"/>
        </w:rPr>
        <w:t>face-to-face support</w:t>
      </w:r>
      <w:r w:rsidR="00C62D3D">
        <w:rPr>
          <w:rStyle w:val="HTMLVariable"/>
        </w:rPr>
        <w:fldChar w:fldCharType="end"/>
      </w:r>
    </w:p>
    <w:p w14:paraId="17DE6390" w14:textId="427F0D3C" w:rsidR="007D35CC" w:rsidRPr="00B528D0" w:rsidRDefault="007D35CC" w:rsidP="001B7B17">
      <w:pPr>
        <w:pStyle w:val="ListBullet"/>
      </w:pPr>
      <w:r w:rsidRPr="00B528D0">
        <w:t xml:space="preserve">a network of </w:t>
      </w:r>
      <w:hyperlink r:id="rId34" w:history="1">
        <w:r w:rsidRPr="00C62D3D">
          <w:rPr>
            <w:rStyle w:val="Hyperlink"/>
          </w:rPr>
          <w:t>care finders</w:t>
        </w:r>
      </w:hyperlink>
      <w:r w:rsidRPr="00B528D0">
        <w:t xml:space="preserve"> for older Australians who need intensive support and could otherwise fall through the cracks</w:t>
      </w:r>
    </w:p>
    <w:p w14:paraId="1C49BBAB" w14:textId="482AE55F" w:rsidR="007D35CC" w:rsidRPr="00B528D0" w:rsidRDefault="007D35CC" w:rsidP="001B7B17">
      <w:pPr>
        <w:pStyle w:val="ListBullet"/>
      </w:pPr>
      <w:r w:rsidRPr="00B528D0">
        <w:t xml:space="preserve">a </w:t>
      </w:r>
      <w:hyperlink r:id="rId35" w:history="1">
        <w:r w:rsidRPr="00C62D3D">
          <w:rPr>
            <w:rStyle w:val="Hyperlink"/>
          </w:rPr>
          <w:t>Trusted Indigenous Facilitator program</w:t>
        </w:r>
      </w:hyperlink>
      <w:r w:rsidRPr="00B528D0">
        <w:t xml:space="preserve"> dedicated to providing culturally appropriate, trauma-aware and healing-informed aged care services for Aboriginal and Torres Strait Islander peoples (commencing in late 2022)</w:t>
      </w:r>
    </w:p>
    <w:p w14:paraId="45230148" w14:textId="124186D6" w:rsidR="007D35CC" w:rsidRPr="00B528D0" w:rsidRDefault="007D35CC" w:rsidP="001B7B17">
      <w:pPr>
        <w:pStyle w:val="ListBullet"/>
      </w:pPr>
      <w:r w:rsidRPr="00B528D0">
        <w:t xml:space="preserve">an expansion of the </w:t>
      </w:r>
      <w:hyperlink r:id="rId36" w:history="1">
        <w:r w:rsidRPr="00C62D3D">
          <w:rPr>
            <w:rStyle w:val="Hyperlink"/>
          </w:rPr>
          <w:t>National Aged Care Advocacy Program</w:t>
        </w:r>
      </w:hyperlink>
    </w:p>
    <w:p w14:paraId="797D9EA5" w14:textId="4E8251AB" w:rsidR="007D35CC" w:rsidRPr="00B528D0" w:rsidRDefault="00000A62" w:rsidP="001B7B17">
      <w:pPr>
        <w:pStyle w:val="ListBullet"/>
      </w:pPr>
      <w:hyperlink r:id="rId37" w:history="1">
        <w:r w:rsidR="007D35CC" w:rsidRPr="00C62D3D">
          <w:rPr>
            <w:rStyle w:val="Hyperlink"/>
          </w:rPr>
          <w:t>star ratings</w:t>
        </w:r>
      </w:hyperlink>
      <w:r w:rsidR="007D35CC" w:rsidRPr="00B528D0">
        <w:t xml:space="preserve"> on the performance of residential aged care providers</w:t>
      </w:r>
    </w:p>
    <w:p w14:paraId="4A79C37D" w14:textId="412661B3" w:rsidR="007D35CC" w:rsidRPr="00B528D0" w:rsidRDefault="007D35CC" w:rsidP="001B7B17">
      <w:pPr>
        <w:pStyle w:val="ListBullet"/>
      </w:pPr>
      <w:r w:rsidRPr="00B528D0">
        <w:t xml:space="preserve">enhancements to My Aged Care, including a </w:t>
      </w:r>
      <w:hyperlink r:id="rId38" w:history="1">
        <w:r w:rsidR="00BF1ACF" w:rsidRPr="00C62D3D">
          <w:rPr>
            <w:rStyle w:val="Hyperlink"/>
          </w:rPr>
          <w:t>specialisation v</w:t>
        </w:r>
        <w:r w:rsidRPr="00C62D3D">
          <w:rPr>
            <w:rStyle w:val="Hyperlink"/>
          </w:rPr>
          <w:t>erification process</w:t>
        </w:r>
      </w:hyperlink>
      <w:r w:rsidRPr="00B528D0">
        <w:t xml:space="preserve"> </w:t>
      </w:r>
      <w:r w:rsidR="007E65D4" w:rsidRPr="00B528D0">
        <w:t xml:space="preserve">improving accountability </w:t>
      </w:r>
      <w:r w:rsidRPr="00B528D0">
        <w:t>for providers claiming to meet diverse needs</w:t>
      </w:r>
    </w:p>
    <w:p w14:paraId="2286759B" w14:textId="52380D86" w:rsidR="007D35CC" w:rsidRPr="00B528D0" w:rsidRDefault="007D35CC" w:rsidP="001B7B17">
      <w:pPr>
        <w:pStyle w:val="ListBullet"/>
      </w:pPr>
      <w:r w:rsidRPr="00B528D0">
        <w:t xml:space="preserve">more transparent accommodation information through a new </w:t>
      </w:r>
      <w:hyperlink r:id="rId39" w:history="1">
        <w:r w:rsidRPr="00C62D3D">
          <w:rPr>
            <w:rStyle w:val="Hyperlink"/>
          </w:rPr>
          <w:t>Residential Aged Care Accommodation Framework</w:t>
        </w:r>
      </w:hyperlink>
      <w:r w:rsidRPr="00B528D0">
        <w:t>, including design standards</w:t>
      </w:r>
    </w:p>
    <w:p w14:paraId="24498A4E" w14:textId="4EA94043" w:rsidR="0005708C" w:rsidRPr="003A426F" w:rsidRDefault="007D35CC" w:rsidP="00C62D3D">
      <w:pPr>
        <w:pStyle w:val="ListBullet"/>
      </w:pPr>
      <w:r w:rsidRPr="003A426F">
        <w:t xml:space="preserve">requirements for providers to </w:t>
      </w:r>
      <w:r w:rsidR="002E678B" w:rsidRPr="003A426F">
        <w:t>report</w:t>
      </w:r>
      <w:r w:rsidRPr="003A426F">
        <w:t xml:space="preserve"> on expenditure, improving transparency for residents and those seeking residential aged care.</w:t>
      </w:r>
    </w:p>
    <w:p w14:paraId="46CF80AF" w14:textId="689786C6" w:rsidR="0005708C" w:rsidRPr="001B7B17" w:rsidRDefault="0005708C" w:rsidP="001B7B17">
      <w:pPr>
        <w:pStyle w:val="Heading2"/>
      </w:pPr>
      <w:r w:rsidRPr="001B7B17">
        <w:t>What else is being done to support choice?</w:t>
      </w:r>
    </w:p>
    <w:p w14:paraId="7A71098C" w14:textId="77777777" w:rsidR="0016389F" w:rsidRPr="00B528D0" w:rsidRDefault="0016389F" w:rsidP="00A76B05">
      <w:pPr>
        <w:pStyle w:val="Heading1Char"/>
        <w:rPr>
          <w:lang w:val="en-AU" w:eastAsia="zh-CN"/>
        </w:rPr>
      </w:pPr>
      <w:r w:rsidRPr="00B528D0">
        <w:rPr>
          <w:lang w:val="en-AU" w:eastAsia="zh-CN"/>
        </w:rPr>
        <w:t xml:space="preserve">The measures listed above will be evaluated to make sure they are working well and to identify any issues, </w:t>
      </w:r>
      <w:proofErr w:type="gramStart"/>
      <w:r w:rsidRPr="00B528D0">
        <w:rPr>
          <w:lang w:val="en-AU" w:eastAsia="zh-CN"/>
        </w:rPr>
        <w:t>gaps</w:t>
      </w:r>
      <w:proofErr w:type="gramEnd"/>
      <w:r w:rsidRPr="00B528D0">
        <w:rPr>
          <w:lang w:val="en-AU" w:eastAsia="zh-CN"/>
        </w:rPr>
        <w:t xml:space="preserve"> or opportunities to expand. A way to measure the impact of the reform will include looking at impacts on choice, including whether:</w:t>
      </w:r>
    </w:p>
    <w:p w14:paraId="78F9F6F9" w14:textId="06F5B020" w:rsidR="00A93F0F" w:rsidRPr="00B528D0" w:rsidRDefault="0005708C" w:rsidP="001B7B17">
      <w:pPr>
        <w:pStyle w:val="ListBullet"/>
      </w:pPr>
      <w:r w:rsidRPr="00B528D0">
        <w:t>people are being supported to make informed decisions</w:t>
      </w:r>
    </w:p>
    <w:p w14:paraId="4E41FBD4" w14:textId="43E97485" w:rsidR="006C4DE1" w:rsidRPr="00B528D0" w:rsidRDefault="0005708C" w:rsidP="001B7B17">
      <w:pPr>
        <w:pStyle w:val="ListBullet"/>
      </w:pPr>
      <w:r w:rsidRPr="00B528D0">
        <w:t xml:space="preserve">the allocation of places to older Australians increases choice and control, including for people in </w:t>
      </w:r>
      <w:r w:rsidR="007E65D4" w:rsidRPr="00B528D0">
        <w:t>living in areas with limited services</w:t>
      </w:r>
      <w:r w:rsidRPr="00B528D0">
        <w:t xml:space="preserve"> or</w:t>
      </w:r>
      <w:r w:rsidR="007E65D4" w:rsidRPr="00B528D0">
        <w:t xml:space="preserve"> those</w:t>
      </w:r>
      <w:r w:rsidRPr="00B528D0">
        <w:t xml:space="preserve"> from diverse needs groups</w:t>
      </w:r>
    </w:p>
    <w:p w14:paraId="1803AABE" w14:textId="6E27DEBE" w:rsidR="003713BF" w:rsidRPr="00B528D0" w:rsidRDefault="00FA6FA2" w:rsidP="001B7B17">
      <w:pPr>
        <w:pStyle w:val="ListBullet"/>
      </w:pPr>
      <w:r w:rsidRPr="00B528D0">
        <w:t>the measures identified are suitable in the context of the new system – with places being allocated to older Australians.</w:t>
      </w:r>
    </w:p>
    <w:p w14:paraId="3BFB5977" w14:textId="2C8E3E83" w:rsidR="0005708C" w:rsidRPr="00B528D0" w:rsidRDefault="0005708C" w:rsidP="00A76B05">
      <w:pPr>
        <w:pStyle w:val="Heading1Char"/>
        <w:rPr>
          <w:lang w:val="en-AU" w:eastAsia="zh-CN"/>
        </w:rPr>
      </w:pPr>
      <w:r w:rsidRPr="00B528D0">
        <w:t xml:space="preserve">The department will also consult further on options to </w:t>
      </w:r>
      <w:r w:rsidR="001775D5">
        <w:t>mitigate t</w:t>
      </w:r>
      <w:r w:rsidRPr="00B528D0">
        <w:t>he risk that providers might discriminate against residents with certain needs.</w:t>
      </w:r>
    </w:p>
    <w:p w14:paraId="6CC43B7F" w14:textId="72AB8954" w:rsidR="0005708C" w:rsidRPr="001B7B17" w:rsidRDefault="0005708C" w:rsidP="001B7B17">
      <w:pPr>
        <w:pStyle w:val="Heading2"/>
      </w:pPr>
      <w:bookmarkStart w:id="17" w:name="_Hlk94017830"/>
      <w:r w:rsidRPr="001B7B17">
        <w:t>Transferring to a new residential care service</w:t>
      </w:r>
    </w:p>
    <w:p w14:paraId="1749B368" w14:textId="3D899F1C" w:rsidR="0005708C" w:rsidRPr="001B7B17" w:rsidRDefault="0005708C" w:rsidP="001B7B17">
      <w:bookmarkStart w:id="18" w:name="_Hlk94170629"/>
      <w:bookmarkEnd w:id="17"/>
      <w:r w:rsidRPr="001B7B17">
        <w:t xml:space="preserve">Guidelines are being developed to help support residents seeking to move between aged care </w:t>
      </w:r>
      <w:r w:rsidR="00FA6FA2" w:rsidRPr="001B7B17">
        <w:t>homes</w:t>
      </w:r>
      <w:r w:rsidR="00DD1C01" w:rsidRPr="001B7B17">
        <w:t xml:space="preserve">. These will include </w:t>
      </w:r>
      <w:r w:rsidR="00CC6DAB" w:rsidRPr="001B7B17">
        <w:t>advice on:</w:t>
      </w:r>
    </w:p>
    <w:p w14:paraId="7810AD7F" w14:textId="77777777" w:rsidR="0005708C" w:rsidRPr="003A426F" w:rsidRDefault="0005708C" w:rsidP="001B7B17">
      <w:pPr>
        <w:pStyle w:val="ListBullet"/>
      </w:pPr>
      <w:r w:rsidRPr="003A426F">
        <w:t>information sharing between the existing and new provider to ensure service continuity for the resident</w:t>
      </w:r>
    </w:p>
    <w:p w14:paraId="13BDAD13" w14:textId="41A38C44" w:rsidR="0005708C" w:rsidRPr="003A426F" w:rsidRDefault="0005708C" w:rsidP="001B7B17">
      <w:pPr>
        <w:pStyle w:val="ListBullet"/>
      </w:pPr>
      <w:r w:rsidRPr="003A426F">
        <w:t xml:space="preserve">processes for transferring the payment of fees and charges, including </w:t>
      </w:r>
      <w:hyperlink r:id="rId40" w:history="1">
        <w:r w:rsidRPr="00C62D3D">
          <w:rPr>
            <w:rStyle w:val="Hyperlink"/>
          </w:rPr>
          <w:t>R</w:t>
        </w:r>
        <w:r w:rsidR="004546DA" w:rsidRPr="00C62D3D">
          <w:rPr>
            <w:rStyle w:val="Hyperlink"/>
          </w:rPr>
          <w:t>esidential Aged Care Deposits (R</w:t>
        </w:r>
        <w:r w:rsidRPr="00C62D3D">
          <w:rPr>
            <w:rStyle w:val="Hyperlink"/>
          </w:rPr>
          <w:t>ADs</w:t>
        </w:r>
        <w:r w:rsidR="004546DA" w:rsidRPr="00C62D3D">
          <w:rPr>
            <w:rStyle w:val="Hyperlink"/>
          </w:rPr>
          <w:t>)</w:t>
        </w:r>
      </w:hyperlink>
    </w:p>
    <w:p w14:paraId="2B36B2BE" w14:textId="3B8E065E" w:rsidR="0005708C" w:rsidRPr="003A426F" w:rsidRDefault="0005708C" w:rsidP="001B7B17">
      <w:pPr>
        <w:pStyle w:val="ListBullet"/>
      </w:pPr>
      <w:r w:rsidRPr="003A426F">
        <w:t xml:space="preserve">managing the physical transfer of a resident from one </w:t>
      </w:r>
      <w:r w:rsidR="00F2113C" w:rsidRPr="003A426F">
        <w:t>home</w:t>
      </w:r>
      <w:r w:rsidRPr="003A426F">
        <w:t xml:space="preserve"> to another</w:t>
      </w:r>
    </w:p>
    <w:p w14:paraId="3A5F19ED" w14:textId="0A99035B" w:rsidR="00DF2790" w:rsidRPr="003A426F" w:rsidRDefault="00CC6DAB" w:rsidP="001B7B17">
      <w:pPr>
        <w:pStyle w:val="ListBullet"/>
      </w:pPr>
      <w:r w:rsidRPr="003A426F">
        <w:t>making sure residents</w:t>
      </w:r>
      <w:r w:rsidR="0005708C" w:rsidRPr="003A426F">
        <w:t xml:space="preserve"> understand their rights and responsibilities when moving to a new </w:t>
      </w:r>
      <w:r w:rsidR="00FA6FA2" w:rsidRPr="003A426F">
        <w:t>aged care home</w:t>
      </w:r>
      <w:r w:rsidR="0005708C" w:rsidRPr="003A426F">
        <w:t>.</w:t>
      </w:r>
    </w:p>
    <w:bookmarkEnd w:id="18"/>
    <w:p w14:paraId="7F75CD09" w14:textId="6B268D58" w:rsidR="00DB5916" w:rsidRPr="00D04C0D" w:rsidRDefault="0016389F" w:rsidP="00D04C0D">
      <w:r w:rsidRPr="00D04C0D">
        <w:t>The department will undertake further consultation to inform these guidelines.</w:t>
      </w:r>
    </w:p>
    <w:p w14:paraId="29B7757B" w14:textId="43156A63" w:rsidR="00561CC5" w:rsidRPr="00086E7C" w:rsidRDefault="00561CC5" w:rsidP="00C62D3D">
      <w:pPr>
        <w:pStyle w:val="SectionTitle"/>
        <w:pageBreakBefore/>
      </w:pPr>
      <w:bookmarkStart w:id="19" w:name="_Toc117872986"/>
      <w:r w:rsidRPr="00086E7C">
        <w:lastRenderedPageBreak/>
        <w:t>Section six</w:t>
      </w:r>
      <w:bookmarkEnd w:id="19"/>
    </w:p>
    <w:p w14:paraId="306D9D96" w14:textId="77777777" w:rsidR="00561CC5" w:rsidRPr="00086E7C" w:rsidRDefault="00561CC5" w:rsidP="00086E7C">
      <w:pPr>
        <w:pStyle w:val="Heading1"/>
      </w:pPr>
      <w:bookmarkStart w:id="20" w:name="_Toc117872987"/>
      <w:r w:rsidRPr="00086E7C">
        <w:t>Market stewardship and intelligence</w:t>
      </w:r>
      <w:bookmarkEnd w:id="20"/>
    </w:p>
    <w:p w14:paraId="68B33B6D" w14:textId="0858E8B6" w:rsidR="0016389F" w:rsidRPr="00B528D0" w:rsidRDefault="006F5AFD" w:rsidP="00C62D3D">
      <w:pPr>
        <w:pStyle w:val="IntroPara"/>
      </w:pPr>
      <w:r w:rsidRPr="00B528D0">
        <w:t>People agreed that government should enhance its stewardship role within the new system. There is no ‘one-size-fits-all’ solution, and flexible arrangements are needed in regions where local supply is limited.</w:t>
      </w:r>
    </w:p>
    <w:p w14:paraId="7A9E13DB" w14:textId="5BAF6A19" w:rsidR="004F3ED5" w:rsidRPr="00B528D0" w:rsidRDefault="00DE718A" w:rsidP="002E678B">
      <w:pPr>
        <w:pStyle w:val="Heading2"/>
      </w:pPr>
      <w:r w:rsidRPr="00B528D0">
        <w:t>Ensuring that there are enough supports for people needing residential aged care</w:t>
      </w:r>
    </w:p>
    <w:p w14:paraId="1AA77B14" w14:textId="7D873E5B" w:rsidR="006F5AFD" w:rsidRPr="00B528D0" w:rsidRDefault="006F5AFD" w:rsidP="002E678B">
      <w:pPr>
        <w:pStyle w:val="Heading1Char"/>
      </w:pPr>
      <w:r w:rsidRPr="00B528D0">
        <w:t>There was support for targeted action in some thin markets, including additional supports to maintain a diverse range of providers and to help people from diverse needs groups to access care.</w:t>
      </w:r>
    </w:p>
    <w:p w14:paraId="21869D6C" w14:textId="6E08940D" w:rsidR="00DE718A" w:rsidRPr="00B528D0" w:rsidRDefault="006F5AFD" w:rsidP="002E678B">
      <w:pPr>
        <w:pStyle w:val="Heading1Char"/>
      </w:pPr>
      <w:r w:rsidRPr="00B528D0">
        <w:t>Thin markets were broadly considered to mean areas (including both regional, rural, remote and in some cases more populated regions) where there is a lack of service options for a group of people, or little to no market within which to make a choice about services.</w:t>
      </w:r>
    </w:p>
    <w:p w14:paraId="1D83BA84" w14:textId="113DFBF2" w:rsidR="00DE718A" w:rsidRPr="00B528D0" w:rsidRDefault="00DE718A" w:rsidP="002E678B">
      <w:pPr>
        <w:pStyle w:val="Heading1Char"/>
        <w:rPr>
          <w:lang w:val="en-AU" w:eastAsia="zh-CN"/>
        </w:rPr>
      </w:pPr>
      <w:r w:rsidRPr="00B528D0">
        <w:rPr>
          <w:lang w:val="en-AU" w:eastAsia="zh-CN"/>
        </w:rPr>
        <w:t xml:space="preserve">Consultation participants welcome the establishment of regional offices and support the new </w:t>
      </w:r>
      <w:r w:rsidR="00FA6FA2" w:rsidRPr="00B528D0">
        <w:t>regional stewardship model</w:t>
      </w:r>
      <w:r w:rsidRPr="00B528D0">
        <w:rPr>
          <w:lang w:val="en-AU" w:eastAsia="zh-CN"/>
        </w:rPr>
        <w:t>.</w:t>
      </w:r>
    </w:p>
    <w:p w14:paraId="7244BDA5" w14:textId="0CFF3A14" w:rsidR="00DE718A" w:rsidRPr="00B528D0" w:rsidRDefault="00DE718A" w:rsidP="002E678B">
      <w:pPr>
        <w:pStyle w:val="Heading1Char"/>
        <w:rPr>
          <w:lang w:val="en-AU" w:eastAsia="zh-CN"/>
        </w:rPr>
      </w:pPr>
      <w:r w:rsidRPr="00B528D0">
        <w:rPr>
          <w:lang w:val="en-AU" w:eastAsia="zh-CN"/>
        </w:rPr>
        <w:t xml:space="preserve">There was broad support for the continued investment in existing programs such as the </w:t>
      </w:r>
      <w:hyperlink r:id="rId41" w:history="1">
        <w:r w:rsidRPr="00CA0B76">
          <w:rPr>
            <w:rStyle w:val="Hyperlink"/>
          </w:rPr>
          <w:t>National Aboriginal and Torres Strait Islander Flexible Aged Care program</w:t>
        </w:r>
      </w:hyperlink>
      <w:r w:rsidRPr="00B528D0">
        <w:rPr>
          <w:lang w:val="en-AU" w:eastAsia="zh-CN"/>
        </w:rPr>
        <w:t>, and the</w:t>
      </w:r>
      <w:r w:rsidR="004546DA" w:rsidRPr="00B528D0">
        <w:rPr>
          <w:lang w:val="en-AU" w:eastAsia="zh-CN"/>
        </w:rPr>
        <w:t xml:space="preserve"> </w:t>
      </w:r>
      <w:hyperlink r:id="rId42" w:history="1">
        <w:r w:rsidR="004546DA" w:rsidRPr="00EE037E">
          <w:rPr>
            <w:rStyle w:val="Hyperlink"/>
          </w:rPr>
          <w:t>Multi-Purpose Services</w:t>
        </w:r>
        <w:r w:rsidRPr="00EE037E">
          <w:rPr>
            <w:rStyle w:val="Hyperlink"/>
          </w:rPr>
          <w:t xml:space="preserve"> </w:t>
        </w:r>
        <w:r w:rsidR="004546DA" w:rsidRPr="00EE037E">
          <w:rPr>
            <w:rStyle w:val="Hyperlink"/>
          </w:rPr>
          <w:t>(</w:t>
        </w:r>
        <w:r w:rsidRPr="00EE037E">
          <w:rPr>
            <w:rStyle w:val="Hyperlink"/>
          </w:rPr>
          <w:t>MPS</w:t>
        </w:r>
        <w:r w:rsidR="004546DA" w:rsidRPr="00EE037E">
          <w:rPr>
            <w:rStyle w:val="Hyperlink"/>
          </w:rPr>
          <w:t>)</w:t>
        </w:r>
        <w:r w:rsidRPr="00EE037E">
          <w:rPr>
            <w:rStyle w:val="Hyperlink"/>
          </w:rPr>
          <w:t xml:space="preserve"> program</w:t>
        </w:r>
      </w:hyperlink>
      <w:r w:rsidRPr="00B528D0">
        <w:rPr>
          <w:lang w:val="en-AU" w:eastAsia="zh-CN"/>
        </w:rPr>
        <w:t xml:space="preserve">. With further acknowledgement that additional investment is being committed to improve </w:t>
      </w:r>
      <w:hyperlink r:id="rId43" w:history="1">
        <w:r w:rsidRPr="00EE037E">
          <w:rPr>
            <w:rStyle w:val="Hyperlink"/>
          </w:rPr>
          <w:t>Aboriginal and Torres Strait Islander</w:t>
        </w:r>
        <w:r w:rsidR="004546DA" w:rsidRPr="00EE037E">
          <w:rPr>
            <w:rStyle w:val="Hyperlink"/>
          </w:rPr>
          <w:t xml:space="preserve"> people’s</w:t>
        </w:r>
      </w:hyperlink>
      <w:r w:rsidRPr="00B528D0">
        <w:rPr>
          <w:lang w:val="en-AU" w:eastAsia="zh-CN"/>
        </w:rPr>
        <w:t xml:space="preserve"> experience, uptake, and access to aged care services.</w:t>
      </w:r>
    </w:p>
    <w:p w14:paraId="3248A6C2" w14:textId="0A964DBC" w:rsidR="004546DA" w:rsidRPr="00B528D0" w:rsidRDefault="004546DA" w:rsidP="002E678B">
      <w:pPr>
        <w:pStyle w:val="Heading2"/>
        <w:rPr>
          <w:lang w:val="en-AU" w:eastAsia="zh-CN"/>
        </w:rPr>
      </w:pPr>
      <w:r w:rsidRPr="00B528D0">
        <w:t xml:space="preserve">Better information in an improved system for data </w:t>
      </w:r>
      <w:r w:rsidR="00561CC5" w:rsidRPr="00B528D0">
        <w:t xml:space="preserve">and </w:t>
      </w:r>
      <w:r w:rsidRPr="00B528D0">
        <w:t>intelligence</w:t>
      </w:r>
    </w:p>
    <w:p w14:paraId="2D73DECA" w14:textId="03B4DA9B" w:rsidR="00DE718A" w:rsidRPr="00B528D0" w:rsidRDefault="00DE718A" w:rsidP="002E678B">
      <w:pPr>
        <w:pStyle w:val="Heading1Char"/>
        <w:rPr>
          <w:lang w:val="en-AU" w:eastAsia="zh-CN"/>
        </w:rPr>
      </w:pPr>
      <w:r w:rsidRPr="00B528D0">
        <w:rPr>
          <w:lang w:val="en-AU" w:eastAsia="zh-CN"/>
        </w:rPr>
        <w:t xml:space="preserve">There was strong consensus around the need for access to timely, accurate </w:t>
      </w:r>
      <w:r w:rsidR="004546DA" w:rsidRPr="00B528D0">
        <w:rPr>
          <w:lang w:val="en-AU" w:eastAsia="zh-CN"/>
        </w:rPr>
        <w:t>information</w:t>
      </w:r>
      <w:r w:rsidRPr="00B528D0">
        <w:rPr>
          <w:lang w:val="en-AU" w:eastAsia="zh-CN"/>
        </w:rPr>
        <w:t xml:space="preserve"> and sector intelligence in a more competitive environment. Providers highlighted the need for market data to help them understand true demand and to inform strategic business decisions. There were differing views on how provider expansion information could be collected and shared with the sector.</w:t>
      </w:r>
    </w:p>
    <w:p w14:paraId="561754C1" w14:textId="222E751A" w:rsidR="00DE718A" w:rsidRPr="00B528D0" w:rsidRDefault="00DE718A" w:rsidP="002E678B">
      <w:pPr>
        <w:pStyle w:val="Heading2"/>
      </w:pPr>
      <w:r w:rsidRPr="00B528D0">
        <w:t>Policy response</w:t>
      </w:r>
    </w:p>
    <w:p w14:paraId="5B88D016" w14:textId="758C38BF" w:rsidR="00DE718A" w:rsidRPr="00B528D0" w:rsidRDefault="00DE718A" w:rsidP="002E678B">
      <w:pPr>
        <w:pStyle w:val="Heading3"/>
      </w:pPr>
      <w:r w:rsidRPr="00B528D0">
        <w:t>Regulatory arrangements</w:t>
      </w:r>
    </w:p>
    <w:p w14:paraId="4A61C41A" w14:textId="77777777" w:rsidR="00EE037E" w:rsidRDefault="00DE718A" w:rsidP="00802F47">
      <w:r w:rsidRPr="00802F47">
        <w:t xml:space="preserve">A new </w:t>
      </w:r>
      <w:r w:rsidR="00FA6FA2" w:rsidRPr="00802F47">
        <w:t>Aged Care Act</w:t>
      </w:r>
      <w:r w:rsidRPr="00802F47">
        <w:t xml:space="preserve"> is under development as recommended by the Royal Commission. A proposed key feature of this Act will be a </w:t>
      </w:r>
      <w:hyperlink r:id="rId44" w:history="1">
        <w:r w:rsidRPr="00802F47">
          <w:rPr>
            <w:rStyle w:val="Hyperlink"/>
          </w:rPr>
          <w:t>new risk-proportionate regulatory model</w:t>
        </w:r>
      </w:hyperlink>
      <w:r w:rsidRPr="00802F47">
        <w:t xml:space="preserve"> that will strengthen protections for older Australians as the aged care market changes and broader aged care reforms are implemented. The new model will use data to identify risk across the system, directing additional resources to higher risk providers while limiting excessive regulation on lower risk providers.</w:t>
      </w:r>
      <w:bookmarkStart w:id="21" w:name="_Hlk110511938"/>
    </w:p>
    <w:p w14:paraId="36EF5EB3" w14:textId="254F12D8" w:rsidR="00DE718A" w:rsidRPr="00B528D0" w:rsidRDefault="00DE718A" w:rsidP="002E678B">
      <w:pPr>
        <w:pStyle w:val="Heading1Char"/>
        <w:rPr>
          <w:lang w:val="en-AU" w:eastAsia="zh-CN"/>
        </w:rPr>
      </w:pPr>
      <w:r w:rsidRPr="00B528D0">
        <w:rPr>
          <w:lang w:val="en-AU" w:eastAsia="zh-CN"/>
        </w:rPr>
        <w:t>Aligned to the proposed rights-based provision in the new Act, this revised approach to regulation will ensure a stronger focus on the delivery of high-quality care. Aged care providers, including key management personnel, will be made accountable for their actions by the regulator</w:t>
      </w:r>
      <w:bookmarkEnd w:id="21"/>
      <w:r w:rsidRPr="00B528D0">
        <w:rPr>
          <w:lang w:val="en-AU" w:eastAsia="zh-CN"/>
        </w:rPr>
        <w:t>.</w:t>
      </w:r>
    </w:p>
    <w:p w14:paraId="585C817C" w14:textId="3440A8D4" w:rsidR="00DE718A" w:rsidRPr="00B528D0" w:rsidRDefault="00DE718A" w:rsidP="00EE037E">
      <w:pPr>
        <w:pageBreakBefore/>
        <w:rPr>
          <w:lang w:val="en-AU" w:eastAsia="zh-CN"/>
        </w:rPr>
      </w:pPr>
      <w:r w:rsidRPr="00B528D0">
        <w:rPr>
          <w:lang w:val="en-AU" w:eastAsia="zh-CN"/>
        </w:rPr>
        <w:lastRenderedPageBreak/>
        <w:t xml:space="preserve">Broader new system governance arrangements will also increase transparency and ensure effective provider performance remains at the centre of the new aged care regulatory framework. Other mechanisms will be put in place to measure the health of the new </w:t>
      </w:r>
      <w:r w:rsidR="00FA6FA2" w:rsidRPr="00B528D0">
        <w:t>regulatory framework</w:t>
      </w:r>
      <w:r w:rsidRPr="00B528D0">
        <w:rPr>
          <w:lang w:val="en-AU" w:eastAsia="zh-CN"/>
        </w:rPr>
        <w:t xml:space="preserve"> and how it achieves its objectives, including:</w:t>
      </w:r>
    </w:p>
    <w:p w14:paraId="5DB91C40" w14:textId="3B67AE7A" w:rsidR="00561CC5" w:rsidRPr="00B528D0" w:rsidRDefault="00DE718A" w:rsidP="00802F47">
      <w:pPr>
        <w:pStyle w:val="ListBullet"/>
      </w:pPr>
      <w:r w:rsidRPr="00B528D0">
        <w:t xml:space="preserve">the proposed new </w:t>
      </w:r>
      <w:r w:rsidR="00FA6FA2" w:rsidRPr="00B528D0">
        <w:t>Inspector of Aged Care</w:t>
      </w:r>
      <w:r w:rsidRPr="00B528D0">
        <w:t xml:space="preserve"> arrangements</w:t>
      </w:r>
    </w:p>
    <w:p w14:paraId="7A0BEA6F" w14:textId="460FC567" w:rsidR="00DD7ACA" w:rsidRPr="00B528D0" w:rsidRDefault="00DE718A" w:rsidP="00802F47">
      <w:pPr>
        <w:pStyle w:val="ListBullet"/>
      </w:pPr>
      <w:r w:rsidRPr="00B528D0">
        <w:t xml:space="preserve">enhanced provider reporting to improve </w:t>
      </w:r>
      <w:hyperlink r:id="rId45" w:history="1">
        <w:r w:rsidRPr="00B528D0">
          <w:rPr>
            <w:rStyle w:val="HTMLVariable"/>
          </w:rPr>
          <w:t>accountability and transparency</w:t>
        </w:r>
      </w:hyperlink>
      <w:r w:rsidRPr="00B528D0">
        <w:t xml:space="preserve"> across the sector.</w:t>
      </w:r>
    </w:p>
    <w:p w14:paraId="6FB582DE" w14:textId="47099ED7" w:rsidR="00DE718A" w:rsidRPr="00B528D0" w:rsidRDefault="00DE718A" w:rsidP="002E678B">
      <w:pPr>
        <w:pStyle w:val="Heading2"/>
        <w:rPr>
          <w:lang w:val="en-AU" w:eastAsia="zh-CN"/>
        </w:rPr>
      </w:pPr>
      <w:r w:rsidRPr="00B528D0">
        <w:t>Ensuring access, including for diverse needs groups</w:t>
      </w:r>
    </w:p>
    <w:p w14:paraId="0C88CED8" w14:textId="6ECF9614" w:rsidR="00DE718A" w:rsidRPr="00B528D0" w:rsidRDefault="00DE718A" w:rsidP="00802F47">
      <w:pPr>
        <w:rPr>
          <w:lang w:val="en-GB" w:eastAsia="zh-CN"/>
        </w:rPr>
      </w:pPr>
      <w:bookmarkStart w:id="22" w:name="_Hlk94170711"/>
      <w:r w:rsidRPr="00B528D0">
        <w:rPr>
          <w:lang w:val="en-GB" w:eastAsia="zh-CN"/>
        </w:rPr>
        <w:t xml:space="preserve">Access for </w:t>
      </w:r>
      <w:bookmarkStart w:id="23" w:name="_Hlk110508433"/>
      <w:r w:rsidRPr="00B528D0">
        <w:rPr>
          <w:lang w:val="en-GB" w:eastAsia="zh-CN"/>
        </w:rPr>
        <w:t xml:space="preserve">people from diverse backgrounds and experiences </w:t>
      </w:r>
      <w:bookmarkEnd w:id="23"/>
      <w:r w:rsidRPr="00B528D0">
        <w:rPr>
          <w:lang w:val="en-GB" w:eastAsia="zh-CN"/>
        </w:rPr>
        <w:t>will be supported through:</w:t>
      </w:r>
    </w:p>
    <w:p w14:paraId="40FC6F00" w14:textId="32C45C1E" w:rsidR="00DE718A" w:rsidRPr="00B528D0" w:rsidRDefault="00DE718A" w:rsidP="00802F47">
      <w:pPr>
        <w:pStyle w:val="ListBullet"/>
      </w:pPr>
      <w:r w:rsidRPr="00B528D0">
        <w:t xml:space="preserve">the introduction of a </w:t>
      </w:r>
      <w:hyperlink r:id="rId46" w:history="1">
        <w:r w:rsidRPr="00EE037E">
          <w:rPr>
            <w:rStyle w:val="Hyperlink"/>
          </w:rPr>
          <w:t>star rating</w:t>
        </w:r>
      </w:hyperlink>
      <w:r w:rsidRPr="00B528D0">
        <w:t xml:space="preserve"> system which will help people to make meaningful comparisons between services</w:t>
      </w:r>
    </w:p>
    <w:p w14:paraId="64DF53A8" w14:textId="48EAD8D7" w:rsidR="00DE718A" w:rsidRPr="00B528D0" w:rsidRDefault="00DE718A" w:rsidP="00802F47">
      <w:pPr>
        <w:pStyle w:val="ListBullet"/>
        <w:rPr>
          <w:lang w:val="en-GB"/>
        </w:rPr>
      </w:pPr>
      <w:r w:rsidRPr="00B528D0">
        <w:rPr>
          <w:lang w:val="en-GB"/>
        </w:rPr>
        <w:t xml:space="preserve">investment in the </w:t>
      </w:r>
      <w:hyperlink r:id="rId47" w:history="1">
        <w:r w:rsidRPr="00EE037E">
          <w:rPr>
            <w:rStyle w:val="Hyperlink"/>
          </w:rPr>
          <w:t>Aged Care Capital Assistance Program</w:t>
        </w:r>
      </w:hyperlink>
      <w:r w:rsidRPr="00B528D0">
        <w:rPr>
          <w:lang w:val="en-GB"/>
        </w:rPr>
        <w:t xml:space="preserve"> to support infrastructure projects improving access to aged care services and prioritise needs in regional, rural and remote locations</w:t>
      </w:r>
    </w:p>
    <w:p w14:paraId="75EC6F81" w14:textId="3908F2D2" w:rsidR="00DE718A" w:rsidRPr="00B528D0" w:rsidRDefault="00DE718A" w:rsidP="00802F47">
      <w:pPr>
        <w:pStyle w:val="ListBullet"/>
      </w:pPr>
      <w:r w:rsidRPr="00B528D0">
        <w:t xml:space="preserve">improving the experience for </w:t>
      </w:r>
      <w:hyperlink r:id="rId48" w:history="1">
        <w:r w:rsidRPr="00EE037E">
          <w:rPr>
            <w:rStyle w:val="Hyperlink"/>
          </w:rPr>
          <w:t>Aboriginal and Torres Strait Islander peoples</w:t>
        </w:r>
      </w:hyperlink>
      <w:r w:rsidRPr="00B528D0">
        <w:t xml:space="preserve"> to access aged care and disability services through a dedicated workforce that will provide face-to-face support, including Aboriginal and Torres Strait Aged Care Assessors and Trusted Indigenous Facilitators</w:t>
      </w:r>
    </w:p>
    <w:p w14:paraId="48E7373D" w14:textId="75C8FBD6" w:rsidR="00DE718A" w:rsidRPr="00B528D0" w:rsidRDefault="00DE718A" w:rsidP="00802F47">
      <w:pPr>
        <w:pStyle w:val="ListBullet"/>
        <w:rPr>
          <w:lang w:val="en-GB"/>
        </w:rPr>
      </w:pPr>
      <w:r w:rsidRPr="00B528D0">
        <w:rPr>
          <w:lang w:val="en-GB"/>
        </w:rPr>
        <w:t xml:space="preserve">continued funding for the </w:t>
      </w:r>
      <w:hyperlink r:id="rId49" w:history="1">
        <w:r w:rsidR="00DD7ACA" w:rsidRPr="00EE037E">
          <w:rPr>
            <w:rStyle w:val="Hyperlink"/>
          </w:rPr>
          <w:t>National Aboriginal and Torres Strait Islander Flexible Aged Care program</w:t>
        </w:r>
      </w:hyperlink>
      <w:r w:rsidR="00DD7ACA" w:rsidRPr="00B528D0">
        <w:t xml:space="preserve">, and the </w:t>
      </w:r>
      <w:hyperlink r:id="rId50" w:history="1">
        <w:r w:rsidR="00DD7ACA" w:rsidRPr="00EE037E">
          <w:rPr>
            <w:rStyle w:val="Hyperlink"/>
          </w:rPr>
          <w:t>Multi-Purpose Services (MPS) program</w:t>
        </w:r>
      </w:hyperlink>
    </w:p>
    <w:p w14:paraId="23C8200A" w14:textId="2A0F6913" w:rsidR="00DE718A" w:rsidRPr="00B528D0" w:rsidRDefault="00DE718A" w:rsidP="00802F47">
      <w:pPr>
        <w:pStyle w:val="ListBullet"/>
        <w:rPr>
          <w:lang w:val="en-GB"/>
        </w:rPr>
      </w:pPr>
      <w:r w:rsidRPr="00B528D0">
        <w:rPr>
          <w:lang w:val="en-GB"/>
        </w:rPr>
        <w:t xml:space="preserve">support for providers through the </w:t>
      </w:r>
      <w:hyperlink r:id="rId51" w:history="1">
        <w:r w:rsidRPr="00EE037E">
          <w:rPr>
            <w:rStyle w:val="Hyperlink"/>
          </w:rPr>
          <w:t>Remote and Aboriginal and Torres Strait Islander Aged Care Service Development Assistance Panel</w:t>
        </w:r>
      </w:hyperlink>
    </w:p>
    <w:p w14:paraId="3DF33F3E" w14:textId="044FDE30" w:rsidR="00DE718A" w:rsidRPr="00B528D0" w:rsidRDefault="00DE718A" w:rsidP="00802F47">
      <w:pPr>
        <w:pStyle w:val="ListBullet"/>
      </w:pPr>
      <w:r w:rsidRPr="00B528D0">
        <w:t xml:space="preserve">expanding the </w:t>
      </w:r>
      <w:hyperlink r:id="rId52" w:history="1">
        <w:r w:rsidRPr="00EE037E">
          <w:rPr>
            <w:rStyle w:val="Hyperlink"/>
          </w:rPr>
          <w:t>Rural Locum Assistance Program</w:t>
        </w:r>
      </w:hyperlink>
      <w:r w:rsidRPr="00B528D0">
        <w:t xml:space="preserve"> to provide access to a surge locum workforce and an incentive scheme for permanent residential aged care placements to increase staff retention</w:t>
      </w:r>
    </w:p>
    <w:p w14:paraId="34E39D18" w14:textId="799BFC7F" w:rsidR="00DE718A" w:rsidRPr="00B528D0" w:rsidRDefault="00DE718A" w:rsidP="00802F47">
      <w:pPr>
        <w:pStyle w:val="ListBullet"/>
      </w:pPr>
      <w:r w:rsidRPr="00B528D0">
        <w:t xml:space="preserve">new </w:t>
      </w:r>
      <w:r w:rsidR="00AA05A2" w:rsidRPr="00B528D0">
        <w:t>mandatory aged care food standards</w:t>
      </w:r>
      <w:r w:rsidRPr="00B528D0">
        <w:t xml:space="preserve"> respecting cultural, religious, and dietary requirements.</w:t>
      </w:r>
    </w:p>
    <w:bookmarkEnd w:id="22"/>
    <w:p w14:paraId="59136216" w14:textId="3CD786CC" w:rsidR="00DE718A" w:rsidRPr="00B528D0" w:rsidRDefault="00DE718A" w:rsidP="00802F47">
      <w:pPr>
        <w:rPr>
          <w:lang w:val="en-GB" w:eastAsia="zh-CN"/>
        </w:rPr>
      </w:pPr>
      <w:r w:rsidRPr="00B528D0">
        <w:rPr>
          <w:lang w:val="en-GB" w:eastAsia="zh-CN"/>
        </w:rPr>
        <w:t xml:space="preserve">These measures will be complemented by the </w:t>
      </w:r>
      <w:hyperlink r:id="rId53" w:history="1">
        <w:r w:rsidRPr="00EE037E">
          <w:rPr>
            <w:rStyle w:val="Hyperlink"/>
          </w:rPr>
          <w:t>AN-ACC funding model</w:t>
        </w:r>
      </w:hyperlink>
      <w:r w:rsidRPr="00B528D0">
        <w:rPr>
          <w:lang w:val="en-GB" w:eastAsia="zh-CN"/>
        </w:rPr>
        <w:t xml:space="preserve"> which aims to deliver more equitable funding outcomes, particularly for remote, Aboriginal and Torres Strait Islander and homeless services.</w:t>
      </w:r>
    </w:p>
    <w:p w14:paraId="3592839A" w14:textId="09D82E00" w:rsidR="00DE718A" w:rsidRPr="00B528D0" w:rsidRDefault="00DE718A" w:rsidP="002E678B">
      <w:pPr>
        <w:pStyle w:val="Heading1Char"/>
        <w:rPr>
          <w:lang w:val="en-AU" w:eastAsia="zh-CN"/>
        </w:rPr>
      </w:pPr>
      <w:bookmarkStart w:id="24" w:name="_Hlk109732644"/>
      <w:r w:rsidRPr="00B528D0">
        <w:rPr>
          <w:lang w:val="en-GB" w:eastAsia="zh-CN"/>
        </w:rPr>
        <w:t xml:space="preserve">Separately, the department has recently implemented a </w:t>
      </w:r>
      <w:hyperlink r:id="rId54" w:history="1">
        <w:proofErr w:type="spellStart"/>
        <w:r w:rsidRPr="00EE037E">
          <w:rPr>
            <w:rStyle w:val="Hyperlink"/>
          </w:rPr>
          <w:t>Specialisation</w:t>
        </w:r>
        <w:proofErr w:type="spellEnd"/>
        <w:r w:rsidRPr="00EE037E">
          <w:rPr>
            <w:rStyle w:val="Hyperlink"/>
          </w:rPr>
          <w:t xml:space="preserve"> </w:t>
        </w:r>
        <w:r w:rsidR="00DD7ACA" w:rsidRPr="00EE037E">
          <w:rPr>
            <w:rStyle w:val="Hyperlink"/>
          </w:rPr>
          <w:t xml:space="preserve">Verification </w:t>
        </w:r>
        <w:r w:rsidRPr="00EE037E">
          <w:rPr>
            <w:rStyle w:val="Hyperlink"/>
          </w:rPr>
          <w:t>Framework</w:t>
        </w:r>
      </w:hyperlink>
      <w:r w:rsidRPr="00B528D0">
        <w:rPr>
          <w:lang w:val="en-GB" w:eastAsia="zh-CN"/>
        </w:rPr>
        <w:t xml:space="preserve"> whereby providers </w:t>
      </w:r>
      <w:r w:rsidR="00DD7ACA" w:rsidRPr="00B528D0">
        <w:rPr>
          <w:lang w:val="en-GB" w:eastAsia="zh-CN"/>
        </w:rPr>
        <w:t xml:space="preserve">need to </w:t>
      </w:r>
      <w:r w:rsidRPr="00B528D0">
        <w:rPr>
          <w:lang w:val="en-GB" w:eastAsia="zh-CN"/>
        </w:rPr>
        <w:t>submit evidence to demonstrate their ability to meet the care needs of people from diverse backgrounds and experiences.</w:t>
      </w:r>
      <w:bookmarkEnd w:id="24"/>
    </w:p>
    <w:p w14:paraId="06BD8B23" w14:textId="77777777" w:rsidR="00DE718A" w:rsidRPr="00B528D0" w:rsidRDefault="00DE718A" w:rsidP="002E678B">
      <w:pPr>
        <w:pStyle w:val="Heading2"/>
        <w:rPr>
          <w:lang w:val="en-AU" w:eastAsia="zh-CN"/>
        </w:rPr>
      </w:pPr>
      <w:r w:rsidRPr="00B528D0">
        <w:rPr>
          <w:lang w:val="en-AU" w:eastAsia="zh-CN"/>
        </w:rPr>
        <w:t>Market intelligence</w:t>
      </w:r>
    </w:p>
    <w:p w14:paraId="520744DA" w14:textId="31742EFD" w:rsidR="0061193D" w:rsidRPr="00D04C0D" w:rsidRDefault="006F5AFD">
      <w:r w:rsidRPr="00B528D0">
        <w:rPr>
          <w:lang w:val="en-AU" w:eastAsia="zh-CN"/>
        </w:rPr>
        <w:t xml:space="preserve">The department is developing a new approach to ensure that </w:t>
      </w:r>
      <w:r w:rsidR="00DE718A" w:rsidRPr="00B528D0">
        <w:rPr>
          <w:lang w:val="en-AU" w:eastAsia="zh-CN"/>
        </w:rPr>
        <w:t>providers, older Australians, their families and carers, and government</w:t>
      </w:r>
      <w:r w:rsidRPr="00B528D0">
        <w:rPr>
          <w:lang w:val="en-AU" w:eastAsia="zh-CN"/>
        </w:rPr>
        <w:t xml:space="preserve"> have access to timely, accurate information about the new residential aged care system</w:t>
      </w:r>
      <w:r w:rsidR="00DE718A" w:rsidRPr="00B528D0">
        <w:rPr>
          <w:lang w:val="en-AU" w:eastAsia="zh-CN"/>
        </w:rPr>
        <w:t>.</w:t>
      </w:r>
      <w:bookmarkStart w:id="25" w:name="_Hlk94019212"/>
    </w:p>
    <w:p w14:paraId="675F1BB7" w14:textId="49E785DD" w:rsidR="00DE718A" w:rsidRPr="00B528D0" w:rsidRDefault="00DE718A" w:rsidP="00EE037E">
      <w:pPr>
        <w:pStyle w:val="Heading2"/>
        <w:pageBreakBefore/>
        <w:rPr>
          <w:lang w:val="en-AU" w:eastAsia="zh-CN"/>
        </w:rPr>
      </w:pPr>
      <w:r w:rsidRPr="00B528D0">
        <w:rPr>
          <w:lang w:val="en-AU" w:eastAsia="zh-CN"/>
        </w:rPr>
        <w:lastRenderedPageBreak/>
        <w:t>Regional stewardship</w:t>
      </w:r>
    </w:p>
    <w:p w14:paraId="2747229C" w14:textId="537C2E18" w:rsidR="00DD7ACA" w:rsidRPr="00B528D0" w:rsidRDefault="00AA05A2" w:rsidP="007E66E0">
      <w:pPr>
        <w:rPr>
          <w:lang w:val="en-AU" w:eastAsia="zh-CN"/>
        </w:rPr>
      </w:pPr>
      <w:r w:rsidRPr="00B528D0">
        <w:t>Department</w:t>
      </w:r>
      <w:r w:rsidR="00B74FD5" w:rsidRPr="00B528D0">
        <w:t>al</w:t>
      </w:r>
      <w:r w:rsidRPr="00B528D0">
        <w:t xml:space="preserve"> staff</w:t>
      </w:r>
      <w:r w:rsidR="00DE718A" w:rsidRPr="00B528D0">
        <w:rPr>
          <w:lang w:val="en-GB" w:eastAsia="zh-CN"/>
        </w:rPr>
        <w:t xml:space="preserve"> </w:t>
      </w:r>
      <w:r w:rsidRPr="00B528D0">
        <w:rPr>
          <w:lang w:val="en-GB" w:eastAsia="zh-CN"/>
        </w:rPr>
        <w:t xml:space="preserve">located in state and territories </w:t>
      </w:r>
      <w:r w:rsidR="00DE718A" w:rsidRPr="00B528D0">
        <w:rPr>
          <w:lang w:val="en-GB" w:eastAsia="zh-CN"/>
        </w:rPr>
        <w:t>are being established to</w:t>
      </w:r>
      <w:r w:rsidR="00DE718A" w:rsidRPr="00B528D0">
        <w:rPr>
          <w:lang w:val="en-AU" w:eastAsia="zh-CN"/>
        </w:rPr>
        <w:t xml:space="preserve"> improve older Australians’ experience of local aged care services. Roles will include:</w:t>
      </w:r>
    </w:p>
    <w:p w14:paraId="790D18B5" w14:textId="77777777" w:rsidR="00DE718A" w:rsidRPr="00B528D0" w:rsidRDefault="00DE718A" w:rsidP="00EE037E">
      <w:pPr>
        <w:pStyle w:val="ListBullet"/>
      </w:pPr>
      <w:proofErr w:type="spellStart"/>
      <w:r w:rsidRPr="00B528D0">
        <w:t>analysing</w:t>
      </w:r>
      <w:proofErr w:type="spellEnd"/>
      <w:r w:rsidRPr="00B528D0">
        <w:t xml:space="preserve"> local needs</w:t>
      </w:r>
    </w:p>
    <w:p w14:paraId="09865C50" w14:textId="77777777" w:rsidR="00DE718A" w:rsidRPr="00B528D0" w:rsidRDefault="00DE718A" w:rsidP="00EE037E">
      <w:pPr>
        <w:pStyle w:val="ListBullet"/>
      </w:pPr>
      <w:r w:rsidRPr="00B528D0">
        <w:t>supporting workforce planning</w:t>
      </w:r>
    </w:p>
    <w:p w14:paraId="4A0B0674" w14:textId="77777777" w:rsidR="00DE718A" w:rsidRPr="00B528D0" w:rsidRDefault="00DE718A" w:rsidP="00EE037E">
      <w:pPr>
        <w:pStyle w:val="ListBullet"/>
      </w:pPr>
      <w:r w:rsidRPr="00B528D0">
        <w:t>building the capacity and capability of providers</w:t>
      </w:r>
    </w:p>
    <w:p w14:paraId="36ED0B83" w14:textId="4E41FDF8" w:rsidR="00A8097E" w:rsidRPr="00B528D0" w:rsidRDefault="00DE718A" w:rsidP="00EE037E">
      <w:pPr>
        <w:pStyle w:val="ListBullet"/>
      </w:pPr>
      <w:r w:rsidRPr="00B528D0">
        <w:t>monitoring the effectiveness of the new care finders and single assessment workforces</w:t>
      </w:r>
    </w:p>
    <w:p w14:paraId="0EA6A279" w14:textId="1230F695" w:rsidR="00DD7ACA" w:rsidRPr="00B528D0" w:rsidRDefault="00DE718A" w:rsidP="00EE037E">
      <w:pPr>
        <w:pStyle w:val="ListBullet"/>
      </w:pPr>
      <w:r w:rsidRPr="00B528D0">
        <w:t>supporting best-practice and innovation.</w:t>
      </w:r>
    </w:p>
    <w:bookmarkEnd w:id="25"/>
    <w:p w14:paraId="6260C3C8" w14:textId="77777777" w:rsidR="00EE037E" w:rsidRDefault="00DE718A" w:rsidP="007E66E0">
      <w:pPr>
        <w:rPr>
          <w:lang w:val="en-GB" w:eastAsia="zh-CN"/>
        </w:rPr>
      </w:pPr>
      <w:r w:rsidRPr="00B528D0">
        <w:rPr>
          <w:lang w:val="en-GB" w:eastAsia="zh-CN"/>
        </w:rPr>
        <w:t>Further work will be undertaken to define the roles and responsibilities of regional teams, particularly as the network relates to the other regulatory and stewardship structures of government.</w:t>
      </w:r>
    </w:p>
    <w:p w14:paraId="77B97C34" w14:textId="508D9382" w:rsidR="00A8097E" w:rsidRPr="00B528D0" w:rsidRDefault="00A8097E" w:rsidP="007E66E0">
      <w:pPr>
        <w:rPr>
          <w:lang w:val="en-AU" w:eastAsia="zh-CN"/>
        </w:rPr>
      </w:pPr>
      <w:r w:rsidRPr="00B528D0">
        <w:rPr>
          <w:lang w:val="en-AU" w:eastAsia="zh-CN"/>
        </w:rPr>
        <w:br w:type="page"/>
      </w:r>
    </w:p>
    <w:p w14:paraId="02F57B2B" w14:textId="17F337B4" w:rsidR="004F3ED5" w:rsidRPr="00D04C0D" w:rsidRDefault="004F3ED5" w:rsidP="00D04C0D">
      <w:pPr>
        <w:pStyle w:val="SectionTitle"/>
      </w:pPr>
      <w:bookmarkStart w:id="26" w:name="_Toc117872988"/>
      <w:r w:rsidRPr="00D04C0D">
        <w:lastRenderedPageBreak/>
        <w:t>Section seven</w:t>
      </w:r>
      <w:bookmarkEnd w:id="26"/>
    </w:p>
    <w:p w14:paraId="32B67106" w14:textId="7A64A080" w:rsidR="00A8097E" w:rsidRPr="00086E7C" w:rsidRDefault="00A8097E" w:rsidP="00086E7C">
      <w:pPr>
        <w:pStyle w:val="Heading1"/>
      </w:pPr>
      <w:bookmarkStart w:id="27" w:name="_Toc117872989"/>
      <w:r w:rsidRPr="00086E7C">
        <w:t>Provider viability</w:t>
      </w:r>
      <w:bookmarkEnd w:id="27"/>
    </w:p>
    <w:p w14:paraId="6276D69E" w14:textId="6EB2A4AE" w:rsidR="004F3ED5" w:rsidRPr="00B528D0" w:rsidRDefault="00A8097E" w:rsidP="001E587E">
      <w:pPr>
        <w:pStyle w:val="IntroPara"/>
      </w:pPr>
      <w:r w:rsidRPr="00B528D0">
        <w:t xml:space="preserve">Most stakeholders agreed that the removal of the ACAR will increase flexibility for providers to develop and grow their businesses, and that increased competition will allow for higher quality, innovative </w:t>
      </w:r>
      <w:r w:rsidR="006F5AFD" w:rsidRPr="00B528D0">
        <w:t xml:space="preserve">and viable </w:t>
      </w:r>
      <w:r w:rsidRPr="00B528D0">
        <w:t>homes.</w:t>
      </w:r>
    </w:p>
    <w:p w14:paraId="33EAF0BF" w14:textId="72390C36" w:rsidR="006046AF" w:rsidRPr="00D04C0D" w:rsidRDefault="00850B4A" w:rsidP="001E587E">
      <w:pPr>
        <w:pStyle w:val="Pull-out"/>
      </w:pPr>
      <w:r w:rsidRPr="00D04C0D">
        <w:t xml:space="preserve">“The removal of bed </w:t>
      </w:r>
      <w:proofErr w:type="spellStart"/>
      <w:r w:rsidR="00F2113C" w:rsidRPr="00D04C0D">
        <w:t>licence</w:t>
      </w:r>
      <w:r w:rsidRPr="00D04C0D">
        <w:t>s</w:t>
      </w:r>
      <w:proofErr w:type="spellEnd"/>
      <w:r w:rsidRPr="00D04C0D">
        <w:t xml:space="preserve"> will give providers much more scope to expand, including some potential to flex capacity up and down. In the absence of the need to apply for places providers may be able to increase capacity much more quickly. These are positive changes that will facilitate improvements in the quality of services for residents.” – Peak body</w:t>
      </w:r>
    </w:p>
    <w:p w14:paraId="68751FB9" w14:textId="56D350CF" w:rsidR="006046AF" w:rsidRPr="00B528D0" w:rsidRDefault="006046AF" w:rsidP="004D0677">
      <w:pPr>
        <w:pStyle w:val="Heading2"/>
      </w:pPr>
      <w:r w:rsidRPr="00B528D0">
        <w:t>Market adjustment</w:t>
      </w:r>
    </w:p>
    <w:p w14:paraId="68679436" w14:textId="2BA97308" w:rsidR="00850B4A" w:rsidRPr="007E66E0" w:rsidRDefault="00850B4A" w:rsidP="007E66E0">
      <w:r w:rsidRPr="00B528D0">
        <w:t>O</w:t>
      </w:r>
      <w:r w:rsidRPr="007E66E0">
        <w:t>verall, there was a view that the sector would undergo market adjustment, possibly resulting in a consolidation of the sector and improvements to overall standards and quality of service offerings to support greater choice.</w:t>
      </w:r>
    </w:p>
    <w:p w14:paraId="6E78543F" w14:textId="0F403B01" w:rsidR="00850B4A" w:rsidRPr="007E66E0" w:rsidRDefault="00850B4A" w:rsidP="007E66E0">
      <w:r w:rsidRPr="007E66E0">
        <w:t xml:space="preserve">Consultation participants welcomed the additional structural adjustment supports outlined </w:t>
      </w:r>
      <w:r w:rsidR="00AA05A2" w:rsidRPr="007E66E0">
        <w:t xml:space="preserve">in </w:t>
      </w:r>
      <w:r w:rsidRPr="007E66E0">
        <w:t>the discussion paper and agreed that these would be needed to ensure ongoing sector viability and to maintain a diverse range of providers to give people greater choice in care options.</w:t>
      </w:r>
    </w:p>
    <w:p w14:paraId="2E244565" w14:textId="7113CFC9" w:rsidR="000D6766" w:rsidRPr="00B528D0" w:rsidRDefault="000D6766" w:rsidP="004D0677">
      <w:pPr>
        <w:pStyle w:val="Heading2"/>
      </w:pPr>
      <w:r w:rsidRPr="00B528D0">
        <w:t>Occupancy</w:t>
      </w:r>
    </w:p>
    <w:p w14:paraId="42FF55DF" w14:textId="13B7AA15" w:rsidR="00850B4A" w:rsidRPr="00B528D0" w:rsidRDefault="00850B4A" w:rsidP="002E678B">
      <w:pPr>
        <w:pStyle w:val="Heading1Char"/>
      </w:pPr>
      <w:r w:rsidRPr="00B528D0">
        <w:t>Providers acknowle</w:t>
      </w:r>
      <w:r w:rsidRPr="007E66E0">
        <w:t>dged that the removal of allocated places through an ACAR will create more uncertainty of occupancy. Many expected providers to increase their focus on marketing and bran</w:t>
      </w:r>
      <w:r w:rsidRPr="00B528D0">
        <w:t>d reputation to maintain occupancy rates for profitability and viability.</w:t>
      </w:r>
    </w:p>
    <w:p w14:paraId="1FA31D2F" w14:textId="526001AE" w:rsidR="008C37AC" w:rsidRPr="00B528D0" w:rsidRDefault="000D6766" w:rsidP="005416BC">
      <w:pPr>
        <w:pStyle w:val="Heading3"/>
      </w:pPr>
      <w:r w:rsidRPr="00B528D0">
        <w:t xml:space="preserve">How will providers be affected </w:t>
      </w:r>
      <w:r w:rsidR="00450A9A" w:rsidRPr="00B528D0">
        <w:t xml:space="preserve">when bed </w:t>
      </w:r>
      <w:proofErr w:type="spellStart"/>
      <w:r w:rsidR="00450A9A" w:rsidRPr="00B528D0">
        <w:t>licences</w:t>
      </w:r>
      <w:proofErr w:type="spellEnd"/>
      <w:r w:rsidR="00450A9A" w:rsidRPr="00B528D0">
        <w:t xml:space="preserve"> are removed form balance sheets?</w:t>
      </w:r>
    </w:p>
    <w:p w14:paraId="7FA16C41" w14:textId="039568F2" w:rsidR="008C37AC" w:rsidRPr="007E66E0" w:rsidRDefault="00850B4A" w:rsidP="007E66E0">
      <w:r w:rsidRPr="00B528D0">
        <w:t>It was acc</w:t>
      </w:r>
      <w:r w:rsidRPr="007E66E0">
        <w:t xml:space="preserve">epted that discontinuing the ACAR will impact the value of bed </w:t>
      </w:r>
      <w:proofErr w:type="spellStart"/>
      <w:r w:rsidRPr="007E66E0">
        <w:t>licences</w:t>
      </w:r>
      <w:proofErr w:type="spellEnd"/>
      <w:r w:rsidR="00DF2790" w:rsidRPr="007E66E0">
        <w:t xml:space="preserve">. </w:t>
      </w:r>
      <w:r w:rsidR="008C37AC" w:rsidRPr="007E66E0">
        <w:t>The overall view was that</w:t>
      </w:r>
      <w:r w:rsidRPr="007E66E0">
        <w:t xml:space="preserve"> that this will not impact solvency or liquidity, and that the benefits of removing the ACAR would outweigh any short-term impact on provider balance sheets.</w:t>
      </w:r>
    </w:p>
    <w:p w14:paraId="49CB4F1A" w14:textId="7A84412E" w:rsidR="008C37AC" w:rsidRPr="007E66E0" w:rsidRDefault="008C37AC" w:rsidP="007E66E0">
      <w:r w:rsidRPr="007E66E0">
        <w:t xml:space="preserve">Thirty-five respondents answered the survey question on the impact of removing bed </w:t>
      </w:r>
      <w:proofErr w:type="spellStart"/>
      <w:r w:rsidRPr="007E66E0">
        <w:t>licences</w:t>
      </w:r>
      <w:proofErr w:type="spellEnd"/>
      <w:r w:rsidRPr="007E66E0">
        <w:t>. Responses were varied, with 26 per cent indicating minimal or minor, 17 per cent moderate, and 29 per</w:t>
      </w:r>
      <w:r w:rsidR="00DF2790" w:rsidRPr="007E66E0">
        <w:t xml:space="preserve"> </w:t>
      </w:r>
      <w:r w:rsidRPr="007E66E0">
        <w:t>cent major impact.</w:t>
      </w:r>
    </w:p>
    <w:p w14:paraId="44DE683B" w14:textId="77777777" w:rsidR="001E587E" w:rsidRDefault="00850B4A" w:rsidP="007E66E0">
      <w:bookmarkStart w:id="28" w:name="_Hlk94019459"/>
      <w:r w:rsidRPr="007E66E0">
        <w:t xml:space="preserve">Aged care financial reporting data from June 2021 was </w:t>
      </w:r>
      <w:proofErr w:type="spellStart"/>
      <w:r w:rsidRPr="007E66E0">
        <w:t>analysed</w:t>
      </w:r>
      <w:proofErr w:type="spellEnd"/>
      <w:r w:rsidRPr="007E66E0">
        <w:t xml:space="preserve"> to understand the impact of the ACAR removal on balance sheets. Overall, 257 providers (31 per cent) </w:t>
      </w:r>
      <w:proofErr w:type="spellStart"/>
      <w:r w:rsidRPr="007E66E0">
        <w:t>recognised</w:t>
      </w:r>
      <w:proofErr w:type="spellEnd"/>
      <w:r w:rsidRPr="007E66E0">
        <w:t xml:space="preserve"> bed </w:t>
      </w:r>
      <w:proofErr w:type="spellStart"/>
      <w:r w:rsidR="00F2113C" w:rsidRPr="007E66E0">
        <w:t>licence</w:t>
      </w:r>
      <w:r w:rsidRPr="007E66E0">
        <w:t>s</w:t>
      </w:r>
      <w:proofErr w:type="spellEnd"/>
      <w:r w:rsidRPr="007E66E0">
        <w:t xml:space="preserve"> as intangible assets, including 156 for-profit providers (56 per cent) and 101 not-for-profit providers (22 per ce</w:t>
      </w:r>
      <w:r w:rsidRPr="00B528D0">
        <w:t>nt).</w:t>
      </w:r>
      <w:bookmarkStart w:id="29" w:name="_Hlk114484134"/>
      <w:bookmarkEnd w:id="28"/>
    </w:p>
    <w:p w14:paraId="3FBC033B" w14:textId="68ACB666" w:rsidR="0061193D" w:rsidRDefault="0061193D" w:rsidP="007E66E0">
      <w:r>
        <w:br w:type="page"/>
      </w:r>
    </w:p>
    <w:p w14:paraId="376F65FA" w14:textId="7BE949AA" w:rsidR="00450A9A" w:rsidRPr="007E66E0" w:rsidRDefault="00850B4A" w:rsidP="007E66E0">
      <w:r w:rsidRPr="007E66E0">
        <w:lastRenderedPageBreak/>
        <w:t xml:space="preserve">There were varying views on the accounting treatment of bed </w:t>
      </w:r>
      <w:proofErr w:type="spellStart"/>
      <w:r w:rsidRPr="007E66E0">
        <w:t>licences</w:t>
      </w:r>
      <w:proofErr w:type="spellEnd"/>
      <w:r w:rsidRPr="007E66E0">
        <w:t xml:space="preserve">. Some providers expressed a preference to immediately impair the value of bed </w:t>
      </w:r>
      <w:proofErr w:type="spellStart"/>
      <w:r w:rsidRPr="007E66E0">
        <w:t>licences</w:t>
      </w:r>
      <w:proofErr w:type="spellEnd"/>
      <w:r w:rsidRPr="007E66E0">
        <w:t xml:space="preserve"> (to zero) to concentrate the financial statements impacts to a single year. Whereas other providers would prefer to </w:t>
      </w:r>
      <w:proofErr w:type="spellStart"/>
      <w:r w:rsidRPr="007E66E0">
        <w:t>amortise</w:t>
      </w:r>
      <w:proofErr w:type="spellEnd"/>
      <w:r w:rsidRPr="007E66E0">
        <w:t xml:space="preserve"> the </w:t>
      </w:r>
      <w:proofErr w:type="spellStart"/>
      <w:r w:rsidRPr="007E66E0">
        <w:t>recognised</w:t>
      </w:r>
      <w:proofErr w:type="spellEnd"/>
      <w:r w:rsidRPr="007E66E0">
        <w:t xml:space="preserve"> value of bed </w:t>
      </w:r>
      <w:proofErr w:type="spellStart"/>
      <w:r w:rsidRPr="007E66E0">
        <w:t>licences</w:t>
      </w:r>
      <w:proofErr w:type="spellEnd"/>
      <w:r w:rsidRPr="007E66E0">
        <w:t xml:space="preserve"> over a longer period to spread the financial statement impacts. </w:t>
      </w:r>
      <w:bookmarkEnd w:id="29"/>
      <w:r w:rsidRPr="007E66E0">
        <w:t xml:space="preserve">An option to ‘grandfather’ existing bed </w:t>
      </w:r>
      <w:proofErr w:type="spellStart"/>
      <w:r w:rsidR="00F2113C" w:rsidRPr="007E66E0">
        <w:t>licence</w:t>
      </w:r>
      <w:r w:rsidRPr="007E66E0">
        <w:t>s</w:t>
      </w:r>
      <w:proofErr w:type="spellEnd"/>
      <w:r w:rsidRPr="007E66E0">
        <w:t xml:space="preserve"> to retain their value on balance sheets indefinitely was also suggested.</w:t>
      </w:r>
    </w:p>
    <w:p w14:paraId="127FCBA4" w14:textId="47363E19" w:rsidR="00450A9A" w:rsidRPr="00B528D0" w:rsidRDefault="00450A9A" w:rsidP="004D0677">
      <w:pPr>
        <w:pStyle w:val="Heading3"/>
        <w:rPr>
          <w:lang w:val="en-AU" w:eastAsia="zh-CN"/>
        </w:rPr>
      </w:pPr>
      <w:r w:rsidRPr="00B528D0">
        <w:rPr>
          <w:lang w:val="en-AU" w:eastAsia="zh-CN"/>
        </w:rPr>
        <w:t>Will this change affect lending behaviour?</w:t>
      </w:r>
    </w:p>
    <w:p w14:paraId="204A7A48" w14:textId="52F6EA6E" w:rsidR="00850B4A" w:rsidRPr="007E66E0" w:rsidRDefault="00850B4A" w:rsidP="007E66E0">
      <w:r w:rsidRPr="007E66E0">
        <w:t xml:space="preserve">There were diverse stakeholder views regarding the impact of the reform on lending </w:t>
      </w:r>
      <w:proofErr w:type="spellStart"/>
      <w:r w:rsidRPr="007E66E0">
        <w:t>behaviour</w:t>
      </w:r>
      <w:proofErr w:type="spellEnd"/>
      <w:r w:rsidRPr="007E66E0">
        <w:t xml:space="preserve"> across the sector. Some stated that there were unlikely to be any impacts on investment decisions, as financiers do not generally take bed </w:t>
      </w:r>
      <w:proofErr w:type="spellStart"/>
      <w:r w:rsidR="00F2113C" w:rsidRPr="007E66E0">
        <w:t>licence</w:t>
      </w:r>
      <w:r w:rsidRPr="007E66E0">
        <w:t>s</w:t>
      </w:r>
      <w:proofErr w:type="spellEnd"/>
      <w:r w:rsidRPr="007E66E0">
        <w:t xml:space="preserve"> into account.  </w:t>
      </w:r>
      <w:r w:rsidR="002033F6" w:rsidRPr="007E66E0">
        <w:t>Others</w:t>
      </w:r>
      <w:r w:rsidRPr="007E66E0">
        <w:t xml:space="preserve"> felt that banks and lenders may be more risk averse towards lending to smaller providers that are deemed to be higher risk and more susceptible to occupancy fluctuations, in comparison to larger providers with several services and ample cash flow.</w:t>
      </w:r>
    </w:p>
    <w:p w14:paraId="5967DEA0" w14:textId="2FF0D287" w:rsidR="00850B4A" w:rsidRPr="007E66E0" w:rsidRDefault="00850B4A" w:rsidP="007E66E0">
      <w:r w:rsidRPr="007E66E0">
        <w:t>The department commissioned targeted consultation with lenders and auditors, which indicated there would be limited impact on lending decisions due to the accounting treatments.</w:t>
      </w:r>
    </w:p>
    <w:p w14:paraId="4AE9A397" w14:textId="390738E4" w:rsidR="00850B4A" w:rsidRPr="007E66E0" w:rsidRDefault="00DF2790" w:rsidP="007E66E0">
      <w:r w:rsidRPr="007E66E0">
        <w:t>Workshop p</w:t>
      </w:r>
      <w:r w:rsidR="00850B4A" w:rsidRPr="007E66E0">
        <w:t>articipants asked that financiers be provided with information to understand the changes and adjust financial and security measures accordingly.</w:t>
      </w:r>
    </w:p>
    <w:p w14:paraId="5528786F" w14:textId="4F2845BA" w:rsidR="00850B4A" w:rsidRPr="00B528D0" w:rsidRDefault="00850B4A" w:rsidP="002E678B">
      <w:pPr>
        <w:pStyle w:val="Heading2"/>
        <w:rPr>
          <w:lang w:val="en-AU" w:eastAsia="zh-CN"/>
        </w:rPr>
      </w:pPr>
      <w:r w:rsidRPr="00B528D0">
        <w:rPr>
          <w:lang w:val="en-AU" w:eastAsia="zh-CN"/>
        </w:rPr>
        <w:t>Policy response</w:t>
      </w:r>
    </w:p>
    <w:p w14:paraId="1958EEE6" w14:textId="5707CE9B" w:rsidR="00850B4A" w:rsidRPr="00B528D0" w:rsidRDefault="00850B4A" w:rsidP="002E678B">
      <w:pPr>
        <w:pStyle w:val="Heading3"/>
        <w:rPr>
          <w:lang w:val="en-AU" w:eastAsia="zh-CN"/>
        </w:rPr>
      </w:pPr>
      <w:r w:rsidRPr="00B528D0">
        <w:rPr>
          <w:lang w:val="en-AU" w:eastAsia="zh-CN"/>
        </w:rPr>
        <w:t>Market adjustment</w:t>
      </w:r>
    </w:p>
    <w:p w14:paraId="1F7F9A86" w14:textId="618DE893" w:rsidR="00850B4A" w:rsidRPr="00B528D0" w:rsidRDefault="00850B4A" w:rsidP="002E678B">
      <w:pPr>
        <w:pStyle w:val="Heading1Char"/>
        <w:rPr>
          <w:lang w:val="en-AU" w:eastAsia="zh-CN"/>
        </w:rPr>
      </w:pPr>
      <w:r w:rsidRPr="00B528D0">
        <w:rPr>
          <w:lang w:val="en-AU" w:eastAsia="zh-CN"/>
        </w:rPr>
        <w:t>Government is committed to a financially viable aged care sector. The department is developing an Aged Care Market Strategy to better understand the impact of the broader aged care reform agenda on the market and provide a principled framework for government intervention when needed.</w:t>
      </w:r>
    </w:p>
    <w:p w14:paraId="2CB23DFE" w14:textId="02A14B5E" w:rsidR="00850B4A" w:rsidRPr="00B528D0" w:rsidRDefault="00850B4A" w:rsidP="002E678B">
      <w:pPr>
        <w:pStyle w:val="Heading1Char"/>
        <w:rPr>
          <w:lang w:val="en-AU" w:eastAsia="zh-CN"/>
        </w:rPr>
      </w:pPr>
      <w:r w:rsidRPr="00B528D0">
        <w:rPr>
          <w:lang w:val="en-AU" w:eastAsia="zh-CN"/>
        </w:rPr>
        <w:t xml:space="preserve">It is acknowledged that the broader aged care agenda will impact the viability of aged care providers in different ways. The degree to which the removal of the ACAR and bed </w:t>
      </w:r>
      <w:r w:rsidR="00F2113C" w:rsidRPr="00B528D0">
        <w:rPr>
          <w:lang w:val="en-AU" w:eastAsia="zh-CN"/>
        </w:rPr>
        <w:t>licence</w:t>
      </w:r>
      <w:r w:rsidRPr="00B528D0">
        <w:rPr>
          <w:lang w:val="en-AU" w:eastAsia="zh-CN"/>
        </w:rPr>
        <w:t>s may affect viability will be considered in this context.</w:t>
      </w:r>
    </w:p>
    <w:p w14:paraId="3CC896E6" w14:textId="1CEFEA16" w:rsidR="00850B4A" w:rsidRPr="00B528D0" w:rsidRDefault="00850B4A" w:rsidP="002E678B">
      <w:pPr>
        <w:pStyle w:val="Heading1Char"/>
        <w:rPr>
          <w:lang w:val="en-AU" w:eastAsia="zh-CN"/>
        </w:rPr>
      </w:pPr>
      <w:r w:rsidRPr="00B528D0">
        <w:rPr>
          <w:lang w:val="en-AU" w:eastAsia="zh-CN"/>
        </w:rPr>
        <w:t>A range of business support and transition initiatives are available to ensure continuity of care, manage risk and enhance long-term sector sustainability. They are designed to mitigate provider failure as early as possible, including:</w:t>
      </w:r>
    </w:p>
    <w:p w14:paraId="0DC537D9" w14:textId="094F66C9" w:rsidR="00850B4A" w:rsidRPr="00B528D0" w:rsidRDefault="00850B4A" w:rsidP="001B7B17">
      <w:pPr>
        <w:pStyle w:val="ListBullet"/>
      </w:pPr>
      <w:r w:rsidRPr="00B528D0">
        <w:t>introducing the</w:t>
      </w:r>
      <w:hyperlink r:id="rId55" w:history="1">
        <w:r w:rsidRPr="00B528D0">
          <w:rPr>
            <w:rStyle w:val="HTMLVariable"/>
          </w:rPr>
          <w:t xml:space="preserve"> </w:t>
        </w:r>
        <w:r w:rsidRPr="001E587E">
          <w:rPr>
            <w:rStyle w:val="Hyperlink"/>
          </w:rPr>
          <w:t>Financial and Prudential Monitoring, Compliance and Intervention Framework</w:t>
        </w:r>
      </w:hyperlink>
      <w:r w:rsidRPr="00B528D0">
        <w:t xml:space="preserve"> to increase oversight of providers’ financial performance, build the financial resilience of the sector and introduce stronger intervention and enforcement powers for government to address risk</w:t>
      </w:r>
    </w:p>
    <w:p w14:paraId="404DB753" w14:textId="2FCBFCD9" w:rsidR="00850B4A" w:rsidRPr="00B528D0" w:rsidRDefault="00850B4A" w:rsidP="001B7B17">
      <w:pPr>
        <w:pStyle w:val="ListBullet"/>
      </w:pPr>
      <w:r w:rsidRPr="00B528D0">
        <w:t xml:space="preserve">providing grant support to assist providers to improve, or where more appropriate, to sell or exit the market through the </w:t>
      </w:r>
      <w:hyperlink r:id="rId56" w:history="1">
        <w:r w:rsidRPr="001E587E">
          <w:rPr>
            <w:rStyle w:val="Hyperlink"/>
          </w:rPr>
          <w:t>Structural Adjustment Program</w:t>
        </w:r>
      </w:hyperlink>
    </w:p>
    <w:p w14:paraId="19EDBABC" w14:textId="3EA29E87" w:rsidR="00850B4A" w:rsidRPr="00B528D0" w:rsidRDefault="00850B4A" w:rsidP="001B7B17">
      <w:pPr>
        <w:pStyle w:val="ListBullet"/>
      </w:pPr>
      <w:r w:rsidRPr="00B528D0">
        <w:t xml:space="preserve">support for independent business advice to improve provider capacity and capability to deliver quality care through the existing </w:t>
      </w:r>
      <w:hyperlink r:id="rId57" w:history="1">
        <w:r w:rsidRPr="001E587E">
          <w:rPr>
            <w:rStyle w:val="Hyperlink"/>
          </w:rPr>
          <w:t>Business Advisory Services</w:t>
        </w:r>
      </w:hyperlink>
      <w:r w:rsidRPr="00B528D0">
        <w:t xml:space="preserve"> and the </w:t>
      </w:r>
      <w:hyperlink r:id="rId58" w:history="1">
        <w:r w:rsidRPr="001E587E">
          <w:rPr>
            <w:rStyle w:val="Hyperlink"/>
          </w:rPr>
          <w:t>Remote and Aboriginal Torres Strait Islander Aged Care Service Development Assistance Panel</w:t>
        </w:r>
      </w:hyperlink>
      <w:r w:rsidRPr="00B528D0">
        <w:t>.</w:t>
      </w:r>
    </w:p>
    <w:p w14:paraId="0880BA47" w14:textId="77777777" w:rsidR="001E587E" w:rsidRDefault="00850B4A" w:rsidP="00A76B05">
      <w:pPr>
        <w:pStyle w:val="Heading1Char"/>
        <w:rPr>
          <w:lang w:val="en-AU" w:eastAsia="zh-CN"/>
        </w:rPr>
      </w:pPr>
      <w:r w:rsidRPr="00B528D0">
        <w:rPr>
          <w:lang w:val="en-AU" w:eastAsia="zh-CN"/>
        </w:rPr>
        <w:t xml:space="preserve">The department’s </w:t>
      </w:r>
      <w:hyperlink r:id="rId59" w:history="1">
        <w:r w:rsidRPr="001E587E">
          <w:rPr>
            <w:rStyle w:val="Hyperlink"/>
          </w:rPr>
          <w:t>Financial Monitoring and Business Assistance</w:t>
        </w:r>
      </w:hyperlink>
      <w:r w:rsidRPr="00B528D0">
        <w:rPr>
          <w:lang w:val="en-AU" w:eastAsia="zh-CN"/>
        </w:rPr>
        <w:t xml:space="preserve"> teams also work with approved providers that are experiencing financial difficulties.</w:t>
      </w:r>
    </w:p>
    <w:p w14:paraId="40E2EDCA" w14:textId="23517EF8" w:rsidR="0061193D" w:rsidRPr="003A426F" w:rsidRDefault="0061193D" w:rsidP="00A76B05">
      <w:pPr>
        <w:pStyle w:val="Heading1Char"/>
      </w:pPr>
      <w:r>
        <w:rPr>
          <w:lang w:val="en-AU" w:eastAsia="zh-CN"/>
        </w:rPr>
        <w:br w:type="page"/>
      </w:r>
    </w:p>
    <w:p w14:paraId="11F40555" w14:textId="2AD4CDAB" w:rsidR="00850B4A" w:rsidRPr="00B528D0" w:rsidRDefault="00850B4A" w:rsidP="002E678B">
      <w:pPr>
        <w:pStyle w:val="Heading3"/>
        <w:rPr>
          <w:lang w:val="en-AU" w:eastAsia="zh-CN"/>
        </w:rPr>
      </w:pPr>
      <w:r w:rsidRPr="00B528D0">
        <w:rPr>
          <w:lang w:val="en-AU" w:eastAsia="zh-CN"/>
        </w:rPr>
        <w:lastRenderedPageBreak/>
        <w:t xml:space="preserve">Removal of bed </w:t>
      </w:r>
      <w:r w:rsidR="00F2113C" w:rsidRPr="00B528D0">
        <w:rPr>
          <w:lang w:val="en-AU" w:eastAsia="zh-CN"/>
        </w:rPr>
        <w:t>licence</w:t>
      </w:r>
      <w:r w:rsidRPr="00B528D0">
        <w:rPr>
          <w:lang w:val="en-AU" w:eastAsia="zh-CN"/>
        </w:rPr>
        <w:t>s from balance sheets</w:t>
      </w:r>
    </w:p>
    <w:p w14:paraId="36C52046" w14:textId="48091204" w:rsidR="00850B4A" w:rsidRPr="00B528D0" w:rsidRDefault="00850B4A" w:rsidP="002E678B">
      <w:pPr>
        <w:pStyle w:val="Heading1Char"/>
        <w:rPr>
          <w:szCs w:val="20"/>
          <w:lang w:val="en-AU" w:eastAsia="zh-CN"/>
        </w:rPr>
      </w:pPr>
      <w:r w:rsidRPr="00B528D0">
        <w:rPr>
          <w:szCs w:val="20"/>
          <w:lang w:val="en-AU" w:eastAsia="zh-CN"/>
        </w:rPr>
        <w:t xml:space="preserve">Discontinuing the ACAR will impact the value of bed </w:t>
      </w:r>
      <w:proofErr w:type="gramStart"/>
      <w:r w:rsidRPr="00B528D0">
        <w:rPr>
          <w:szCs w:val="20"/>
          <w:lang w:val="en-AU" w:eastAsia="zh-CN"/>
        </w:rPr>
        <w:t>licences</w:t>
      </w:r>
      <w:proofErr w:type="gramEnd"/>
      <w:r w:rsidRPr="00B528D0">
        <w:rPr>
          <w:szCs w:val="20"/>
          <w:lang w:val="en-AU" w:eastAsia="zh-CN"/>
        </w:rPr>
        <w:t xml:space="preserve"> and this will need to be managed by providers that include and report their value on financial statements.</w:t>
      </w:r>
    </w:p>
    <w:p w14:paraId="4FEDE5C0" w14:textId="2D28D1B7" w:rsidR="00850B4A" w:rsidRPr="00B528D0" w:rsidRDefault="00850B4A" w:rsidP="002E678B">
      <w:pPr>
        <w:pStyle w:val="Heading1Char"/>
        <w:rPr>
          <w:szCs w:val="20"/>
          <w:lang w:val="en-AU" w:eastAsia="zh-CN"/>
        </w:rPr>
      </w:pPr>
      <w:r w:rsidRPr="00B528D0">
        <w:rPr>
          <w:szCs w:val="20"/>
          <w:lang w:val="en-AU" w:eastAsia="zh-CN"/>
        </w:rPr>
        <w:t xml:space="preserve">The department is of the view that the removal of bed </w:t>
      </w:r>
      <w:r w:rsidR="00F2113C" w:rsidRPr="00B528D0">
        <w:rPr>
          <w:szCs w:val="20"/>
          <w:lang w:val="en-AU" w:eastAsia="zh-CN"/>
        </w:rPr>
        <w:t>licence</w:t>
      </w:r>
      <w:r w:rsidRPr="00B528D0">
        <w:rPr>
          <w:szCs w:val="20"/>
          <w:lang w:val="en-AU" w:eastAsia="zh-CN"/>
        </w:rPr>
        <w:t>s will not impact the solvency or liquidity of providers. The department expects that accounting treatments will be a matter for providers and their auditors, and that providers will have different preferences depending on their current balance situation and strategy.</w:t>
      </w:r>
    </w:p>
    <w:p w14:paraId="1B615185" w14:textId="78F92826" w:rsidR="00850B4A" w:rsidRPr="00B528D0" w:rsidRDefault="00850B4A" w:rsidP="002E678B">
      <w:pPr>
        <w:pStyle w:val="Heading1Char"/>
        <w:rPr>
          <w:szCs w:val="20"/>
          <w:lang w:val="en-AU" w:eastAsia="zh-CN"/>
        </w:rPr>
      </w:pPr>
      <w:r w:rsidRPr="00B528D0">
        <w:rPr>
          <w:szCs w:val="20"/>
          <w:lang w:val="en-AU" w:eastAsia="zh-CN"/>
        </w:rPr>
        <w:t xml:space="preserve">The department will provide clear, accessible information on the ACAR removal and impacts associated with removing bed </w:t>
      </w:r>
      <w:r w:rsidR="00F2113C" w:rsidRPr="00B528D0">
        <w:rPr>
          <w:szCs w:val="20"/>
          <w:lang w:val="en-AU" w:eastAsia="zh-CN"/>
        </w:rPr>
        <w:t>licence</w:t>
      </w:r>
      <w:r w:rsidRPr="00B528D0">
        <w:rPr>
          <w:szCs w:val="20"/>
          <w:lang w:val="en-AU" w:eastAsia="zh-CN"/>
        </w:rPr>
        <w:t>s from balance sheets. Clear information for investors will ensure that changes are understood and adjustments to financial and security measures are done accordingly.</w:t>
      </w:r>
      <w:r w:rsidR="00A8097E" w:rsidRPr="00B528D0">
        <w:rPr>
          <w:szCs w:val="20"/>
          <w:lang w:val="en-AU" w:eastAsia="zh-CN"/>
        </w:rPr>
        <w:br w:type="page"/>
      </w:r>
    </w:p>
    <w:p w14:paraId="1FF26A74" w14:textId="4D76E286" w:rsidR="00A74B4B" w:rsidRPr="00D04C0D" w:rsidRDefault="00A74B4B" w:rsidP="00D04C0D">
      <w:pPr>
        <w:pStyle w:val="SectionTitle"/>
      </w:pPr>
      <w:bookmarkStart w:id="30" w:name="_Toc117872990"/>
      <w:r w:rsidRPr="00D04C0D">
        <w:lastRenderedPageBreak/>
        <w:t>Section eight</w:t>
      </w:r>
      <w:bookmarkEnd w:id="30"/>
    </w:p>
    <w:p w14:paraId="7AB4C122" w14:textId="77777777" w:rsidR="00A8097E" w:rsidRPr="00086E7C" w:rsidRDefault="00A8097E" w:rsidP="00086E7C">
      <w:pPr>
        <w:pStyle w:val="Heading1"/>
      </w:pPr>
      <w:bookmarkStart w:id="31" w:name="_Toc117872991"/>
      <w:r w:rsidRPr="00086E7C">
        <w:t>Transitional arrangements</w:t>
      </w:r>
      <w:bookmarkEnd w:id="31"/>
    </w:p>
    <w:p w14:paraId="35773348" w14:textId="7F1BA89E" w:rsidR="00A74B4B" w:rsidRPr="001E587E" w:rsidRDefault="00A8097E" w:rsidP="001E587E">
      <w:pPr>
        <w:pStyle w:val="IntroPara"/>
      </w:pPr>
      <w:r w:rsidRPr="00B528D0">
        <w:t>Transitional arrangements are now in place to ensure the ongoing supply of residential aged care places in the lead up to reform implementation.</w:t>
      </w:r>
    </w:p>
    <w:p w14:paraId="2F6DBCD5" w14:textId="6B23A18F" w:rsidR="00450A9A" w:rsidRPr="00B528D0" w:rsidRDefault="00450A9A" w:rsidP="00A76B05">
      <w:pPr>
        <w:pStyle w:val="Heading2"/>
        <w:rPr>
          <w:lang w:val="en-AU" w:eastAsia="zh-CN"/>
        </w:rPr>
      </w:pPr>
      <w:bookmarkStart w:id="32" w:name="_Hlk113574740"/>
      <w:r w:rsidRPr="00B528D0">
        <w:rPr>
          <w:lang w:val="en-AU" w:eastAsia="zh-CN"/>
        </w:rPr>
        <w:t>What does the sector need in the lead-up to the change?</w:t>
      </w:r>
    </w:p>
    <w:p w14:paraId="287FDF89" w14:textId="23C95127" w:rsidR="009F6C8F" w:rsidRPr="00B528D0" w:rsidRDefault="008C37AC" w:rsidP="002E678B">
      <w:pPr>
        <w:pStyle w:val="Heading1Char"/>
        <w:rPr>
          <w:lang w:val="en-AU" w:eastAsia="zh-CN"/>
        </w:rPr>
      </w:pPr>
      <w:r w:rsidRPr="00B528D0">
        <w:rPr>
          <w:lang w:val="en-AU" w:eastAsia="zh-CN"/>
        </w:rPr>
        <w:t>Most stakeholders (65</w:t>
      </w:r>
      <w:r w:rsidR="00735CD5" w:rsidRPr="00B528D0">
        <w:rPr>
          <w:lang w:val="en-AU" w:eastAsia="zh-CN"/>
        </w:rPr>
        <w:t xml:space="preserve"> per cent</w:t>
      </w:r>
      <w:r w:rsidRPr="00B528D0">
        <w:rPr>
          <w:lang w:val="en-AU" w:eastAsia="zh-CN"/>
        </w:rPr>
        <w:t xml:space="preserve">) agreed that transitional arrangements are required. </w:t>
      </w:r>
      <w:r w:rsidR="009F6C8F" w:rsidRPr="00B528D0">
        <w:rPr>
          <w:lang w:val="en-AU" w:eastAsia="zh-CN"/>
        </w:rPr>
        <w:t xml:space="preserve">Consultation participants </w:t>
      </w:r>
      <w:r w:rsidR="00450A9A" w:rsidRPr="00B528D0">
        <w:rPr>
          <w:lang w:val="en-AU" w:eastAsia="zh-CN"/>
        </w:rPr>
        <w:t>discussed which</w:t>
      </w:r>
      <w:r w:rsidR="009F6C8F" w:rsidRPr="00B528D0">
        <w:rPr>
          <w:lang w:val="en-AU" w:eastAsia="zh-CN"/>
        </w:rPr>
        <w:t xml:space="preserve"> </w:t>
      </w:r>
      <w:r w:rsidRPr="00B528D0">
        <w:rPr>
          <w:lang w:val="en-AU" w:eastAsia="zh-CN"/>
        </w:rPr>
        <w:t xml:space="preserve">specific </w:t>
      </w:r>
      <w:r w:rsidR="009F6C8F" w:rsidRPr="00B528D0">
        <w:rPr>
          <w:lang w:val="en-AU" w:eastAsia="zh-CN"/>
        </w:rPr>
        <w:t>arrangements are required to support the sector in moving to the new system from 1 July 2024.</w:t>
      </w:r>
    </w:p>
    <w:p w14:paraId="39A176FF" w14:textId="423B51BF" w:rsidR="00802E62" w:rsidRPr="00B528D0" w:rsidRDefault="009F6C8F" w:rsidP="002E678B">
      <w:pPr>
        <w:pStyle w:val="Heading1Char"/>
        <w:rPr>
          <w:lang w:val="en-AU" w:eastAsia="zh-CN"/>
        </w:rPr>
      </w:pPr>
      <w:r w:rsidRPr="00B528D0">
        <w:rPr>
          <w:lang w:val="en-AU" w:eastAsia="zh-CN"/>
        </w:rPr>
        <w:t>It was</w:t>
      </w:r>
      <w:r w:rsidR="00802E62" w:rsidRPr="00B528D0">
        <w:rPr>
          <w:lang w:val="en-AU" w:eastAsia="zh-CN"/>
        </w:rPr>
        <w:t xml:space="preserve"> proposed that providers who are ready to deliver care, but do not currently hold an allocation of residential care places, be offered an opportunity to apply for an allocation of operational residential care places through a non-competitive process.</w:t>
      </w:r>
    </w:p>
    <w:bookmarkEnd w:id="32"/>
    <w:p w14:paraId="1C3651C7" w14:textId="18E2D92B" w:rsidR="00802E62" w:rsidRPr="00B528D0" w:rsidRDefault="00802E62" w:rsidP="002E678B">
      <w:pPr>
        <w:pStyle w:val="Heading1Char"/>
        <w:rPr>
          <w:lang w:val="en-AU" w:eastAsia="zh-CN"/>
        </w:rPr>
      </w:pPr>
      <w:r w:rsidRPr="00B528D0">
        <w:rPr>
          <w:lang w:val="en-AU" w:eastAsia="zh-CN"/>
        </w:rPr>
        <w:t>There was overall support for the above process, however providers advised that Company Boards are often reluctant to commit to future developments without provisional places or a similar level of comfort from the government.</w:t>
      </w:r>
    </w:p>
    <w:p w14:paraId="39CEDB5E" w14:textId="4012384B" w:rsidR="00450A9A" w:rsidRPr="00B528D0" w:rsidRDefault="00450A9A" w:rsidP="00A76B05">
      <w:pPr>
        <w:pStyle w:val="Heading2"/>
        <w:rPr>
          <w:lang w:val="en-AU" w:eastAsia="zh-CN"/>
        </w:rPr>
      </w:pPr>
      <w:r w:rsidRPr="00B528D0">
        <w:rPr>
          <w:lang w:val="en-AU" w:eastAsia="zh-CN"/>
        </w:rPr>
        <w:t>Extra</w:t>
      </w:r>
      <w:r w:rsidR="00DC3212" w:rsidRPr="00B528D0">
        <w:rPr>
          <w:lang w:val="en-AU" w:eastAsia="zh-CN"/>
        </w:rPr>
        <w:t xml:space="preserve"> service</w:t>
      </w:r>
      <w:r w:rsidRPr="00B528D0">
        <w:rPr>
          <w:lang w:val="en-AU" w:eastAsia="zh-CN"/>
        </w:rPr>
        <w:t xml:space="preserve"> and additional services</w:t>
      </w:r>
    </w:p>
    <w:p w14:paraId="3F2EFCE7" w14:textId="5DFD53EC" w:rsidR="009F6C8F" w:rsidRPr="00B528D0" w:rsidRDefault="00802E62" w:rsidP="002E678B">
      <w:pPr>
        <w:pStyle w:val="Heading1Char"/>
        <w:rPr>
          <w:lang w:val="en-AU" w:eastAsia="zh-CN"/>
        </w:rPr>
      </w:pPr>
      <w:r w:rsidRPr="00B528D0">
        <w:rPr>
          <w:lang w:val="en-AU" w:eastAsia="zh-CN"/>
        </w:rPr>
        <w:t xml:space="preserve">There was a lack of consensus about whether </w:t>
      </w:r>
      <w:hyperlink r:id="rId60" w:history="1">
        <w:r w:rsidR="00AA05A2" w:rsidRPr="001E587E">
          <w:rPr>
            <w:rStyle w:val="Hyperlink"/>
          </w:rPr>
          <w:t>e</w:t>
        </w:r>
        <w:r w:rsidRPr="001E587E">
          <w:rPr>
            <w:rStyle w:val="Hyperlink"/>
          </w:rPr>
          <w:t xml:space="preserve">xtra </w:t>
        </w:r>
        <w:r w:rsidR="00AA05A2" w:rsidRPr="001E587E">
          <w:rPr>
            <w:rStyle w:val="Hyperlink"/>
          </w:rPr>
          <w:t>service s</w:t>
        </w:r>
        <w:r w:rsidRPr="001E587E">
          <w:rPr>
            <w:rStyle w:val="Hyperlink"/>
          </w:rPr>
          <w:t>tatus</w:t>
        </w:r>
      </w:hyperlink>
      <w:r w:rsidRPr="00B528D0">
        <w:rPr>
          <w:lang w:val="en-AU" w:eastAsia="zh-CN"/>
        </w:rPr>
        <w:t xml:space="preserve"> arrangements should be discontinued from 1 July 2024</w:t>
      </w:r>
      <w:r w:rsidR="003259DF" w:rsidRPr="00B528D0">
        <w:rPr>
          <w:lang w:val="en-AU" w:eastAsia="zh-CN"/>
        </w:rPr>
        <w:t>, with about half disagreeing</w:t>
      </w:r>
      <w:r w:rsidRPr="00B528D0">
        <w:rPr>
          <w:lang w:val="en-AU" w:eastAsia="zh-CN"/>
        </w:rPr>
        <w:t xml:space="preserve">. Providers noted that it’s difficult to navigate this policy without also reviewing </w:t>
      </w:r>
      <w:hyperlink r:id="rId61" w:history="1">
        <w:r w:rsidR="00AA05A2" w:rsidRPr="001E587E">
          <w:rPr>
            <w:rStyle w:val="Hyperlink"/>
          </w:rPr>
          <w:t>a</w:t>
        </w:r>
        <w:r w:rsidRPr="001E587E">
          <w:rPr>
            <w:rStyle w:val="Hyperlink"/>
          </w:rPr>
          <w:t xml:space="preserve">dditional </w:t>
        </w:r>
        <w:r w:rsidR="00AA05A2" w:rsidRPr="001E587E">
          <w:rPr>
            <w:rStyle w:val="Hyperlink"/>
          </w:rPr>
          <w:t>s</w:t>
        </w:r>
        <w:r w:rsidRPr="001E587E">
          <w:rPr>
            <w:rStyle w:val="Hyperlink"/>
          </w:rPr>
          <w:t>ervices</w:t>
        </w:r>
      </w:hyperlink>
      <w:r w:rsidRPr="00B528D0">
        <w:rPr>
          <w:lang w:val="en-AU" w:eastAsia="zh-CN"/>
        </w:rPr>
        <w:t xml:space="preserve"> and suggested that the department consult further on this topic.</w:t>
      </w:r>
    </w:p>
    <w:p w14:paraId="428C3353" w14:textId="77777777" w:rsidR="00802E62" w:rsidRPr="00B528D0" w:rsidRDefault="00802E62" w:rsidP="002E678B">
      <w:pPr>
        <w:pStyle w:val="Heading2"/>
      </w:pPr>
      <w:bookmarkStart w:id="33" w:name="_Toc96490138"/>
      <w:bookmarkStart w:id="34" w:name="_Toc109742292"/>
      <w:r w:rsidRPr="00B528D0">
        <w:t>Policy response</w:t>
      </w:r>
      <w:bookmarkEnd w:id="33"/>
      <w:bookmarkEnd w:id="34"/>
    </w:p>
    <w:p w14:paraId="1799DC02" w14:textId="77777777" w:rsidR="00802E62" w:rsidRPr="00B528D0" w:rsidRDefault="00802E62" w:rsidP="00BF1ACF">
      <w:pPr>
        <w:pStyle w:val="Heading3"/>
      </w:pPr>
      <w:r w:rsidRPr="00B528D0">
        <w:t>Transitional arrangements</w:t>
      </w:r>
    </w:p>
    <w:p w14:paraId="15A43884" w14:textId="77777777" w:rsidR="0016389F" w:rsidRPr="004155EB" w:rsidRDefault="0016389F" w:rsidP="00A76B05">
      <w:pPr>
        <w:pStyle w:val="Heading1Char"/>
        <w:rPr>
          <w:lang w:val="en-AU" w:eastAsia="zh-CN"/>
        </w:rPr>
      </w:pPr>
      <w:bookmarkStart w:id="35" w:name="_Hlk94170806"/>
      <w:r w:rsidRPr="006C4DE1">
        <w:rPr>
          <w:lang w:val="en-AU" w:eastAsia="zh-CN"/>
        </w:rPr>
        <w:t>To ensure the ongoing supply of residential places and continued investment and construction in the residential aged care sector, a Transition Strategy is now in place until 30 June 2024.</w:t>
      </w:r>
    </w:p>
    <w:p w14:paraId="05A0CE5F" w14:textId="59C9E2CE" w:rsidR="00802E62" w:rsidRPr="006C4DE1" w:rsidRDefault="00802E62">
      <w:pPr>
        <w:pStyle w:val="Heading1Char"/>
        <w:rPr>
          <w:lang w:val="en-AU" w:eastAsia="zh-CN"/>
        </w:rPr>
      </w:pPr>
      <w:r w:rsidRPr="006C4DE1">
        <w:rPr>
          <w:lang w:val="en-AU" w:eastAsia="zh-CN"/>
        </w:rPr>
        <w:t>This includes a ‘bed-ready’ process that will support approved providers who are positioned to deliver additional residential care but do not currently hold a sufficient allocation of places. This will support some providers to expand their service footprint immediately and will also support providers wishing to bring new developments online during the transitional period.</w:t>
      </w:r>
    </w:p>
    <w:bookmarkEnd w:id="35"/>
    <w:p w14:paraId="5D23163D" w14:textId="5D3C8A4D" w:rsidR="00802E62" w:rsidRPr="006C4DE1" w:rsidRDefault="00802E62">
      <w:pPr>
        <w:pStyle w:val="Heading1Char"/>
        <w:rPr>
          <w:lang w:val="en-AU" w:eastAsia="zh-CN"/>
        </w:rPr>
      </w:pPr>
      <w:r w:rsidRPr="006C4DE1">
        <w:rPr>
          <w:lang w:val="en-AU" w:eastAsia="zh-CN"/>
        </w:rPr>
        <w:t>This process will lead to more choice for older Australians and will start to embed elements of market competition before the new system is implemented in July 2024.</w:t>
      </w:r>
    </w:p>
    <w:p w14:paraId="49996366" w14:textId="60C5DC8B" w:rsidR="00802E62" w:rsidRPr="006C4DE1" w:rsidRDefault="00802E62">
      <w:pPr>
        <w:pStyle w:val="Heading1Char"/>
        <w:rPr>
          <w:lang w:val="en-AU" w:eastAsia="zh-CN"/>
        </w:rPr>
      </w:pPr>
      <w:r w:rsidRPr="006C4DE1">
        <w:rPr>
          <w:lang w:val="en-AU" w:eastAsia="zh-CN"/>
        </w:rPr>
        <w:t>In recognition of the need for assurance that places will be made available through the bed-ready process, the Transition Strategy also includes an ‘intention to develop’ process that gives approved providers confidence to progress residential aged care developments in the absence of an ACAR. It acknowledges that the ‘bed-ready’ process will only allocate operational places that can be used immediately.</w:t>
      </w:r>
    </w:p>
    <w:p w14:paraId="0AABC934" w14:textId="6DAE0454" w:rsidR="0016389F" w:rsidRPr="00B528D0" w:rsidRDefault="0016389F" w:rsidP="003A426F">
      <w:pPr>
        <w:rPr>
          <w:lang w:val="en-AU" w:eastAsia="zh-CN"/>
        </w:rPr>
      </w:pPr>
      <w:r w:rsidRPr="004155EB">
        <w:rPr>
          <w:lang w:val="en-AU" w:eastAsia="zh-CN"/>
        </w:rPr>
        <w:t>Under this process, providers are required to outline their future development plans. The department will consider applications and, if suitable, will provide a letter of assurance that residential aged care places wil</w:t>
      </w:r>
      <w:r w:rsidRPr="00A76B05">
        <w:rPr>
          <w:lang w:val="en-AU" w:eastAsia="zh-CN"/>
        </w:rPr>
        <w:t xml:space="preserve">l be made available to projects </w:t>
      </w:r>
      <w:proofErr w:type="gramStart"/>
      <w:r w:rsidRPr="00A76B05">
        <w:rPr>
          <w:lang w:val="en-AU" w:eastAsia="zh-CN"/>
        </w:rPr>
        <w:t>at a later date</w:t>
      </w:r>
      <w:proofErr w:type="gramEnd"/>
      <w:r w:rsidRPr="00A76B05">
        <w:rPr>
          <w:lang w:val="en-AU" w:eastAsia="zh-CN"/>
        </w:rPr>
        <w:t>.</w:t>
      </w:r>
    </w:p>
    <w:p w14:paraId="1C4BE977" w14:textId="16015941" w:rsidR="00802E62" w:rsidRPr="00B528D0" w:rsidRDefault="00802E62" w:rsidP="002E678B">
      <w:pPr>
        <w:pStyle w:val="Heading1Char"/>
        <w:rPr>
          <w:lang w:val="en-AU" w:eastAsia="zh-CN"/>
        </w:rPr>
      </w:pPr>
      <w:r w:rsidRPr="00B528D0">
        <w:rPr>
          <w:lang w:val="en-AU" w:eastAsia="zh-CN"/>
        </w:rPr>
        <w:t xml:space="preserve">These transitional arrangements have already commenced, more information is available on the department’s </w:t>
      </w:r>
      <w:r w:rsidRPr="00B528D0">
        <w:t>webpage.</w:t>
      </w:r>
      <w:bookmarkStart w:id="36" w:name="_Hlk94019914"/>
    </w:p>
    <w:p w14:paraId="22136929" w14:textId="329696B7" w:rsidR="009F6C8F" w:rsidRPr="00B528D0" w:rsidRDefault="00802E62" w:rsidP="001E587E">
      <w:pPr>
        <w:pStyle w:val="Heading3"/>
        <w:pageBreakBefore/>
      </w:pPr>
      <w:bookmarkStart w:id="37" w:name="_Hlk94019926"/>
      <w:bookmarkEnd w:id="36"/>
      <w:r w:rsidRPr="00B528D0">
        <w:lastRenderedPageBreak/>
        <w:t>Extra service and additional services</w:t>
      </w:r>
    </w:p>
    <w:p w14:paraId="0B2EB8F9" w14:textId="07CB4A5F" w:rsidR="00B75964" w:rsidRPr="003A426F" w:rsidRDefault="00802E62" w:rsidP="003A426F">
      <w:r w:rsidRPr="00B528D0">
        <w:rPr>
          <w:lang w:val="en-AU" w:eastAsia="zh-CN"/>
        </w:rPr>
        <w:t xml:space="preserve">Work is underway to strengthen the </w:t>
      </w:r>
      <w:hyperlink r:id="rId62" w:history="1">
        <w:r w:rsidR="00B75964" w:rsidRPr="001E587E">
          <w:rPr>
            <w:rStyle w:val="Hyperlink"/>
          </w:rPr>
          <w:t>a</w:t>
        </w:r>
        <w:r w:rsidRPr="001E587E">
          <w:rPr>
            <w:rStyle w:val="Hyperlink"/>
          </w:rPr>
          <w:t xml:space="preserve">dditional </w:t>
        </w:r>
        <w:r w:rsidR="00B75964" w:rsidRPr="001E587E">
          <w:rPr>
            <w:rStyle w:val="Hyperlink"/>
          </w:rPr>
          <w:t>s</w:t>
        </w:r>
        <w:r w:rsidRPr="001E587E">
          <w:rPr>
            <w:rStyle w:val="Hyperlink"/>
          </w:rPr>
          <w:t>ervices fee framework</w:t>
        </w:r>
      </w:hyperlink>
      <w:r w:rsidRPr="00B528D0">
        <w:rPr>
          <w:lang w:val="en-AU" w:eastAsia="zh-CN"/>
        </w:rPr>
        <w:t xml:space="preserve"> and improve clarity and transparency for both aged care residents and providers. A range of changes are being considered, including</w:t>
      </w:r>
      <w:r w:rsidR="00B75964" w:rsidRPr="00B528D0">
        <w:rPr>
          <w:lang w:val="en-AU" w:eastAsia="zh-CN"/>
        </w:rPr>
        <w:t>:</w:t>
      </w:r>
    </w:p>
    <w:p w14:paraId="2EDD2C11" w14:textId="740884F1" w:rsidR="00802E62" w:rsidRPr="003A426F" w:rsidRDefault="00B75964" w:rsidP="00C62D3D">
      <w:pPr>
        <w:pStyle w:val="ListBullet"/>
      </w:pPr>
      <w:r w:rsidRPr="00B528D0">
        <w:t>mandatory disclosure on both My Aged Ca</w:t>
      </w:r>
      <w:r w:rsidRPr="003A426F">
        <w:t>re and the provider’s website</w:t>
      </w:r>
    </w:p>
    <w:p w14:paraId="62188A1F" w14:textId="790FE3D3" w:rsidR="00B75964" w:rsidRPr="003A426F" w:rsidRDefault="00B75964" w:rsidP="00C62D3D">
      <w:pPr>
        <w:pStyle w:val="ListBullet"/>
      </w:pPr>
      <w:r w:rsidRPr="003A426F">
        <w:t>restrictions on mandating fees for residents with lower means</w:t>
      </w:r>
    </w:p>
    <w:p w14:paraId="71A40225" w14:textId="20EE79E1" w:rsidR="00B75964" w:rsidRPr="00B528D0" w:rsidRDefault="00B75964" w:rsidP="00C62D3D">
      <w:pPr>
        <w:pStyle w:val="ListBullet"/>
      </w:pPr>
      <w:r w:rsidRPr="003A426F">
        <w:t>requiring addition service fee agreements to be time limited</w:t>
      </w:r>
      <w:r w:rsidRPr="00B528D0">
        <w:t>.</w:t>
      </w:r>
    </w:p>
    <w:p w14:paraId="043B247F" w14:textId="77777777" w:rsidR="003E14CF" w:rsidRPr="00B528D0" w:rsidRDefault="00000A62" w:rsidP="002E678B">
      <w:pPr>
        <w:pStyle w:val="Heading1Char"/>
        <w:rPr>
          <w:lang w:val="en-AU" w:eastAsia="zh-CN"/>
        </w:rPr>
      </w:pPr>
      <w:hyperlink r:id="rId63" w:history="1">
        <w:r w:rsidR="00802E62" w:rsidRPr="001E587E">
          <w:rPr>
            <w:rStyle w:val="Hyperlink"/>
          </w:rPr>
          <w:t xml:space="preserve">Extra </w:t>
        </w:r>
        <w:r w:rsidR="00B75964" w:rsidRPr="001E587E">
          <w:rPr>
            <w:rStyle w:val="Hyperlink"/>
          </w:rPr>
          <w:t>service s</w:t>
        </w:r>
        <w:r w:rsidR="00802E62" w:rsidRPr="001E587E">
          <w:rPr>
            <w:rStyle w:val="Hyperlink"/>
          </w:rPr>
          <w:t>tatus</w:t>
        </w:r>
      </w:hyperlink>
      <w:r w:rsidR="00802E62" w:rsidRPr="001E587E">
        <w:t xml:space="preserve"> </w:t>
      </w:r>
      <w:r w:rsidR="00802E62" w:rsidRPr="00B528D0">
        <w:rPr>
          <w:lang w:val="en-AU" w:eastAsia="zh-CN"/>
        </w:rPr>
        <w:t>will be reviewed in conjunction with these considerations of additional services fees arrangements.</w:t>
      </w:r>
      <w:bookmarkEnd w:id="37"/>
    </w:p>
    <w:p w14:paraId="061F8CCD" w14:textId="77777777" w:rsidR="003E14CF" w:rsidRPr="00B528D0" w:rsidRDefault="003E14CF" w:rsidP="002E678B">
      <w:pPr>
        <w:pStyle w:val="Heading1Char"/>
        <w:rPr>
          <w:lang w:val="en-AU" w:eastAsia="zh-CN"/>
        </w:rPr>
        <w:sectPr w:rsidR="003E14CF" w:rsidRPr="00B528D0" w:rsidSect="00C62D3D">
          <w:footerReference w:type="default" r:id="rId64"/>
          <w:pgSz w:w="11910" w:h="16840"/>
          <w:pgMar w:top="1134" w:right="1021" w:bottom="278" w:left="1021" w:header="720" w:footer="265" w:gutter="0"/>
          <w:cols w:space="720"/>
        </w:sectPr>
      </w:pPr>
    </w:p>
    <w:p w14:paraId="1D89A1B6" w14:textId="1357B64E" w:rsidR="00A74B4B" w:rsidRPr="00D04C0D" w:rsidRDefault="00A74B4B" w:rsidP="00D04C0D">
      <w:pPr>
        <w:pStyle w:val="SectionTitle"/>
      </w:pPr>
      <w:bookmarkStart w:id="38" w:name="_Appendix_A_–"/>
      <w:bookmarkStart w:id="39" w:name="_Toc117872992"/>
      <w:bookmarkEnd w:id="38"/>
      <w:r w:rsidRPr="00D04C0D">
        <w:lastRenderedPageBreak/>
        <w:t>Section nine</w:t>
      </w:r>
      <w:bookmarkEnd w:id="39"/>
    </w:p>
    <w:p w14:paraId="6D5675C2" w14:textId="77777777" w:rsidR="00A8097E" w:rsidRPr="00086E7C" w:rsidRDefault="00A8097E" w:rsidP="00086E7C">
      <w:pPr>
        <w:pStyle w:val="Heading1"/>
      </w:pPr>
      <w:bookmarkStart w:id="40" w:name="_Toc117872993"/>
      <w:r w:rsidRPr="00086E7C">
        <w:t>Next steps</w:t>
      </w:r>
      <w:bookmarkEnd w:id="40"/>
    </w:p>
    <w:p w14:paraId="3A128F52" w14:textId="47E8E9C0" w:rsidR="00A74B4B" w:rsidRPr="00D04C0D" w:rsidRDefault="003A76D5" w:rsidP="00C62D3D">
      <w:pPr>
        <w:pStyle w:val="IntroPara"/>
      </w:pPr>
      <w:bookmarkStart w:id="41" w:name="_Hlk114493787"/>
      <w:r w:rsidRPr="00D04C0D">
        <w:t>These changes are a part of extensive aged care reforms that are currently underway</w:t>
      </w:r>
      <w:r w:rsidR="00A8097E" w:rsidRPr="00D04C0D">
        <w:t>.</w:t>
      </w:r>
      <w:r w:rsidR="003B4A82" w:rsidRPr="00D04C0D">
        <w:t xml:space="preserve"> </w:t>
      </w:r>
      <w:r w:rsidRPr="00D04C0D">
        <w:t>Synergy across all measures is needed to ensure that</w:t>
      </w:r>
      <w:r w:rsidR="003B4A82" w:rsidRPr="00D04C0D">
        <w:t xml:space="preserve"> all Australians feel confident about accessing high quality and safe aged care, where and when they need it.</w:t>
      </w:r>
    </w:p>
    <w:bookmarkEnd w:id="41"/>
    <w:p w14:paraId="75110A56" w14:textId="4C69F821" w:rsidR="00A74B4B" w:rsidRPr="001B7B17" w:rsidRDefault="00802E62" w:rsidP="001B7B17">
      <w:pPr>
        <w:pStyle w:val="Heading2"/>
      </w:pPr>
      <w:r w:rsidRPr="001B7B17">
        <w:t>How will the outcomes of this consultation be used?</w:t>
      </w:r>
    </w:p>
    <w:p w14:paraId="7FAAE4FA" w14:textId="34269451" w:rsidR="00802E62" w:rsidRPr="003A426F" w:rsidRDefault="00802E62" w:rsidP="003A426F">
      <w:r w:rsidRPr="00B528D0">
        <w:rPr>
          <w:lang w:val="en-AU" w:eastAsia="zh-CN"/>
        </w:rPr>
        <w:t xml:space="preserve">The </w:t>
      </w:r>
      <w:r w:rsidR="003A76D5">
        <w:rPr>
          <w:lang w:val="en-AU" w:eastAsia="zh-CN"/>
        </w:rPr>
        <w:t xml:space="preserve">findings and </w:t>
      </w:r>
      <w:r w:rsidRPr="00B528D0">
        <w:rPr>
          <w:lang w:val="en-AU" w:eastAsia="zh-CN"/>
        </w:rPr>
        <w:t xml:space="preserve">issues discussed </w:t>
      </w:r>
      <w:r w:rsidR="003A76D5">
        <w:rPr>
          <w:lang w:val="en-AU" w:eastAsia="zh-CN"/>
        </w:rPr>
        <w:t xml:space="preserve">in </w:t>
      </w:r>
      <w:proofErr w:type="spellStart"/>
      <w:r w:rsidR="003A76D5">
        <w:rPr>
          <w:lang w:val="en-AU" w:eastAsia="zh-CN"/>
        </w:rPr>
        <w:t>thi</w:t>
      </w:r>
      <w:proofErr w:type="spellEnd"/>
      <w:r w:rsidR="003A76D5" w:rsidRPr="003A426F">
        <w:t>s report will guide</w:t>
      </w:r>
      <w:r w:rsidRPr="003A426F">
        <w:t xml:space="preserve"> the</w:t>
      </w:r>
      <w:r w:rsidR="003A76D5" w:rsidRPr="003A426F">
        <w:t xml:space="preserve"> design and</w:t>
      </w:r>
      <w:r w:rsidRPr="003A426F">
        <w:t xml:space="preserve"> </w:t>
      </w:r>
      <w:r w:rsidR="003A76D5" w:rsidRPr="003A426F">
        <w:t>implementation</w:t>
      </w:r>
      <w:r w:rsidRPr="003A426F">
        <w:t xml:space="preserve"> of this reform, as well as other related reforms and activities.</w:t>
      </w:r>
    </w:p>
    <w:p w14:paraId="7F2BE44D" w14:textId="3072B062" w:rsidR="00802E62" w:rsidRPr="003A426F" w:rsidRDefault="00802E62" w:rsidP="003A426F">
      <w:r w:rsidRPr="003A426F">
        <w:t>Feedback will inform opportunities for future areas of focus in the government’s agenda to improve security, dignity, and humanity across the aged care system.</w:t>
      </w:r>
    </w:p>
    <w:p w14:paraId="728BE9F4" w14:textId="35446575" w:rsidR="00802E62" w:rsidRPr="003A426F" w:rsidRDefault="00802E62" w:rsidP="003A426F">
      <w:r w:rsidRPr="003A426F">
        <w:t xml:space="preserve">Work is being undertaken to make sure that the </w:t>
      </w:r>
      <w:r w:rsidRPr="00B528D0">
        <w:rPr>
          <w:lang w:val="en-AU" w:eastAsia="zh-CN"/>
        </w:rPr>
        <w:t>reform will be done well, including:</w:t>
      </w:r>
    </w:p>
    <w:p w14:paraId="7C9B2DAC" w14:textId="0F0CC169" w:rsidR="00802E62" w:rsidRPr="003A426F" w:rsidRDefault="00802E62" w:rsidP="00C62D3D">
      <w:pPr>
        <w:pStyle w:val="ListBullet"/>
      </w:pPr>
      <w:r w:rsidRPr="00B528D0">
        <w:t>fin</w:t>
      </w:r>
      <w:r w:rsidRPr="003A426F">
        <w:t>ding a way to measure the impact of the reform and related reforms into the future</w:t>
      </w:r>
    </w:p>
    <w:p w14:paraId="68341F63" w14:textId="62B7F215" w:rsidR="00802E62" w:rsidRPr="003A426F" w:rsidRDefault="00802E62" w:rsidP="00C62D3D">
      <w:pPr>
        <w:pStyle w:val="ListBullet"/>
      </w:pPr>
      <w:r w:rsidRPr="003A426F">
        <w:t>engaging with key areas to make sure that there is a good system for data and intelligence, so that information is collected and available to support individual, provider and government decisions</w:t>
      </w:r>
    </w:p>
    <w:p w14:paraId="255A8036" w14:textId="3E75204C" w:rsidR="005C56F6" w:rsidRPr="003A426F" w:rsidRDefault="00802E62" w:rsidP="00C62D3D">
      <w:pPr>
        <w:pStyle w:val="ListBullet"/>
      </w:pPr>
      <w:r w:rsidRPr="003A426F">
        <w:t>developing a way to allocate residential aged care places and make sure that people can access care when they need it</w:t>
      </w:r>
    </w:p>
    <w:p w14:paraId="7D5F965E" w14:textId="7EA93941" w:rsidR="00802E62" w:rsidRPr="003A426F" w:rsidRDefault="00802E62" w:rsidP="00C62D3D">
      <w:pPr>
        <w:pStyle w:val="ListBullet"/>
      </w:pPr>
      <w:r w:rsidRPr="003A426F">
        <w:t>developing transfer guidelines for when people move between homes, to make sure that transitions are easy for older Australians and providers</w:t>
      </w:r>
    </w:p>
    <w:p w14:paraId="5718831E" w14:textId="6DE27381" w:rsidR="00802E62" w:rsidRPr="003A426F" w:rsidRDefault="00802E62" w:rsidP="00C62D3D">
      <w:pPr>
        <w:pStyle w:val="ListBullet"/>
      </w:pPr>
      <w:r w:rsidRPr="003A426F">
        <w:t>ongoing engagement and activities to make sure things work well in the transition to the new system, and that there are enough places and efforts to grow and improve residential aged care in the lead up to when this reform is active (1 July 2024)</w:t>
      </w:r>
    </w:p>
    <w:p w14:paraId="4581144B" w14:textId="3FA51ED9" w:rsidR="00802E62" w:rsidRPr="00B528D0" w:rsidRDefault="00802E62" w:rsidP="00C62D3D">
      <w:pPr>
        <w:pStyle w:val="ListBullet"/>
      </w:pPr>
      <w:r w:rsidRPr="003A426F">
        <w:t xml:space="preserve">planning to communicate with older Australians, their families and carers, the aged care sector including providers, workers, peak and advocacy </w:t>
      </w:r>
      <w:proofErr w:type="gramStart"/>
      <w:r w:rsidRPr="003A426F">
        <w:t>groups</w:t>
      </w:r>
      <w:proofErr w:type="gramEnd"/>
      <w:r w:rsidRPr="003A426F">
        <w:t xml:space="preserve"> and other interested a</w:t>
      </w:r>
      <w:proofErr w:type="spellStart"/>
      <w:r w:rsidRPr="00B528D0">
        <w:rPr>
          <w:lang w:val="en-GB"/>
        </w:rPr>
        <w:t>udiences</w:t>
      </w:r>
      <w:proofErr w:type="spellEnd"/>
      <w:r w:rsidRPr="00B528D0">
        <w:rPr>
          <w:lang w:val="en-GB"/>
        </w:rPr>
        <w:t xml:space="preserve"> about the changes.</w:t>
      </w:r>
    </w:p>
    <w:p w14:paraId="629A437E" w14:textId="77777777" w:rsidR="00802E62" w:rsidRPr="001B7B17" w:rsidRDefault="00802E62" w:rsidP="001B7B17">
      <w:pPr>
        <w:pStyle w:val="Heading2"/>
      </w:pPr>
      <w:r w:rsidRPr="001B7B17">
        <w:t>Further consultation</w:t>
      </w:r>
    </w:p>
    <w:p w14:paraId="771266F1" w14:textId="27487586" w:rsidR="00802E62" w:rsidRPr="003A426F" w:rsidRDefault="00802E62" w:rsidP="003A426F">
      <w:r w:rsidRPr="003A426F">
        <w:t>The department will be consulting with older Australians and the sector throughout the rest of 2022</w:t>
      </w:r>
      <w:r w:rsidR="00707EBF" w:rsidRPr="003A426F">
        <w:t xml:space="preserve">. This second round of consultation will </w:t>
      </w:r>
      <w:r w:rsidRPr="003A426F">
        <w:t>focus</w:t>
      </w:r>
      <w:r w:rsidR="00707EBF" w:rsidRPr="003A426F">
        <w:t xml:space="preserve"> specifically</w:t>
      </w:r>
      <w:r w:rsidRPr="003A426F">
        <w:t xml:space="preserve"> on the work, activities and issues outlined </w:t>
      </w:r>
      <w:r w:rsidR="00FD0424" w:rsidRPr="003A426F">
        <w:t>throughout this report.</w:t>
      </w:r>
    </w:p>
    <w:p w14:paraId="7933697C" w14:textId="2EEE3520" w:rsidR="00802E62" w:rsidRPr="001B7B17" w:rsidRDefault="00802E62" w:rsidP="001B7B17">
      <w:pPr>
        <w:pStyle w:val="Heading2"/>
      </w:pPr>
      <w:r w:rsidRPr="001B7B17">
        <w:t>Thank you for your participation</w:t>
      </w:r>
    </w:p>
    <w:p w14:paraId="4F9F1B95" w14:textId="1A295BF7" w:rsidR="001E587E" w:rsidRDefault="00802E62" w:rsidP="001B7B17">
      <w:pPr>
        <w:rPr>
          <w:lang w:val="en-AU" w:eastAsia="zh-CN"/>
        </w:rPr>
      </w:pPr>
      <w:r w:rsidRPr="003A426F">
        <w:t xml:space="preserve">The department would like to thank the </w:t>
      </w:r>
      <w:proofErr w:type="spellStart"/>
      <w:r w:rsidRPr="003A426F">
        <w:t>organisations</w:t>
      </w:r>
      <w:proofErr w:type="spellEnd"/>
      <w:r w:rsidRPr="003A426F">
        <w:t xml:space="preserve"> and individuals that took time to participate in this consultation process. Your feedback has been invaluable, and we look forward to engaging over the coming years as we design and implement these important changes to residential aged care</w:t>
      </w:r>
      <w:r w:rsidR="00FD0424" w:rsidRPr="00B528D0">
        <w:rPr>
          <w:lang w:val="en-AU" w:eastAsia="zh-CN"/>
        </w:rPr>
        <w:t>.</w:t>
      </w:r>
      <w:r w:rsidR="001E587E">
        <w:rPr>
          <w:lang w:val="en-AU" w:eastAsia="zh-CN"/>
        </w:rPr>
        <w:br w:type="page"/>
      </w:r>
    </w:p>
    <w:p w14:paraId="63CD963F" w14:textId="25F21147" w:rsidR="004B7756" w:rsidRPr="001B7B17" w:rsidRDefault="001E587E" w:rsidP="001E587E">
      <w:pPr>
        <w:pStyle w:val="Heading1"/>
        <w:rPr>
          <w:lang w:val="en-AU" w:eastAsia="zh-CN"/>
        </w:rPr>
      </w:pPr>
      <w:r>
        <w:rPr>
          <w:lang w:val="en-AU" w:eastAsia="zh-CN"/>
        </w:rPr>
        <w:lastRenderedPageBreak/>
        <w:t>A</w:t>
      </w:r>
      <w:r w:rsidR="004B7756" w:rsidRPr="00B528D0">
        <w:rPr>
          <w:lang w:val="en-AU" w:eastAsia="zh-CN"/>
        </w:rPr>
        <w:t xml:space="preserve">ppendix A – </w:t>
      </w:r>
      <w:r w:rsidR="005F7DF2" w:rsidRPr="00B528D0">
        <w:rPr>
          <w:lang w:val="en-AU" w:eastAsia="zh-CN"/>
        </w:rPr>
        <w:t>S</w:t>
      </w:r>
      <w:r w:rsidR="004B7756" w:rsidRPr="00B528D0">
        <w:rPr>
          <w:lang w:val="en-AU" w:eastAsia="zh-CN"/>
        </w:rPr>
        <w:t>urvey results (tables and figures)</w:t>
      </w:r>
    </w:p>
    <w:p w14:paraId="6109CE92" w14:textId="1655DB8E" w:rsidR="004B7756" w:rsidRPr="001B7B17" w:rsidRDefault="001B7B17" w:rsidP="00EB10DE">
      <w:pPr>
        <w:pStyle w:val="Caption"/>
      </w:pPr>
      <w:r>
        <w:t xml:space="preserve">Table </w:t>
      </w:r>
      <w:r>
        <w:fldChar w:fldCharType="begin"/>
      </w:r>
      <w:r>
        <w:instrText xml:space="preserve"> SEQ Table \* ARABIC </w:instrText>
      </w:r>
      <w:r>
        <w:fldChar w:fldCharType="separate"/>
      </w:r>
      <w:r w:rsidR="00EC3654">
        <w:rPr>
          <w:noProof/>
        </w:rPr>
        <w:t>1</w:t>
      </w:r>
      <w:r>
        <w:fldChar w:fldCharType="end"/>
      </w:r>
      <w:r>
        <w:t xml:space="preserve"> </w:t>
      </w:r>
      <w:r w:rsidR="004B7756" w:rsidRPr="001B7B17">
        <w:t>– Interest in aged care</w:t>
      </w:r>
    </w:p>
    <w:tbl>
      <w:tblPr>
        <w:tblStyle w:val="GridTable1Light"/>
        <w:tblW w:w="0" w:type="auto"/>
        <w:tblLook w:val="04A0" w:firstRow="1" w:lastRow="0" w:firstColumn="1" w:lastColumn="0" w:noHBand="0" w:noVBand="1"/>
      </w:tblPr>
      <w:tblGrid>
        <w:gridCol w:w="4693"/>
        <w:gridCol w:w="2072"/>
        <w:gridCol w:w="2251"/>
      </w:tblGrid>
      <w:tr w:rsidR="004B7756" w:rsidRPr="0017155E" w14:paraId="26D9D195" w14:textId="77777777" w:rsidTr="0017155E">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46A628" w14:textId="77777777" w:rsidR="004B7756" w:rsidRPr="0017155E" w:rsidRDefault="004B7756" w:rsidP="0017155E">
            <w:pPr>
              <w:pStyle w:val="TableofAuthorities"/>
            </w:pPr>
            <w:r w:rsidRPr="0017155E">
              <w:t>What is your interest in aged care?</w:t>
            </w:r>
          </w:p>
        </w:tc>
        <w:tc>
          <w:tcPr>
            <w:tcW w:w="0" w:type="auto"/>
            <w:vAlign w:val="center"/>
          </w:tcPr>
          <w:p w14:paraId="416134AF" w14:textId="05CE8F44" w:rsidR="004B7756" w:rsidRPr="0017155E"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17155E">
              <w:t>Number of</w:t>
            </w:r>
            <w:r w:rsidR="0017155E">
              <w:t xml:space="preserve"> </w:t>
            </w:r>
            <w:r w:rsidRPr="0017155E">
              <w:t>responses</w:t>
            </w:r>
          </w:p>
        </w:tc>
        <w:tc>
          <w:tcPr>
            <w:tcW w:w="0" w:type="auto"/>
            <w:vAlign w:val="center"/>
          </w:tcPr>
          <w:p w14:paraId="492EE37B" w14:textId="77777777" w:rsidR="004B7756" w:rsidRPr="0017155E"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17155E">
              <w:t xml:space="preserve">Proportion of responses </w:t>
            </w:r>
          </w:p>
        </w:tc>
      </w:tr>
      <w:tr w:rsidR="002033F6" w:rsidRPr="001B7B17" w14:paraId="75535519"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0D4A0A30" w14:textId="77777777" w:rsidR="004B7756" w:rsidRPr="001B7B17" w:rsidRDefault="004B7756" w:rsidP="001B7B17">
            <w:r w:rsidRPr="001B7B17">
              <w:t>I work in aged care</w:t>
            </w:r>
          </w:p>
        </w:tc>
        <w:tc>
          <w:tcPr>
            <w:tcW w:w="0" w:type="auto"/>
          </w:tcPr>
          <w:p w14:paraId="6C758ABB"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45</w:t>
            </w:r>
          </w:p>
        </w:tc>
        <w:tc>
          <w:tcPr>
            <w:tcW w:w="0" w:type="auto"/>
          </w:tcPr>
          <w:p w14:paraId="74582A15"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30%</w:t>
            </w:r>
          </w:p>
        </w:tc>
      </w:tr>
      <w:tr w:rsidR="004B7756" w:rsidRPr="001B7B17" w14:paraId="4DD32E70"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8F48876" w14:textId="77777777" w:rsidR="004B7756" w:rsidRPr="001B7B17" w:rsidRDefault="004B7756" w:rsidP="001B7B17">
            <w:r w:rsidRPr="001B7B17">
              <w:t>I work for a peak body</w:t>
            </w:r>
          </w:p>
        </w:tc>
        <w:tc>
          <w:tcPr>
            <w:tcW w:w="0" w:type="auto"/>
          </w:tcPr>
          <w:p w14:paraId="7823CB64"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31</w:t>
            </w:r>
          </w:p>
        </w:tc>
        <w:tc>
          <w:tcPr>
            <w:tcW w:w="0" w:type="auto"/>
          </w:tcPr>
          <w:p w14:paraId="103EA1D5"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21%</w:t>
            </w:r>
          </w:p>
        </w:tc>
      </w:tr>
      <w:tr w:rsidR="004B7756" w:rsidRPr="001B7B17" w14:paraId="7693CD00"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39A95229" w14:textId="77777777" w:rsidR="004B7756" w:rsidRPr="001B7B17" w:rsidRDefault="004B7756" w:rsidP="001B7B17">
            <w:r w:rsidRPr="001B7B17">
              <w:t>I run an aged care business or other enterprise</w:t>
            </w:r>
          </w:p>
        </w:tc>
        <w:tc>
          <w:tcPr>
            <w:tcW w:w="0" w:type="auto"/>
          </w:tcPr>
          <w:p w14:paraId="2FC1AFB5"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30</w:t>
            </w:r>
          </w:p>
        </w:tc>
        <w:tc>
          <w:tcPr>
            <w:tcW w:w="0" w:type="auto"/>
          </w:tcPr>
          <w:p w14:paraId="347E912A"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20%</w:t>
            </w:r>
          </w:p>
        </w:tc>
      </w:tr>
      <w:tr w:rsidR="004B7756" w:rsidRPr="001B7B17" w14:paraId="29FE82CD"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F2C638D" w14:textId="77777777" w:rsidR="004B7756" w:rsidRPr="001B7B17" w:rsidRDefault="004B7756" w:rsidP="001B7B17">
            <w:r w:rsidRPr="001B7B17">
              <w:t xml:space="preserve">I am a </w:t>
            </w:r>
            <w:proofErr w:type="spellStart"/>
            <w:r w:rsidRPr="001B7B17">
              <w:t>carer</w:t>
            </w:r>
            <w:proofErr w:type="spellEnd"/>
            <w:r w:rsidRPr="001B7B17">
              <w:t xml:space="preserve"> or family member of a senior Australian</w:t>
            </w:r>
          </w:p>
        </w:tc>
        <w:tc>
          <w:tcPr>
            <w:tcW w:w="0" w:type="auto"/>
          </w:tcPr>
          <w:p w14:paraId="04F3D717"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19</w:t>
            </w:r>
          </w:p>
        </w:tc>
        <w:tc>
          <w:tcPr>
            <w:tcW w:w="0" w:type="auto"/>
          </w:tcPr>
          <w:p w14:paraId="198F500B"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13%</w:t>
            </w:r>
          </w:p>
        </w:tc>
      </w:tr>
      <w:tr w:rsidR="004B7756" w:rsidRPr="001B7B17" w14:paraId="49747434"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23ECACEB" w14:textId="77777777" w:rsidR="004B7756" w:rsidRPr="001B7B17" w:rsidRDefault="004B7756" w:rsidP="001B7B17">
            <w:r w:rsidRPr="001B7B17">
              <w:t>I manage an aged care service</w:t>
            </w:r>
          </w:p>
        </w:tc>
        <w:tc>
          <w:tcPr>
            <w:tcW w:w="0" w:type="auto"/>
          </w:tcPr>
          <w:p w14:paraId="49B280EC"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19</w:t>
            </w:r>
          </w:p>
        </w:tc>
        <w:tc>
          <w:tcPr>
            <w:tcW w:w="0" w:type="auto"/>
          </w:tcPr>
          <w:p w14:paraId="6008B77F"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13%</w:t>
            </w:r>
          </w:p>
        </w:tc>
      </w:tr>
      <w:tr w:rsidR="004B7756" w:rsidRPr="001B7B17" w14:paraId="7CC1992F"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39ACC67" w14:textId="77777777" w:rsidR="004B7756" w:rsidRPr="001B7B17" w:rsidRDefault="004B7756" w:rsidP="001B7B17">
            <w:r w:rsidRPr="001B7B17">
              <w:t>I am an academic or researcher</w:t>
            </w:r>
          </w:p>
        </w:tc>
        <w:tc>
          <w:tcPr>
            <w:tcW w:w="0" w:type="auto"/>
          </w:tcPr>
          <w:p w14:paraId="34A05945"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14</w:t>
            </w:r>
          </w:p>
        </w:tc>
        <w:tc>
          <w:tcPr>
            <w:tcW w:w="0" w:type="auto"/>
          </w:tcPr>
          <w:p w14:paraId="068D7B58"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9%</w:t>
            </w:r>
          </w:p>
        </w:tc>
      </w:tr>
      <w:tr w:rsidR="004B7756" w:rsidRPr="001B7B17" w14:paraId="68147320"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2A1EA573" w14:textId="77777777" w:rsidR="004B7756" w:rsidRPr="001B7B17" w:rsidRDefault="004B7756" w:rsidP="001B7B17">
            <w:r w:rsidRPr="001B7B17">
              <w:t>I am a senior Australian</w:t>
            </w:r>
          </w:p>
        </w:tc>
        <w:tc>
          <w:tcPr>
            <w:tcW w:w="0" w:type="auto"/>
          </w:tcPr>
          <w:p w14:paraId="74BDEC8A"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12</w:t>
            </w:r>
          </w:p>
        </w:tc>
        <w:tc>
          <w:tcPr>
            <w:tcW w:w="0" w:type="auto"/>
          </w:tcPr>
          <w:p w14:paraId="35285A14"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8%</w:t>
            </w:r>
          </w:p>
        </w:tc>
      </w:tr>
      <w:tr w:rsidR="004B7756" w:rsidRPr="001B7B17" w14:paraId="0CE76689"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739185DD" w14:textId="77777777" w:rsidR="004B7756" w:rsidRPr="001B7B17" w:rsidRDefault="004B7756" w:rsidP="001B7B17">
            <w:r w:rsidRPr="001B7B17">
              <w:t>I am a health practitioner</w:t>
            </w:r>
          </w:p>
        </w:tc>
        <w:tc>
          <w:tcPr>
            <w:tcW w:w="0" w:type="auto"/>
          </w:tcPr>
          <w:p w14:paraId="30C95710"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11</w:t>
            </w:r>
          </w:p>
        </w:tc>
        <w:tc>
          <w:tcPr>
            <w:tcW w:w="0" w:type="auto"/>
          </w:tcPr>
          <w:p w14:paraId="371DCA51"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7%</w:t>
            </w:r>
          </w:p>
        </w:tc>
      </w:tr>
      <w:tr w:rsidR="004B7756" w:rsidRPr="001B7B17" w14:paraId="2DFF0C15"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245558D5" w14:textId="77777777" w:rsidR="004B7756" w:rsidRPr="001B7B17" w:rsidRDefault="004B7756" w:rsidP="001B7B17">
            <w:r w:rsidRPr="001B7B17">
              <w:t>I work for government</w:t>
            </w:r>
          </w:p>
        </w:tc>
        <w:tc>
          <w:tcPr>
            <w:tcW w:w="0" w:type="auto"/>
          </w:tcPr>
          <w:p w14:paraId="793DACA8"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5</w:t>
            </w:r>
          </w:p>
        </w:tc>
        <w:tc>
          <w:tcPr>
            <w:tcW w:w="0" w:type="auto"/>
          </w:tcPr>
          <w:p w14:paraId="4E159B99"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3%</w:t>
            </w:r>
          </w:p>
        </w:tc>
      </w:tr>
      <w:tr w:rsidR="004B7756" w:rsidRPr="001B7B17" w14:paraId="6066F7F2"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2C7F50C1" w14:textId="77777777" w:rsidR="004B7756" w:rsidRPr="001B7B17" w:rsidRDefault="004B7756" w:rsidP="001B7B17">
            <w:r w:rsidRPr="001B7B17">
              <w:t>I am an aged care assessor</w:t>
            </w:r>
          </w:p>
        </w:tc>
        <w:tc>
          <w:tcPr>
            <w:tcW w:w="0" w:type="auto"/>
          </w:tcPr>
          <w:p w14:paraId="2B49CEC3"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3</w:t>
            </w:r>
          </w:p>
        </w:tc>
        <w:tc>
          <w:tcPr>
            <w:tcW w:w="0" w:type="auto"/>
          </w:tcPr>
          <w:p w14:paraId="498DCFBA"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2%</w:t>
            </w:r>
          </w:p>
        </w:tc>
      </w:tr>
      <w:tr w:rsidR="002033F6" w:rsidRPr="001B7B17" w14:paraId="53DB1E3F"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6942F5E6" w14:textId="77777777" w:rsidR="004B7756" w:rsidRPr="001B7B17" w:rsidRDefault="004B7756" w:rsidP="001B7B17">
            <w:r w:rsidRPr="001B7B17">
              <w:t>Other</w:t>
            </w:r>
          </w:p>
        </w:tc>
        <w:tc>
          <w:tcPr>
            <w:tcW w:w="0" w:type="auto"/>
          </w:tcPr>
          <w:p w14:paraId="48E0637A"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18</w:t>
            </w:r>
          </w:p>
        </w:tc>
        <w:tc>
          <w:tcPr>
            <w:tcW w:w="0" w:type="auto"/>
          </w:tcPr>
          <w:p w14:paraId="635520E0"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12%</w:t>
            </w:r>
          </w:p>
        </w:tc>
      </w:tr>
      <w:tr w:rsidR="002033F6" w:rsidRPr="001B7B17" w14:paraId="75A14752"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8242DCE" w14:textId="77777777" w:rsidR="004B7756" w:rsidRPr="001B7B17" w:rsidRDefault="004B7756" w:rsidP="001B7B17">
            <w:r w:rsidRPr="001B7B17">
              <w:t>Total responses</w:t>
            </w:r>
          </w:p>
        </w:tc>
        <w:tc>
          <w:tcPr>
            <w:tcW w:w="0" w:type="auto"/>
          </w:tcPr>
          <w:p w14:paraId="3EFE0649"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149</w:t>
            </w:r>
          </w:p>
        </w:tc>
        <w:tc>
          <w:tcPr>
            <w:tcW w:w="0" w:type="auto"/>
          </w:tcPr>
          <w:p w14:paraId="3243FF2E" w14:textId="77777777" w:rsidR="004B7756" w:rsidRPr="001B7B17" w:rsidRDefault="004B7756" w:rsidP="001B7B17">
            <w:pPr>
              <w:cnfStyle w:val="000000000000" w:firstRow="0" w:lastRow="0" w:firstColumn="0" w:lastColumn="0" w:oddVBand="0" w:evenVBand="0" w:oddHBand="0" w:evenHBand="0" w:firstRowFirstColumn="0" w:firstRowLastColumn="0" w:lastRowFirstColumn="0" w:lastRowLastColumn="0"/>
            </w:pPr>
            <w:r w:rsidRPr="001B7B17">
              <w:t>100%</w:t>
            </w:r>
          </w:p>
        </w:tc>
      </w:tr>
    </w:tbl>
    <w:p w14:paraId="1B7D77DA" w14:textId="36027819" w:rsidR="004B7756" w:rsidRPr="001B7B17" w:rsidRDefault="004B7756" w:rsidP="001B7B17">
      <w:pPr>
        <w:rPr>
          <w:rStyle w:val="Emphasis"/>
        </w:rPr>
      </w:pPr>
      <w:r w:rsidRPr="001B7B17">
        <w:rPr>
          <w:rStyle w:val="Emphasis"/>
        </w:rPr>
        <w:t>*</w:t>
      </w:r>
      <w:proofErr w:type="gramStart"/>
      <w:r w:rsidRPr="001B7B17">
        <w:rPr>
          <w:rStyle w:val="Emphasis"/>
        </w:rPr>
        <w:t>respondents</w:t>
      </w:r>
      <w:proofErr w:type="gramEnd"/>
      <w:r w:rsidRPr="001B7B17">
        <w:rPr>
          <w:rStyle w:val="Emphasis"/>
        </w:rPr>
        <w:t xml:space="preserve"> could select multiple categories</w:t>
      </w:r>
    </w:p>
    <w:p w14:paraId="2FF46391" w14:textId="77777777" w:rsidR="0061193D" w:rsidRPr="00D04C0D" w:rsidRDefault="0061193D" w:rsidP="00D04C0D">
      <w:r>
        <w:br w:type="page"/>
      </w:r>
    </w:p>
    <w:p w14:paraId="376BA463" w14:textId="30EEBD49" w:rsidR="004B7756" w:rsidRPr="001753EA" w:rsidRDefault="001D6174" w:rsidP="001D6174">
      <w:pPr>
        <w:pStyle w:val="Caption"/>
      </w:pPr>
      <w:r>
        <w:lastRenderedPageBreak/>
        <w:t xml:space="preserve">Table </w:t>
      </w:r>
      <w:r>
        <w:fldChar w:fldCharType="begin"/>
      </w:r>
      <w:r>
        <w:instrText xml:space="preserve"> SEQ Table \* ARABIC </w:instrText>
      </w:r>
      <w:r>
        <w:fldChar w:fldCharType="separate"/>
      </w:r>
      <w:r w:rsidR="00EC3654">
        <w:rPr>
          <w:noProof/>
        </w:rPr>
        <w:t>2</w:t>
      </w:r>
      <w:r>
        <w:fldChar w:fldCharType="end"/>
      </w:r>
      <w:r w:rsidR="004B7756" w:rsidRPr="001D6174">
        <w:t xml:space="preserve"> – Location of survey respondents </w:t>
      </w:r>
    </w:p>
    <w:tbl>
      <w:tblPr>
        <w:tblStyle w:val="GridTable1Light"/>
        <w:tblW w:w="0" w:type="auto"/>
        <w:tblLook w:val="04A0" w:firstRow="1" w:lastRow="0" w:firstColumn="1" w:lastColumn="0" w:noHBand="0" w:noVBand="1"/>
      </w:tblPr>
      <w:tblGrid>
        <w:gridCol w:w="1048"/>
        <w:gridCol w:w="2320"/>
        <w:gridCol w:w="2552"/>
      </w:tblGrid>
      <w:tr w:rsidR="004B7756" w:rsidRPr="00B528D0" w14:paraId="095945E4" w14:textId="77777777" w:rsidTr="0017155E">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8E3AAA" w14:textId="77777777" w:rsidR="004B7756" w:rsidRPr="003A426F" w:rsidRDefault="004B7756" w:rsidP="0017155E">
            <w:pPr>
              <w:pStyle w:val="TableofAuthorities"/>
            </w:pPr>
            <w:bookmarkStart w:id="42" w:name="_Hlk114128998"/>
            <w:r w:rsidRPr="003A426F">
              <w:t>Location</w:t>
            </w:r>
          </w:p>
        </w:tc>
        <w:tc>
          <w:tcPr>
            <w:tcW w:w="0" w:type="auto"/>
            <w:vAlign w:val="center"/>
          </w:tcPr>
          <w:p w14:paraId="666D5749" w14:textId="77777777" w:rsidR="004B7756" w:rsidRPr="003A426F"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Number of responses</w:t>
            </w:r>
          </w:p>
        </w:tc>
        <w:tc>
          <w:tcPr>
            <w:tcW w:w="0" w:type="auto"/>
            <w:vAlign w:val="center"/>
          </w:tcPr>
          <w:p w14:paraId="0BBA68F5" w14:textId="77777777" w:rsidR="004B7756" w:rsidRPr="003A426F"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Proportion of responses</w:t>
            </w:r>
          </w:p>
        </w:tc>
      </w:tr>
      <w:tr w:rsidR="004B7756" w:rsidRPr="00B528D0" w14:paraId="6F0FE6AF"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40DAE8DC" w14:textId="77777777" w:rsidR="004B7756" w:rsidRPr="003A426F" w:rsidRDefault="004B7756" w:rsidP="003A426F">
            <w:r w:rsidRPr="003A426F">
              <w:t>VIC</w:t>
            </w:r>
          </w:p>
        </w:tc>
        <w:tc>
          <w:tcPr>
            <w:tcW w:w="0" w:type="auto"/>
          </w:tcPr>
          <w:p w14:paraId="29242022"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48</w:t>
            </w:r>
          </w:p>
        </w:tc>
        <w:tc>
          <w:tcPr>
            <w:tcW w:w="0" w:type="auto"/>
          </w:tcPr>
          <w:p w14:paraId="69F17484"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33%</w:t>
            </w:r>
          </w:p>
        </w:tc>
      </w:tr>
      <w:tr w:rsidR="004B7756" w:rsidRPr="00B528D0" w14:paraId="17C13350"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5011B5A5" w14:textId="77777777" w:rsidR="004B7756" w:rsidRPr="003A426F" w:rsidRDefault="004B7756" w:rsidP="003A426F">
            <w:r w:rsidRPr="003A426F">
              <w:t>NSW</w:t>
            </w:r>
          </w:p>
        </w:tc>
        <w:tc>
          <w:tcPr>
            <w:tcW w:w="0" w:type="auto"/>
          </w:tcPr>
          <w:p w14:paraId="52724E56"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41</w:t>
            </w:r>
          </w:p>
        </w:tc>
        <w:tc>
          <w:tcPr>
            <w:tcW w:w="0" w:type="auto"/>
          </w:tcPr>
          <w:p w14:paraId="06341974"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28%</w:t>
            </w:r>
          </w:p>
        </w:tc>
      </w:tr>
      <w:tr w:rsidR="004B7756" w:rsidRPr="00B528D0" w14:paraId="30CF427F"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69DA3211" w14:textId="77777777" w:rsidR="004B7756" w:rsidRPr="003A426F" w:rsidRDefault="004B7756" w:rsidP="003A426F">
            <w:r w:rsidRPr="003A426F">
              <w:t>ACT</w:t>
            </w:r>
          </w:p>
        </w:tc>
        <w:tc>
          <w:tcPr>
            <w:tcW w:w="0" w:type="auto"/>
          </w:tcPr>
          <w:p w14:paraId="72BFA43E"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16</w:t>
            </w:r>
          </w:p>
        </w:tc>
        <w:tc>
          <w:tcPr>
            <w:tcW w:w="0" w:type="auto"/>
          </w:tcPr>
          <w:p w14:paraId="3D0CD835"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11%</w:t>
            </w:r>
          </w:p>
        </w:tc>
      </w:tr>
      <w:tr w:rsidR="004B7756" w:rsidRPr="00B528D0" w14:paraId="57820257"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A36C26E" w14:textId="77777777" w:rsidR="004B7756" w:rsidRPr="003A426F" w:rsidRDefault="004B7756" w:rsidP="003A426F">
            <w:r w:rsidRPr="003A426F">
              <w:t>QLD</w:t>
            </w:r>
          </w:p>
        </w:tc>
        <w:tc>
          <w:tcPr>
            <w:tcW w:w="0" w:type="auto"/>
          </w:tcPr>
          <w:p w14:paraId="41CDA398"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16</w:t>
            </w:r>
          </w:p>
        </w:tc>
        <w:tc>
          <w:tcPr>
            <w:tcW w:w="0" w:type="auto"/>
          </w:tcPr>
          <w:p w14:paraId="0909C973"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11%</w:t>
            </w:r>
          </w:p>
        </w:tc>
      </w:tr>
      <w:tr w:rsidR="004B7756" w:rsidRPr="00B528D0" w14:paraId="79710822"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31A09AF9" w14:textId="77777777" w:rsidR="004B7756" w:rsidRPr="003A426F" w:rsidRDefault="004B7756" w:rsidP="003A426F">
            <w:r w:rsidRPr="003A426F">
              <w:t>SA</w:t>
            </w:r>
          </w:p>
        </w:tc>
        <w:tc>
          <w:tcPr>
            <w:tcW w:w="0" w:type="auto"/>
          </w:tcPr>
          <w:p w14:paraId="7966145A"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14</w:t>
            </w:r>
          </w:p>
        </w:tc>
        <w:tc>
          <w:tcPr>
            <w:tcW w:w="0" w:type="auto"/>
          </w:tcPr>
          <w:p w14:paraId="5C27AEFD"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w:t>
            </w:r>
          </w:p>
        </w:tc>
      </w:tr>
      <w:tr w:rsidR="004B7756" w:rsidRPr="00B528D0" w14:paraId="273ADD77"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0051F398" w14:textId="77777777" w:rsidR="004B7756" w:rsidRPr="003A426F" w:rsidRDefault="004B7756" w:rsidP="003A426F">
            <w:r w:rsidRPr="003A426F">
              <w:t>TAS</w:t>
            </w:r>
          </w:p>
        </w:tc>
        <w:tc>
          <w:tcPr>
            <w:tcW w:w="0" w:type="auto"/>
          </w:tcPr>
          <w:p w14:paraId="62FACFC7"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7</w:t>
            </w:r>
          </w:p>
        </w:tc>
        <w:tc>
          <w:tcPr>
            <w:tcW w:w="0" w:type="auto"/>
          </w:tcPr>
          <w:p w14:paraId="4B020306"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5%</w:t>
            </w:r>
          </w:p>
        </w:tc>
      </w:tr>
      <w:tr w:rsidR="004B7756" w:rsidRPr="00B528D0" w14:paraId="69093683"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84EE15E" w14:textId="77777777" w:rsidR="004B7756" w:rsidRPr="003A426F" w:rsidRDefault="004B7756" w:rsidP="003A426F">
            <w:r w:rsidRPr="003A426F">
              <w:t>WA</w:t>
            </w:r>
          </w:p>
        </w:tc>
        <w:tc>
          <w:tcPr>
            <w:tcW w:w="0" w:type="auto"/>
          </w:tcPr>
          <w:p w14:paraId="2528A366"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Pr>
          <w:p w14:paraId="23114823"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2%</w:t>
            </w:r>
          </w:p>
        </w:tc>
      </w:tr>
      <w:tr w:rsidR="004B7756" w:rsidRPr="00B528D0" w14:paraId="4A6A692F"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217D2A97" w14:textId="77777777" w:rsidR="004B7756" w:rsidRPr="003A426F" w:rsidRDefault="004B7756" w:rsidP="003A426F">
            <w:r w:rsidRPr="003A426F">
              <w:t>NT</w:t>
            </w:r>
          </w:p>
        </w:tc>
        <w:tc>
          <w:tcPr>
            <w:tcW w:w="0" w:type="auto"/>
          </w:tcPr>
          <w:p w14:paraId="59D7A504"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Pr>
          <w:p w14:paraId="40E27334"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r>
      <w:tr w:rsidR="004B7756" w:rsidRPr="00B528D0" w14:paraId="2E14C4B1" w14:textId="77777777" w:rsidTr="00EB10D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6F51FB00" w14:textId="77777777" w:rsidR="004B7756" w:rsidRPr="00B528D0" w:rsidRDefault="004B7756" w:rsidP="00A76B05">
            <w:pPr>
              <w:pStyle w:val="Heading1Char"/>
            </w:pPr>
            <w:r w:rsidRPr="00B528D0">
              <w:t>Total</w:t>
            </w:r>
          </w:p>
        </w:tc>
        <w:tc>
          <w:tcPr>
            <w:tcW w:w="0" w:type="auto"/>
          </w:tcPr>
          <w:p w14:paraId="3717216B"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146</w:t>
            </w:r>
          </w:p>
        </w:tc>
        <w:tc>
          <w:tcPr>
            <w:tcW w:w="0" w:type="auto"/>
          </w:tcPr>
          <w:p w14:paraId="0D69C770"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100%</w:t>
            </w:r>
          </w:p>
        </w:tc>
      </w:tr>
    </w:tbl>
    <w:bookmarkEnd w:id="42"/>
    <w:p w14:paraId="6DCA8C32" w14:textId="690F4458" w:rsidR="004B7756" w:rsidRPr="001B7B17" w:rsidRDefault="004B7756" w:rsidP="001B7B17">
      <w:pPr>
        <w:rPr>
          <w:rStyle w:val="Emphasis"/>
        </w:rPr>
      </w:pPr>
      <w:r w:rsidRPr="001B7B17">
        <w:rPr>
          <w:rStyle w:val="Emphasis"/>
        </w:rPr>
        <w:t>*</w:t>
      </w:r>
      <w:proofErr w:type="gramStart"/>
      <w:r w:rsidRPr="001B7B17">
        <w:rPr>
          <w:rStyle w:val="Emphasis"/>
        </w:rPr>
        <w:t>respondents</w:t>
      </w:r>
      <w:proofErr w:type="gramEnd"/>
      <w:r w:rsidRPr="001B7B17">
        <w:rPr>
          <w:rStyle w:val="Emphasis"/>
        </w:rPr>
        <w:t xml:space="preserve"> could select multiple categories</w:t>
      </w:r>
    </w:p>
    <w:p w14:paraId="2AF598BB" w14:textId="3CF50D06" w:rsidR="004B7756" w:rsidRPr="001B7B17" w:rsidRDefault="0017155E" w:rsidP="0017155E">
      <w:pPr>
        <w:pStyle w:val="Caption"/>
      </w:pPr>
      <w:r>
        <w:t xml:space="preserve">Table </w:t>
      </w:r>
      <w:r>
        <w:fldChar w:fldCharType="begin"/>
      </w:r>
      <w:r>
        <w:instrText xml:space="preserve"> SEQ Table \* ARABIC </w:instrText>
      </w:r>
      <w:r>
        <w:fldChar w:fldCharType="separate"/>
      </w:r>
      <w:r w:rsidR="00EC3654">
        <w:rPr>
          <w:noProof/>
        </w:rPr>
        <w:t>3</w:t>
      </w:r>
      <w:r>
        <w:fldChar w:fldCharType="end"/>
      </w:r>
      <w:r w:rsidR="004B7756" w:rsidRPr="001B7B17">
        <w:t xml:space="preserve"> – Modified Monash Model (MMM) locations of provider respondents</w:t>
      </w:r>
    </w:p>
    <w:tbl>
      <w:tblPr>
        <w:tblStyle w:val="ListTable3"/>
        <w:tblW w:w="0" w:type="auto"/>
        <w:tblLook w:val="04A0" w:firstRow="1" w:lastRow="0" w:firstColumn="1" w:lastColumn="0" w:noHBand="0" w:noVBand="1"/>
      </w:tblPr>
      <w:tblGrid>
        <w:gridCol w:w="1842"/>
        <w:gridCol w:w="2320"/>
        <w:gridCol w:w="2552"/>
      </w:tblGrid>
      <w:tr w:rsidR="00FA4F7E" w:rsidRPr="00B528D0" w14:paraId="2D152F64" w14:textId="77777777" w:rsidTr="0017155E">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14:paraId="2AF10AD0" w14:textId="77777777" w:rsidR="004B7756" w:rsidRPr="003A426F" w:rsidRDefault="004B7756" w:rsidP="0017155E">
            <w:pPr>
              <w:pStyle w:val="TableofAuthorities"/>
            </w:pPr>
            <w:r w:rsidRPr="003A426F">
              <w:t>MMM categories</w:t>
            </w:r>
          </w:p>
        </w:tc>
        <w:tc>
          <w:tcPr>
            <w:tcW w:w="0" w:type="auto"/>
            <w:vAlign w:val="center"/>
          </w:tcPr>
          <w:p w14:paraId="7C388EF9" w14:textId="77777777" w:rsidR="004B7756" w:rsidRPr="003A426F"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Number of responses</w:t>
            </w:r>
          </w:p>
        </w:tc>
        <w:tc>
          <w:tcPr>
            <w:tcW w:w="0" w:type="auto"/>
            <w:vAlign w:val="center"/>
          </w:tcPr>
          <w:p w14:paraId="20D1D641" w14:textId="77777777" w:rsidR="004B7756" w:rsidRPr="003A426F"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Proportion of responses</w:t>
            </w:r>
          </w:p>
        </w:tc>
      </w:tr>
      <w:tr w:rsidR="004B7756" w:rsidRPr="00B528D0" w14:paraId="25755EF4" w14:textId="77777777" w:rsidTr="0017155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20C7D683" w14:textId="77777777" w:rsidR="004B7756" w:rsidRPr="003A426F" w:rsidRDefault="004B7756" w:rsidP="003A426F">
            <w:r w:rsidRPr="003A426F">
              <w:t>MM1</w:t>
            </w:r>
          </w:p>
        </w:tc>
        <w:tc>
          <w:tcPr>
            <w:tcW w:w="0" w:type="auto"/>
          </w:tcPr>
          <w:p w14:paraId="2D7D287F"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25</w:t>
            </w:r>
          </w:p>
        </w:tc>
        <w:tc>
          <w:tcPr>
            <w:tcW w:w="0" w:type="auto"/>
          </w:tcPr>
          <w:p w14:paraId="35875FDD"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69%</w:t>
            </w:r>
          </w:p>
        </w:tc>
      </w:tr>
      <w:tr w:rsidR="004B7756" w:rsidRPr="00B528D0" w14:paraId="318B6115" w14:textId="77777777" w:rsidTr="0017155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22C87CED" w14:textId="77777777" w:rsidR="004B7756" w:rsidRPr="003A426F" w:rsidRDefault="004B7756" w:rsidP="003A426F">
            <w:r w:rsidRPr="003A426F">
              <w:t>MM2</w:t>
            </w:r>
          </w:p>
        </w:tc>
        <w:tc>
          <w:tcPr>
            <w:tcW w:w="0" w:type="auto"/>
          </w:tcPr>
          <w:p w14:paraId="006D521D"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19</w:t>
            </w:r>
          </w:p>
        </w:tc>
        <w:tc>
          <w:tcPr>
            <w:tcW w:w="0" w:type="auto"/>
          </w:tcPr>
          <w:p w14:paraId="7CF3D6FB"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53%</w:t>
            </w:r>
          </w:p>
        </w:tc>
      </w:tr>
      <w:tr w:rsidR="004B7756" w:rsidRPr="00B528D0" w14:paraId="01B33F13" w14:textId="77777777" w:rsidTr="0017155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4B18386C" w14:textId="77777777" w:rsidR="004B7756" w:rsidRPr="003A426F" w:rsidRDefault="004B7756" w:rsidP="003A426F">
            <w:r w:rsidRPr="003A426F">
              <w:t>MM3</w:t>
            </w:r>
          </w:p>
        </w:tc>
        <w:tc>
          <w:tcPr>
            <w:tcW w:w="0" w:type="auto"/>
          </w:tcPr>
          <w:p w14:paraId="7B39603F"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14</w:t>
            </w:r>
          </w:p>
        </w:tc>
        <w:tc>
          <w:tcPr>
            <w:tcW w:w="0" w:type="auto"/>
          </w:tcPr>
          <w:p w14:paraId="632E48FF"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39%</w:t>
            </w:r>
          </w:p>
        </w:tc>
      </w:tr>
      <w:tr w:rsidR="004B7756" w:rsidRPr="00B528D0" w14:paraId="265B0112" w14:textId="77777777" w:rsidTr="0017155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5487669C" w14:textId="77777777" w:rsidR="004B7756" w:rsidRPr="003A426F" w:rsidRDefault="004B7756" w:rsidP="003A426F">
            <w:r w:rsidRPr="003A426F">
              <w:t>MM4</w:t>
            </w:r>
          </w:p>
        </w:tc>
        <w:tc>
          <w:tcPr>
            <w:tcW w:w="0" w:type="auto"/>
          </w:tcPr>
          <w:p w14:paraId="69785D0B"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12</w:t>
            </w:r>
          </w:p>
        </w:tc>
        <w:tc>
          <w:tcPr>
            <w:tcW w:w="0" w:type="auto"/>
          </w:tcPr>
          <w:p w14:paraId="49964ED4"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33%</w:t>
            </w:r>
          </w:p>
        </w:tc>
      </w:tr>
      <w:tr w:rsidR="004B7756" w:rsidRPr="00B528D0" w14:paraId="526373A3" w14:textId="77777777" w:rsidTr="0017155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0C44D227" w14:textId="77777777" w:rsidR="004B7756" w:rsidRPr="003A426F" w:rsidRDefault="004B7756" w:rsidP="003A426F">
            <w:r w:rsidRPr="003A426F">
              <w:t>MM5</w:t>
            </w:r>
          </w:p>
        </w:tc>
        <w:tc>
          <w:tcPr>
            <w:tcW w:w="0" w:type="auto"/>
          </w:tcPr>
          <w:p w14:paraId="473EE800"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10</w:t>
            </w:r>
          </w:p>
        </w:tc>
        <w:tc>
          <w:tcPr>
            <w:tcW w:w="0" w:type="auto"/>
          </w:tcPr>
          <w:p w14:paraId="53572CED"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28%</w:t>
            </w:r>
          </w:p>
        </w:tc>
      </w:tr>
      <w:tr w:rsidR="004B7756" w:rsidRPr="00B528D0" w14:paraId="7420DB33" w14:textId="77777777" w:rsidTr="0017155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4C581180" w14:textId="77777777" w:rsidR="004B7756" w:rsidRPr="003A426F" w:rsidRDefault="004B7756" w:rsidP="003A426F">
            <w:r w:rsidRPr="003A426F">
              <w:t>MM6</w:t>
            </w:r>
          </w:p>
        </w:tc>
        <w:tc>
          <w:tcPr>
            <w:tcW w:w="0" w:type="auto"/>
          </w:tcPr>
          <w:p w14:paraId="69A43ACE"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Pr>
          <w:p w14:paraId="5C70F2D6"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8%</w:t>
            </w:r>
          </w:p>
        </w:tc>
      </w:tr>
      <w:tr w:rsidR="004B7756" w:rsidRPr="00B528D0" w14:paraId="799722E8" w14:textId="77777777" w:rsidTr="0017155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2B861D1A" w14:textId="77777777" w:rsidR="004B7756" w:rsidRPr="003A426F" w:rsidRDefault="004B7756" w:rsidP="003A426F">
            <w:r w:rsidRPr="003A426F">
              <w:t>MM7</w:t>
            </w:r>
          </w:p>
        </w:tc>
        <w:tc>
          <w:tcPr>
            <w:tcW w:w="0" w:type="auto"/>
          </w:tcPr>
          <w:p w14:paraId="531745BC"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3</w:t>
            </w:r>
          </w:p>
        </w:tc>
        <w:tc>
          <w:tcPr>
            <w:tcW w:w="0" w:type="auto"/>
          </w:tcPr>
          <w:p w14:paraId="3EDB2E97"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8%</w:t>
            </w:r>
          </w:p>
        </w:tc>
      </w:tr>
      <w:tr w:rsidR="004B7756" w:rsidRPr="00B528D0" w14:paraId="718CB60D" w14:textId="77777777" w:rsidTr="0017155E">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36230622" w14:textId="77777777" w:rsidR="004B7756" w:rsidRPr="003A426F" w:rsidRDefault="004B7756" w:rsidP="003A426F">
            <w:r w:rsidRPr="003A426F">
              <w:t>Not sure</w:t>
            </w:r>
          </w:p>
        </w:tc>
        <w:tc>
          <w:tcPr>
            <w:tcW w:w="0" w:type="auto"/>
          </w:tcPr>
          <w:p w14:paraId="78AF16E5"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w:t>
            </w:r>
          </w:p>
        </w:tc>
        <w:tc>
          <w:tcPr>
            <w:tcW w:w="0" w:type="auto"/>
          </w:tcPr>
          <w:p w14:paraId="700E5982"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28%</w:t>
            </w:r>
          </w:p>
        </w:tc>
      </w:tr>
      <w:tr w:rsidR="004B7756" w:rsidRPr="00B528D0" w14:paraId="655152DB" w14:textId="77777777" w:rsidTr="0017155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3E310B3B" w14:textId="77777777" w:rsidR="004B7756" w:rsidRPr="00B528D0" w:rsidRDefault="004B7756" w:rsidP="00A76B05">
            <w:pPr>
              <w:pStyle w:val="Heading1Char"/>
            </w:pPr>
            <w:r w:rsidRPr="00B528D0">
              <w:t>Total</w:t>
            </w:r>
          </w:p>
        </w:tc>
        <w:tc>
          <w:tcPr>
            <w:tcW w:w="0" w:type="auto"/>
          </w:tcPr>
          <w:p w14:paraId="7A88AFAC"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96</w:t>
            </w:r>
          </w:p>
        </w:tc>
        <w:tc>
          <w:tcPr>
            <w:tcW w:w="0" w:type="auto"/>
          </w:tcPr>
          <w:p w14:paraId="68C84022" w14:textId="77777777" w:rsidR="004B7756" w:rsidRPr="00B528D0" w:rsidRDefault="004B7756" w:rsidP="00A76B05">
            <w:pPr>
              <w:pStyle w:val="Heading1Char"/>
              <w:cnfStyle w:val="000000100000" w:firstRow="0" w:lastRow="0" w:firstColumn="0" w:lastColumn="0" w:oddVBand="0" w:evenVBand="0" w:oddHBand="1" w:evenHBand="0" w:firstRowFirstColumn="0" w:firstRowLastColumn="0" w:lastRowFirstColumn="0" w:lastRowLastColumn="0"/>
            </w:pPr>
            <w:r w:rsidRPr="00B528D0">
              <w:t>100%</w:t>
            </w:r>
          </w:p>
        </w:tc>
      </w:tr>
    </w:tbl>
    <w:p w14:paraId="77C0F837" w14:textId="77777777" w:rsidR="0061193D" w:rsidRPr="00D04C0D" w:rsidRDefault="0061193D" w:rsidP="00D04C0D">
      <w:r>
        <w:rPr>
          <w:lang w:val="en-AU" w:eastAsia="zh-CN"/>
        </w:rPr>
        <w:br w:type="page"/>
      </w:r>
    </w:p>
    <w:p w14:paraId="380AB696" w14:textId="49F86BB9" w:rsidR="004B7756" w:rsidRPr="001D6174" w:rsidRDefault="0017155E" w:rsidP="0017155E">
      <w:pPr>
        <w:pStyle w:val="Caption"/>
      </w:pPr>
      <w:r>
        <w:lastRenderedPageBreak/>
        <w:t xml:space="preserve">Table </w:t>
      </w:r>
      <w:r>
        <w:fldChar w:fldCharType="begin"/>
      </w:r>
      <w:r>
        <w:instrText xml:space="preserve"> SEQ Table \* ARABIC </w:instrText>
      </w:r>
      <w:r>
        <w:fldChar w:fldCharType="separate"/>
      </w:r>
      <w:r w:rsidR="00EC3654">
        <w:rPr>
          <w:noProof/>
        </w:rPr>
        <w:t>4</w:t>
      </w:r>
      <w:r>
        <w:fldChar w:fldCharType="end"/>
      </w:r>
      <w:r w:rsidR="004B7756" w:rsidRPr="001D6174">
        <w:t xml:space="preserve"> – Number of selections of MMM models</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320"/>
        <w:gridCol w:w="2552"/>
      </w:tblGrid>
      <w:tr w:rsidR="004B7756" w:rsidRPr="00B528D0" w14:paraId="7CC3FB8D"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1E1545" w:themeFill="text1"/>
            <w:vAlign w:val="center"/>
          </w:tcPr>
          <w:p w14:paraId="0E0B5F3A" w14:textId="77777777" w:rsidR="004B7756" w:rsidRPr="003A426F" w:rsidRDefault="004B7756" w:rsidP="0017155E">
            <w:pPr>
              <w:pStyle w:val="TableofAuthorities"/>
            </w:pPr>
            <w:r w:rsidRPr="003A426F">
              <w:t>Number of selections</w:t>
            </w:r>
          </w:p>
        </w:tc>
        <w:tc>
          <w:tcPr>
            <w:tcW w:w="0" w:type="auto"/>
            <w:tcBorders>
              <w:bottom w:val="none" w:sz="0" w:space="0" w:color="auto"/>
            </w:tcBorders>
            <w:shd w:val="clear" w:color="auto" w:fill="1E1545" w:themeFill="text1"/>
            <w:vAlign w:val="center"/>
          </w:tcPr>
          <w:p w14:paraId="6550F987" w14:textId="77777777" w:rsidR="004B7756" w:rsidRPr="003A426F"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Number of responses</w:t>
            </w:r>
          </w:p>
        </w:tc>
        <w:tc>
          <w:tcPr>
            <w:tcW w:w="0" w:type="auto"/>
            <w:tcBorders>
              <w:bottom w:val="none" w:sz="0" w:space="0" w:color="auto"/>
            </w:tcBorders>
            <w:shd w:val="clear" w:color="auto" w:fill="1E1545" w:themeFill="text1"/>
            <w:vAlign w:val="center"/>
          </w:tcPr>
          <w:p w14:paraId="6E81987E" w14:textId="77777777" w:rsidR="004B7756" w:rsidRPr="003A426F" w:rsidRDefault="004B7756"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Proportion of responses</w:t>
            </w:r>
          </w:p>
        </w:tc>
      </w:tr>
      <w:tr w:rsidR="004B7756" w:rsidRPr="00B528D0" w14:paraId="7D9E4414"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965214" w14:textId="77777777" w:rsidR="004B7756" w:rsidRPr="003A426F" w:rsidRDefault="004B7756" w:rsidP="003A426F">
            <w:r w:rsidRPr="003A426F">
              <w:t>1</w:t>
            </w:r>
          </w:p>
        </w:tc>
        <w:tc>
          <w:tcPr>
            <w:tcW w:w="0" w:type="auto"/>
            <w:vAlign w:val="center"/>
          </w:tcPr>
          <w:p w14:paraId="72D7747F"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16</w:t>
            </w:r>
          </w:p>
        </w:tc>
        <w:tc>
          <w:tcPr>
            <w:tcW w:w="0" w:type="auto"/>
            <w:vAlign w:val="center"/>
          </w:tcPr>
          <w:p w14:paraId="4E9D24EC"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44%</w:t>
            </w:r>
          </w:p>
        </w:tc>
      </w:tr>
      <w:tr w:rsidR="004B7756" w:rsidRPr="00B528D0" w14:paraId="2890D998"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3BA6A502" w14:textId="77777777" w:rsidR="004B7756" w:rsidRPr="003A426F" w:rsidRDefault="004B7756" w:rsidP="003A426F">
            <w:r w:rsidRPr="003A426F">
              <w:t>2</w:t>
            </w:r>
          </w:p>
        </w:tc>
        <w:tc>
          <w:tcPr>
            <w:tcW w:w="0" w:type="auto"/>
            <w:tcBorders>
              <w:bottom w:val="single" w:sz="4" w:space="0" w:color="2AB1BB" w:themeColor="accent1"/>
            </w:tcBorders>
            <w:vAlign w:val="center"/>
          </w:tcPr>
          <w:p w14:paraId="03150D61"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9</w:t>
            </w:r>
          </w:p>
        </w:tc>
        <w:tc>
          <w:tcPr>
            <w:tcW w:w="0" w:type="auto"/>
            <w:tcBorders>
              <w:bottom w:val="single" w:sz="4" w:space="0" w:color="2AB1BB" w:themeColor="accent1"/>
            </w:tcBorders>
            <w:vAlign w:val="center"/>
          </w:tcPr>
          <w:p w14:paraId="59AEF8EF"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25%</w:t>
            </w:r>
          </w:p>
        </w:tc>
      </w:tr>
      <w:tr w:rsidR="004B7756" w:rsidRPr="00B528D0" w14:paraId="77DB3EB8"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57F874DC" w14:textId="77777777" w:rsidR="004B7756" w:rsidRPr="003A426F" w:rsidRDefault="004B7756" w:rsidP="003A426F">
            <w:r w:rsidRPr="003A426F">
              <w:t>3</w:t>
            </w:r>
          </w:p>
        </w:tc>
        <w:tc>
          <w:tcPr>
            <w:tcW w:w="0" w:type="auto"/>
            <w:tcBorders>
              <w:top w:val="single" w:sz="4" w:space="0" w:color="2AB1BB" w:themeColor="accent1"/>
              <w:bottom w:val="single" w:sz="4" w:space="0" w:color="2AB1BB" w:themeColor="accent1"/>
            </w:tcBorders>
            <w:vAlign w:val="center"/>
          </w:tcPr>
          <w:p w14:paraId="71A7F130"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52DCB366"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r>
      <w:tr w:rsidR="004B7756" w:rsidRPr="00B528D0" w14:paraId="01E6863D"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310223E9" w14:textId="77777777" w:rsidR="004B7756" w:rsidRPr="003A426F" w:rsidRDefault="004B7756" w:rsidP="003A426F">
            <w:r w:rsidRPr="003A426F">
              <w:t>4</w:t>
            </w:r>
          </w:p>
        </w:tc>
        <w:tc>
          <w:tcPr>
            <w:tcW w:w="0" w:type="auto"/>
            <w:tcBorders>
              <w:top w:val="single" w:sz="4" w:space="0" w:color="2AB1BB" w:themeColor="accent1"/>
              <w:bottom w:val="single" w:sz="4" w:space="0" w:color="2AB1BB" w:themeColor="accent1"/>
            </w:tcBorders>
            <w:vAlign w:val="center"/>
          </w:tcPr>
          <w:p w14:paraId="3A288048"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6</w:t>
            </w:r>
          </w:p>
        </w:tc>
        <w:tc>
          <w:tcPr>
            <w:tcW w:w="0" w:type="auto"/>
            <w:tcBorders>
              <w:top w:val="single" w:sz="4" w:space="0" w:color="2AB1BB" w:themeColor="accent1"/>
              <w:bottom w:val="single" w:sz="4" w:space="0" w:color="2AB1BB" w:themeColor="accent1"/>
            </w:tcBorders>
            <w:vAlign w:val="center"/>
          </w:tcPr>
          <w:p w14:paraId="3ECE0D71"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17%</w:t>
            </w:r>
          </w:p>
        </w:tc>
      </w:tr>
      <w:tr w:rsidR="004B7756" w:rsidRPr="00B528D0" w14:paraId="7E29FD86"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03B89201" w14:textId="77777777" w:rsidR="004B7756" w:rsidRPr="003A426F" w:rsidRDefault="004B7756" w:rsidP="003A426F">
            <w:r w:rsidRPr="003A426F">
              <w:t>5</w:t>
            </w:r>
          </w:p>
        </w:tc>
        <w:tc>
          <w:tcPr>
            <w:tcW w:w="0" w:type="auto"/>
            <w:tcBorders>
              <w:top w:val="single" w:sz="4" w:space="0" w:color="2AB1BB" w:themeColor="accent1"/>
              <w:bottom w:val="single" w:sz="4" w:space="0" w:color="2AB1BB" w:themeColor="accent1"/>
            </w:tcBorders>
            <w:vAlign w:val="center"/>
          </w:tcPr>
          <w:p w14:paraId="5AC5DA8D"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735E27CE"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r>
      <w:tr w:rsidR="004B7756" w:rsidRPr="00B528D0" w14:paraId="5C4A7221"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2BEFE8E7" w14:textId="77777777" w:rsidR="004B7756" w:rsidRPr="003A426F" w:rsidRDefault="004B7756" w:rsidP="003A426F">
            <w:r w:rsidRPr="003A426F">
              <w:t>6</w:t>
            </w:r>
          </w:p>
        </w:tc>
        <w:tc>
          <w:tcPr>
            <w:tcW w:w="0" w:type="auto"/>
            <w:tcBorders>
              <w:top w:val="single" w:sz="4" w:space="0" w:color="2AB1BB" w:themeColor="accent1"/>
              <w:bottom w:val="single" w:sz="4" w:space="0" w:color="2AB1BB" w:themeColor="accent1"/>
            </w:tcBorders>
            <w:vAlign w:val="center"/>
          </w:tcPr>
          <w:p w14:paraId="2DC6BD10"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3C4FCBCE"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r>
      <w:tr w:rsidR="004B7756" w:rsidRPr="00B528D0" w14:paraId="08E85CA2"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2F094317" w14:textId="77777777" w:rsidR="004B7756" w:rsidRPr="003A426F" w:rsidRDefault="004B7756" w:rsidP="003A426F">
            <w:r w:rsidRPr="003A426F">
              <w:t>7</w:t>
            </w:r>
          </w:p>
        </w:tc>
        <w:tc>
          <w:tcPr>
            <w:tcW w:w="0" w:type="auto"/>
            <w:tcBorders>
              <w:top w:val="single" w:sz="4" w:space="0" w:color="2AB1BB" w:themeColor="accent1"/>
              <w:bottom w:val="single" w:sz="4" w:space="0" w:color="2AB1BB" w:themeColor="accent1"/>
            </w:tcBorders>
            <w:vAlign w:val="center"/>
          </w:tcPr>
          <w:p w14:paraId="115FA0CD"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2</w:t>
            </w:r>
          </w:p>
        </w:tc>
        <w:tc>
          <w:tcPr>
            <w:tcW w:w="0" w:type="auto"/>
            <w:tcBorders>
              <w:top w:val="single" w:sz="4" w:space="0" w:color="2AB1BB" w:themeColor="accent1"/>
              <w:bottom w:val="single" w:sz="4" w:space="0" w:color="2AB1BB" w:themeColor="accent1"/>
            </w:tcBorders>
            <w:vAlign w:val="center"/>
          </w:tcPr>
          <w:p w14:paraId="1CA88AFA"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6%</w:t>
            </w:r>
          </w:p>
        </w:tc>
      </w:tr>
      <w:tr w:rsidR="004B7756" w:rsidRPr="00B528D0" w14:paraId="5124932F"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55367516" w14:textId="77777777" w:rsidR="004B7756" w:rsidRPr="00B528D0" w:rsidRDefault="004B7756" w:rsidP="00A76B05">
            <w:pPr>
              <w:pStyle w:val="Heading1Char"/>
            </w:pPr>
            <w:r w:rsidRPr="00B528D0">
              <w:t>Total</w:t>
            </w:r>
          </w:p>
        </w:tc>
        <w:tc>
          <w:tcPr>
            <w:tcW w:w="0" w:type="auto"/>
            <w:tcBorders>
              <w:top w:val="single" w:sz="4" w:space="0" w:color="2AB1BB" w:themeColor="accent1"/>
            </w:tcBorders>
            <w:vAlign w:val="center"/>
          </w:tcPr>
          <w:p w14:paraId="2536BCB6"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36</w:t>
            </w:r>
          </w:p>
        </w:tc>
        <w:tc>
          <w:tcPr>
            <w:tcW w:w="0" w:type="auto"/>
            <w:tcBorders>
              <w:top w:val="single" w:sz="4" w:space="0" w:color="2AB1BB" w:themeColor="accent1"/>
            </w:tcBorders>
            <w:vAlign w:val="center"/>
          </w:tcPr>
          <w:p w14:paraId="3FF2654A" w14:textId="77777777" w:rsidR="004B7756" w:rsidRPr="00B528D0" w:rsidRDefault="004B7756"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100%</w:t>
            </w:r>
          </w:p>
        </w:tc>
      </w:tr>
    </w:tbl>
    <w:p w14:paraId="4BA7DD57" w14:textId="19D6F709" w:rsidR="004B7756" w:rsidRPr="001D6174" w:rsidRDefault="0017155E" w:rsidP="0017155E">
      <w:pPr>
        <w:pStyle w:val="Caption"/>
      </w:pPr>
      <w:r>
        <w:t xml:space="preserve">Table </w:t>
      </w:r>
      <w:r>
        <w:fldChar w:fldCharType="begin"/>
      </w:r>
      <w:r>
        <w:instrText xml:space="preserve"> SEQ Table \* ARABIC </w:instrText>
      </w:r>
      <w:r>
        <w:fldChar w:fldCharType="separate"/>
      </w:r>
      <w:r w:rsidR="00EC3654">
        <w:rPr>
          <w:noProof/>
        </w:rPr>
        <w:t>5</w:t>
      </w:r>
      <w:r>
        <w:fldChar w:fldCharType="end"/>
      </w:r>
      <w:r w:rsidR="004B7756" w:rsidRPr="001D6174">
        <w:t xml:space="preserve"> – Provider size (bed numbers) – provider responses</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2320"/>
        <w:gridCol w:w="2552"/>
      </w:tblGrid>
      <w:tr w:rsidR="000311F2" w:rsidRPr="00B528D0" w14:paraId="69AE2DC7"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shd w:val="clear" w:color="auto" w:fill="1E1545" w:themeFill="text1"/>
            <w:vAlign w:val="center"/>
          </w:tcPr>
          <w:p w14:paraId="7E49CE4D" w14:textId="780059F4" w:rsidR="000311F2" w:rsidRPr="003A426F" w:rsidRDefault="00206D03" w:rsidP="0017155E">
            <w:pPr>
              <w:pStyle w:val="TableofAuthorities"/>
            </w:pPr>
            <w:r w:rsidRPr="003A426F">
              <w:t>Provider size</w:t>
            </w:r>
          </w:p>
        </w:tc>
        <w:tc>
          <w:tcPr>
            <w:tcW w:w="0" w:type="auto"/>
            <w:tcBorders>
              <w:bottom w:val="single" w:sz="4" w:space="0" w:color="2AB1BB" w:themeColor="accent1"/>
            </w:tcBorders>
            <w:shd w:val="clear" w:color="auto" w:fill="1E1545" w:themeFill="text1"/>
            <w:vAlign w:val="center"/>
          </w:tcPr>
          <w:p w14:paraId="707C67F7" w14:textId="77777777" w:rsidR="000311F2" w:rsidRPr="003A426F" w:rsidRDefault="000311F2"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Number of responses</w:t>
            </w:r>
          </w:p>
        </w:tc>
        <w:tc>
          <w:tcPr>
            <w:tcW w:w="0" w:type="auto"/>
            <w:tcBorders>
              <w:bottom w:val="single" w:sz="4" w:space="0" w:color="2AB1BB" w:themeColor="accent1"/>
            </w:tcBorders>
            <w:shd w:val="clear" w:color="auto" w:fill="1E1545" w:themeFill="text1"/>
            <w:vAlign w:val="center"/>
          </w:tcPr>
          <w:p w14:paraId="6FAD62A4" w14:textId="77777777" w:rsidR="000311F2" w:rsidRPr="003A426F" w:rsidRDefault="000311F2"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Proportion of responses</w:t>
            </w:r>
          </w:p>
        </w:tc>
      </w:tr>
      <w:tr w:rsidR="000311F2" w:rsidRPr="00B528D0" w14:paraId="5C3F7741"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5A1F2367" w14:textId="1458F2A4" w:rsidR="000311F2" w:rsidRPr="003A426F" w:rsidRDefault="000311F2" w:rsidP="003A426F">
            <w:r w:rsidRPr="003A426F">
              <w:t>1-50 beds</w:t>
            </w:r>
          </w:p>
        </w:tc>
        <w:tc>
          <w:tcPr>
            <w:tcW w:w="0" w:type="auto"/>
            <w:tcBorders>
              <w:top w:val="single" w:sz="4" w:space="0" w:color="2AB1BB" w:themeColor="accent1"/>
            </w:tcBorders>
            <w:vAlign w:val="center"/>
          </w:tcPr>
          <w:p w14:paraId="779E06C6" w14:textId="351EFB2E"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w:t>
            </w:r>
          </w:p>
        </w:tc>
        <w:tc>
          <w:tcPr>
            <w:tcW w:w="0" w:type="auto"/>
            <w:tcBorders>
              <w:top w:val="single" w:sz="4" w:space="0" w:color="2AB1BB" w:themeColor="accent1"/>
            </w:tcBorders>
            <w:vAlign w:val="center"/>
          </w:tcPr>
          <w:p w14:paraId="0476CA67" w14:textId="34D15DB0"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16%</w:t>
            </w:r>
          </w:p>
        </w:tc>
      </w:tr>
      <w:tr w:rsidR="000311F2" w:rsidRPr="00B528D0" w14:paraId="4F6ED37F"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09CEEE67" w14:textId="342874CB" w:rsidR="000311F2" w:rsidRPr="003A426F" w:rsidRDefault="000311F2" w:rsidP="003A426F">
            <w:r w:rsidRPr="003A426F">
              <w:t>51-200</w:t>
            </w:r>
          </w:p>
        </w:tc>
        <w:tc>
          <w:tcPr>
            <w:tcW w:w="0" w:type="auto"/>
            <w:tcBorders>
              <w:bottom w:val="single" w:sz="4" w:space="0" w:color="2AB1BB" w:themeColor="accent1"/>
            </w:tcBorders>
            <w:vAlign w:val="center"/>
          </w:tcPr>
          <w:p w14:paraId="629CAD92" w14:textId="3FCEBBB6"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19</w:t>
            </w:r>
          </w:p>
        </w:tc>
        <w:tc>
          <w:tcPr>
            <w:tcW w:w="0" w:type="auto"/>
            <w:tcBorders>
              <w:bottom w:val="single" w:sz="4" w:space="0" w:color="2AB1BB" w:themeColor="accent1"/>
            </w:tcBorders>
            <w:vAlign w:val="center"/>
          </w:tcPr>
          <w:p w14:paraId="2FBBB72C" w14:textId="2DA468D2"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30%</w:t>
            </w:r>
          </w:p>
        </w:tc>
      </w:tr>
      <w:tr w:rsidR="000311F2" w:rsidRPr="00B528D0" w14:paraId="26B0313E"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69B49809" w14:textId="5C43C086" w:rsidR="000311F2" w:rsidRPr="003A426F" w:rsidRDefault="000311F2" w:rsidP="003A426F">
            <w:r w:rsidRPr="003A426F">
              <w:t>201-500</w:t>
            </w:r>
          </w:p>
        </w:tc>
        <w:tc>
          <w:tcPr>
            <w:tcW w:w="0" w:type="auto"/>
            <w:tcBorders>
              <w:top w:val="single" w:sz="4" w:space="0" w:color="2AB1BB" w:themeColor="accent1"/>
              <w:bottom w:val="single" w:sz="4" w:space="0" w:color="2AB1BB" w:themeColor="accent1"/>
            </w:tcBorders>
            <w:vAlign w:val="center"/>
          </w:tcPr>
          <w:p w14:paraId="5039767F" w14:textId="0F6E3537"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0" w:type="auto"/>
            <w:tcBorders>
              <w:top w:val="single" w:sz="4" w:space="0" w:color="2AB1BB" w:themeColor="accent1"/>
              <w:bottom w:val="single" w:sz="4" w:space="0" w:color="2AB1BB" w:themeColor="accent1"/>
            </w:tcBorders>
            <w:vAlign w:val="center"/>
          </w:tcPr>
          <w:p w14:paraId="4783CF30" w14:textId="15226D6B"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6%</w:t>
            </w:r>
          </w:p>
        </w:tc>
      </w:tr>
      <w:tr w:rsidR="000311F2" w:rsidRPr="00B528D0" w14:paraId="32535575"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505DD1F8" w14:textId="0E6BC393" w:rsidR="000311F2" w:rsidRPr="003A426F" w:rsidRDefault="000311F2" w:rsidP="003A426F">
            <w:r w:rsidRPr="003A426F">
              <w:t>501-2,000</w:t>
            </w:r>
          </w:p>
        </w:tc>
        <w:tc>
          <w:tcPr>
            <w:tcW w:w="0" w:type="auto"/>
            <w:tcBorders>
              <w:top w:val="single" w:sz="4" w:space="0" w:color="2AB1BB" w:themeColor="accent1"/>
              <w:bottom w:val="single" w:sz="4" w:space="0" w:color="2AB1BB" w:themeColor="accent1"/>
            </w:tcBorders>
            <w:vAlign w:val="center"/>
          </w:tcPr>
          <w:p w14:paraId="3A4CE4A5" w14:textId="7FB896DA"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13</w:t>
            </w:r>
          </w:p>
        </w:tc>
        <w:tc>
          <w:tcPr>
            <w:tcW w:w="0" w:type="auto"/>
            <w:tcBorders>
              <w:top w:val="single" w:sz="4" w:space="0" w:color="2AB1BB" w:themeColor="accent1"/>
              <w:bottom w:val="single" w:sz="4" w:space="0" w:color="2AB1BB" w:themeColor="accent1"/>
            </w:tcBorders>
            <w:vAlign w:val="center"/>
          </w:tcPr>
          <w:p w14:paraId="32EC67B5" w14:textId="39794E8C"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21%</w:t>
            </w:r>
          </w:p>
        </w:tc>
      </w:tr>
      <w:tr w:rsidR="000311F2" w:rsidRPr="00B528D0" w14:paraId="27F8A668"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42024704" w14:textId="59626D5E" w:rsidR="000311F2" w:rsidRPr="003A426F" w:rsidRDefault="000311F2" w:rsidP="003A426F">
            <w:r w:rsidRPr="003A426F">
              <w:t>2,000+ beds</w:t>
            </w:r>
          </w:p>
        </w:tc>
        <w:tc>
          <w:tcPr>
            <w:tcW w:w="0" w:type="auto"/>
            <w:tcBorders>
              <w:top w:val="single" w:sz="4" w:space="0" w:color="2AB1BB" w:themeColor="accent1"/>
              <w:bottom w:val="single" w:sz="4" w:space="0" w:color="2AB1BB" w:themeColor="accent1"/>
            </w:tcBorders>
            <w:vAlign w:val="center"/>
          </w:tcPr>
          <w:p w14:paraId="6C6B324D" w14:textId="1FD71C58"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17</w:t>
            </w:r>
          </w:p>
        </w:tc>
        <w:tc>
          <w:tcPr>
            <w:tcW w:w="0" w:type="auto"/>
            <w:tcBorders>
              <w:top w:val="single" w:sz="4" w:space="0" w:color="2AB1BB" w:themeColor="accent1"/>
              <w:bottom w:val="single" w:sz="4" w:space="0" w:color="2AB1BB" w:themeColor="accent1"/>
            </w:tcBorders>
            <w:vAlign w:val="center"/>
          </w:tcPr>
          <w:p w14:paraId="6775A99C" w14:textId="7EA01BE5"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27%</w:t>
            </w:r>
          </w:p>
        </w:tc>
      </w:tr>
      <w:tr w:rsidR="000311F2" w:rsidRPr="00B528D0" w14:paraId="2629A399" w14:textId="77777777" w:rsidTr="00C62D3D">
        <w:trPr>
          <w:trHeight w:val="3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0914AA5E" w14:textId="430B3610" w:rsidR="000311F2" w:rsidRPr="003A426F" w:rsidRDefault="000311F2" w:rsidP="003A426F">
            <w:r w:rsidRPr="003A426F">
              <w:t>Total</w:t>
            </w:r>
          </w:p>
        </w:tc>
        <w:tc>
          <w:tcPr>
            <w:tcW w:w="0" w:type="auto"/>
            <w:tcBorders>
              <w:top w:val="single" w:sz="4" w:space="0" w:color="2AB1BB" w:themeColor="accent1"/>
              <w:bottom w:val="single" w:sz="4" w:space="0" w:color="2AB1BB" w:themeColor="accent1"/>
            </w:tcBorders>
            <w:vAlign w:val="center"/>
          </w:tcPr>
          <w:p w14:paraId="78D88FAB" w14:textId="6847BABE"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63</w:t>
            </w:r>
          </w:p>
        </w:tc>
        <w:tc>
          <w:tcPr>
            <w:tcW w:w="0" w:type="auto"/>
            <w:tcBorders>
              <w:top w:val="single" w:sz="4" w:space="0" w:color="2AB1BB" w:themeColor="accent1"/>
              <w:bottom w:val="single" w:sz="4" w:space="0" w:color="2AB1BB" w:themeColor="accent1"/>
            </w:tcBorders>
            <w:vAlign w:val="center"/>
          </w:tcPr>
          <w:p w14:paraId="270C83D1" w14:textId="38EE0234" w:rsidR="000311F2" w:rsidRPr="00B528D0" w:rsidRDefault="000311F2"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100%</w:t>
            </w:r>
          </w:p>
        </w:tc>
      </w:tr>
    </w:tbl>
    <w:p w14:paraId="396D540C" w14:textId="76AFED00" w:rsidR="004B7756" w:rsidRPr="001D6174" w:rsidRDefault="0017155E" w:rsidP="0017155E">
      <w:pPr>
        <w:pStyle w:val="Caption"/>
        <w:pageBreakBefore/>
      </w:pPr>
      <w:r>
        <w:lastRenderedPageBreak/>
        <w:t xml:space="preserve">Table </w:t>
      </w:r>
      <w:r>
        <w:fldChar w:fldCharType="begin"/>
      </w:r>
      <w:r>
        <w:instrText xml:space="preserve"> SEQ Table \* ARABIC </w:instrText>
      </w:r>
      <w:r>
        <w:fldChar w:fldCharType="separate"/>
      </w:r>
      <w:r w:rsidR="00EC3654">
        <w:rPr>
          <w:noProof/>
        </w:rPr>
        <w:t>6</w:t>
      </w:r>
      <w:r>
        <w:fldChar w:fldCharType="end"/>
      </w:r>
      <w:r w:rsidR="004B7756" w:rsidRPr="001D6174">
        <w:t xml:space="preserve"> – Organisation type</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2320"/>
        <w:gridCol w:w="2552"/>
      </w:tblGrid>
      <w:tr w:rsidR="00206D03" w:rsidRPr="00B528D0" w14:paraId="5A4456E5"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1E1545" w:themeFill="text1"/>
            <w:vAlign w:val="center"/>
          </w:tcPr>
          <w:p w14:paraId="4DC7C6CE" w14:textId="18F47A76" w:rsidR="00206D03" w:rsidRPr="003A426F" w:rsidRDefault="00206D03" w:rsidP="0017155E">
            <w:pPr>
              <w:pStyle w:val="TableofAuthorities"/>
            </w:pPr>
            <w:r w:rsidRPr="003A426F">
              <w:t>Organisation type</w:t>
            </w:r>
          </w:p>
        </w:tc>
        <w:tc>
          <w:tcPr>
            <w:tcW w:w="0" w:type="auto"/>
            <w:tcBorders>
              <w:bottom w:val="none" w:sz="0" w:space="0" w:color="auto"/>
            </w:tcBorders>
            <w:shd w:val="clear" w:color="auto" w:fill="1E1545" w:themeFill="text1"/>
            <w:vAlign w:val="center"/>
          </w:tcPr>
          <w:p w14:paraId="0422A9FA" w14:textId="77777777" w:rsidR="00206D03" w:rsidRPr="003A426F" w:rsidRDefault="00206D03"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Number of responses</w:t>
            </w:r>
          </w:p>
        </w:tc>
        <w:tc>
          <w:tcPr>
            <w:tcW w:w="0" w:type="auto"/>
            <w:tcBorders>
              <w:bottom w:val="none" w:sz="0" w:space="0" w:color="auto"/>
            </w:tcBorders>
            <w:shd w:val="clear" w:color="auto" w:fill="1E1545" w:themeFill="text1"/>
            <w:vAlign w:val="center"/>
          </w:tcPr>
          <w:p w14:paraId="40DF86D4" w14:textId="77777777" w:rsidR="00206D03" w:rsidRPr="003A426F" w:rsidRDefault="00206D03"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Proportion of responses</w:t>
            </w:r>
          </w:p>
        </w:tc>
      </w:tr>
      <w:tr w:rsidR="00206D03" w:rsidRPr="00B528D0" w14:paraId="5613E616" w14:textId="77777777" w:rsidTr="00C62D3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0AC66DE8" w14:textId="40F503FF" w:rsidR="00206D03" w:rsidRPr="003A426F" w:rsidRDefault="00206D03" w:rsidP="003A426F">
            <w:r w:rsidRPr="003A426F">
              <w:t>Not for profit</w:t>
            </w:r>
          </w:p>
        </w:tc>
        <w:tc>
          <w:tcPr>
            <w:tcW w:w="0" w:type="auto"/>
            <w:tcBorders>
              <w:bottom w:val="single" w:sz="4" w:space="0" w:color="2AB1BB" w:themeColor="accent1"/>
            </w:tcBorders>
            <w:vAlign w:val="center"/>
          </w:tcPr>
          <w:p w14:paraId="7973012B" w14:textId="3234DE66" w:rsidR="00206D03" w:rsidRPr="00B528D0" w:rsidRDefault="00206D03" w:rsidP="00A76B05">
            <w:pPr>
              <w:pStyle w:val="Heading1Char"/>
              <w:cnfStyle w:val="100000000000" w:firstRow="1" w:lastRow="0" w:firstColumn="0" w:lastColumn="0" w:oddVBand="0" w:evenVBand="0" w:oddHBand="0" w:evenHBand="0" w:firstRowFirstColumn="0" w:firstRowLastColumn="0" w:lastRowFirstColumn="0" w:lastRowLastColumn="0"/>
            </w:pPr>
            <w:r w:rsidRPr="00B528D0">
              <w:t>55</w:t>
            </w:r>
          </w:p>
        </w:tc>
        <w:tc>
          <w:tcPr>
            <w:tcW w:w="0" w:type="auto"/>
            <w:tcBorders>
              <w:bottom w:val="single" w:sz="4" w:space="0" w:color="2AB1BB" w:themeColor="accent1"/>
            </w:tcBorders>
            <w:vAlign w:val="center"/>
          </w:tcPr>
          <w:p w14:paraId="4C00CF0C" w14:textId="340A4B53" w:rsidR="00206D03" w:rsidRPr="00B528D0" w:rsidRDefault="00206D03" w:rsidP="00A76B05">
            <w:pPr>
              <w:pStyle w:val="Heading1Char"/>
              <w:cnfStyle w:val="100000000000" w:firstRow="1" w:lastRow="0" w:firstColumn="0" w:lastColumn="0" w:oddVBand="0" w:evenVBand="0" w:oddHBand="0" w:evenHBand="0" w:firstRowFirstColumn="0" w:firstRowLastColumn="0" w:lastRowFirstColumn="0" w:lastRowLastColumn="0"/>
            </w:pPr>
            <w:r w:rsidRPr="00B528D0">
              <w:t>65%</w:t>
            </w:r>
          </w:p>
        </w:tc>
      </w:tr>
      <w:tr w:rsidR="00206D03" w:rsidRPr="00B528D0" w14:paraId="5EDCD9CD" w14:textId="77777777" w:rsidTr="00C62D3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546EB4F4" w14:textId="1E646D2E" w:rsidR="00206D03" w:rsidRPr="003A426F" w:rsidRDefault="00206D03" w:rsidP="003A426F">
            <w:r w:rsidRPr="003A426F">
              <w:t>For profit</w:t>
            </w:r>
          </w:p>
        </w:tc>
        <w:tc>
          <w:tcPr>
            <w:tcW w:w="0" w:type="auto"/>
            <w:tcBorders>
              <w:top w:val="single" w:sz="4" w:space="0" w:color="2AB1BB" w:themeColor="accent1"/>
              <w:bottom w:val="single" w:sz="4" w:space="0" w:color="2AB1BB" w:themeColor="accent1"/>
            </w:tcBorders>
            <w:vAlign w:val="center"/>
          </w:tcPr>
          <w:p w14:paraId="3620E21D" w14:textId="31F4837E" w:rsidR="00206D03" w:rsidRPr="00B528D0" w:rsidRDefault="00206D03" w:rsidP="00A76B05">
            <w:pPr>
              <w:pStyle w:val="Heading1Char"/>
              <w:cnfStyle w:val="100000000000" w:firstRow="1" w:lastRow="0" w:firstColumn="0" w:lastColumn="0" w:oddVBand="0" w:evenVBand="0" w:oddHBand="0" w:evenHBand="0" w:firstRowFirstColumn="0" w:firstRowLastColumn="0" w:lastRowFirstColumn="0" w:lastRowLastColumn="0"/>
            </w:pPr>
            <w:r w:rsidRPr="00B528D0">
              <w:t>29</w:t>
            </w:r>
          </w:p>
        </w:tc>
        <w:tc>
          <w:tcPr>
            <w:tcW w:w="0" w:type="auto"/>
            <w:tcBorders>
              <w:top w:val="single" w:sz="4" w:space="0" w:color="2AB1BB" w:themeColor="accent1"/>
              <w:bottom w:val="single" w:sz="4" w:space="0" w:color="2AB1BB" w:themeColor="accent1"/>
            </w:tcBorders>
            <w:vAlign w:val="center"/>
          </w:tcPr>
          <w:p w14:paraId="268F3479" w14:textId="25B4C77E" w:rsidR="00206D03" w:rsidRPr="00B528D0" w:rsidRDefault="00206D03" w:rsidP="00A76B05">
            <w:pPr>
              <w:pStyle w:val="Heading1Char"/>
              <w:cnfStyle w:val="100000000000" w:firstRow="1" w:lastRow="0" w:firstColumn="0" w:lastColumn="0" w:oddVBand="0" w:evenVBand="0" w:oddHBand="0" w:evenHBand="0" w:firstRowFirstColumn="0" w:firstRowLastColumn="0" w:lastRowFirstColumn="0" w:lastRowLastColumn="0"/>
            </w:pPr>
            <w:r w:rsidRPr="00B528D0">
              <w:t>35%</w:t>
            </w:r>
          </w:p>
        </w:tc>
      </w:tr>
      <w:tr w:rsidR="00206D03" w:rsidRPr="00B528D0" w14:paraId="5DEECAB9" w14:textId="77777777" w:rsidTr="00C62D3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599C7120" w14:textId="3611E92A" w:rsidR="00206D03" w:rsidRPr="00B528D0" w:rsidRDefault="00206D03" w:rsidP="00A76B05">
            <w:pPr>
              <w:pStyle w:val="Heading1Char"/>
            </w:pPr>
            <w:r w:rsidRPr="00B528D0">
              <w:t>Total</w:t>
            </w:r>
          </w:p>
        </w:tc>
        <w:tc>
          <w:tcPr>
            <w:tcW w:w="0" w:type="auto"/>
            <w:tcBorders>
              <w:top w:val="single" w:sz="4" w:space="0" w:color="2AB1BB" w:themeColor="accent1"/>
              <w:bottom w:val="single" w:sz="4" w:space="0" w:color="2AB1BB" w:themeColor="accent1"/>
            </w:tcBorders>
            <w:vAlign w:val="center"/>
          </w:tcPr>
          <w:p w14:paraId="61ACC8CA" w14:textId="4CC310D0" w:rsidR="00206D03" w:rsidRPr="00B528D0" w:rsidRDefault="00206D03" w:rsidP="00A76B05">
            <w:pPr>
              <w:pStyle w:val="Heading1Char"/>
              <w:cnfStyle w:val="100000000000" w:firstRow="1" w:lastRow="0" w:firstColumn="0" w:lastColumn="0" w:oddVBand="0" w:evenVBand="0" w:oddHBand="0" w:evenHBand="0" w:firstRowFirstColumn="0" w:firstRowLastColumn="0" w:lastRowFirstColumn="0" w:lastRowLastColumn="0"/>
            </w:pPr>
            <w:r w:rsidRPr="00B528D0">
              <w:t>84</w:t>
            </w:r>
          </w:p>
        </w:tc>
        <w:tc>
          <w:tcPr>
            <w:tcW w:w="0" w:type="auto"/>
            <w:tcBorders>
              <w:top w:val="single" w:sz="4" w:space="0" w:color="2AB1BB" w:themeColor="accent1"/>
              <w:bottom w:val="single" w:sz="4" w:space="0" w:color="2AB1BB" w:themeColor="accent1"/>
            </w:tcBorders>
            <w:vAlign w:val="center"/>
          </w:tcPr>
          <w:p w14:paraId="3C9FEA5D" w14:textId="3CFA6921" w:rsidR="00206D03" w:rsidRPr="00B528D0" w:rsidRDefault="00206D03" w:rsidP="00A76B05">
            <w:pPr>
              <w:pStyle w:val="Heading1Char"/>
              <w:cnfStyle w:val="100000000000" w:firstRow="1" w:lastRow="0" w:firstColumn="0" w:lastColumn="0" w:oddVBand="0" w:evenVBand="0" w:oddHBand="0" w:evenHBand="0" w:firstRowFirstColumn="0" w:firstRowLastColumn="0" w:lastRowFirstColumn="0" w:lastRowLastColumn="0"/>
            </w:pPr>
            <w:r w:rsidRPr="00B528D0">
              <w:t>100%</w:t>
            </w:r>
          </w:p>
        </w:tc>
      </w:tr>
    </w:tbl>
    <w:p w14:paraId="1416F0E0" w14:textId="2AFE582C" w:rsidR="00BC4018" w:rsidRPr="001D6174" w:rsidRDefault="0017155E" w:rsidP="0017155E">
      <w:pPr>
        <w:pStyle w:val="Caption"/>
      </w:pPr>
      <w:r>
        <w:t xml:space="preserve">Figure </w:t>
      </w:r>
      <w:r>
        <w:fldChar w:fldCharType="begin"/>
      </w:r>
      <w:r>
        <w:instrText xml:space="preserve"> SEQ Figure \* ARABIC </w:instrText>
      </w:r>
      <w:r>
        <w:fldChar w:fldCharType="separate"/>
      </w:r>
      <w:r>
        <w:rPr>
          <w:noProof/>
        </w:rPr>
        <w:t>1</w:t>
      </w:r>
      <w:r>
        <w:fldChar w:fldCharType="end"/>
      </w:r>
      <w:r w:rsidR="00BC4018" w:rsidRPr="001D6174">
        <w:t xml:space="preserve">: Proportion of provider respondents </w:t>
      </w:r>
      <w:r w:rsidR="00D97CD0" w:rsidRPr="001D6174">
        <w:t>by</w:t>
      </w:r>
      <w:r w:rsidR="00BC4018" w:rsidRPr="001D6174">
        <w:t xml:space="preserve"> the number of beds in their</w:t>
      </w:r>
      <w:r w:rsidR="00D97CD0" w:rsidRPr="001D6174">
        <w:t xml:space="preserve"> </w:t>
      </w:r>
      <w:proofErr w:type="spellStart"/>
      <w:r w:rsidR="00D97CD0" w:rsidRPr="001D6174">
        <w:t>organisation</w:t>
      </w:r>
      <w:proofErr w:type="spellEnd"/>
    </w:p>
    <w:p w14:paraId="738B4085" w14:textId="6F471306" w:rsidR="00BC4018" w:rsidRPr="00D04C0D" w:rsidRDefault="00BC4018" w:rsidP="00D04C0D">
      <w:r w:rsidRPr="00D04C0D">
        <w:drawing>
          <wp:inline distT="0" distB="0" distL="0" distR="0" wp14:anchorId="14B1B94E" wp14:editId="611A1825">
            <wp:extent cx="5947576" cy="2313305"/>
            <wp:effectExtent l="0" t="0" r="0" b="0"/>
            <wp:docPr id="231" name="Chart 231" descr="This diagram shows the proportion of provider respondents by the number of beds their organisation has. The largest proportion of respondents are those providers with 51 to 200 beds, making 30% of respondents. The smallest proportion of respondents are those providers with 201-500 beds, making 6% of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08B6865" w14:textId="79AC74B9" w:rsidR="00BC4018" w:rsidRPr="001D6174" w:rsidRDefault="0017155E" w:rsidP="0017155E">
      <w:pPr>
        <w:pStyle w:val="Caption"/>
      </w:pPr>
      <w:r>
        <w:t xml:space="preserve">Figure </w:t>
      </w:r>
      <w:r>
        <w:fldChar w:fldCharType="begin"/>
      </w:r>
      <w:r>
        <w:instrText xml:space="preserve"> SEQ Figure \* ARABIC </w:instrText>
      </w:r>
      <w:r>
        <w:fldChar w:fldCharType="separate"/>
      </w:r>
      <w:r>
        <w:rPr>
          <w:noProof/>
        </w:rPr>
        <w:t>2</w:t>
      </w:r>
      <w:r>
        <w:fldChar w:fldCharType="end"/>
      </w:r>
      <w:r w:rsidR="00BC4018" w:rsidRPr="001D6174">
        <w:t xml:space="preserve">: </w:t>
      </w:r>
      <w:r w:rsidR="00D97CD0" w:rsidRPr="001D6174">
        <w:t xml:space="preserve">Proportion of provider respondents by type of their </w:t>
      </w:r>
      <w:proofErr w:type="spellStart"/>
      <w:r w:rsidR="00D97CD0" w:rsidRPr="001D6174">
        <w:t>organisation</w:t>
      </w:r>
      <w:proofErr w:type="spellEnd"/>
    </w:p>
    <w:p w14:paraId="1FB2501A" w14:textId="77777777" w:rsidR="00FA4F7E" w:rsidRPr="00D04C0D" w:rsidRDefault="00BC4018" w:rsidP="00D04C0D">
      <w:pPr>
        <w:sectPr w:rsidR="00FA4F7E" w:rsidRPr="00D04C0D" w:rsidSect="00BC4018">
          <w:headerReference w:type="first" r:id="rId66"/>
          <w:pgSz w:w="11906" w:h="16838"/>
          <w:pgMar w:top="1440" w:right="1440" w:bottom="1440" w:left="1440" w:header="708" w:footer="708" w:gutter="0"/>
          <w:cols w:space="708"/>
          <w:docGrid w:linePitch="360"/>
        </w:sectPr>
      </w:pPr>
      <w:r w:rsidRPr="00D04C0D">
        <w:drawing>
          <wp:inline distT="0" distB="0" distL="0" distR="0" wp14:anchorId="658B929A" wp14:editId="7ACD7BE3">
            <wp:extent cx="5542059" cy="1987827"/>
            <wp:effectExtent l="0" t="0" r="1905" b="0"/>
            <wp:docPr id="232" name="Chart 232" descr="This diagram shows the proportion of providers respondents by the type of organisation. Sixty-five per cent of respondents are not-for-profit providers and 35% are for profit provid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DCB651B" w14:textId="5E24D6B4" w:rsidR="00FA4F7E" w:rsidRPr="001D6174"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rsidR="00FA4F7E" w:rsidRPr="001D6174">
        <w:t xml:space="preserve"> – Views around assessment and allocation issues</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8"/>
        <w:gridCol w:w="1218"/>
        <w:gridCol w:w="1355"/>
        <w:gridCol w:w="1097"/>
        <w:gridCol w:w="926"/>
        <w:gridCol w:w="804"/>
        <w:gridCol w:w="1235"/>
        <w:gridCol w:w="937"/>
        <w:gridCol w:w="790"/>
        <w:gridCol w:w="1418"/>
      </w:tblGrid>
      <w:tr w:rsidR="0017155E" w:rsidRPr="00B528D0" w14:paraId="1A50962B"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1E1545" w:themeFill="text1"/>
            <w:vAlign w:val="center"/>
          </w:tcPr>
          <w:p w14:paraId="6EF283B0" w14:textId="77777777" w:rsidR="00FA4F7E" w:rsidRPr="003A426F" w:rsidRDefault="00FA4F7E" w:rsidP="0017155E">
            <w:pPr>
              <w:pStyle w:val="TableofAuthorities"/>
            </w:pPr>
            <w:r w:rsidRPr="003A426F">
              <w:t>Statement</w:t>
            </w:r>
          </w:p>
        </w:tc>
        <w:tc>
          <w:tcPr>
            <w:tcW w:w="0" w:type="auto"/>
            <w:shd w:val="clear" w:color="auto" w:fill="1E1545" w:themeFill="text1"/>
            <w:vAlign w:val="center"/>
          </w:tcPr>
          <w:p w14:paraId="68B2F0B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disagree</w:t>
            </w:r>
          </w:p>
        </w:tc>
        <w:tc>
          <w:tcPr>
            <w:tcW w:w="0" w:type="auto"/>
            <w:shd w:val="clear" w:color="auto" w:fill="1E1545" w:themeFill="text1"/>
            <w:vAlign w:val="center"/>
          </w:tcPr>
          <w:p w14:paraId="33C8BCF3"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disagree</w:t>
            </w:r>
          </w:p>
        </w:tc>
        <w:tc>
          <w:tcPr>
            <w:tcW w:w="0" w:type="auto"/>
            <w:shd w:val="clear" w:color="auto" w:fill="1E1545" w:themeFill="text1"/>
            <w:vAlign w:val="center"/>
          </w:tcPr>
          <w:p w14:paraId="3705796A"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Disagree</w:t>
            </w:r>
          </w:p>
        </w:tc>
        <w:tc>
          <w:tcPr>
            <w:tcW w:w="0" w:type="auto"/>
            <w:shd w:val="clear" w:color="auto" w:fill="1E1545" w:themeFill="text1"/>
            <w:vAlign w:val="center"/>
          </w:tcPr>
          <w:p w14:paraId="680FA7C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Neither</w:t>
            </w:r>
          </w:p>
        </w:tc>
        <w:tc>
          <w:tcPr>
            <w:tcW w:w="0" w:type="auto"/>
            <w:shd w:val="clear" w:color="auto" w:fill="1E1545" w:themeFill="text1"/>
            <w:vAlign w:val="center"/>
          </w:tcPr>
          <w:p w14:paraId="3BA3858F"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Agree</w:t>
            </w:r>
          </w:p>
        </w:tc>
        <w:tc>
          <w:tcPr>
            <w:tcW w:w="0" w:type="auto"/>
            <w:shd w:val="clear" w:color="auto" w:fill="1E1545" w:themeFill="text1"/>
            <w:vAlign w:val="center"/>
          </w:tcPr>
          <w:p w14:paraId="0B478EC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agree</w:t>
            </w:r>
          </w:p>
        </w:tc>
        <w:tc>
          <w:tcPr>
            <w:tcW w:w="0" w:type="auto"/>
            <w:shd w:val="clear" w:color="auto" w:fill="1E1545" w:themeFill="text1"/>
            <w:vAlign w:val="center"/>
          </w:tcPr>
          <w:p w14:paraId="533C206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agree</w:t>
            </w:r>
          </w:p>
        </w:tc>
        <w:tc>
          <w:tcPr>
            <w:tcW w:w="0" w:type="auto"/>
            <w:shd w:val="clear" w:color="auto" w:fill="1E1545" w:themeFill="text1"/>
            <w:vAlign w:val="center"/>
          </w:tcPr>
          <w:p w14:paraId="44B3382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0" w:type="auto"/>
            <w:shd w:val="clear" w:color="auto" w:fill="1E1545" w:themeFill="text1"/>
            <w:vAlign w:val="center"/>
          </w:tcPr>
          <w:p w14:paraId="2A7D0C6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B528D0" w14:paraId="02BBBE17" w14:textId="77777777" w:rsidTr="00C62D3D">
        <w:trPr>
          <w:trHeight w:val="56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209DBA8D" w14:textId="77777777" w:rsidR="00FA4F7E" w:rsidRPr="003A426F" w:rsidRDefault="00FA4F7E" w:rsidP="003A426F">
            <w:r w:rsidRPr="003A426F">
              <w:t>Aged care assessments should consider a person's urgency for care</w:t>
            </w:r>
          </w:p>
        </w:tc>
        <w:tc>
          <w:tcPr>
            <w:tcW w:w="0" w:type="auto"/>
            <w:tcBorders>
              <w:bottom w:val="single" w:sz="4" w:space="0" w:color="2AB1BB" w:themeColor="accent1"/>
            </w:tcBorders>
            <w:shd w:val="clear" w:color="auto" w:fill="F2F2F2" w:themeFill="background1" w:themeFillShade="F2"/>
            <w:vAlign w:val="center"/>
          </w:tcPr>
          <w:p w14:paraId="5E0A7F46"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Borders>
              <w:bottom w:val="single" w:sz="4" w:space="0" w:color="2AB1BB" w:themeColor="accent1"/>
            </w:tcBorders>
            <w:vAlign w:val="center"/>
          </w:tcPr>
          <w:p w14:paraId="53C1884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Borders>
              <w:bottom w:val="single" w:sz="4" w:space="0" w:color="2AB1BB" w:themeColor="accent1"/>
            </w:tcBorders>
            <w:vAlign w:val="center"/>
          </w:tcPr>
          <w:p w14:paraId="4296028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0" w:type="auto"/>
            <w:tcBorders>
              <w:bottom w:val="single" w:sz="4" w:space="0" w:color="2AB1BB" w:themeColor="accent1"/>
            </w:tcBorders>
            <w:vAlign w:val="center"/>
          </w:tcPr>
          <w:p w14:paraId="0FECD79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w:t>
            </w:r>
          </w:p>
        </w:tc>
        <w:tc>
          <w:tcPr>
            <w:tcW w:w="0" w:type="auto"/>
            <w:tcBorders>
              <w:bottom w:val="single" w:sz="4" w:space="0" w:color="2AB1BB" w:themeColor="accent1"/>
            </w:tcBorders>
            <w:vAlign w:val="center"/>
          </w:tcPr>
          <w:p w14:paraId="0C181CD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16%</w:t>
            </w:r>
          </w:p>
        </w:tc>
        <w:tc>
          <w:tcPr>
            <w:tcW w:w="0" w:type="auto"/>
            <w:tcBorders>
              <w:bottom w:val="single" w:sz="4" w:space="0" w:color="2AB1BB" w:themeColor="accent1"/>
            </w:tcBorders>
            <w:vAlign w:val="center"/>
          </w:tcPr>
          <w:p w14:paraId="1418360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72%</w:t>
            </w:r>
          </w:p>
        </w:tc>
        <w:tc>
          <w:tcPr>
            <w:tcW w:w="0" w:type="auto"/>
            <w:tcBorders>
              <w:bottom w:val="single" w:sz="4" w:space="0" w:color="2AB1BB" w:themeColor="accent1"/>
            </w:tcBorders>
            <w:shd w:val="clear" w:color="auto" w:fill="F2F2F2" w:themeFill="background1" w:themeFillShade="F2"/>
            <w:vAlign w:val="center"/>
          </w:tcPr>
          <w:p w14:paraId="7FDDB26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88%</w:t>
            </w:r>
          </w:p>
        </w:tc>
        <w:tc>
          <w:tcPr>
            <w:tcW w:w="0" w:type="auto"/>
            <w:tcBorders>
              <w:bottom w:val="single" w:sz="4" w:space="0" w:color="2AB1BB" w:themeColor="accent1"/>
            </w:tcBorders>
            <w:vAlign w:val="center"/>
          </w:tcPr>
          <w:p w14:paraId="771165D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bottom w:val="single" w:sz="4" w:space="0" w:color="2AB1BB" w:themeColor="accent1"/>
            </w:tcBorders>
            <w:vAlign w:val="center"/>
          </w:tcPr>
          <w:p w14:paraId="717DD0A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88</w:t>
            </w:r>
          </w:p>
        </w:tc>
      </w:tr>
      <w:tr w:rsidR="00FA4F7E" w:rsidRPr="00B528D0" w14:paraId="10757E87" w14:textId="77777777" w:rsidTr="00C62D3D">
        <w:trPr>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77783D36" w14:textId="77777777" w:rsidR="00FA4F7E" w:rsidRPr="003A426F" w:rsidRDefault="00FA4F7E" w:rsidP="003A426F">
            <w:r w:rsidRPr="003A426F">
              <w:t>Assessments should consider whether a person is from a special needs group</w:t>
            </w:r>
          </w:p>
        </w:tc>
        <w:tc>
          <w:tcPr>
            <w:tcW w:w="0" w:type="auto"/>
            <w:tcBorders>
              <w:top w:val="single" w:sz="4" w:space="0" w:color="2AB1BB" w:themeColor="accent1"/>
              <w:bottom w:val="single" w:sz="4" w:space="0" w:color="2AB1BB" w:themeColor="accent1"/>
            </w:tcBorders>
            <w:shd w:val="clear" w:color="auto" w:fill="F2F2F2" w:themeFill="background1" w:themeFillShade="F2"/>
            <w:vAlign w:val="center"/>
          </w:tcPr>
          <w:p w14:paraId="5AD13E0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Borders>
              <w:top w:val="single" w:sz="4" w:space="0" w:color="2AB1BB" w:themeColor="accent1"/>
              <w:bottom w:val="single" w:sz="4" w:space="0" w:color="2AB1BB" w:themeColor="accent1"/>
            </w:tcBorders>
            <w:vAlign w:val="center"/>
          </w:tcPr>
          <w:p w14:paraId="284645D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w:t>
            </w:r>
          </w:p>
        </w:tc>
        <w:tc>
          <w:tcPr>
            <w:tcW w:w="0" w:type="auto"/>
            <w:tcBorders>
              <w:top w:val="single" w:sz="4" w:space="0" w:color="2AB1BB" w:themeColor="accent1"/>
              <w:bottom w:val="single" w:sz="4" w:space="0" w:color="2AB1BB" w:themeColor="accent1"/>
            </w:tcBorders>
            <w:vAlign w:val="center"/>
          </w:tcPr>
          <w:p w14:paraId="2AF185F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0EAD5E8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12%</w:t>
            </w:r>
          </w:p>
        </w:tc>
        <w:tc>
          <w:tcPr>
            <w:tcW w:w="0" w:type="auto"/>
            <w:tcBorders>
              <w:top w:val="single" w:sz="4" w:space="0" w:color="2AB1BB" w:themeColor="accent1"/>
              <w:bottom w:val="single" w:sz="4" w:space="0" w:color="2AB1BB" w:themeColor="accent1"/>
            </w:tcBorders>
            <w:vAlign w:val="center"/>
          </w:tcPr>
          <w:p w14:paraId="2C1015F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24%</w:t>
            </w:r>
          </w:p>
        </w:tc>
        <w:tc>
          <w:tcPr>
            <w:tcW w:w="0" w:type="auto"/>
            <w:tcBorders>
              <w:top w:val="single" w:sz="4" w:space="0" w:color="2AB1BB" w:themeColor="accent1"/>
              <w:bottom w:val="single" w:sz="4" w:space="0" w:color="2AB1BB" w:themeColor="accent1"/>
            </w:tcBorders>
            <w:vAlign w:val="center"/>
          </w:tcPr>
          <w:p w14:paraId="0026A18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59%</w:t>
            </w:r>
          </w:p>
        </w:tc>
        <w:tc>
          <w:tcPr>
            <w:tcW w:w="0" w:type="auto"/>
            <w:tcBorders>
              <w:top w:val="single" w:sz="4" w:space="0" w:color="2AB1BB" w:themeColor="accent1"/>
              <w:bottom w:val="single" w:sz="4" w:space="0" w:color="2AB1BB" w:themeColor="accent1"/>
            </w:tcBorders>
            <w:shd w:val="clear" w:color="auto" w:fill="F2F2F2" w:themeFill="background1" w:themeFillShade="F2"/>
            <w:vAlign w:val="center"/>
          </w:tcPr>
          <w:p w14:paraId="650FB63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84%</w:t>
            </w:r>
          </w:p>
        </w:tc>
        <w:tc>
          <w:tcPr>
            <w:tcW w:w="0" w:type="auto"/>
            <w:tcBorders>
              <w:top w:val="single" w:sz="4" w:space="0" w:color="2AB1BB" w:themeColor="accent1"/>
              <w:bottom w:val="single" w:sz="4" w:space="0" w:color="2AB1BB" w:themeColor="accent1"/>
            </w:tcBorders>
            <w:vAlign w:val="center"/>
          </w:tcPr>
          <w:p w14:paraId="26CE7E0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5AC69CA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86</w:t>
            </w:r>
          </w:p>
        </w:tc>
      </w:tr>
      <w:tr w:rsidR="00FA4F7E" w:rsidRPr="00B528D0" w14:paraId="58017030" w14:textId="77777777" w:rsidTr="00C62D3D">
        <w:trPr>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0683C72E" w14:textId="77777777" w:rsidR="00FA4F7E" w:rsidRPr="003A426F" w:rsidRDefault="00FA4F7E" w:rsidP="003A426F">
            <w:r w:rsidRPr="003A426F">
              <w:t>Time restrictions for taking up a residential aged care place should be introduced</w:t>
            </w:r>
          </w:p>
        </w:tc>
        <w:tc>
          <w:tcPr>
            <w:tcW w:w="0" w:type="auto"/>
            <w:tcBorders>
              <w:top w:val="single" w:sz="4" w:space="0" w:color="2AB1BB" w:themeColor="accent1"/>
              <w:bottom w:val="single" w:sz="4" w:space="0" w:color="2AB1BB" w:themeColor="accent1"/>
            </w:tcBorders>
            <w:shd w:val="clear" w:color="auto" w:fill="F2F2F2" w:themeFill="background1" w:themeFillShade="F2"/>
            <w:vAlign w:val="center"/>
          </w:tcPr>
          <w:p w14:paraId="087CE3CA"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40%</w:t>
            </w:r>
          </w:p>
        </w:tc>
        <w:tc>
          <w:tcPr>
            <w:tcW w:w="0" w:type="auto"/>
            <w:tcBorders>
              <w:top w:val="single" w:sz="4" w:space="0" w:color="2AB1BB" w:themeColor="accent1"/>
              <w:bottom w:val="single" w:sz="4" w:space="0" w:color="2AB1BB" w:themeColor="accent1"/>
            </w:tcBorders>
            <w:vAlign w:val="center"/>
          </w:tcPr>
          <w:p w14:paraId="3A3B791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20%</w:t>
            </w:r>
          </w:p>
        </w:tc>
        <w:tc>
          <w:tcPr>
            <w:tcW w:w="0" w:type="auto"/>
            <w:tcBorders>
              <w:top w:val="single" w:sz="4" w:space="0" w:color="2AB1BB" w:themeColor="accent1"/>
              <w:bottom w:val="single" w:sz="4" w:space="0" w:color="2AB1BB" w:themeColor="accent1"/>
            </w:tcBorders>
            <w:vAlign w:val="center"/>
          </w:tcPr>
          <w:p w14:paraId="16A0ACB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20%</w:t>
            </w:r>
          </w:p>
        </w:tc>
        <w:tc>
          <w:tcPr>
            <w:tcW w:w="0" w:type="auto"/>
            <w:tcBorders>
              <w:top w:val="single" w:sz="4" w:space="0" w:color="2AB1BB" w:themeColor="accent1"/>
              <w:bottom w:val="single" w:sz="4" w:space="0" w:color="2AB1BB" w:themeColor="accent1"/>
            </w:tcBorders>
            <w:vAlign w:val="center"/>
          </w:tcPr>
          <w:p w14:paraId="2D0DAD2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13%</w:t>
            </w:r>
          </w:p>
        </w:tc>
        <w:tc>
          <w:tcPr>
            <w:tcW w:w="0" w:type="auto"/>
            <w:tcBorders>
              <w:top w:val="single" w:sz="4" w:space="0" w:color="2AB1BB" w:themeColor="accent1"/>
              <w:bottom w:val="single" w:sz="4" w:space="0" w:color="2AB1BB" w:themeColor="accent1"/>
            </w:tcBorders>
            <w:vAlign w:val="center"/>
          </w:tcPr>
          <w:p w14:paraId="00B8D3D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29%</w:t>
            </w:r>
          </w:p>
        </w:tc>
        <w:tc>
          <w:tcPr>
            <w:tcW w:w="0" w:type="auto"/>
            <w:tcBorders>
              <w:top w:val="single" w:sz="4" w:space="0" w:color="2AB1BB" w:themeColor="accent1"/>
              <w:bottom w:val="single" w:sz="4" w:space="0" w:color="2AB1BB" w:themeColor="accent1"/>
            </w:tcBorders>
            <w:vAlign w:val="center"/>
          </w:tcPr>
          <w:p w14:paraId="4DA39FB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9%</w:t>
            </w:r>
          </w:p>
        </w:tc>
        <w:tc>
          <w:tcPr>
            <w:tcW w:w="0" w:type="auto"/>
            <w:tcBorders>
              <w:top w:val="single" w:sz="4" w:space="0" w:color="2AB1BB" w:themeColor="accent1"/>
              <w:bottom w:val="single" w:sz="4" w:space="0" w:color="2AB1BB" w:themeColor="accent1"/>
            </w:tcBorders>
            <w:shd w:val="clear" w:color="auto" w:fill="F2F2F2" w:themeFill="background1" w:themeFillShade="F2"/>
            <w:vAlign w:val="center"/>
          </w:tcPr>
          <w:p w14:paraId="1932392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38%</w:t>
            </w:r>
          </w:p>
        </w:tc>
        <w:tc>
          <w:tcPr>
            <w:tcW w:w="0" w:type="auto"/>
            <w:tcBorders>
              <w:top w:val="single" w:sz="4" w:space="0" w:color="2AB1BB" w:themeColor="accent1"/>
              <w:bottom w:val="single" w:sz="4" w:space="0" w:color="2AB1BB" w:themeColor="accent1"/>
            </w:tcBorders>
            <w:vAlign w:val="center"/>
          </w:tcPr>
          <w:p w14:paraId="36C8133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9%</w:t>
            </w:r>
          </w:p>
        </w:tc>
        <w:tc>
          <w:tcPr>
            <w:tcW w:w="0" w:type="auto"/>
            <w:tcBorders>
              <w:top w:val="single" w:sz="4" w:space="0" w:color="2AB1BB" w:themeColor="accent1"/>
              <w:bottom w:val="single" w:sz="4" w:space="0" w:color="2AB1BB" w:themeColor="accent1"/>
            </w:tcBorders>
            <w:vAlign w:val="center"/>
          </w:tcPr>
          <w:p w14:paraId="34952035"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86</w:t>
            </w:r>
          </w:p>
        </w:tc>
      </w:tr>
      <w:tr w:rsidR="00FA4F7E" w:rsidRPr="00B528D0" w14:paraId="379709D3" w14:textId="77777777" w:rsidTr="00C62D3D">
        <w:trPr>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4A39C099" w14:textId="77777777" w:rsidR="00FA4F7E" w:rsidRPr="003A426F" w:rsidRDefault="00FA4F7E" w:rsidP="003A426F">
            <w:r w:rsidRPr="003A426F">
              <w:t>Location restrictions for taking up a residential aged care place should be introduced</w:t>
            </w:r>
          </w:p>
        </w:tc>
        <w:tc>
          <w:tcPr>
            <w:tcW w:w="0" w:type="auto"/>
            <w:tcBorders>
              <w:top w:val="single" w:sz="4" w:space="0" w:color="2AB1BB" w:themeColor="accent1"/>
              <w:bottom w:val="single" w:sz="4" w:space="0" w:color="2AB1BB" w:themeColor="accent1"/>
            </w:tcBorders>
            <w:shd w:val="clear" w:color="auto" w:fill="F2F2F2" w:themeFill="background1" w:themeFillShade="F2"/>
            <w:vAlign w:val="center"/>
          </w:tcPr>
          <w:p w14:paraId="249E7B4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60%</w:t>
            </w:r>
          </w:p>
        </w:tc>
        <w:tc>
          <w:tcPr>
            <w:tcW w:w="0" w:type="auto"/>
            <w:tcBorders>
              <w:top w:val="single" w:sz="4" w:space="0" w:color="2AB1BB" w:themeColor="accent1"/>
              <w:bottom w:val="single" w:sz="4" w:space="0" w:color="2AB1BB" w:themeColor="accent1"/>
            </w:tcBorders>
            <w:vAlign w:val="center"/>
          </w:tcPr>
          <w:p w14:paraId="6EEC60D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26%</w:t>
            </w:r>
          </w:p>
        </w:tc>
        <w:tc>
          <w:tcPr>
            <w:tcW w:w="0" w:type="auto"/>
            <w:tcBorders>
              <w:top w:val="single" w:sz="4" w:space="0" w:color="2AB1BB" w:themeColor="accent1"/>
              <w:bottom w:val="single" w:sz="4" w:space="0" w:color="2AB1BB" w:themeColor="accent1"/>
            </w:tcBorders>
            <w:vAlign w:val="center"/>
          </w:tcPr>
          <w:p w14:paraId="7D4C9A6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35%</w:t>
            </w:r>
          </w:p>
        </w:tc>
        <w:tc>
          <w:tcPr>
            <w:tcW w:w="0" w:type="auto"/>
            <w:tcBorders>
              <w:top w:val="single" w:sz="4" w:space="0" w:color="2AB1BB" w:themeColor="accent1"/>
              <w:bottom w:val="single" w:sz="4" w:space="0" w:color="2AB1BB" w:themeColor="accent1"/>
            </w:tcBorders>
            <w:vAlign w:val="center"/>
          </w:tcPr>
          <w:p w14:paraId="7ECB7FE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19%</w:t>
            </w:r>
          </w:p>
        </w:tc>
        <w:tc>
          <w:tcPr>
            <w:tcW w:w="0" w:type="auto"/>
            <w:tcBorders>
              <w:top w:val="single" w:sz="4" w:space="0" w:color="2AB1BB" w:themeColor="accent1"/>
              <w:bottom w:val="single" w:sz="4" w:space="0" w:color="2AB1BB" w:themeColor="accent1"/>
            </w:tcBorders>
            <w:vAlign w:val="center"/>
          </w:tcPr>
          <w:p w14:paraId="5FF7E80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7%</w:t>
            </w:r>
          </w:p>
        </w:tc>
        <w:tc>
          <w:tcPr>
            <w:tcW w:w="0" w:type="auto"/>
            <w:tcBorders>
              <w:top w:val="single" w:sz="4" w:space="0" w:color="2AB1BB" w:themeColor="accent1"/>
              <w:bottom w:val="single" w:sz="4" w:space="0" w:color="2AB1BB" w:themeColor="accent1"/>
            </w:tcBorders>
            <w:vAlign w:val="center"/>
          </w:tcPr>
          <w:p w14:paraId="448D96F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shd w:val="clear" w:color="auto" w:fill="F2F2F2" w:themeFill="background1" w:themeFillShade="F2"/>
            <w:vAlign w:val="center"/>
          </w:tcPr>
          <w:p w14:paraId="06E602B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w:t>
            </w:r>
          </w:p>
        </w:tc>
        <w:tc>
          <w:tcPr>
            <w:tcW w:w="0" w:type="auto"/>
            <w:tcBorders>
              <w:top w:val="single" w:sz="4" w:space="0" w:color="2AB1BB" w:themeColor="accent1"/>
              <w:bottom w:val="single" w:sz="4" w:space="0" w:color="2AB1BB" w:themeColor="accent1"/>
            </w:tcBorders>
            <w:vAlign w:val="center"/>
          </w:tcPr>
          <w:p w14:paraId="4103C12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13%</w:t>
            </w:r>
          </w:p>
        </w:tc>
        <w:tc>
          <w:tcPr>
            <w:tcW w:w="0" w:type="auto"/>
            <w:tcBorders>
              <w:top w:val="single" w:sz="4" w:space="0" w:color="2AB1BB" w:themeColor="accent1"/>
              <w:bottom w:val="single" w:sz="4" w:space="0" w:color="2AB1BB" w:themeColor="accent1"/>
            </w:tcBorders>
            <w:vAlign w:val="center"/>
          </w:tcPr>
          <w:p w14:paraId="48170E9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86</w:t>
            </w:r>
          </w:p>
        </w:tc>
      </w:tr>
      <w:tr w:rsidR="00FA4F7E" w:rsidRPr="00B528D0" w14:paraId="53D55646" w14:textId="77777777" w:rsidTr="00C62D3D">
        <w:trPr>
          <w:trHeight w:val="5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3860B720" w14:textId="77777777" w:rsidR="00FA4F7E" w:rsidRPr="003A426F" w:rsidRDefault="00FA4F7E" w:rsidP="003A426F">
            <w:r w:rsidRPr="003A426F">
              <w:t>Places should be assigned according to priority within regions with limited supply</w:t>
            </w:r>
          </w:p>
        </w:tc>
        <w:tc>
          <w:tcPr>
            <w:tcW w:w="0" w:type="auto"/>
            <w:tcBorders>
              <w:top w:val="single" w:sz="4" w:space="0" w:color="2AB1BB" w:themeColor="accent1"/>
            </w:tcBorders>
            <w:shd w:val="clear" w:color="auto" w:fill="F2F2F2" w:themeFill="background1" w:themeFillShade="F2"/>
            <w:vAlign w:val="center"/>
          </w:tcPr>
          <w:p w14:paraId="715E076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21%</w:t>
            </w:r>
          </w:p>
        </w:tc>
        <w:tc>
          <w:tcPr>
            <w:tcW w:w="0" w:type="auto"/>
            <w:tcBorders>
              <w:top w:val="single" w:sz="4" w:space="0" w:color="2AB1BB" w:themeColor="accent1"/>
            </w:tcBorders>
            <w:vAlign w:val="center"/>
          </w:tcPr>
          <w:p w14:paraId="3F50321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w:t>
            </w:r>
          </w:p>
        </w:tc>
        <w:tc>
          <w:tcPr>
            <w:tcW w:w="0" w:type="auto"/>
            <w:tcBorders>
              <w:top w:val="single" w:sz="4" w:space="0" w:color="2AB1BB" w:themeColor="accent1"/>
            </w:tcBorders>
            <w:vAlign w:val="center"/>
          </w:tcPr>
          <w:p w14:paraId="029EBDD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13%</w:t>
            </w:r>
          </w:p>
        </w:tc>
        <w:tc>
          <w:tcPr>
            <w:tcW w:w="0" w:type="auto"/>
            <w:tcBorders>
              <w:top w:val="single" w:sz="4" w:space="0" w:color="2AB1BB" w:themeColor="accent1"/>
            </w:tcBorders>
            <w:vAlign w:val="center"/>
          </w:tcPr>
          <w:p w14:paraId="1EE5323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15%</w:t>
            </w:r>
          </w:p>
        </w:tc>
        <w:tc>
          <w:tcPr>
            <w:tcW w:w="0" w:type="auto"/>
            <w:tcBorders>
              <w:top w:val="single" w:sz="4" w:space="0" w:color="2AB1BB" w:themeColor="accent1"/>
            </w:tcBorders>
            <w:vAlign w:val="center"/>
          </w:tcPr>
          <w:p w14:paraId="59C3B39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38%</w:t>
            </w:r>
          </w:p>
        </w:tc>
        <w:tc>
          <w:tcPr>
            <w:tcW w:w="0" w:type="auto"/>
            <w:tcBorders>
              <w:top w:val="single" w:sz="4" w:space="0" w:color="2AB1BB" w:themeColor="accent1"/>
            </w:tcBorders>
            <w:vAlign w:val="center"/>
          </w:tcPr>
          <w:p w14:paraId="43CE336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19%</w:t>
            </w:r>
          </w:p>
        </w:tc>
        <w:tc>
          <w:tcPr>
            <w:tcW w:w="0" w:type="auto"/>
            <w:tcBorders>
              <w:top w:val="single" w:sz="4" w:space="0" w:color="2AB1BB" w:themeColor="accent1"/>
            </w:tcBorders>
            <w:shd w:val="clear" w:color="auto" w:fill="F2F2F2" w:themeFill="background1" w:themeFillShade="F2"/>
            <w:vAlign w:val="center"/>
          </w:tcPr>
          <w:p w14:paraId="5897A89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57%</w:t>
            </w:r>
          </w:p>
        </w:tc>
        <w:tc>
          <w:tcPr>
            <w:tcW w:w="0" w:type="auto"/>
            <w:tcBorders>
              <w:top w:val="single" w:sz="4" w:space="0" w:color="2AB1BB" w:themeColor="accent1"/>
            </w:tcBorders>
            <w:vAlign w:val="center"/>
          </w:tcPr>
          <w:p w14:paraId="4D2AF04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7%</w:t>
            </w:r>
          </w:p>
        </w:tc>
        <w:tc>
          <w:tcPr>
            <w:tcW w:w="0" w:type="auto"/>
            <w:tcBorders>
              <w:top w:val="single" w:sz="4" w:space="0" w:color="2AB1BB" w:themeColor="accent1"/>
            </w:tcBorders>
            <w:vAlign w:val="center"/>
          </w:tcPr>
          <w:p w14:paraId="0350F50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86</w:t>
            </w:r>
          </w:p>
        </w:tc>
      </w:tr>
    </w:tbl>
    <w:p w14:paraId="1197EAA5" w14:textId="77777777" w:rsidR="006C4DE1" w:rsidRPr="00D04C0D" w:rsidRDefault="006C4DE1" w:rsidP="00D04C0D">
      <w:r w:rsidRPr="00D04C0D">
        <w:br w:type="page"/>
      </w:r>
    </w:p>
    <w:p w14:paraId="6A03D800" w14:textId="45D18085" w:rsidR="00FA4F7E" w:rsidRPr="001D6174"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rsidR="00FA4F7E" w:rsidRPr="001D6174">
        <w:t xml:space="preserve"> – Importance ratings of informed choice measures</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1517"/>
        <w:gridCol w:w="1452"/>
        <w:gridCol w:w="1709"/>
        <w:gridCol w:w="1346"/>
        <w:gridCol w:w="1598"/>
        <w:gridCol w:w="811"/>
        <w:gridCol w:w="1459"/>
      </w:tblGrid>
      <w:tr w:rsidR="0017155E" w:rsidRPr="00B528D0" w14:paraId="6BA0BE05"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1E1545" w:themeFill="text1"/>
            <w:vAlign w:val="center"/>
          </w:tcPr>
          <w:p w14:paraId="308274E8" w14:textId="77777777" w:rsidR="00FA4F7E" w:rsidRPr="003A426F" w:rsidRDefault="00FA4F7E" w:rsidP="0017155E">
            <w:pPr>
              <w:pStyle w:val="TableofAuthorities"/>
            </w:pPr>
            <w:r w:rsidRPr="003A426F">
              <w:t>Measure</w:t>
            </w:r>
          </w:p>
        </w:tc>
        <w:tc>
          <w:tcPr>
            <w:tcW w:w="0" w:type="auto"/>
            <w:shd w:val="clear" w:color="auto" w:fill="1E1545" w:themeFill="text1"/>
            <w:vAlign w:val="center"/>
          </w:tcPr>
          <w:p w14:paraId="17CBBA4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at all important</w:t>
            </w:r>
          </w:p>
        </w:tc>
        <w:tc>
          <w:tcPr>
            <w:tcW w:w="0" w:type="auto"/>
            <w:shd w:val="clear" w:color="auto" w:fill="1E1545" w:themeFill="text1"/>
            <w:vAlign w:val="center"/>
          </w:tcPr>
          <w:p w14:paraId="7DB51E8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Slightly important</w:t>
            </w:r>
          </w:p>
        </w:tc>
        <w:tc>
          <w:tcPr>
            <w:tcW w:w="0" w:type="auto"/>
            <w:shd w:val="clear" w:color="auto" w:fill="1E1545" w:themeFill="text1"/>
            <w:vAlign w:val="center"/>
          </w:tcPr>
          <w:p w14:paraId="28606BB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Moderately important</w:t>
            </w:r>
          </w:p>
        </w:tc>
        <w:tc>
          <w:tcPr>
            <w:tcW w:w="0" w:type="auto"/>
            <w:shd w:val="clear" w:color="auto" w:fill="1E1545" w:themeFill="text1"/>
            <w:vAlign w:val="center"/>
          </w:tcPr>
          <w:p w14:paraId="161058EB"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important</w:t>
            </w:r>
          </w:p>
        </w:tc>
        <w:tc>
          <w:tcPr>
            <w:tcW w:w="0" w:type="auto"/>
            <w:shd w:val="clear" w:color="auto" w:fill="1E1545" w:themeFill="text1"/>
            <w:vAlign w:val="center"/>
          </w:tcPr>
          <w:p w14:paraId="0C2FED44"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Extremely important</w:t>
            </w:r>
          </w:p>
        </w:tc>
        <w:tc>
          <w:tcPr>
            <w:tcW w:w="0" w:type="auto"/>
            <w:shd w:val="clear" w:color="auto" w:fill="1E1545" w:themeFill="text1"/>
            <w:vAlign w:val="center"/>
          </w:tcPr>
          <w:p w14:paraId="25ADFE88"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0" w:type="auto"/>
            <w:shd w:val="clear" w:color="auto" w:fill="1E1545" w:themeFill="text1"/>
            <w:vAlign w:val="center"/>
          </w:tcPr>
          <w:p w14:paraId="1F0A5D0F"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B528D0" w14:paraId="774786A1" w14:textId="77777777" w:rsidTr="00206D03">
        <w:trPr>
          <w:trHeight w:val="39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10A6C127" w14:textId="77777777" w:rsidR="00FA4F7E" w:rsidRPr="003A426F" w:rsidRDefault="00FA4F7E" w:rsidP="003A426F">
            <w:r w:rsidRPr="003A426F">
              <w:t>Star ratings</w:t>
            </w:r>
          </w:p>
        </w:tc>
        <w:tc>
          <w:tcPr>
            <w:tcW w:w="0" w:type="auto"/>
            <w:tcBorders>
              <w:bottom w:val="single" w:sz="4" w:space="0" w:color="2AB1BB" w:themeColor="accent1"/>
            </w:tcBorders>
            <w:vAlign w:val="center"/>
          </w:tcPr>
          <w:p w14:paraId="684CA80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0" w:type="auto"/>
            <w:tcBorders>
              <w:bottom w:val="single" w:sz="4" w:space="0" w:color="2AB1BB" w:themeColor="accent1"/>
            </w:tcBorders>
            <w:vAlign w:val="center"/>
          </w:tcPr>
          <w:p w14:paraId="5FD794A5"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w:t>
            </w:r>
          </w:p>
        </w:tc>
        <w:tc>
          <w:tcPr>
            <w:tcW w:w="0" w:type="auto"/>
            <w:tcBorders>
              <w:bottom w:val="single" w:sz="4" w:space="0" w:color="2AB1BB" w:themeColor="accent1"/>
            </w:tcBorders>
            <w:vAlign w:val="center"/>
          </w:tcPr>
          <w:p w14:paraId="6C6E784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34%</w:t>
            </w:r>
          </w:p>
        </w:tc>
        <w:tc>
          <w:tcPr>
            <w:tcW w:w="0" w:type="auto"/>
            <w:tcBorders>
              <w:bottom w:val="single" w:sz="4" w:space="0" w:color="2AB1BB" w:themeColor="accent1"/>
            </w:tcBorders>
            <w:vAlign w:val="center"/>
          </w:tcPr>
          <w:p w14:paraId="6509ED3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28%</w:t>
            </w:r>
          </w:p>
        </w:tc>
        <w:tc>
          <w:tcPr>
            <w:tcW w:w="0" w:type="auto"/>
            <w:tcBorders>
              <w:bottom w:val="single" w:sz="4" w:space="0" w:color="2AB1BB" w:themeColor="accent1"/>
            </w:tcBorders>
            <w:vAlign w:val="center"/>
          </w:tcPr>
          <w:p w14:paraId="48DDA57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22%</w:t>
            </w:r>
          </w:p>
        </w:tc>
        <w:tc>
          <w:tcPr>
            <w:tcW w:w="0" w:type="auto"/>
            <w:tcBorders>
              <w:bottom w:val="single" w:sz="4" w:space="0" w:color="2AB1BB" w:themeColor="accent1"/>
            </w:tcBorders>
            <w:vAlign w:val="center"/>
          </w:tcPr>
          <w:p w14:paraId="7A212A8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Borders>
              <w:bottom w:val="single" w:sz="4" w:space="0" w:color="2AB1BB" w:themeColor="accent1"/>
            </w:tcBorders>
            <w:vAlign w:val="center"/>
          </w:tcPr>
          <w:p w14:paraId="65688F1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79</w:t>
            </w:r>
          </w:p>
        </w:tc>
      </w:tr>
      <w:tr w:rsidR="00FA4F7E" w:rsidRPr="00B528D0" w14:paraId="7D9F55A1" w14:textId="77777777" w:rsidTr="00206D03">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0E04BDAF" w14:textId="77777777" w:rsidR="00FA4F7E" w:rsidRPr="003A426F" w:rsidRDefault="00FA4F7E" w:rsidP="003A426F">
            <w:r w:rsidRPr="003A426F">
              <w:t>Face-to-face support</w:t>
            </w:r>
          </w:p>
        </w:tc>
        <w:tc>
          <w:tcPr>
            <w:tcW w:w="0" w:type="auto"/>
            <w:tcBorders>
              <w:top w:val="single" w:sz="4" w:space="0" w:color="2AB1BB" w:themeColor="accent1"/>
              <w:bottom w:val="single" w:sz="4" w:space="0" w:color="2AB1BB" w:themeColor="accent1"/>
            </w:tcBorders>
            <w:vAlign w:val="center"/>
          </w:tcPr>
          <w:p w14:paraId="66EDAB5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46D29DAA"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18F76F0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0" w:type="auto"/>
            <w:tcBorders>
              <w:top w:val="single" w:sz="4" w:space="0" w:color="2AB1BB" w:themeColor="accent1"/>
              <w:bottom w:val="single" w:sz="4" w:space="0" w:color="2AB1BB" w:themeColor="accent1"/>
            </w:tcBorders>
            <w:vAlign w:val="center"/>
          </w:tcPr>
          <w:p w14:paraId="676B4B7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34%</w:t>
            </w:r>
          </w:p>
        </w:tc>
        <w:tc>
          <w:tcPr>
            <w:tcW w:w="0" w:type="auto"/>
            <w:tcBorders>
              <w:top w:val="single" w:sz="4" w:space="0" w:color="2AB1BB" w:themeColor="accent1"/>
              <w:bottom w:val="single" w:sz="4" w:space="0" w:color="2AB1BB" w:themeColor="accent1"/>
            </w:tcBorders>
            <w:vAlign w:val="center"/>
          </w:tcPr>
          <w:p w14:paraId="1A39F71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60%</w:t>
            </w:r>
          </w:p>
        </w:tc>
        <w:tc>
          <w:tcPr>
            <w:tcW w:w="0" w:type="auto"/>
            <w:tcBorders>
              <w:top w:val="single" w:sz="4" w:space="0" w:color="2AB1BB" w:themeColor="accent1"/>
              <w:bottom w:val="single" w:sz="4" w:space="0" w:color="2AB1BB" w:themeColor="accent1"/>
            </w:tcBorders>
            <w:vAlign w:val="center"/>
          </w:tcPr>
          <w:p w14:paraId="3CC9A47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0" w:type="auto"/>
            <w:tcBorders>
              <w:top w:val="single" w:sz="4" w:space="0" w:color="2AB1BB" w:themeColor="accent1"/>
              <w:bottom w:val="single" w:sz="4" w:space="0" w:color="2AB1BB" w:themeColor="accent1"/>
            </w:tcBorders>
            <w:vAlign w:val="center"/>
          </w:tcPr>
          <w:p w14:paraId="1EB76B6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80</w:t>
            </w:r>
          </w:p>
        </w:tc>
      </w:tr>
      <w:tr w:rsidR="00FA4F7E" w:rsidRPr="00B528D0" w14:paraId="4EC174D1" w14:textId="77777777" w:rsidTr="00206D03">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64A5092E" w14:textId="77777777" w:rsidR="00FA4F7E" w:rsidRPr="003A426F" w:rsidRDefault="00FA4F7E" w:rsidP="003A426F">
            <w:r w:rsidRPr="003A426F">
              <w:t>Dedicated support for Aboriginal and Torres Strait Islander people</w:t>
            </w:r>
          </w:p>
        </w:tc>
        <w:tc>
          <w:tcPr>
            <w:tcW w:w="0" w:type="auto"/>
            <w:tcBorders>
              <w:top w:val="single" w:sz="4" w:space="0" w:color="2AB1BB" w:themeColor="accent1"/>
              <w:bottom w:val="single" w:sz="4" w:space="0" w:color="2AB1BB" w:themeColor="accent1"/>
            </w:tcBorders>
            <w:vAlign w:val="center"/>
          </w:tcPr>
          <w:p w14:paraId="2A5E281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0" w:type="auto"/>
            <w:tcBorders>
              <w:top w:val="single" w:sz="4" w:space="0" w:color="2AB1BB" w:themeColor="accent1"/>
              <w:bottom w:val="single" w:sz="4" w:space="0" w:color="2AB1BB" w:themeColor="accent1"/>
            </w:tcBorders>
            <w:vAlign w:val="center"/>
          </w:tcPr>
          <w:p w14:paraId="7935CAC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w:t>
            </w:r>
          </w:p>
        </w:tc>
        <w:tc>
          <w:tcPr>
            <w:tcW w:w="0" w:type="auto"/>
            <w:tcBorders>
              <w:top w:val="single" w:sz="4" w:space="0" w:color="2AB1BB" w:themeColor="accent1"/>
              <w:bottom w:val="single" w:sz="4" w:space="0" w:color="2AB1BB" w:themeColor="accent1"/>
            </w:tcBorders>
            <w:vAlign w:val="center"/>
          </w:tcPr>
          <w:p w14:paraId="1FB14A3A"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6%</w:t>
            </w:r>
          </w:p>
        </w:tc>
        <w:tc>
          <w:tcPr>
            <w:tcW w:w="0" w:type="auto"/>
            <w:tcBorders>
              <w:top w:val="single" w:sz="4" w:space="0" w:color="2AB1BB" w:themeColor="accent1"/>
              <w:bottom w:val="single" w:sz="4" w:space="0" w:color="2AB1BB" w:themeColor="accent1"/>
            </w:tcBorders>
            <w:vAlign w:val="center"/>
          </w:tcPr>
          <w:p w14:paraId="6F79586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34%</w:t>
            </w:r>
          </w:p>
        </w:tc>
        <w:tc>
          <w:tcPr>
            <w:tcW w:w="0" w:type="auto"/>
            <w:tcBorders>
              <w:top w:val="single" w:sz="4" w:space="0" w:color="2AB1BB" w:themeColor="accent1"/>
              <w:bottom w:val="single" w:sz="4" w:space="0" w:color="2AB1BB" w:themeColor="accent1"/>
            </w:tcBorders>
            <w:vAlign w:val="center"/>
          </w:tcPr>
          <w:p w14:paraId="1D405BC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49%</w:t>
            </w:r>
          </w:p>
        </w:tc>
        <w:tc>
          <w:tcPr>
            <w:tcW w:w="0" w:type="auto"/>
            <w:tcBorders>
              <w:top w:val="single" w:sz="4" w:space="0" w:color="2AB1BB" w:themeColor="accent1"/>
              <w:bottom w:val="single" w:sz="4" w:space="0" w:color="2AB1BB" w:themeColor="accent1"/>
            </w:tcBorders>
            <w:vAlign w:val="center"/>
          </w:tcPr>
          <w:p w14:paraId="490CBEC6"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0" w:type="auto"/>
            <w:tcBorders>
              <w:top w:val="single" w:sz="4" w:space="0" w:color="2AB1BB" w:themeColor="accent1"/>
              <w:bottom w:val="single" w:sz="4" w:space="0" w:color="2AB1BB" w:themeColor="accent1"/>
            </w:tcBorders>
            <w:vAlign w:val="center"/>
          </w:tcPr>
          <w:p w14:paraId="08FF8C9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80</w:t>
            </w:r>
          </w:p>
        </w:tc>
      </w:tr>
      <w:tr w:rsidR="00FA4F7E" w:rsidRPr="00B528D0" w14:paraId="0AF3EAF5" w14:textId="77777777" w:rsidTr="00206D03">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6EAB4858" w14:textId="77777777" w:rsidR="00FA4F7E" w:rsidRPr="003A426F" w:rsidRDefault="00FA4F7E" w:rsidP="003A426F">
            <w:r w:rsidRPr="003A426F">
              <w:t>Advocacy</w:t>
            </w:r>
          </w:p>
        </w:tc>
        <w:tc>
          <w:tcPr>
            <w:tcW w:w="0" w:type="auto"/>
            <w:tcBorders>
              <w:top w:val="single" w:sz="4" w:space="0" w:color="2AB1BB" w:themeColor="accent1"/>
              <w:bottom w:val="single" w:sz="4" w:space="0" w:color="2AB1BB" w:themeColor="accent1"/>
            </w:tcBorders>
            <w:vAlign w:val="center"/>
          </w:tcPr>
          <w:p w14:paraId="3C0350A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663AEEA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0" w:type="auto"/>
            <w:tcBorders>
              <w:top w:val="single" w:sz="4" w:space="0" w:color="2AB1BB" w:themeColor="accent1"/>
              <w:bottom w:val="single" w:sz="4" w:space="0" w:color="2AB1BB" w:themeColor="accent1"/>
            </w:tcBorders>
            <w:vAlign w:val="center"/>
          </w:tcPr>
          <w:p w14:paraId="7DE2C63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18%</w:t>
            </w:r>
          </w:p>
        </w:tc>
        <w:tc>
          <w:tcPr>
            <w:tcW w:w="0" w:type="auto"/>
            <w:tcBorders>
              <w:top w:val="single" w:sz="4" w:space="0" w:color="2AB1BB" w:themeColor="accent1"/>
              <w:bottom w:val="single" w:sz="4" w:space="0" w:color="2AB1BB" w:themeColor="accent1"/>
            </w:tcBorders>
            <w:vAlign w:val="center"/>
          </w:tcPr>
          <w:p w14:paraId="7FDB6A1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33%</w:t>
            </w:r>
          </w:p>
        </w:tc>
        <w:tc>
          <w:tcPr>
            <w:tcW w:w="0" w:type="auto"/>
            <w:tcBorders>
              <w:top w:val="single" w:sz="4" w:space="0" w:color="2AB1BB" w:themeColor="accent1"/>
              <w:bottom w:val="single" w:sz="4" w:space="0" w:color="2AB1BB" w:themeColor="accent1"/>
            </w:tcBorders>
            <w:vAlign w:val="center"/>
          </w:tcPr>
          <w:p w14:paraId="1F812E0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49%</w:t>
            </w:r>
          </w:p>
        </w:tc>
        <w:tc>
          <w:tcPr>
            <w:tcW w:w="0" w:type="auto"/>
            <w:tcBorders>
              <w:top w:val="single" w:sz="4" w:space="0" w:color="2AB1BB" w:themeColor="accent1"/>
              <w:bottom w:val="single" w:sz="4" w:space="0" w:color="2AB1BB" w:themeColor="accent1"/>
            </w:tcBorders>
            <w:vAlign w:val="center"/>
          </w:tcPr>
          <w:p w14:paraId="39CE7A6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0" w:type="auto"/>
            <w:tcBorders>
              <w:top w:val="single" w:sz="4" w:space="0" w:color="2AB1BB" w:themeColor="accent1"/>
              <w:bottom w:val="single" w:sz="4" w:space="0" w:color="2AB1BB" w:themeColor="accent1"/>
            </w:tcBorders>
            <w:vAlign w:val="center"/>
          </w:tcPr>
          <w:p w14:paraId="413AE1C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80</w:t>
            </w:r>
          </w:p>
        </w:tc>
      </w:tr>
      <w:tr w:rsidR="00FA4F7E" w:rsidRPr="00B528D0" w14:paraId="33FAC9C3" w14:textId="77777777" w:rsidTr="00206D03">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4A8968CF" w14:textId="77777777" w:rsidR="00FA4F7E" w:rsidRPr="003A426F" w:rsidRDefault="00FA4F7E" w:rsidP="003A426F">
            <w:r w:rsidRPr="003A426F">
              <w:t>My Aged Care Changes</w:t>
            </w:r>
          </w:p>
        </w:tc>
        <w:tc>
          <w:tcPr>
            <w:tcW w:w="0" w:type="auto"/>
            <w:tcBorders>
              <w:top w:val="single" w:sz="4" w:space="0" w:color="2AB1BB" w:themeColor="accent1"/>
              <w:bottom w:val="single" w:sz="4" w:space="0" w:color="2AB1BB" w:themeColor="accent1"/>
            </w:tcBorders>
            <w:vAlign w:val="center"/>
          </w:tcPr>
          <w:p w14:paraId="1486A2B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0C1C43C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bottom w:val="single" w:sz="4" w:space="0" w:color="2AB1BB" w:themeColor="accent1"/>
            </w:tcBorders>
            <w:vAlign w:val="center"/>
          </w:tcPr>
          <w:p w14:paraId="3362181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15%</w:t>
            </w:r>
          </w:p>
        </w:tc>
        <w:tc>
          <w:tcPr>
            <w:tcW w:w="0" w:type="auto"/>
            <w:tcBorders>
              <w:top w:val="single" w:sz="4" w:space="0" w:color="2AB1BB" w:themeColor="accent1"/>
              <w:bottom w:val="single" w:sz="4" w:space="0" w:color="2AB1BB" w:themeColor="accent1"/>
            </w:tcBorders>
            <w:vAlign w:val="center"/>
          </w:tcPr>
          <w:p w14:paraId="5542230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28%</w:t>
            </w:r>
          </w:p>
        </w:tc>
        <w:tc>
          <w:tcPr>
            <w:tcW w:w="0" w:type="auto"/>
            <w:tcBorders>
              <w:top w:val="single" w:sz="4" w:space="0" w:color="2AB1BB" w:themeColor="accent1"/>
              <w:bottom w:val="single" w:sz="4" w:space="0" w:color="2AB1BB" w:themeColor="accent1"/>
            </w:tcBorders>
            <w:vAlign w:val="center"/>
          </w:tcPr>
          <w:p w14:paraId="6546E875"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49%</w:t>
            </w:r>
          </w:p>
        </w:tc>
        <w:tc>
          <w:tcPr>
            <w:tcW w:w="0" w:type="auto"/>
            <w:tcBorders>
              <w:top w:val="single" w:sz="4" w:space="0" w:color="2AB1BB" w:themeColor="accent1"/>
              <w:bottom w:val="single" w:sz="4" w:space="0" w:color="2AB1BB" w:themeColor="accent1"/>
            </w:tcBorders>
            <w:vAlign w:val="center"/>
          </w:tcPr>
          <w:p w14:paraId="6C50C8B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w:t>
            </w:r>
          </w:p>
        </w:tc>
        <w:tc>
          <w:tcPr>
            <w:tcW w:w="0" w:type="auto"/>
            <w:tcBorders>
              <w:top w:val="single" w:sz="4" w:space="0" w:color="2AB1BB" w:themeColor="accent1"/>
              <w:bottom w:val="single" w:sz="4" w:space="0" w:color="2AB1BB" w:themeColor="accent1"/>
            </w:tcBorders>
            <w:vAlign w:val="center"/>
          </w:tcPr>
          <w:p w14:paraId="722FEF4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79</w:t>
            </w:r>
          </w:p>
        </w:tc>
      </w:tr>
      <w:tr w:rsidR="00FA4F7E" w:rsidRPr="00B528D0" w14:paraId="1D9EE59F" w14:textId="77777777" w:rsidTr="00206D03">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371B1163" w14:textId="77777777" w:rsidR="00FA4F7E" w:rsidRPr="003A426F" w:rsidRDefault="00FA4F7E" w:rsidP="003A426F">
            <w:r w:rsidRPr="003A426F">
              <w:t>More transparent accommodation information</w:t>
            </w:r>
          </w:p>
        </w:tc>
        <w:tc>
          <w:tcPr>
            <w:tcW w:w="0" w:type="auto"/>
            <w:tcBorders>
              <w:top w:val="single" w:sz="4" w:space="0" w:color="2AB1BB" w:themeColor="accent1"/>
            </w:tcBorders>
            <w:vAlign w:val="center"/>
          </w:tcPr>
          <w:p w14:paraId="2476CAC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top w:val="single" w:sz="4" w:space="0" w:color="2AB1BB" w:themeColor="accent1"/>
            </w:tcBorders>
            <w:vAlign w:val="center"/>
          </w:tcPr>
          <w:p w14:paraId="7C4CDBA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0" w:type="auto"/>
            <w:tcBorders>
              <w:top w:val="single" w:sz="4" w:space="0" w:color="2AB1BB" w:themeColor="accent1"/>
            </w:tcBorders>
            <w:vAlign w:val="center"/>
          </w:tcPr>
          <w:p w14:paraId="2B9450F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11%</w:t>
            </w:r>
          </w:p>
        </w:tc>
        <w:tc>
          <w:tcPr>
            <w:tcW w:w="0" w:type="auto"/>
            <w:tcBorders>
              <w:top w:val="single" w:sz="4" w:space="0" w:color="2AB1BB" w:themeColor="accent1"/>
            </w:tcBorders>
            <w:vAlign w:val="center"/>
          </w:tcPr>
          <w:p w14:paraId="73F2FAC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33%</w:t>
            </w:r>
          </w:p>
        </w:tc>
        <w:tc>
          <w:tcPr>
            <w:tcW w:w="0" w:type="auto"/>
            <w:tcBorders>
              <w:top w:val="single" w:sz="4" w:space="0" w:color="2AB1BB" w:themeColor="accent1"/>
            </w:tcBorders>
            <w:vAlign w:val="center"/>
          </w:tcPr>
          <w:p w14:paraId="4B8AB4F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48%</w:t>
            </w:r>
          </w:p>
        </w:tc>
        <w:tc>
          <w:tcPr>
            <w:tcW w:w="0" w:type="auto"/>
            <w:tcBorders>
              <w:top w:val="single" w:sz="4" w:space="0" w:color="2AB1BB" w:themeColor="accent1"/>
            </w:tcBorders>
            <w:vAlign w:val="center"/>
          </w:tcPr>
          <w:p w14:paraId="234CAB6A"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0" w:type="auto"/>
            <w:tcBorders>
              <w:top w:val="single" w:sz="4" w:space="0" w:color="2AB1BB" w:themeColor="accent1"/>
            </w:tcBorders>
            <w:vAlign w:val="center"/>
          </w:tcPr>
          <w:p w14:paraId="4F58D2E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80</w:t>
            </w:r>
          </w:p>
        </w:tc>
      </w:tr>
    </w:tbl>
    <w:p w14:paraId="2AC120BD" w14:textId="72FD0A68" w:rsidR="00FA4F7E" w:rsidRPr="001D6174" w:rsidRDefault="00EC3654" w:rsidP="00EC3654">
      <w:pPr>
        <w:pStyle w:val="Caption"/>
      </w:pPr>
      <w:r>
        <w:t xml:space="preserve">Table </w:t>
      </w:r>
      <w:r>
        <w:fldChar w:fldCharType="begin"/>
      </w:r>
      <w:r>
        <w:instrText xml:space="preserve"> SEQ Table \* ARABIC </w:instrText>
      </w:r>
      <w:r>
        <w:fldChar w:fldCharType="separate"/>
      </w:r>
      <w:r>
        <w:rPr>
          <w:noProof/>
        </w:rPr>
        <w:t>9</w:t>
      </w:r>
      <w:r>
        <w:fldChar w:fldCharType="end"/>
      </w:r>
      <w:r w:rsidR="00FA4F7E" w:rsidRPr="001D6174">
        <w:t xml:space="preserve"> – Importance ratings - How important is it for people to be supported to move homes if they need to?</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1820"/>
        <w:gridCol w:w="1703"/>
        <w:gridCol w:w="2027"/>
        <w:gridCol w:w="1513"/>
        <w:gridCol w:w="1917"/>
        <w:gridCol w:w="942"/>
        <w:gridCol w:w="1638"/>
      </w:tblGrid>
      <w:tr w:rsidR="00F603C2" w:rsidRPr="006C4DE1" w14:paraId="71ECDD43"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1E1545" w:themeFill="text1"/>
            <w:vAlign w:val="center"/>
          </w:tcPr>
          <w:p w14:paraId="4E11B9D7" w14:textId="77777777" w:rsidR="00FA4F7E" w:rsidRPr="00A76B05" w:rsidRDefault="00FA4F7E" w:rsidP="0017155E">
            <w:pPr>
              <w:pStyle w:val="TableofAuthorities"/>
            </w:pPr>
          </w:p>
        </w:tc>
        <w:tc>
          <w:tcPr>
            <w:tcW w:w="0" w:type="auto"/>
            <w:tcBorders>
              <w:bottom w:val="none" w:sz="0" w:space="0" w:color="auto"/>
            </w:tcBorders>
            <w:shd w:val="clear" w:color="auto" w:fill="1E1545" w:themeFill="text1"/>
            <w:vAlign w:val="center"/>
          </w:tcPr>
          <w:p w14:paraId="19135C6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at all important</w:t>
            </w:r>
          </w:p>
        </w:tc>
        <w:tc>
          <w:tcPr>
            <w:tcW w:w="0" w:type="auto"/>
            <w:tcBorders>
              <w:bottom w:val="none" w:sz="0" w:space="0" w:color="auto"/>
            </w:tcBorders>
            <w:shd w:val="clear" w:color="auto" w:fill="1E1545" w:themeFill="text1"/>
            <w:vAlign w:val="center"/>
          </w:tcPr>
          <w:p w14:paraId="16CB9E9A"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Slightly important</w:t>
            </w:r>
          </w:p>
        </w:tc>
        <w:tc>
          <w:tcPr>
            <w:tcW w:w="0" w:type="auto"/>
            <w:tcBorders>
              <w:bottom w:val="none" w:sz="0" w:space="0" w:color="auto"/>
            </w:tcBorders>
            <w:shd w:val="clear" w:color="auto" w:fill="1E1545" w:themeFill="text1"/>
            <w:vAlign w:val="center"/>
          </w:tcPr>
          <w:p w14:paraId="1C90379D"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Moderately important</w:t>
            </w:r>
          </w:p>
        </w:tc>
        <w:tc>
          <w:tcPr>
            <w:tcW w:w="0" w:type="auto"/>
            <w:tcBorders>
              <w:bottom w:val="none" w:sz="0" w:space="0" w:color="auto"/>
            </w:tcBorders>
            <w:shd w:val="clear" w:color="auto" w:fill="1E1545" w:themeFill="text1"/>
            <w:vAlign w:val="center"/>
          </w:tcPr>
          <w:p w14:paraId="63B2485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important</w:t>
            </w:r>
          </w:p>
        </w:tc>
        <w:tc>
          <w:tcPr>
            <w:tcW w:w="0" w:type="auto"/>
            <w:tcBorders>
              <w:bottom w:val="none" w:sz="0" w:space="0" w:color="auto"/>
            </w:tcBorders>
            <w:shd w:val="clear" w:color="auto" w:fill="1E1545" w:themeFill="text1"/>
            <w:vAlign w:val="center"/>
          </w:tcPr>
          <w:p w14:paraId="498D33CD"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Extremely important</w:t>
            </w:r>
          </w:p>
        </w:tc>
        <w:tc>
          <w:tcPr>
            <w:tcW w:w="0" w:type="auto"/>
            <w:tcBorders>
              <w:bottom w:val="none" w:sz="0" w:space="0" w:color="auto"/>
            </w:tcBorders>
            <w:shd w:val="clear" w:color="auto" w:fill="1E1545" w:themeFill="text1"/>
            <w:vAlign w:val="center"/>
          </w:tcPr>
          <w:p w14:paraId="49091A49"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0" w:type="auto"/>
            <w:tcBorders>
              <w:bottom w:val="none" w:sz="0" w:space="0" w:color="auto"/>
            </w:tcBorders>
            <w:shd w:val="clear" w:color="auto" w:fill="1E1545" w:themeFill="text1"/>
            <w:vAlign w:val="center"/>
          </w:tcPr>
          <w:p w14:paraId="7D42420D"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603C2" w:rsidRPr="006C4DE1" w14:paraId="4407AF72" w14:textId="77777777" w:rsidTr="00C62D3D">
        <w:trPr>
          <w:trHeigh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26F14CF3" w14:textId="77777777" w:rsidR="00FA4F7E" w:rsidRPr="00A76B05" w:rsidRDefault="00FA4F7E" w:rsidP="00A76B05">
            <w:pPr>
              <w:pStyle w:val="Heading1Char"/>
            </w:pPr>
            <w:r w:rsidRPr="00A76B05">
              <w:t>Number of responses</w:t>
            </w:r>
          </w:p>
        </w:tc>
        <w:tc>
          <w:tcPr>
            <w:tcW w:w="0" w:type="auto"/>
            <w:tcBorders>
              <w:bottom w:val="single" w:sz="4" w:space="0" w:color="2AB1BB" w:themeColor="accent1"/>
            </w:tcBorders>
            <w:vAlign w:val="center"/>
          </w:tcPr>
          <w:p w14:paraId="1221D8A0"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bottom w:val="single" w:sz="4" w:space="0" w:color="2AB1BB" w:themeColor="accent1"/>
            </w:tcBorders>
            <w:vAlign w:val="center"/>
          </w:tcPr>
          <w:p w14:paraId="37803D81"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bottom w:val="single" w:sz="4" w:space="0" w:color="2AB1BB" w:themeColor="accent1"/>
            </w:tcBorders>
            <w:vAlign w:val="center"/>
          </w:tcPr>
          <w:p w14:paraId="4DC44D5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8</w:t>
            </w:r>
          </w:p>
        </w:tc>
        <w:tc>
          <w:tcPr>
            <w:tcW w:w="0" w:type="auto"/>
            <w:tcBorders>
              <w:bottom w:val="single" w:sz="4" w:space="0" w:color="2AB1BB" w:themeColor="accent1"/>
            </w:tcBorders>
            <w:vAlign w:val="center"/>
          </w:tcPr>
          <w:p w14:paraId="7ED8B7E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16</w:t>
            </w:r>
          </w:p>
        </w:tc>
        <w:tc>
          <w:tcPr>
            <w:tcW w:w="0" w:type="auto"/>
            <w:tcBorders>
              <w:bottom w:val="single" w:sz="4" w:space="0" w:color="2AB1BB" w:themeColor="accent1"/>
            </w:tcBorders>
            <w:vAlign w:val="center"/>
          </w:tcPr>
          <w:p w14:paraId="5B14384A"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50</w:t>
            </w:r>
          </w:p>
        </w:tc>
        <w:tc>
          <w:tcPr>
            <w:tcW w:w="0" w:type="auto"/>
            <w:tcBorders>
              <w:bottom w:val="single" w:sz="4" w:space="0" w:color="2AB1BB" w:themeColor="accent1"/>
            </w:tcBorders>
            <w:vAlign w:val="center"/>
          </w:tcPr>
          <w:p w14:paraId="31C05636"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bottom w:val="single" w:sz="4" w:space="0" w:color="2AB1BB" w:themeColor="accent1"/>
            </w:tcBorders>
            <w:vAlign w:val="center"/>
          </w:tcPr>
          <w:p w14:paraId="3AB81B9A"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77</w:t>
            </w:r>
          </w:p>
        </w:tc>
      </w:tr>
      <w:tr w:rsidR="00F603C2" w:rsidRPr="006C4DE1" w14:paraId="623DD040" w14:textId="77777777" w:rsidTr="00C62D3D">
        <w:trPr>
          <w:trHeigh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75E293B5" w14:textId="77777777" w:rsidR="00FA4F7E" w:rsidRPr="00A76B05" w:rsidRDefault="00FA4F7E" w:rsidP="00A76B05">
            <w:pPr>
              <w:pStyle w:val="Heading1Char"/>
            </w:pPr>
            <w:r w:rsidRPr="00A76B05">
              <w:t>Proportion of responses</w:t>
            </w:r>
          </w:p>
        </w:tc>
        <w:tc>
          <w:tcPr>
            <w:tcW w:w="0" w:type="auto"/>
            <w:tcBorders>
              <w:top w:val="single" w:sz="4" w:space="0" w:color="2AB1BB" w:themeColor="accent1"/>
            </w:tcBorders>
            <w:vAlign w:val="center"/>
          </w:tcPr>
          <w:p w14:paraId="10498B2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top w:val="single" w:sz="4" w:space="0" w:color="2AB1BB" w:themeColor="accent1"/>
            </w:tcBorders>
            <w:vAlign w:val="center"/>
          </w:tcPr>
          <w:p w14:paraId="706C2F81"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top w:val="single" w:sz="4" w:space="0" w:color="2AB1BB" w:themeColor="accent1"/>
            </w:tcBorders>
            <w:vAlign w:val="center"/>
          </w:tcPr>
          <w:p w14:paraId="01676DF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w:t>
            </w:r>
          </w:p>
        </w:tc>
        <w:tc>
          <w:tcPr>
            <w:tcW w:w="0" w:type="auto"/>
            <w:tcBorders>
              <w:top w:val="single" w:sz="4" w:space="0" w:color="2AB1BB" w:themeColor="accent1"/>
            </w:tcBorders>
            <w:vAlign w:val="center"/>
          </w:tcPr>
          <w:p w14:paraId="77F33BC7"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21%</w:t>
            </w:r>
          </w:p>
        </w:tc>
        <w:tc>
          <w:tcPr>
            <w:tcW w:w="0" w:type="auto"/>
            <w:tcBorders>
              <w:top w:val="single" w:sz="4" w:space="0" w:color="2AB1BB" w:themeColor="accent1"/>
            </w:tcBorders>
            <w:vAlign w:val="center"/>
          </w:tcPr>
          <w:p w14:paraId="49493C5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65%</w:t>
            </w:r>
          </w:p>
        </w:tc>
        <w:tc>
          <w:tcPr>
            <w:tcW w:w="0" w:type="auto"/>
            <w:tcBorders>
              <w:top w:val="single" w:sz="4" w:space="0" w:color="2AB1BB" w:themeColor="accent1"/>
            </w:tcBorders>
            <w:vAlign w:val="center"/>
          </w:tcPr>
          <w:p w14:paraId="199C2B46"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top w:val="single" w:sz="4" w:space="0" w:color="2AB1BB" w:themeColor="accent1"/>
            </w:tcBorders>
            <w:vAlign w:val="center"/>
          </w:tcPr>
          <w:p w14:paraId="1734DE3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100</w:t>
            </w:r>
          </w:p>
        </w:tc>
      </w:tr>
    </w:tbl>
    <w:p w14:paraId="3A590C02" w14:textId="77777777" w:rsidR="006C4DE1" w:rsidRPr="00D04C0D" w:rsidRDefault="006C4DE1" w:rsidP="00D04C0D">
      <w:r>
        <w:br w:type="page"/>
      </w:r>
    </w:p>
    <w:p w14:paraId="3ECA61DC" w14:textId="287C7D7A" w:rsidR="00FA4F7E" w:rsidRPr="00A76B05"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rsidR="00FA4F7E" w:rsidRPr="00A76B05">
        <w:t xml:space="preserve"> – Views on the impact of the removal of bed </w:t>
      </w:r>
      <w:proofErr w:type="spellStart"/>
      <w:r w:rsidR="00FA4F7E" w:rsidRPr="00A76B05">
        <w:t>licences</w:t>
      </w:r>
      <w:proofErr w:type="spellEnd"/>
      <w:r w:rsidR="00FA4F7E" w:rsidRPr="00A76B05">
        <w:t xml:space="preserve"> on </w:t>
      </w:r>
      <w:r w:rsidR="00F603C2" w:rsidRPr="00A76B05">
        <w:t>providers</w:t>
      </w:r>
      <w:r w:rsidR="00FA4F7E" w:rsidRPr="00A76B05">
        <w:t>’ business and accounting practices</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191"/>
        <w:gridCol w:w="1376"/>
        <w:gridCol w:w="1354"/>
        <w:gridCol w:w="1248"/>
        <w:gridCol w:w="2105"/>
        <w:gridCol w:w="1376"/>
        <w:gridCol w:w="1354"/>
        <w:gridCol w:w="777"/>
        <w:gridCol w:w="1400"/>
      </w:tblGrid>
      <w:tr w:rsidR="0017155E" w:rsidRPr="006C4DE1" w14:paraId="64998C22" w14:textId="77777777" w:rsidTr="00EC3654">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1E1545" w:themeFill="text1"/>
            <w:vAlign w:val="center"/>
          </w:tcPr>
          <w:p w14:paraId="751912A7" w14:textId="77777777" w:rsidR="00FA4F7E" w:rsidRPr="00A76B05" w:rsidRDefault="00FA4F7E" w:rsidP="0017155E">
            <w:pPr>
              <w:pStyle w:val="TableofAuthorities"/>
            </w:pPr>
          </w:p>
        </w:tc>
        <w:tc>
          <w:tcPr>
            <w:tcW w:w="0" w:type="auto"/>
            <w:shd w:val="clear" w:color="auto" w:fill="1E1545" w:themeFill="text1"/>
            <w:vAlign w:val="center"/>
          </w:tcPr>
          <w:p w14:paraId="5DED99C9"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Minimal impact</w:t>
            </w:r>
          </w:p>
        </w:tc>
        <w:tc>
          <w:tcPr>
            <w:tcW w:w="0" w:type="auto"/>
            <w:shd w:val="clear" w:color="auto" w:fill="1E1545" w:themeFill="text1"/>
            <w:vAlign w:val="center"/>
          </w:tcPr>
          <w:p w14:paraId="7F319D7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Minor short-term impact</w:t>
            </w:r>
          </w:p>
        </w:tc>
        <w:tc>
          <w:tcPr>
            <w:tcW w:w="0" w:type="auto"/>
            <w:shd w:val="clear" w:color="auto" w:fill="1E1545" w:themeFill="text1"/>
            <w:vAlign w:val="center"/>
          </w:tcPr>
          <w:p w14:paraId="2D71E7B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Minor long-term impact</w:t>
            </w:r>
          </w:p>
        </w:tc>
        <w:tc>
          <w:tcPr>
            <w:tcW w:w="1248" w:type="dxa"/>
            <w:shd w:val="clear" w:color="auto" w:fill="1E1545" w:themeFill="text1"/>
            <w:vAlign w:val="center"/>
          </w:tcPr>
          <w:p w14:paraId="05D2640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 short-term impact</w:t>
            </w:r>
          </w:p>
        </w:tc>
        <w:tc>
          <w:tcPr>
            <w:tcW w:w="2105" w:type="dxa"/>
            <w:shd w:val="clear" w:color="auto" w:fill="1E1545" w:themeFill="text1"/>
            <w:vAlign w:val="center"/>
          </w:tcPr>
          <w:p w14:paraId="7353CAD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 long-term impact</w:t>
            </w:r>
          </w:p>
        </w:tc>
        <w:tc>
          <w:tcPr>
            <w:tcW w:w="0" w:type="auto"/>
            <w:shd w:val="clear" w:color="auto" w:fill="1E1545" w:themeFill="text1"/>
            <w:vAlign w:val="center"/>
          </w:tcPr>
          <w:p w14:paraId="709873D6"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Major short-term impact</w:t>
            </w:r>
          </w:p>
        </w:tc>
        <w:tc>
          <w:tcPr>
            <w:tcW w:w="0" w:type="auto"/>
            <w:shd w:val="clear" w:color="auto" w:fill="1E1545" w:themeFill="text1"/>
            <w:vAlign w:val="center"/>
          </w:tcPr>
          <w:p w14:paraId="23A0D6B3"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Major long-term impact</w:t>
            </w:r>
          </w:p>
        </w:tc>
        <w:tc>
          <w:tcPr>
            <w:tcW w:w="0" w:type="auto"/>
            <w:shd w:val="clear" w:color="auto" w:fill="1E1545" w:themeFill="text1"/>
            <w:vAlign w:val="center"/>
          </w:tcPr>
          <w:p w14:paraId="6C59518A"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0" w:type="auto"/>
            <w:shd w:val="clear" w:color="auto" w:fill="1E1545" w:themeFill="text1"/>
            <w:vAlign w:val="center"/>
          </w:tcPr>
          <w:p w14:paraId="399A0408"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6C4DE1" w14:paraId="30E5D9FB" w14:textId="77777777" w:rsidTr="00EC3654">
        <w:trPr>
          <w:trHeight w:val="39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71A1DD66" w14:textId="77777777" w:rsidR="00FA4F7E" w:rsidRPr="00A76B05" w:rsidRDefault="00FA4F7E" w:rsidP="00A76B05">
            <w:pPr>
              <w:pStyle w:val="Heading1Char"/>
            </w:pPr>
            <w:r w:rsidRPr="00A76B05">
              <w:t>Number of responses</w:t>
            </w:r>
          </w:p>
        </w:tc>
        <w:tc>
          <w:tcPr>
            <w:tcW w:w="0" w:type="auto"/>
            <w:tcBorders>
              <w:bottom w:val="single" w:sz="4" w:space="0" w:color="2AB1BB" w:themeColor="accent1"/>
            </w:tcBorders>
            <w:vAlign w:val="center"/>
          </w:tcPr>
          <w:p w14:paraId="69B7853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7</w:t>
            </w:r>
          </w:p>
        </w:tc>
        <w:tc>
          <w:tcPr>
            <w:tcW w:w="0" w:type="auto"/>
            <w:tcBorders>
              <w:bottom w:val="single" w:sz="4" w:space="0" w:color="2AB1BB" w:themeColor="accent1"/>
            </w:tcBorders>
            <w:vAlign w:val="center"/>
          </w:tcPr>
          <w:p w14:paraId="407E963A"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0" w:type="auto"/>
            <w:tcBorders>
              <w:bottom w:val="single" w:sz="4" w:space="0" w:color="2AB1BB" w:themeColor="accent1"/>
            </w:tcBorders>
            <w:vAlign w:val="center"/>
          </w:tcPr>
          <w:p w14:paraId="53560397"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1248" w:type="dxa"/>
            <w:tcBorders>
              <w:bottom w:val="single" w:sz="4" w:space="0" w:color="2AB1BB" w:themeColor="accent1"/>
            </w:tcBorders>
            <w:vAlign w:val="center"/>
          </w:tcPr>
          <w:p w14:paraId="25D48D80"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4</w:t>
            </w:r>
          </w:p>
        </w:tc>
        <w:tc>
          <w:tcPr>
            <w:tcW w:w="2105" w:type="dxa"/>
            <w:tcBorders>
              <w:bottom w:val="single" w:sz="4" w:space="0" w:color="2AB1BB" w:themeColor="accent1"/>
            </w:tcBorders>
            <w:vAlign w:val="center"/>
          </w:tcPr>
          <w:p w14:paraId="6645329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w:t>
            </w:r>
          </w:p>
        </w:tc>
        <w:tc>
          <w:tcPr>
            <w:tcW w:w="0" w:type="auto"/>
            <w:tcBorders>
              <w:bottom w:val="single" w:sz="4" w:space="0" w:color="2AB1BB" w:themeColor="accent1"/>
            </w:tcBorders>
            <w:vAlign w:val="center"/>
          </w:tcPr>
          <w:p w14:paraId="07B231C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4</w:t>
            </w:r>
          </w:p>
        </w:tc>
        <w:tc>
          <w:tcPr>
            <w:tcW w:w="0" w:type="auto"/>
            <w:tcBorders>
              <w:bottom w:val="single" w:sz="4" w:space="0" w:color="2AB1BB" w:themeColor="accent1"/>
            </w:tcBorders>
            <w:vAlign w:val="center"/>
          </w:tcPr>
          <w:p w14:paraId="5A2B98B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6</w:t>
            </w:r>
          </w:p>
        </w:tc>
        <w:tc>
          <w:tcPr>
            <w:tcW w:w="0" w:type="auto"/>
            <w:tcBorders>
              <w:bottom w:val="single" w:sz="4" w:space="0" w:color="2AB1BB" w:themeColor="accent1"/>
            </w:tcBorders>
            <w:vAlign w:val="center"/>
          </w:tcPr>
          <w:p w14:paraId="558EC25A"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w:t>
            </w:r>
          </w:p>
        </w:tc>
        <w:tc>
          <w:tcPr>
            <w:tcW w:w="0" w:type="auto"/>
            <w:tcBorders>
              <w:bottom w:val="single" w:sz="4" w:space="0" w:color="2AB1BB" w:themeColor="accent1"/>
            </w:tcBorders>
            <w:vAlign w:val="center"/>
          </w:tcPr>
          <w:p w14:paraId="60C2EC0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35</w:t>
            </w:r>
          </w:p>
        </w:tc>
      </w:tr>
      <w:tr w:rsidR="00FA4F7E" w:rsidRPr="006C4DE1" w14:paraId="435635A6" w14:textId="77777777" w:rsidTr="00EC3654">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7CE83B4F" w14:textId="77777777" w:rsidR="00FA4F7E" w:rsidRPr="00A76B05" w:rsidRDefault="00FA4F7E" w:rsidP="00A76B05">
            <w:pPr>
              <w:pStyle w:val="Heading1Char"/>
            </w:pPr>
            <w:r w:rsidRPr="00A76B05">
              <w:t>Proportion of responses</w:t>
            </w:r>
          </w:p>
        </w:tc>
        <w:tc>
          <w:tcPr>
            <w:tcW w:w="0" w:type="auto"/>
            <w:tcBorders>
              <w:top w:val="single" w:sz="4" w:space="0" w:color="2AB1BB" w:themeColor="accent1"/>
            </w:tcBorders>
            <w:vAlign w:val="center"/>
          </w:tcPr>
          <w:p w14:paraId="743850B0"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20%</w:t>
            </w:r>
          </w:p>
        </w:tc>
        <w:tc>
          <w:tcPr>
            <w:tcW w:w="0" w:type="auto"/>
            <w:tcBorders>
              <w:top w:val="single" w:sz="4" w:space="0" w:color="2AB1BB" w:themeColor="accent1"/>
            </w:tcBorders>
            <w:vAlign w:val="center"/>
          </w:tcPr>
          <w:p w14:paraId="2F7C6E0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w:t>
            </w:r>
          </w:p>
        </w:tc>
        <w:tc>
          <w:tcPr>
            <w:tcW w:w="0" w:type="auto"/>
            <w:tcBorders>
              <w:top w:val="single" w:sz="4" w:space="0" w:color="2AB1BB" w:themeColor="accent1"/>
            </w:tcBorders>
            <w:vAlign w:val="center"/>
          </w:tcPr>
          <w:p w14:paraId="53966A7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w:t>
            </w:r>
          </w:p>
        </w:tc>
        <w:tc>
          <w:tcPr>
            <w:tcW w:w="1248" w:type="dxa"/>
            <w:tcBorders>
              <w:top w:val="single" w:sz="4" w:space="0" w:color="2AB1BB" w:themeColor="accent1"/>
            </w:tcBorders>
            <w:vAlign w:val="center"/>
          </w:tcPr>
          <w:p w14:paraId="4C7E781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11%</w:t>
            </w:r>
          </w:p>
        </w:tc>
        <w:tc>
          <w:tcPr>
            <w:tcW w:w="2105" w:type="dxa"/>
            <w:tcBorders>
              <w:top w:val="single" w:sz="4" w:space="0" w:color="2AB1BB" w:themeColor="accent1"/>
            </w:tcBorders>
            <w:vAlign w:val="center"/>
          </w:tcPr>
          <w:p w14:paraId="2AD13085"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6%</w:t>
            </w:r>
          </w:p>
        </w:tc>
        <w:tc>
          <w:tcPr>
            <w:tcW w:w="0" w:type="auto"/>
            <w:tcBorders>
              <w:top w:val="single" w:sz="4" w:space="0" w:color="2AB1BB" w:themeColor="accent1"/>
            </w:tcBorders>
            <w:vAlign w:val="center"/>
          </w:tcPr>
          <w:p w14:paraId="363F19F6"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11%</w:t>
            </w:r>
          </w:p>
        </w:tc>
        <w:tc>
          <w:tcPr>
            <w:tcW w:w="0" w:type="auto"/>
            <w:tcBorders>
              <w:top w:val="single" w:sz="4" w:space="0" w:color="2AB1BB" w:themeColor="accent1"/>
            </w:tcBorders>
            <w:vAlign w:val="center"/>
          </w:tcPr>
          <w:p w14:paraId="2DD3BC5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17%</w:t>
            </w:r>
          </w:p>
        </w:tc>
        <w:tc>
          <w:tcPr>
            <w:tcW w:w="0" w:type="auto"/>
            <w:tcBorders>
              <w:top w:val="single" w:sz="4" w:space="0" w:color="2AB1BB" w:themeColor="accent1"/>
            </w:tcBorders>
            <w:vAlign w:val="center"/>
          </w:tcPr>
          <w:p w14:paraId="2EEC7A5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29%</w:t>
            </w:r>
          </w:p>
        </w:tc>
        <w:tc>
          <w:tcPr>
            <w:tcW w:w="0" w:type="auto"/>
            <w:tcBorders>
              <w:top w:val="single" w:sz="4" w:space="0" w:color="2AB1BB" w:themeColor="accent1"/>
            </w:tcBorders>
            <w:vAlign w:val="center"/>
          </w:tcPr>
          <w:p w14:paraId="411E52A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100%</w:t>
            </w:r>
          </w:p>
        </w:tc>
      </w:tr>
    </w:tbl>
    <w:p w14:paraId="20BD85E8" w14:textId="7F177B5C" w:rsidR="00FA4F7E" w:rsidRPr="001D6174" w:rsidRDefault="00EC3654" w:rsidP="00EC3654">
      <w:pPr>
        <w:pStyle w:val="Caption"/>
      </w:pPr>
      <w:r>
        <w:t xml:space="preserve">Table </w:t>
      </w:r>
      <w:r>
        <w:fldChar w:fldCharType="begin"/>
      </w:r>
      <w:r>
        <w:instrText xml:space="preserve"> SEQ Table \* ARABIC </w:instrText>
      </w:r>
      <w:r>
        <w:fldChar w:fldCharType="separate"/>
      </w:r>
      <w:r>
        <w:rPr>
          <w:noProof/>
        </w:rPr>
        <w:t>11</w:t>
      </w:r>
      <w:r>
        <w:fldChar w:fldCharType="end"/>
      </w:r>
      <w:r w:rsidR="00FA4F7E" w:rsidRPr="001D6174">
        <w:t xml:space="preserve"> – Views on whether transitional arrangements are required to allocate places in the absence of an ACAR between now and 30 June 2024</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266"/>
        <w:gridCol w:w="1266"/>
        <w:gridCol w:w="1266"/>
        <w:gridCol w:w="1266"/>
        <w:gridCol w:w="1267"/>
        <w:gridCol w:w="1266"/>
        <w:gridCol w:w="1266"/>
        <w:gridCol w:w="1266"/>
        <w:gridCol w:w="1267"/>
      </w:tblGrid>
      <w:tr w:rsidR="002C130A" w:rsidRPr="006C4DE1" w14:paraId="045DE507"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2552" w:type="dxa"/>
            <w:tcBorders>
              <w:bottom w:val="none" w:sz="0" w:space="0" w:color="auto"/>
            </w:tcBorders>
            <w:shd w:val="clear" w:color="auto" w:fill="1E1545" w:themeFill="text1"/>
            <w:vAlign w:val="center"/>
          </w:tcPr>
          <w:p w14:paraId="21C6E8AE" w14:textId="77777777" w:rsidR="00FA4F7E" w:rsidRPr="00A76B05" w:rsidRDefault="00FA4F7E" w:rsidP="0017155E">
            <w:pPr>
              <w:pStyle w:val="TableofAuthorities"/>
            </w:pPr>
          </w:p>
        </w:tc>
        <w:tc>
          <w:tcPr>
            <w:tcW w:w="1266" w:type="dxa"/>
            <w:tcBorders>
              <w:bottom w:val="none" w:sz="0" w:space="0" w:color="auto"/>
            </w:tcBorders>
            <w:shd w:val="clear" w:color="auto" w:fill="1E1545" w:themeFill="text1"/>
            <w:vAlign w:val="center"/>
          </w:tcPr>
          <w:p w14:paraId="66D9150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disagree</w:t>
            </w:r>
          </w:p>
        </w:tc>
        <w:tc>
          <w:tcPr>
            <w:tcW w:w="1266" w:type="dxa"/>
            <w:tcBorders>
              <w:bottom w:val="none" w:sz="0" w:space="0" w:color="auto"/>
            </w:tcBorders>
            <w:shd w:val="clear" w:color="auto" w:fill="1E1545" w:themeFill="text1"/>
            <w:vAlign w:val="center"/>
          </w:tcPr>
          <w:p w14:paraId="31099C9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disagree</w:t>
            </w:r>
          </w:p>
        </w:tc>
        <w:tc>
          <w:tcPr>
            <w:tcW w:w="1266" w:type="dxa"/>
            <w:tcBorders>
              <w:bottom w:val="none" w:sz="0" w:space="0" w:color="auto"/>
            </w:tcBorders>
            <w:shd w:val="clear" w:color="auto" w:fill="1E1545" w:themeFill="text1"/>
            <w:vAlign w:val="center"/>
          </w:tcPr>
          <w:p w14:paraId="58CA2DC4"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Disagree</w:t>
            </w:r>
          </w:p>
        </w:tc>
        <w:tc>
          <w:tcPr>
            <w:tcW w:w="1266" w:type="dxa"/>
            <w:tcBorders>
              <w:bottom w:val="none" w:sz="0" w:space="0" w:color="auto"/>
            </w:tcBorders>
            <w:shd w:val="clear" w:color="auto" w:fill="1E1545" w:themeFill="text1"/>
            <w:vAlign w:val="center"/>
          </w:tcPr>
          <w:p w14:paraId="5F4AA64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Neither</w:t>
            </w:r>
          </w:p>
        </w:tc>
        <w:tc>
          <w:tcPr>
            <w:tcW w:w="1267" w:type="dxa"/>
            <w:tcBorders>
              <w:bottom w:val="none" w:sz="0" w:space="0" w:color="auto"/>
            </w:tcBorders>
            <w:shd w:val="clear" w:color="auto" w:fill="1E1545" w:themeFill="text1"/>
            <w:vAlign w:val="center"/>
          </w:tcPr>
          <w:p w14:paraId="4DD99EC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Agree</w:t>
            </w:r>
          </w:p>
        </w:tc>
        <w:tc>
          <w:tcPr>
            <w:tcW w:w="1266" w:type="dxa"/>
            <w:tcBorders>
              <w:bottom w:val="none" w:sz="0" w:space="0" w:color="auto"/>
            </w:tcBorders>
            <w:shd w:val="clear" w:color="auto" w:fill="1E1545" w:themeFill="text1"/>
            <w:vAlign w:val="center"/>
          </w:tcPr>
          <w:p w14:paraId="30AC04F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agree</w:t>
            </w:r>
          </w:p>
        </w:tc>
        <w:tc>
          <w:tcPr>
            <w:tcW w:w="1266" w:type="dxa"/>
            <w:tcBorders>
              <w:bottom w:val="none" w:sz="0" w:space="0" w:color="auto"/>
            </w:tcBorders>
            <w:shd w:val="clear" w:color="auto" w:fill="1E1545" w:themeFill="text1"/>
            <w:vAlign w:val="center"/>
          </w:tcPr>
          <w:p w14:paraId="5248449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agree</w:t>
            </w:r>
          </w:p>
        </w:tc>
        <w:tc>
          <w:tcPr>
            <w:tcW w:w="1266" w:type="dxa"/>
            <w:tcBorders>
              <w:bottom w:val="none" w:sz="0" w:space="0" w:color="auto"/>
            </w:tcBorders>
            <w:shd w:val="clear" w:color="auto" w:fill="1E1545" w:themeFill="text1"/>
            <w:vAlign w:val="center"/>
          </w:tcPr>
          <w:p w14:paraId="397B1C4F"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1267" w:type="dxa"/>
            <w:tcBorders>
              <w:bottom w:val="none" w:sz="0" w:space="0" w:color="auto"/>
            </w:tcBorders>
            <w:shd w:val="clear" w:color="auto" w:fill="1E1545" w:themeFill="text1"/>
            <w:vAlign w:val="center"/>
          </w:tcPr>
          <w:p w14:paraId="42F9CDED"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2C130A" w:rsidRPr="006C4DE1" w14:paraId="00266BB0" w14:textId="77777777" w:rsidTr="002C130A">
        <w:trPr>
          <w:trHeight w:val="397"/>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2AB1BB" w:themeColor="accent1"/>
            </w:tcBorders>
            <w:vAlign w:val="center"/>
          </w:tcPr>
          <w:p w14:paraId="2127EE8C" w14:textId="77777777" w:rsidR="00FA4F7E" w:rsidRPr="00A76B05" w:rsidRDefault="00FA4F7E" w:rsidP="00A76B05">
            <w:pPr>
              <w:pStyle w:val="Heading1Char"/>
            </w:pPr>
            <w:r w:rsidRPr="00A76B05">
              <w:t>Number of responses</w:t>
            </w:r>
          </w:p>
        </w:tc>
        <w:tc>
          <w:tcPr>
            <w:tcW w:w="1266" w:type="dxa"/>
            <w:tcBorders>
              <w:bottom w:val="single" w:sz="4" w:space="0" w:color="2AB1BB" w:themeColor="accent1"/>
            </w:tcBorders>
            <w:shd w:val="clear" w:color="auto" w:fill="EEEEEE" w:themeFill="background2"/>
            <w:vAlign w:val="center"/>
          </w:tcPr>
          <w:p w14:paraId="13F742C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w:t>
            </w:r>
          </w:p>
        </w:tc>
        <w:tc>
          <w:tcPr>
            <w:tcW w:w="1266" w:type="dxa"/>
            <w:tcBorders>
              <w:bottom w:val="single" w:sz="4" w:space="0" w:color="2AB1BB" w:themeColor="accent1"/>
            </w:tcBorders>
            <w:vAlign w:val="center"/>
          </w:tcPr>
          <w:p w14:paraId="0FC8D469"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w:t>
            </w:r>
          </w:p>
        </w:tc>
        <w:tc>
          <w:tcPr>
            <w:tcW w:w="1266" w:type="dxa"/>
            <w:tcBorders>
              <w:bottom w:val="single" w:sz="4" w:space="0" w:color="2AB1BB" w:themeColor="accent1"/>
            </w:tcBorders>
            <w:vAlign w:val="center"/>
          </w:tcPr>
          <w:p w14:paraId="2689820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w:t>
            </w:r>
          </w:p>
        </w:tc>
        <w:tc>
          <w:tcPr>
            <w:tcW w:w="1266" w:type="dxa"/>
            <w:tcBorders>
              <w:bottom w:val="single" w:sz="4" w:space="0" w:color="2AB1BB" w:themeColor="accent1"/>
            </w:tcBorders>
            <w:vAlign w:val="center"/>
          </w:tcPr>
          <w:p w14:paraId="044D539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w:t>
            </w:r>
          </w:p>
        </w:tc>
        <w:tc>
          <w:tcPr>
            <w:tcW w:w="1267" w:type="dxa"/>
            <w:tcBorders>
              <w:bottom w:val="single" w:sz="4" w:space="0" w:color="2AB1BB" w:themeColor="accent1"/>
            </w:tcBorders>
            <w:vAlign w:val="center"/>
          </w:tcPr>
          <w:p w14:paraId="258D22B9"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15</w:t>
            </w:r>
          </w:p>
        </w:tc>
        <w:tc>
          <w:tcPr>
            <w:tcW w:w="1266" w:type="dxa"/>
            <w:tcBorders>
              <w:bottom w:val="single" w:sz="4" w:space="0" w:color="2AB1BB" w:themeColor="accent1"/>
            </w:tcBorders>
            <w:vAlign w:val="center"/>
          </w:tcPr>
          <w:p w14:paraId="3279DCA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11</w:t>
            </w:r>
          </w:p>
        </w:tc>
        <w:tc>
          <w:tcPr>
            <w:tcW w:w="1266" w:type="dxa"/>
            <w:tcBorders>
              <w:bottom w:val="single" w:sz="4" w:space="0" w:color="2AB1BB" w:themeColor="accent1"/>
            </w:tcBorders>
            <w:shd w:val="clear" w:color="auto" w:fill="EEEEEE" w:themeFill="background2"/>
            <w:vAlign w:val="center"/>
          </w:tcPr>
          <w:p w14:paraId="0812335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26</w:t>
            </w:r>
          </w:p>
        </w:tc>
        <w:tc>
          <w:tcPr>
            <w:tcW w:w="1266" w:type="dxa"/>
            <w:tcBorders>
              <w:bottom w:val="single" w:sz="4" w:space="0" w:color="2AB1BB" w:themeColor="accent1"/>
            </w:tcBorders>
            <w:vAlign w:val="center"/>
          </w:tcPr>
          <w:p w14:paraId="3D48F13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7</w:t>
            </w:r>
          </w:p>
        </w:tc>
        <w:tc>
          <w:tcPr>
            <w:tcW w:w="1267" w:type="dxa"/>
            <w:tcBorders>
              <w:bottom w:val="single" w:sz="4" w:space="0" w:color="2AB1BB" w:themeColor="accent1"/>
            </w:tcBorders>
            <w:vAlign w:val="center"/>
          </w:tcPr>
          <w:p w14:paraId="325BA06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40</w:t>
            </w:r>
          </w:p>
        </w:tc>
      </w:tr>
      <w:tr w:rsidR="002C130A" w:rsidRPr="006C4DE1" w14:paraId="5BC9F855" w14:textId="77777777" w:rsidTr="002C130A">
        <w:trPr>
          <w:trHeight w:val="39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2AB1BB" w:themeColor="accent1"/>
            </w:tcBorders>
            <w:vAlign w:val="center"/>
          </w:tcPr>
          <w:p w14:paraId="5CFDFC9A" w14:textId="77777777" w:rsidR="00FA4F7E" w:rsidRPr="00A76B05" w:rsidRDefault="00FA4F7E" w:rsidP="00A76B05">
            <w:pPr>
              <w:pStyle w:val="Heading1Char"/>
            </w:pPr>
            <w:r w:rsidRPr="00A76B05">
              <w:t>Proportion of responses</w:t>
            </w:r>
          </w:p>
        </w:tc>
        <w:tc>
          <w:tcPr>
            <w:tcW w:w="1266" w:type="dxa"/>
            <w:tcBorders>
              <w:top w:val="single" w:sz="4" w:space="0" w:color="2AB1BB" w:themeColor="accent1"/>
            </w:tcBorders>
            <w:shd w:val="clear" w:color="auto" w:fill="EEEEEE" w:themeFill="background2"/>
            <w:vAlign w:val="center"/>
          </w:tcPr>
          <w:p w14:paraId="16D08C9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13%</w:t>
            </w:r>
          </w:p>
        </w:tc>
        <w:tc>
          <w:tcPr>
            <w:tcW w:w="1266" w:type="dxa"/>
            <w:tcBorders>
              <w:top w:val="single" w:sz="4" w:space="0" w:color="2AB1BB" w:themeColor="accent1"/>
            </w:tcBorders>
            <w:vAlign w:val="center"/>
          </w:tcPr>
          <w:p w14:paraId="59AE739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8%</w:t>
            </w:r>
          </w:p>
        </w:tc>
        <w:tc>
          <w:tcPr>
            <w:tcW w:w="1266" w:type="dxa"/>
            <w:tcBorders>
              <w:top w:val="single" w:sz="4" w:space="0" w:color="2AB1BB" w:themeColor="accent1"/>
            </w:tcBorders>
            <w:vAlign w:val="center"/>
          </w:tcPr>
          <w:p w14:paraId="14964A6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w:t>
            </w:r>
          </w:p>
        </w:tc>
        <w:tc>
          <w:tcPr>
            <w:tcW w:w="1266" w:type="dxa"/>
            <w:tcBorders>
              <w:top w:val="single" w:sz="4" w:space="0" w:color="2AB1BB" w:themeColor="accent1"/>
            </w:tcBorders>
            <w:vAlign w:val="center"/>
          </w:tcPr>
          <w:p w14:paraId="64B1B26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w:t>
            </w:r>
          </w:p>
        </w:tc>
        <w:tc>
          <w:tcPr>
            <w:tcW w:w="1267" w:type="dxa"/>
            <w:tcBorders>
              <w:top w:val="single" w:sz="4" w:space="0" w:color="2AB1BB" w:themeColor="accent1"/>
            </w:tcBorders>
            <w:vAlign w:val="center"/>
          </w:tcPr>
          <w:p w14:paraId="1016EB59"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38%</w:t>
            </w:r>
          </w:p>
        </w:tc>
        <w:tc>
          <w:tcPr>
            <w:tcW w:w="1266" w:type="dxa"/>
            <w:tcBorders>
              <w:top w:val="single" w:sz="4" w:space="0" w:color="2AB1BB" w:themeColor="accent1"/>
            </w:tcBorders>
            <w:vAlign w:val="center"/>
          </w:tcPr>
          <w:p w14:paraId="5A4F707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28%</w:t>
            </w:r>
          </w:p>
        </w:tc>
        <w:tc>
          <w:tcPr>
            <w:tcW w:w="1266" w:type="dxa"/>
            <w:tcBorders>
              <w:top w:val="single" w:sz="4" w:space="0" w:color="2AB1BB" w:themeColor="accent1"/>
            </w:tcBorders>
            <w:shd w:val="clear" w:color="auto" w:fill="EEEEEE" w:themeFill="background2"/>
            <w:vAlign w:val="center"/>
          </w:tcPr>
          <w:p w14:paraId="3499D1A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65%</w:t>
            </w:r>
          </w:p>
        </w:tc>
        <w:tc>
          <w:tcPr>
            <w:tcW w:w="1266" w:type="dxa"/>
            <w:tcBorders>
              <w:top w:val="single" w:sz="4" w:space="0" w:color="2AB1BB" w:themeColor="accent1"/>
            </w:tcBorders>
            <w:vAlign w:val="center"/>
          </w:tcPr>
          <w:p w14:paraId="0C0DDB41"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18%</w:t>
            </w:r>
          </w:p>
        </w:tc>
        <w:tc>
          <w:tcPr>
            <w:tcW w:w="1267" w:type="dxa"/>
            <w:tcBorders>
              <w:top w:val="single" w:sz="4" w:space="0" w:color="2AB1BB" w:themeColor="accent1"/>
            </w:tcBorders>
            <w:vAlign w:val="center"/>
          </w:tcPr>
          <w:p w14:paraId="0AA0F454"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100%</w:t>
            </w:r>
          </w:p>
        </w:tc>
      </w:tr>
    </w:tbl>
    <w:p w14:paraId="73A9FCEB" w14:textId="77777777" w:rsidR="006C4DE1" w:rsidRPr="00D04C0D" w:rsidRDefault="006C4DE1" w:rsidP="00D04C0D">
      <w:r>
        <w:br w:type="page"/>
      </w:r>
    </w:p>
    <w:p w14:paraId="55CD8F53" w14:textId="63E4EECF" w:rsidR="00FA4F7E" w:rsidRPr="001D6174"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rsidR="00FA4F7E" w:rsidRPr="001D6174">
        <w:t xml:space="preserve"> – Views on whether Extra Service Status arrangements should be discontinued from 1 July 2024</w:t>
      </w:r>
    </w:p>
    <w:tbl>
      <w:tblPr>
        <w:tblStyle w:val="GridTable1Light-Accent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1251"/>
        <w:gridCol w:w="1251"/>
        <w:gridCol w:w="1251"/>
        <w:gridCol w:w="1251"/>
        <w:gridCol w:w="1251"/>
        <w:gridCol w:w="1251"/>
        <w:gridCol w:w="1251"/>
        <w:gridCol w:w="1251"/>
        <w:gridCol w:w="1251"/>
      </w:tblGrid>
      <w:tr w:rsidR="00B85949" w:rsidRPr="00B528D0" w14:paraId="0A6C64E1"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1E1545" w:themeFill="text1"/>
            <w:vAlign w:val="center"/>
          </w:tcPr>
          <w:p w14:paraId="4A0036C6" w14:textId="77777777" w:rsidR="00FA4F7E" w:rsidRPr="00B528D0" w:rsidRDefault="00FA4F7E" w:rsidP="0017155E">
            <w:pPr>
              <w:pStyle w:val="TableofAuthorities"/>
              <w:rPr>
                <w:noProof/>
                <w:shd w:val="clear" w:color="auto" w:fill="1E1545" w:themeFill="text1"/>
                <w:lang w:eastAsia="en-GB"/>
              </w:rPr>
            </w:pPr>
          </w:p>
        </w:tc>
        <w:tc>
          <w:tcPr>
            <w:tcW w:w="1251" w:type="dxa"/>
            <w:tcBorders>
              <w:bottom w:val="none" w:sz="0" w:space="0" w:color="auto"/>
            </w:tcBorders>
            <w:shd w:val="clear" w:color="auto" w:fill="1E1545" w:themeFill="text1"/>
            <w:vAlign w:val="center"/>
          </w:tcPr>
          <w:p w14:paraId="054218AF"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disagree</w:t>
            </w:r>
          </w:p>
        </w:tc>
        <w:tc>
          <w:tcPr>
            <w:tcW w:w="1251" w:type="dxa"/>
            <w:tcBorders>
              <w:bottom w:val="none" w:sz="0" w:space="0" w:color="auto"/>
            </w:tcBorders>
            <w:shd w:val="clear" w:color="auto" w:fill="1E1545" w:themeFill="text1"/>
            <w:vAlign w:val="center"/>
          </w:tcPr>
          <w:p w14:paraId="53B9A16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disagree</w:t>
            </w:r>
          </w:p>
        </w:tc>
        <w:tc>
          <w:tcPr>
            <w:tcW w:w="1251" w:type="dxa"/>
            <w:tcBorders>
              <w:bottom w:val="none" w:sz="0" w:space="0" w:color="auto"/>
            </w:tcBorders>
            <w:shd w:val="clear" w:color="auto" w:fill="1E1545" w:themeFill="text1"/>
            <w:vAlign w:val="center"/>
          </w:tcPr>
          <w:p w14:paraId="1370DBBC"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Disagree</w:t>
            </w:r>
          </w:p>
        </w:tc>
        <w:tc>
          <w:tcPr>
            <w:tcW w:w="1251" w:type="dxa"/>
            <w:tcBorders>
              <w:bottom w:val="none" w:sz="0" w:space="0" w:color="auto"/>
            </w:tcBorders>
            <w:shd w:val="clear" w:color="auto" w:fill="1E1545" w:themeFill="text1"/>
            <w:vAlign w:val="center"/>
          </w:tcPr>
          <w:p w14:paraId="6BAA787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Neither</w:t>
            </w:r>
          </w:p>
        </w:tc>
        <w:tc>
          <w:tcPr>
            <w:tcW w:w="1251" w:type="dxa"/>
            <w:tcBorders>
              <w:bottom w:val="none" w:sz="0" w:space="0" w:color="auto"/>
            </w:tcBorders>
            <w:shd w:val="clear" w:color="auto" w:fill="1E1545" w:themeFill="text1"/>
            <w:vAlign w:val="center"/>
          </w:tcPr>
          <w:p w14:paraId="05DB42EC"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Agree</w:t>
            </w:r>
          </w:p>
        </w:tc>
        <w:tc>
          <w:tcPr>
            <w:tcW w:w="1251" w:type="dxa"/>
            <w:tcBorders>
              <w:bottom w:val="none" w:sz="0" w:space="0" w:color="auto"/>
            </w:tcBorders>
            <w:shd w:val="clear" w:color="auto" w:fill="1E1545" w:themeFill="text1"/>
            <w:vAlign w:val="center"/>
          </w:tcPr>
          <w:p w14:paraId="47A3104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agree</w:t>
            </w:r>
          </w:p>
        </w:tc>
        <w:tc>
          <w:tcPr>
            <w:tcW w:w="1251" w:type="dxa"/>
            <w:tcBorders>
              <w:bottom w:val="none" w:sz="0" w:space="0" w:color="auto"/>
            </w:tcBorders>
            <w:shd w:val="clear" w:color="auto" w:fill="1E1545" w:themeFill="text1"/>
            <w:vAlign w:val="center"/>
          </w:tcPr>
          <w:p w14:paraId="55B55F7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agree</w:t>
            </w:r>
          </w:p>
        </w:tc>
        <w:tc>
          <w:tcPr>
            <w:tcW w:w="1251" w:type="dxa"/>
            <w:tcBorders>
              <w:bottom w:val="none" w:sz="0" w:space="0" w:color="auto"/>
            </w:tcBorders>
            <w:shd w:val="clear" w:color="auto" w:fill="1E1545" w:themeFill="text1"/>
            <w:vAlign w:val="center"/>
          </w:tcPr>
          <w:p w14:paraId="2A1D58D7"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1251" w:type="dxa"/>
            <w:tcBorders>
              <w:bottom w:val="none" w:sz="0" w:space="0" w:color="auto"/>
            </w:tcBorders>
            <w:shd w:val="clear" w:color="auto" w:fill="1E1545" w:themeFill="text1"/>
            <w:vAlign w:val="center"/>
          </w:tcPr>
          <w:p w14:paraId="42E5F17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B528D0" w14:paraId="44899989"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2AB1BB" w:themeColor="accent1"/>
            </w:tcBorders>
            <w:vAlign w:val="center"/>
          </w:tcPr>
          <w:p w14:paraId="7B66C3A2" w14:textId="77777777" w:rsidR="00FA4F7E" w:rsidRPr="00B528D0" w:rsidRDefault="00FA4F7E" w:rsidP="00A76B05">
            <w:pPr>
              <w:pStyle w:val="Heading1Char"/>
              <w:rPr>
                <w:rFonts w:eastAsia="Calibri" w:cs="Arial"/>
              </w:rPr>
            </w:pPr>
            <w:r w:rsidRPr="00B528D0">
              <w:rPr>
                <w:rFonts w:eastAsia="Calibri" w:cs="Arial"/>
              </w:rPr>
              <w:t>Number of responses</w:t>
            </w:r>
          </w:p>
        </w:tc>
        <w:tc>
          <w:tcPr>
            <w:tcW w:w="1251" w:type="dxa"/>
            <w:tcBorders>
              <w:bottom w:val="single" w:sz="4" w:space="0" w:color="2AB1BB" w:themeColor="accent1"/>
            </w:tcBorders>
            <w:shd w:val="clear" w:color="auto" w:fill="EEEEEE" w:themeFill="background2"/>
            <w:vAlign w:val="center"/>
          </w:tcPr>
          <w:p w14:paraId="306C0B06"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7</w:t>
            </w:r>
          </w:p>
        </w:tc>
        <w:tc>
          <w:tcPr>
            <w:tcW w:w="1251" w:type="dxa"/>
            <w:tcBorders>
              <w:bottom w:val="single" w:sz="4" w:space="0" w:color="2AB1BB" w:themeColor="accent1"/>
            </w:tcBorders>
            <w:vAlign w:val="center"/>
          </w:tcPr>
          <w:p w14:paraId="3BEFB1A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3</w:t>
            </w:r>
          </w:p>
        </w:tc>
        <w:tc>
          <w:tcPr>
            <w:tcW w:w="1251" w:type="dxa"/>
            <w:tcBorders>
              <w:bottom w:val="single" w:sz="4" w:space="0" w:color="2AB1BB" w:themeColor="accent1"/>
            </w:tcBorders>
            <w:vAlign w:val="center"/>
          </w:tcPr>
          <w:p w14:paraId="75804B8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4</w:t>
            </w:r>
          </w:p>
        </w:tc>
        <w:tc>
          <w:tcPr>
            <w:tcW w:w="1251" w:type="dxa"/>
            <w:tcBorders>
              <w:bottom w:val="single" w:sz="4" w:space="0" w:color="2AB1BB" w:themeColor="accent1"/>
            </w:tcBorders>
            <w:vAlign w:val="center"/>
          </w:tcPr>
          <w:p w14:paraId="55DD984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6</w:t>
            </w:r>
          </w:p>
        </w:tc>
        <w:tc>
          <w:tcPr>
            <w:tcW w:w="1251" w:type="dxa"/>
            <w:tcBorders>
              <w:bottom w:val="single" w:sz="4" w:space="0" w:color="2AB1BB" w:themeColor="accent1"/>
            </w:tcBorders>
            <w:vAlign w:val="center"/>
          </w:tcPr>
          <w:p w14:paraId="31271AA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7</w:t>
            </w:r>
          </w:p>
        </w:tc>
        <w:tc>
          <w:tcPr>
            <w:tcW w:w="1251" w:type="dxa"/>
            <w:tcBorders>
              <w:bottom w:val="single" w:sz="4" w:space="0" w:color="2AB1BB" w:themeColor="accent1"/>
            </w:tcBorders>
            <w:vAlign w:val="center"/>
          </w:tcPr>
          <w:p w14:paraId="443764F8"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11</w:t>
            </w:r>
          </w:p>
        </w:tc>
        <w:tc>
          <w:tcPr>
            <w:tcW w:w="1251" w:type="dxa"/>
            <w:tcBorders>
              <w:bottom w:val="single" w:sz="4" w:space="0" w:color="2AB1BB" w:themeColor="accent1"/>
            </w:tcBorders>
            <w:shd w:val="clear" w:color="auto" w:fill="EEEEEE" w:themeFill="background2"/>
            <w:vAlign w:val="center"/>
          </w:tcPr>
          <w:p w14:paraId="1C295D2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18</w:t>
            </w:r>
          </w:p>
        </w:tc>
        <w:tc>
          <w:tcPr>
            <w:tcW w:w="1251" w:type="dxa"/>
            <w:tcBorders>
              <w:bottom w:val="single" w:sz="4" w:space="0" w:color="2AB1BB" w:themeColor="accent1"/>
            </w:tcBorders>
            <w:vAlign w:val="center"/>
          </w:tcPr>
          <w:p w14:paraId="79E8747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8</w:t>
            </w:r>
          </w:p>
        </w:tc>
        <w:tc>
          <w:tcPr>
            <w:tcW w:w="1251" w:type="dxa"/>
            <w:tcBorders>
              <w:bottom w:val="single" w:sz="4" w:space="0" w:color="2AB1BB" w:themeColor="accent1"/>
            </w:tcBorders>
            <w:vAlign w:val="center"/>
          </w:tcPr>
          <w:p w14:paraId="65C7FED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39</w:t>
            </w:r>
          </w:p>
        </w:tc>
      </w:tr>
      <w:tr w:rsidR="00FA4F7E" w:rsidRPr="00B528D0" w14:paraId="68A047C3"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2AB1BB" w:themeColor="accent1"/>
            </w:tcBorders>
            <w:vAlign w:val="center"/>
          </w:tcPr>
          <w:p w14:paraId="6DD40584" w14:textId="77777777" w:rsidR="00FA4F7E" w:rsidRPr="00B528D0" w:rsidRDefault="00FA4F7E" w:rsidP="00A76B05">
            <w:pPr>
              <w:pStyle w:val="Heading1Char"/>
              <w:rPr>
                <w:rFonts w:eastAsia="Calibri" w:cs="Arial"/>
              </w:rPr>
            </w:pPr>
            <w:r w:rsidRPr="00B528D0">
              <w:rPr>
                <w:rFonts w:eastAsia="Calibri" w:cs="Arial"/>
              </w:rPr>
              <w:t>Proportion of responses</w:t>
            </w:r>
          </w:p>
        </w:tc>
        <w:tc>
          <w:tcPr>
            <w:tcW w:w="1251" w:type="dxa"/>
            <w:tcBorders>
              <w:top w:val="single" w:sz="4" w:space="0" w:color="2AB1BB" w:themeColor="accent1"/>
            </w:tcBorders>
            <w:shd w:val="clear" w:color="auto" w:fill="EEEEEE" w:themeFill="background2"/>
            <w:vAlign w:val="center"/>
          </w:tcPr>
          <w:p w14:paraId="79E4969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18%</w:t>
            </w:r>
          </w:p>
        </w:tc>
        <w:tc>
          <w:tcPr>
            <w:tcW w:w="1251" w:type="dxa"/>
            <w:tcBorders>
              <w:top w:val="single" w:sz="4" w:space="0" w:color="2AB1BB" w:themeColor="accent1"/>
            </w:tcBorders>
            <w:vAlign w:val="center"/>
          </w:tcPr>
          <w:p w14:paraId="5172A9A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8%</w:t>
            </w:r>
          </w:p>
        </w:tc>
        <w:tc>
          <w:tcPr>
            <w:tcW w:w="1251" w:type="dxa"/>
            <w:tcBorders>
              <w:top w:val="single" w:sz="4" w:space="0" w:color="2AB1BB" w:themeColor="accent1"/>
            </w:tcBorders>
            <w:vAlign w:val="center"/>
          </w:tcPr>
          <w:p w14:paraId="36E424F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10%</w:t>
            </w:r>
          </w:p>
        </w:tc>
        <w:tc>
          <w:tcPr>
            <w:tcW w:w="1251" w:type="dxa"/>
            <w:tcBorders>
              <w:top w:val="single" w:sz="4" w:space="0" w:color="2AB1BB" w:themeColor="accent1"/>
            </w:tcBorders>
            <w:vAlign w:val="center"/>
          </w:tcPr>
          <w:p w14:paraId="696A1C3F"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15%</w:t>
            </w:r>
          </w:p>
        </w:tc>
        <w:tc>
          <w:tcPr>
            <w:tcW w:w="1251" w:type="dxa"/>
            <w:tcBorders>
              <w:top w:val="single" w:sz="4" w:space="0" w:color="2AB1BB" w:themeColor="accent1"/>
            </w:tcBorders>
            <w:vAlign w:val="center"/>
          </w:tcPr>
          <w:p w14:paraId="26CA8FE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18%</w:t>
            </w:r>
          </w:p>
        </w:tc>
        <w:tc>
          <w:tcPr>
            <w:tcW w:w="1251" w:type="dxa"/>
            <w:tcBorders>
              <w:top w:val="single" w:sz="4" w:space="0" w:color="2AB1BB" w:themeColor="accent1"/>
            </w:tcBorders>
            <w:vAlign w:val="center"/>
          </w:tcPr>
          <w:p w14:paraId="43FF63CA"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28%</w:t>
            </w:r>
          </w:p>
        </w:tc>
        <w:tc>
          <w:tcPr>
            <w:tcW w:w="1251" w:type="dxa"/>
            <w:tcBorders>
              <w:top w:val="single" w:sz="4" w:space="0" w:color="2AB1BB" w:themeColor="accent1"/>
            </w:tcBorders>
            <w:shd w:val="clear" w:color="auto" w:fill="EEEEEE" w:themeFill="background2"/>
            <w:vAlign w:val="center"/>
          </w:tcPr>
          <w:p w14:paraId="37A4122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46%</w:t>
            </w:r>
          </w:p>
        </w:tc>
        <w:tc>
          <w:tcPr>
            <w:tcW w:w="1251" w:type="dxa"/>
            <w:tcBorders>
              <w:top w:val="single" w:sz="4" w:space="0" w:color="2AB1BB" w:themeColor="accent1"/>
            </w:tcBorders>
            <w:vAlign w:val="center"/>
          </w:tcPr>
          <w:p w14:paraId="2C5A215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21%</w:t>
            </w:r>
          </w:p>
        </w:tc>
        <w:tc>
          <w:tcPr>
            <w:tcW w:w="1251" w:type="dxa"/>
            <w:tcBorders>
              <w:top w:val="single" w:sz="4" w:space="0" w:color="2AB1BB" w:themeColor="accent1"/>
            </w:tcBorders>
            <w:vAlign w:val="center"/>
          </w:tcPr>
          <w:p w14:paraId="18BEBE8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rPr>
                <w:rFonts w:eastAsia="Calibri" w:cs="Arial"/>
              </w:rPr>
            </w:pPr>
            <w:r w:rsidRPr="00B528D0">
              <w:rPr>
                <w:rFonts w:eastAsia="Calibri" w:cs="Arial"/>
              </w:rPr>
              <w:t>100%</w:t>
            </w:r>
          </w:p>
        </w:tc>
      </w:tr>
    </w:tbl>
    <w:p w14:paraId="6E23FB78" w14:textId="49457B4E" w:rsidR="00FA4F7E" w:rsidRPr="001D6174" w:rsidRDefault="00EC3654" w:rsidP="00EC3654">
      <w:pPr>
        <w:pStyle w:val="Caption"/>
      </w:pPr>
      <w:r>
        <w:t xml:space="preserve">Table </w:t>
      </w:r>
      <w:r>
        <w:fldChar w:fldCharType="begin"/>
      </w:r>
      <w:r>
        <w:instrText xml:space="preserve"> SEQ Table \* ARABIC </w:instrText>
      </w:r>
      <w:r>
        <w:fldChar w:fldCharType="separate"/>
      </w:r>
      <w:r>
        <w:rPr>
          <w:noProof/>
        </w:rPr>
        <w:t>13</w:t>
      </w:r>
      <w:r>
        <w:fldChar w:fldCharType="end"/>
      </w:r>
      <w:r w:rsidR="00FA4F7E" w:rsidRPr="001D6174">
        <w:t xml:space="preserve"> – Views on the overall impact of the changes on the aged care sector (direction)</w:t>
      </w:r>
    </w:p>
    <w:tbl>
      <w:tblPr>
        <w:tblStyle w:val="GridTable1Light-Accent6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1085"/>
        <w:gridCol w:w="926"/>
        <w:gridCol w:w="987"/>
        <w:gridCol w:w="1782"/>
      </w:tblGrid>
      <w:tr w:rsidR="00B85949" w:rsidRPr="00B528D0" w14:paraId="6F5114D0"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shd w:val="clear" w:color="auto" w:fill="1E1545" w:themeFill="text1"/>
            <w:vAlign w:val="center"/>
          </w:tcPr>
          <w:p w14:paraId="75731D3B" w14:textId="77777777" w:rsidR="00FA4F7E" w:rsidRPr="00B528D0" w:rsidRDefault="00FA4F7E" w:rsidP="0017155E">
            <w:pPr>
              <w:pStyle w:val="TableofAuthorities"/>
              <w:rPr>
                <w:noProof/>
                <w:shd w:val="clear" w:color="auto" w:fill="1E1545" w:themeFill="text1"/>
                <w:lang w:eastAsia="en-GB"/>
              </w:rPr>
            </w:pPr>
          </w:p>
        </w:tc>
        <w:tc>
          <w:tcPr>
            <w:tcW w:w="0" w:type="auto"/>
            <w:tcBorders>
              <w:bottom w:val="single" w:sz="4" w:space="0" w:color="2AB1BB" w:themeColor="accent1"/>
            </w:tcBorders>
            <w:shd w:val="clear" w:color="auto" w:fill="1E1545" w:themeFill="text1"/>
            <w:vAlign w:val="center"/>
          </w:tcPr>
          <w:p w14:paraId="5C355D56"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Negative</w:t>
            </w:r>
          </w:p>
        </w:tc>
        <w:tc>
          <w:tcPr>
            <w:tcW w:w="0" w:type="auto"/>
            <w:tcBorders>
              <w:bottom w:val="single" w:sz="4" w:space="0" w:color="2AB1BB" w:themeColor="accent1"/>
            </w:tcBorders>
            <w:shd w:val="clear" w:color="auto" w:fill="1E1545" w:themeFill="text1"/>
            <w:vAlign w:val="center"/>
          </w:tcPr>
          <w:p w14:paraId="064AA4A8"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Neutral</w:t>
            </w:r>
          </w:p>
        </w:tc>
        <w:tc>
          <w:tcPr>
            <w:tcW w:w="0" w:type="auto"/>
            <w:tcBorders>
              <w:bottom w:val="single" w:sz="4" w:space="0" w:color="2AB1BB" w:themeColor="accent1"/>
            </w:tcBorders>
            <w:shd w:val="clear" w:color="auto" w:fill="1E1545" w:themeFill="text1"/>
            <w:vAlign w:val="center"/>
          </w:tcPr>
          <w:p w14:paraId="789B7088"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Positive</w:t>
            </w:r>
          </w:p>
        </w:tc>
        <w:tc>
          <w:tcPr>
            <w:tcW w:w="0" w:type="auto"/>
            <w:tcBorders>
              <w:bottom w:val="single" w:sz="4" w:space="0" w:color="2AB1BB" w:themeColor="accent1"/>
            </w:tcBorders>
            <w:shd w:val="clear" w:color="auto" w:fill="1E1545" w:themeFill="text1"/>
            <w:vAlign w:val="center"/>
          </w:tcPr>
          <w:p w14:paraId="7E3917C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B528D0" w14:paraId="702F0153" w14:textId="77777777" w:rsidTr="00C62D3D">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bottom w:val="single" w:sz="4" w:space="0" w:color="2AB1BB" w:themeColor="accent1"/>
            </w:tcBorders>
            <w:vAlign w:val="center"/>
          </w:tcPr>
          <w:p w14:paraId="14985757" w14:textId="77777777" w:rsidR="00FA4F7E" w:rsidRPr="00C62D3D" w:rsidRDefault="00FA4F7E" w:rsidP="00C62D3D">
            <w:r w:rsidRPr="00C62D3D">
              <w:t>Number of responses</w:t>
            </w:r>
          </w:p>
        </w:tc>
        <w:tc>
          <w:tcPr>
            <w:tcW w:w="0" w:type="auto"/>
            <w:tcBorders>
              <w:top w:val="single" w:sz="4" w:space="0" w:color="2AB1BB" w:themeColor="accent1"/>
              <w:bottom w:val="single" w:sz="4" w:space="0" w:color="2AB1BB" w:themeColor="accent1"/>
            </w:tcBorders>
            <w:vAlign w:val="center"/>
          </w:tcPr>
          <w:p w14:paraId="335B6E1C"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8</w:t>
            </w:r>
          </w:p>
        </w:tc>
        <w:tc>
          <w:tcPr>
            <w:tcW w:w="0" w:type="auto"/>
            <w:tcBorders>
              <w:top w:val="single" w:sz="4" w:space="0" w:color="2AB1BB" w:themeColor="accent1"/>
              <w:bottom w:val="single" w:sz="4" w:space="0" w:color="2AB1BB" w:themeColor="accent1"/>
            </w:tcBorders>
            <w:vAlign w:val="center"/>
          </w:tcPr>
          <w:p w14:paraId="559C0947"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18</w:t>
            </w:r>
          </w:p>
        </w:tc>
        <w:tc>
          <w:tcPr>
            <w:tcW w:w="0" w:type="auto"/>
            <w:tcBorders>
              <w:top w:val="single" w:sz="4" w:space="0" w:color="2AB1BB" w:themeColor="accent1"/>
              <w:bottom w:val="single" w:sz="4" w:space="0" w:color="2AB1BB" w:themeColor="accent1"/>
            </w:tcBorders>
            <w:vAlign w:val="center"/>
          </w:tcPr>
          <w:p w14:paraId="5E1CD237"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25</w:t>
            </w:r>
          </w:p>
        </w:tc>
        <w:tc>
          <w:tcPr>
            <w:tcW w:w="0" w:type="auto"/>
            <w:tcBorders>
              <w:top w:val="single" w:sz="4" w:space="0" w:color="2AB1BB" w:themeColor="accent1"/>
              <w:bottom w:val="single" w:sz="4" w:space="0" w:color="2AB1BB" w:themeColor="accent1"/>
            </w:tcBorders>
            <w:vAlign w:val="center"/>
          </w:tcPr>
          <w:p w14:paraId="12B977A0"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51</w:t>
            </w:r>
          </w:p>
        </w:tc>
      </w:tr>
      <w:tr w:rsidR="00FA4F7E" w:rsidRPr="00B528D0" w14:paraId="76269241" w14:textId="77777777" w:rsidTr="00C62D3D">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5652C2F0" w14:textId="77777777" w:rsidR="00FA4F7E" w:rsidRPr="00C62D3D" w:rsidRDefault="00FA4F7E" w:rsidP="00C62D3D">
            <w:r w:rsidRPr="00C62D3D">
              <w:t>Proportion of responses</w:t>
            </w:r>
          </w:p>
        </w:tc>
        <w:tc>
          <w:tcPr>
            <w:tcW w:w="0" w:type="auto"/>
            <w:tcBorders>
              <w:top w:val="single" w:sz="4" w:space="0" w:color="2AB1BB" w:themeColor="accent1"/>
            </w:tcBorders>
            <w:vAlign w:val="center"/>
          </w:tcPr>
          <w:p w14:paraId="400D5FB5"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16%</w:t>
            </w:r>
          </w:p>
        </w:tc>
        <w:tc>
          <w:tcPr>
            <w:tcW w:w="0" w:type="auto"/>
            <w:tcBorders>
              <w:top w:val="single" w:sz="4" w:space="0" w:color="2AB1BB" w:themeColor="accent1"/>
            </w:tcBorders>
            <w:vAlign w:val="center"/>
          </w:tcPr>
          <w:p w14:paraId="5C1D7985"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35%</w:t>
            </w:r>
          </w:p>
        </w:tc>
        <w:tc>
          <w:tcPr>
            <w:tcW w:w="0" w:type="auto"/>
            <w:tcBorders>
              <w:top w:val="single" w:sz="4" w:space="0" w:color="2AB1BB" w:themeColor="accent1"/>
            </w:tcBorders>
            <w:vAlign w:val="center"/>
          </w:tcPr>
          <w:p w14:paraId="71CBCA31"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49%</w:t>
            </w:r>
          </w:p>
        </w:tc>
        <w:tc>
          <w:tcPr>
            <w:tcW w:w="0" w:type="auto"/>
            <w:tcBorders>
              <w:top w:val="single" w:sz="4" w:space="0" w:color="2AB1BB" w:themeColor="accent1"/>
            </w:tcBorders>
            <w:vAlign w:val="center"/>
          </w:tcPr>
          <w:p w14:paraId="3218A2B4" w14:textId="77777777" w:rsidR="00FA4F7E" w:rsidRPr="00C62D3D" w:rsidRDefault="00FA4F7E" w:rsidP="00C62D3D">
            <w:pPr>
              <w:cnfStyle w:val="000000000000" w:firstRow="0" w:lastRow="0" w:firstColumn="0" w:lastColumn="0" w:oddVBand="0" w:evenVBand="0" w:oddHBand="0" w:evenHBand="0" w:firstRowFirstColumn="0" w:firstRowLastColumn="0" w:lastRowFirstColumn="0" w:lastRowLastColumn="0"/>
            </w:pPr>
            <w:r w:rsidRPr="00C62D3D">
              <w:t>100%</w:t>
            </w:r>
          </w:p>
        </w:tc>
      </w:tr>
    </w:tbl>
    <w:p w14:paraId="7B1736B5" w14:textId="777765F0" w:rsidR="00FA4F7E" w:rsidRPr="001D6174" w:rsidRDefault="00EC3654" w:rsidP="00EC3654">
      <w:pPr>
        <w:pStyle w:val="Caption"/>
      </w:pPr>
      <w:r>
        <w:t xml:space="preserve">Table </w:t>
      </w:r>
      <w:r>
        <w:fldChar w:fldCharType="begin"/>
      </w:r>
      <w:r>
        <w:instrText xml:space="preserve"> SEQ Table \* ARABIC </w:instrText>
      </w:r>
      <w:r>
        <w:fldChar w:fldCharType="separate"/>
      </w:r>
      <w:r>
        <w:rPr>
          <w:noProof/>
        </w:rPr>
        <w:t>14</w:t>
      </w:r>
      <w:r>
        <w:fldChar w:fldCharType="end"/>
      </w:r>
      <w:r w:rsidR="00FA4F7E" w:rsidRPr="001D6174">
        <w:t xml:space="preserve"> – Views on the overall impact of the changes on the aged care sector (scale)</w:t>
      </w:r>
    </w:p>
    <w:tbl>
      <w:tblPr>
        <w:tblStyle w:val="GridTable1Light-Accent6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1207"/>
        <w:gridCol w:w="1121"/>
        <w:gridCol w:w="1146"/>
        <w:gridCol w:w="779"/>
        <w:gridCol w:w="1219"/>
        <w:gridCol w:w="1048"/>
        <w:gridCol w:w="1782"/>
      </w:tblGrid>
      <w:tr w:rsidR="00B85949" w:rsidRPr="00B528D0" w14:paraId="59C74CAD"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1E1545" w:themeFill="text1"/>
            <w:vAlign w:val="center"/>
          </w:tcPr>
          <w:p w14:paraId="449AAC7F" w14:textId="77777777" w:rsidR="00FA4F7E" w:rsidRPr="00B528D0" w:rsidRDefault="00FA4F7E" w:rsidP="0017155E">
            <w:pPr>
              <w:pStyle w:val="TableofAuthorities"/>
              <w:rPr>
                <w:noProof/>
                <w:shd w:val="clear" w:color="auto" w:fill="1E1545" w:themeFill="text1"/>
                <w:lang w:eastAsia="en-GB"/>
              </w:rPr>
            </w:pPr>
          </w:p>
        </w:tc>
        <w:tc>
          <w:tcPr>
            <w:tcW w:w="0" w:type="auto"/>
            <w:tcBorders>
              <w:bottom w:val="none" w:sz="0" w:space="0" w:color="auto"/>
            </w:tcBorders>
            <w:shd w:val="clear" w:color="auto" w:fill="1E1545" w:themeFill="text1"/>
            <w:vAlign w:val="center"/>
          </w:tcPr>
          <w:p w14:paraId="7CD86FF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 impact</w:t>
            </w:r>
          </w:p>
        </w:tc>
        <w:tc>
          <w:tcPr>
            <w:tcW w:w="0" w:type="auto"/>
            <w:tcBorders>
              <w:bottom w:val="none" w:sz="0" w:space="0" w:color="auto"/>
            </w:tcBorders>
            <w:shd w:val="clear" w:color="auto" w:fill="1E1545" w:themeFill="text1"/>
            <w:vAlign w:val="center"/>
          </w:tcPr>
          <w:p w14:paraId="164BF27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little</w:t>
            </w:r>
          </w:p>
        </w:tc>
        <w:tc>
          <w:tcPr>
            <w:tcW w:w="0" w:type="auto"/>
            <w:tcBorders>
              <w:bottom w:val="none" w:sz="0" w:space="0" w:color="auto"/>
            </w:tcBorders>
            <w:shd w:val="clear" w:color="auto" w:fill="1E1545" w:themeFill="text1"/>
            <w:vAlign w:val="center"/>
          </w:tcPr>
          <w:p w14:paraId="7AA12E1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w:t>
            </w:r>
          </w:p>
        </w:tc>
        <w:tc>
          <w:tcPr>
            <w:tcW w:w="0" w:type="auto"/>
            <w:tcBorders>
              <w:bottom w:val="none" w:sz="0" w:space="0" w:color="auto"/>
            </w:tcBorders>
            <w:shd w:val="clear" w:color="auto" w:fill="1E1545" w:themeFill="text1"/>
            <w:vAlign w:val="center"/>
          </w:tcPr>
          <w:p w14:paraId="147151E4"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Large</w:t>
            </w:r>
          </w:p>
        </w:tc>
        <w:tc>
          <w:tcPr>
            <w:tcW w:w="0" w:type="auto"/>
            <w:tcBorders>
              <w:bottom w:val="none" w:sz="0" w:space="0" w:color="auto"/>
            </w:tcBorders>
            <w:shd w:val="clear" w:color="auto" w:fill="1E1545" w:themeFill="text1"/>
            <w:vAlign w:val="center"/>
          </w:tcPr>
          <w:p w14:paraId="5A5F5A4A"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large</w:t>
            </w:r>
          </w:p>
        </w:tc>
        <w:tc>
          <w:tcPr>
            <w:tcW w:w="0" w:type="auto"/>
            <w:tcBorders>
              <w:bottom w:val="none" w:sz="0" w:space="0" w:color="auto"/>
            </w:tcBorders>
            <w:shd w:val="clear" w:color="auto" w:fill="1E1545" w:themeFill="text1"/>
            <w:vAlign w:val="center"/>
          </w:tcPr>
          <w:p w14:paraId="1717A72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0" w:type="auto"/>
            <w:tcBorders>
              <w:bottom w:val="none" w:sz="0" w:space="0" w:color="auto"/>
            </w:tcBorders>
            <w:shd w:val="clear" w:color="auto" w:fill="1E1545" w:themeFill="text1"/>
            <w:vAlign w:val="center"/>
          </w:tcPr>
          <w:p w14:paraId="0173FD4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B528D0" w14:paraId="3AE419C9" w14:textId="77777777" w:rsidTr="00CB2C05">
        <w:trPr>
          <w:trHeight w:val="397"/>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2AB1BB" w:themeColor="accent1"/>
            </w:tcBorders>
            <w:vAlign w:val="center"/>
          </w:tcPr>
          <w:p w14:paraId="4DD56D2D" w14:textId="77777777" w:rsidR="00FA4F7E" w:rsidRPr="00B528D0" w:rsidRDefault="00FA4F7E" w:rsidP="00A76B05">
            <w:pPr>
              <w:pStyle w:val="Heading1Char"/>
            </w:pPr>
            <w:r w:rsidRPr="00B528D0">
              <w:t>Number of responses</w:t>
            </w:r>
          </w:p>
        </w:tc>
        <w:tc>
          <w:tcPr>
            <w:tcW w:w="0" w:type="auto"/>
            <w:tcBorders>
              <w:bottom w:val="single" w:sz="4" w:space="0" w:color="2AB1BB" w:themeColor="accent1"/>
            </w:tcBorders>
            <w:vAlign w:val="center"/>
          </w:tcPr>
          <w:p w14:paraId="0FCA44F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0" w:type="auto"/>
            <w:tcBorders>
              <w:bottom w:val="single" w:sz="4" w:space="0" w:color="2AB1BB" w:themeColor="accent1"/>
            </w:tcBorders>
            <w:vAlign w:val="center"/>
          </w:tcPr>
          <w:p w14:paraId="5DC4ADF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w:t>
            </w:r>
          </w:p>
        </w:tc>
        <w:tc>
          <w:tcPr>
            <w:tcW w:w="0" w:type="auto"/>
            <w:tcBorders>
              <w:bottom w:val="single" w:sz="4" w:space="0" w:color="2AB1BB" w:themeColor="accent1"/>
            </w:tcBorders>
            <w:vAlign w:val="center"/>
          </w:tcPr>
          <w:p w14:paraId="5D52CEB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16</w:t>
            </w:r>
          </w:p>
        </w:tc>
        <w:tc>
          <w:tcPr>
            <w:tcW w:w="0" w:type="auto"/>
            <w:tcBorders>
              <w:bottom w:val="single" w:sz="4" w:space="0" w:color="2AB1BB" w:themeColor="accent1"/>
            </w:tcBorders>
            <w:vAlign w:val="center"/>
          </w:tcPr>
          <w:p w14:paraId="4CD0671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18</w:t>
            </w:r>
          </w:p>
        </w:tc>
        <w:tc>
          <w:tcPr>
            <w:tcW w:w="0" w:type="auto"/>
            <w:tcBorders>
              <w:bottom w:val="single" w:sz="4" w:space="0" w:color="2AB1BB" w:themeColor="accent1"/>
            </w:tcBorders>
            <w:vAlign w:val="center"/>
          </w:tcPr>
          <w:p w14:paraId="720EE04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13</w:t>
            </w:r>
          </w:p>
        </w:tc>
        <w:tc>
          <w:tcPr>
            <w:tcW w:w="0" w:type="auto"/>
            <w:tcBorders>
              <w:bottom w:val="single" w:sz="4" w:space="0" w:color="2AB1BB" w:themeColor="accent1"/>
            </w:tcBorders>
            <w:vAlign w:val="center"/>
          </w:tcPr>
          <w:p w14:paraId="3FBFBDB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w:t>
            </w:r>
          </w:p>
        </w:tc>
        <w:tc>
          <w:tcPr>
            <w:tcW w:w="0" w:type="auto"/>
            <w:tcBorders>
              <w:bottom w:val="single" w:sz="4" w:space="0" w:color="2AB1BB" w:themeColor="accent1"/>
            </w:tcBorders>
            <w:vAlign w:val="center"/>
          </w:tcPr>
          <w:p w14:paraId="39DEFED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58</w:t>
            </w:r>
          </w:p>
        </w:tc>
      </w:tr>
      <w:tr w:rsidR="00FA4F7E" w:rsidRPr="00B528D0" w14:paraId="686C2798" w14:textId="77777777" w:rsidTr="00CB2C05">
        <w:trPr>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2AB1BB" w:themeColor="accent1"/>
            </w:tcBorders>
            <w:vAlign w:val="center"/>
          </w:tcPr>
          <w:p w14:paraId="5BBE0205" w14:textId="77777777" w:rsidR="00FA4F7E" w:rsidRPr="00B528D0" w:rsidRDefault="00FA4F7E" w:rsidP="00A76B05">
            <w:pPr>
              <w:pStyle w:val="Heading1Char"/>
            </w:pPr>
            <w:r w:rsidRPr="00B528D0">
              <w:t>Proportion of responses</w:t>
            </w:r>
          </w:p>
        </w:tc>
        <w:tc>
          <w:tcPr>
            <w:tcW w:w="0" w:type="auto"/>
            <w:tcBorders>
              <w:top w:val="single" w:sz="4" w:space="0" w:color="2AB1BB" w:themeColor="accent1"/>
            </w:tcBorders>
            <w:vAlign w:val="center"/>
          </w:tcPr>
          <w:p w14:paraId="2360570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w:t>
            </w:r>
          </w:p>
        </w:tc>
        <w:tc>
          <w:tcPr>
            <w:tcW w:w="0" w:type="auto"/>
            <w:tcBorders>
              <w:top w:val="single" w:sz="4" w:space="0" w:color="2AB1BB" w:themeColor="accent1"/>
            </w:tcBorders>
            <w:vAlign w:val="center"/>
          </w:tcPr>
          <w:p w14:paraId="41F77FE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9%</w:t>
            </w:r>
          </w:p>
        </w:tc>
        <w:tc>
          <w:tcPr>
            <w:tcW w:w="0" w:type="auto"/>
            <w:tcBorders>
              <w:top w:val="single" w:sz="4" w:space="0" w:color="2AB1BB" w:themeColor="accent1"/>
            </w:tcBorders>
            <w:vAlign w:val="center"/>
          </w:tcPr>
          <w:p w14:paraId="4EF1E0D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28%</w:t>
            </w:r>
          </w:p>
        </w:tc>
        <w:tc>
          <w:tcPr>
            <w:tcW w:w="0" w:type="auto"/>
            <w:tcBorders>
              <w:top w:val="single" w:sz="4" w:space="0" w:color="2AB1BB" w:themeColor="accent1"/>
            </w:tcBorders>
            <w:vAlign w:val="center"/>
          </w:tcPr>
          <w:p w14:paraId="304C370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31%</w:t>
            </w:r>
          </w:p>
        </w:tc>
        <w:tc>
          <w:tcPr>
            <w:tcW w:w="0" w:type="auto"/>
            <w:tcBorders>
              <w:top w:val="single" w:sz="4" w:space="0" w:color="2AB1BB" w:themeColor="accent1"/>
            </w:tcBorders>
            <w:vAlign w:val="center"/>
          </w:tcPr>
          <w:p w14:paraId="76E70E75"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22%</w:t>
            </w:r>
          </w:p>
        </w:tc>
        <w:tc>
          <w:tcPr>
            <w:tcW w:w="0" w:type="auto"/>
            <w:tcBorders>
              <w:top w:val="single" w:sz="4" w:space="0" w:color="2AB1BB" w:themeColor="accent1"/>
            </w:tcBorders>
            <w:vAlign w:val="center"/>
          </w:tcPr>
          <w:p w14:paraId="19228A5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9%</w:t>
            </w:r>
          </w:p>
        </w:tc>
        <w:tc>
          <w:tcPr>
            <w:tcW w:w="0" w:type="auto"/>
            <w:tcBorders>
              <w:top w:val="single" w:sz="4" w:space="0" w:color="2AB1BB" w:themeColor="accent1"/>
            </w:tcBorders>
            <w:vAlign w:val="center"/>
          </w:tcPr>
          <w:p w14:paraId="5D217AA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100%</w:t>
            </w:r>
          </w:p>
        </w:tc>
      </w:tr>
    </w:tbl>
    <w:p w14:paraId="6E1FCFF3" w14:textId="77777777" w:rsidR="0061193D" w:rsidRPr="00D04C0D" w:rsidRDefault="0061193D" w:rsidP="00D04C0D">
      <w:r>
        <w:br w:type="page"/>
      </w:r>
    </w:p>
    <w:p w14:paraId="7CF58F62" w14:textId="4A31074C" w:rsidR="00FA4F7E" w:rsidRPr="001D6174"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15</w:t>
      </w:r>
      <w:r>
        <w:fldChar w:fldCharType="end"/>
      </w:r>
      <w:r w:rsidR="00FA4F7E" w:rsidRPr="001D6174">
        <w:t xml:space="preserve"> – Views on the overall impact of the changes on the aged care sector (direction &amp; scale) (number of responses)</w:t>
      </w:r>
    </w:p>
    <w:tbl>
      <w:tblPr>
        <w:tblStyle w:val="GridTable1Light-Accent6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436"/>
        <w:gridCol w:w="1436"/>
        <w:gridCol w:w="1436"/>
        <w:gridCol w:w="1436"/>
        <w:gridCol w:w="1436"/>
        <w:gridCol w:w="1436"/>
        <w:gridCol w:w="1437"/>
      </w:tblGrid>
      <w:tr w:rsidR="00B85949" w:rsidRPr="00B528D0" w14:paraId="07889CEA"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shd w:val="clear" w:color="auto" w:fill="1E1545" w:themeFill="text1"/>
            <w:vAlign w:val="center"/>
          </w:tcPr>
          <w:p w14:paraId="738AB0D0" w14:textId="77777777" w:rsidR="00FA4F7E" w:rsidRPr="00B528D0" w:rsidRDefault="00FA4F7E" w:rsidP="0017155E">
            <w:pPr>
              <w:pStyle w:val="TableofAuthorities"/>
            </w:pPr>
          </w:p>
        </w:tc>
        <w:tc>
          <w:tcPr>
            <w:tcW w:w="1436" w:type="dxa"/>
            <w:tcBorders>
              <w:bottom w:val="none" w:sz="0" w:space="0" w:color="auto"/>
            </w:tcBorders>
            <w:shd w:val="clear" w:color="auto" w:fill="1E1545" w:themeFill="text1"/>
            <w:vAlign w:val="center"/>
          </w:tcPr>
          <w:p w14:paraId="2AAE127A"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 impact</w:t>
            </w:r>
          </w:p>
        </w:tc>
        <w:tc>
          <w:tcPr>
            <w:tcW w:w="1436" w:type="dxa"/>
            <w:tcBorders>
              <w:bottom w:val="none" w:sz="0" w:space="0" w:color="auto"/>
            </w:tcBorders>
            <w:shd w:val="clear" w:color="auto" w:fill="1E1545" w:themeFill="text1"/>
            <w:vAlign w:val="center"/>
          </w:tcPr>
          <w:p w14:paraId="73078FFC"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little</w:t>
            </w:r>
          </w:p>
        </w:tc>
        <w:tc>
          <w:tcPr>
            <w:tcW w:w="1436" w:type="dxa"/>
            <w:tcBorders>
              <w:bottom w:val="none" w:sz="0" w:space="0" w:color="auto"/>
            </w:tcBorders>
            <w:shd w:val="clear" w:color="auto" w:fill="1E1545" w:themeFill="text1"/>
            <w:vAlign w:val="center"/>
          </w:tcPr>
          <w:p w14:paraId="042BA33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w:t>
            </w:r>
          </w:p>
        </w:tc>
        <w:tc>
          <w:tcPr>
            <w:tcW w:w="1436" w:type="dxa"/>
            <w:tcBorders>
              <w:bottom w:val="none" w:sz="0" w:space="0" w:color="auto"/>
            </w:tcBorders>
            <w:shd w:val="clear" w:color="auto" w:fill="1E1545" w:themeFill="text1"/>
            <w:vAlign w:val="center"/>
          </w:tcPr>
          <w:p w14:paraId="19207754"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Large</w:t>
            </w:r>
          </w:p>
        </w:tc>
        <w:tc>
          <w:tcPr>
            <w:tcW w:w="1436" w:type="dxa"/>
            <w:tcBorders>
              <w:bottom w:val="none" w:sz="0" w:space="0" w:color="auto"/>
            </w:tcBorders>
            <w:shd w:val="clear" w:color="auto" w:fill="1E1545" w:themeFill="text1"/>
            <w:vAlign w:val="center"/>
          </w:tcPr>
          <w:p w14:paraId="0D8E93E8"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large</w:t>
            </w:r>
          </w:p>
        </w:tc>
        <w:tc>
          <w:tcPr>
            <w:tcW w:w="1436" w:type="dxa"/>
            <w:tcBorders>
              <w:bottom w:val="none" w:sz="0" w:space="0" w:color="auto"/>
            </w:tcBorders>
            <w:shd w:val="clear" w:color="auto" w:fill="1E1545" w:themeFill="text1"/>
            <w:vAlign w:val="center"/>
          </w:tcPr>
          <w:p w14:paraId="31CCDC36"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1437" w:type="dxa"/>
            <w:tcBorders>
              <w:bottom w:val="none" w:sz="0" w:space="0" w:color="auto"/>
            </w:tcBorders>
            <w:shd w:val="clear" w:color="auto" w:fill="1E1545" w:themeFill="text1"/>
            <w:vAlign w:val="center"/>
          </w:tcPr>
          <w:p w14:paraId="1B28CE8C"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B528D0" w14:paraId="7C17262C"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2AB1BB" w:themeColor="accent1"/>
            </w:tcBorders>
            <w:shd w:val="clear" w:color="auto" w:fill="FFFFFF" w:themeFill="background1"/>
            <w:vAlign w:val="center"/>
          </w:tcPr>
          <w:p w14:paraId="1EF87E7F" w14:textId="77777777" w:rsidR="00FA4F7E" w:rsidRPr="00B528D0" w:rsidRDefault="00FA4F7E" w:rsidP="00A76B05">
            <w:pPr>
              <w:pStyle w:val="Heading1Char"/>
            </w:pPr>
            <w:r w:rsidRPr="00B528D0">
              <w:t>Negative</w:t>
            </w:r>
          </w:p>
        </w:tc>
        <w:tc>
          <w:tcPr>
            <w:tcW w:w="1436" w:type="dxa"/>
            <w:tcBorders>
              <w:bottom w:val="single" w:sz="4" w:space="0" w:color="2AB1BB" w:themeColor="accent1"/>
            </w:tcBorders>
            <w:vAlign w:val="center"/>
          </w:tcPr>
          <w:p w14:paraId="3E199E8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6" w:type="dxa"/>
            <w:tcBorders>
              <w:bottom w:val="single" w:sz="4" w:space="0" w:color="2AB1BB" w:themeColor="accent1"/>
            </w:tcBorders>
            <w:vAlign w:val="center"/>
          </w:tcPr>
          <w:p w14:paraId="77E3C3C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6" w:type="dxa"/>
            <w:tcBorders>
              <w:bottom w:val="single" w:sz="4" w:space="0" w:color="2AB1BB" w:themeColor="accent1"/>
            </w:tcBorders>
            <w:vAlign w:val="center"/>
          </w:tcPr>
          <w:p w14:paraId="77DAE3F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6" w:type="dxa"/>
            <w:tcBorders>
              <w:bottom w:val="single" w:sz="4" w:space="0" w:color="2AB1BB" w:themeColor="accent1"/>
            </w:tcBorders>
            <w:vAlign w:val="center"/>
          </w:tcPr>
          <w:p w14:paraId="23675A03"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1436" w:type="dxa"/>
            <w:tcBorders>
              <w:bottom w:val="single" w:sz="4" w:space="0" w:color="2AB1BB" w:themeColor="accent1"/>
            </w:tcBorders>
            <w:vAlign w:val="center"/>
          </w:tcPr>
          <w:p w14:paraId="4EF4E74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1436" w:type="dxa"/>
            <w:tcBorders>
              <w:bottom w:val="single" w:sz="4" w:space="0" w:color="2AB1BB" w:themeColor="accent1"/>
            </w:tcBorders>
            <w:vAlign w:val="center"/>
          </w:tcPr>
          <w:p w14:paraId="24586B00"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7" w:type="dxa"/>
            <w:tcBorders>
              <w:bottom w:val="single" w:sz="4" w:space="0" w:color="2AB1BB" w:themeColor="accent1"/>
            </w:tcBorders>
            <w:vAlign w:val="center"/>
          </w:tcPr>
          <w:p w14:paraId="6F0DB64A"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8</w:t>
            </w:r>
          </w:p>
        </w:tc>
      </w:tr>
      <w:tr w:rsidR="00FA4F7E" w:rsidRPr="00B528D0" w14:paraId="769E0ABB"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AB1BB" w:themeColor="accent1"/>
              <w:bottom w:val="single" w:sz="4" w:space="0" w:color="2AB1BB" w:themeColor="accent1"/>
            </w:tcBorders>
            <w:shd w:val="clear" w:color="auto" w:fill="FFFFFF" w:themeFill="background1"/>
            <w:vAlign w:val="center"/>
          </w:tcPr>
          <w:p w14:paraId="1F205867" w14:textId="77777777" w:rsidR="00FA4F7E" w:rsidRPr="00B528D0" w:rsidRDefault="00FA4F7E" w:rsidP="00A76B05">
            <w:pPr>
              <w:pStyle w:val="Heading1Char"/>
            </w:pPr>
            <w:r w:rsidRPr="00B528D0">
              <w:t>Neutral</w:t>
            </w:r>
          </w:p>
        </w:tc>
        <w:tc>
          <w:tcPr>
            <w:tcW w:w="1436" w:type="dxa"/>
            <w:tcBorders>
              <w:top w:val="single" w:sz="4" w:space="0" w:color="2AB1BB" w:themeColor="accent1"/>
              <w:bottom w:val="single" w:sz="4" w:space="0" w:color="2AB1BB" w:themeColor="accent1"/>
            </w:tcBorders>
            <w:vAlign w:val="center"/>
          </w:tcPr>
          <w:p w14:paraId="36EC28FB"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6" w:type="dxa"/>
            <w:tcBorders>
              <w:top w:val="single" w:sz="4" w:space="0" w:color="2AB1BB" w:themeColor="accent1"/>
              <w:bottom w:val="single" w:sz="4" w:space="0" w:color="2AB1BB" w:themeColor="accent1"/>
            </w:tcBorders>
            <w:vAlign w:val="center"/>
          </w:tcPr>
          <w:p w14:paraId="1CECFC8D"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1436" w:type="dxa"/>
            <w:tcBorders>
              <w:top w:val="single" w:sz="4" w:space="0" w:color="2AB1BB" w:themeColor="accent1"/>
              <w:bottom w:val="single" w:sz="4" w:space="0" w:color="2AB1BB" w:themeColor="accent1"/>
            </w:tcBorders>
            <w:vAlign w:val="center"/>
          </w:tcPr>
          <w:p w14:paraId="4AA17F1E"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7</w:t>
            </w:r>
          </w:p>
        </w:tc>
        <w:tc>
          <w:tcPr>
            <w:tcW w:w="1436" w:type="dxa"/>
            <w:tcBorders>
              <w:top w:val="single" w:sz="4" w:space="0" w:color="2AB1BB" w:themeColor="accent1"/>
              <w:bottom w:val="single" w:sz="4" w:space="0" w:color="2AB1BB" w:themeColor="accent1"/>
            </w:tcBorders>
            <w:vAlign w:val="center"/>
          </w:tcPr>
          <w:p w14:paraId="30969032"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w:t>
            </w:r>
          </w:p>
        </w:tc>
        <w:tc>
          <w:tcPr>
            <w:tcW w:w="1436" w:type="dxa"/>
            <w:tcBorders>
              <w:top w:val="single" w:sz="4" w:space="0" w:color="2AB1BB" w:themeColor="accent1"/>
              <w:bottom w:val="single" w:sz="4" w:space="0" w:color="2AB1BB" w:themeColor="accent1"/>
            </w:tcBorders>
            <w:vAlign w:val="center"/>
          </w:tcPr>
          <w:p w14:paraId="1B26900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5</w:t>
            </w:r>
          </w:p>
        </w:tc>
        <w:tc>
          <w:tcPr>
            <w:tcW w:w="1436" w:type="dxa"/>
            <w:tcBorders>
              <w:top w:val="single" w:sz="4" w:space="0" w:color="2AB1BB" w:themeColor="accent1"/>
              <w:bottom w:val="single" w:sz="4" w:space="0" w:color="2AB1BB" w:themeColor="accent1"/>
            </w:tcBorders>
            <w:vAlign w:val="center"/>
          </w:tcPr>
          <w:p w14:paraId="3170296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3</w:t>
            </w:r>
          </w:p>
        </w:tc>
        <w:tc>
          <w:tcPr>
            <w:tcW w:w="1437" w:type="dxa"/>
            <w:tcBorders>
              <w:top w:val="single" w:sz="4" w:space="0" w:color="2AB1BB" w:themeColor="accent1"/>
              <w:bottom w:val="single" w:sz="4" w:space="0" w:color="2AB1BB" w:themeColor="accent1"/>
            </w:tcBorders>
            <w:vAlign w:val="center"/>
          </w:tcPr>
          <w:p w14:paraId="36F1D5A6"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18</w:t>
            </w:r>
          </w:p>
        </w:tc>
      </w:tr>
      <w:tr w:rsidR="00FA4F7E" w:rsidRPr="00B528D0" w14:paraId="616F25EB"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AB1BB" w:themeColor="accent1"/>
            </w:tcBorders>
            <w:shd w:val="clear" w:color="auto" w:fill="FFFFFF" w:themeFill="background1"/>
            <w:vAlign w:val="center"/>
          </w:tcPr>
          <w:p w14:paraId="280EA870" w14:textId="77777777" w:rsidR="00FA4F7E" w:rsidRPr="00B528D0" w:rsidRDefault="00FA4F7E" w:rsidP="00A76B05">
            <w:pPr>
              <w:pStyle w:val="Heading1Char"/>
            </w:pPr>
            <w:r w:rsidRPr="00B528D0">
              <w:t>Positive</w:t>
            </w:r>
          </w:p>
        </w:tc>
        <w:tc>
          <w:tcPr>
            <w:tcW w:w="1436" w:type="dxa"/>
            <w:tcBorders>
              <w:top w:val="single" w:sz="4" w:space="0" w:color="2AB1BB" w:themeColor="accent1"/>
            </w:tcBorders>
            <w:vAlign w:val="center"/>
          </w:tcPr>
          <w:p w14:paraId="556097F1"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6" w:type="dxa"/>
            <w:tcBorders>
              <w:top w:val="single" w:sz="4" w:space="0" w:color="2AB1BB" w:themeColor="accent1"/>
            </w:tcBorders>
            <w:vAlign w:val="center"/>
          </w:tcPr>
          <w:p w14:paraId="75B1EEC9"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w:t>
            </w:r>
          </w:p>
        </w:tc>
        <w:tc>
          <w:tcPr>
            <w:tcW w:w="1436" w:type="dxa"/>
            <w:tcBorders>
              <w:top w:val="single" w:sz="4" w:space="0" w:color="2AB1BB" w:themeColor="accent1"/>
            </w:tcBorders>
            <w:vAlign w:val="center"/>
          </w:tcPr>
          <w:p w14:paraId="462286FC"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9</w:t>
            </w:r>
          </w:p>
        </w:tc>
        <w:tc>
          <w:tcPr>
            <w:tcW w:w="1436" w:type="dxa"/>
            <w:tcBorders>
              <w:top w:val="single" w:sz="4" w:space="0" w:color="2AB1BB" w:themeColor="accent1"/>
            </w:tcBorders>
            <w:vAlign w:val="center"/>
          </w:tcPr>
          <w:p w14:paraId="35A1560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10</w:t>
            </w:r>
          </w:p>
        </w:tc>
        <w:tc>
          <w:tcPr>
            <w:tcW w:w="1436" w:type="dxa"/>
            <w:tcBorders>
              <w:top w:val="single" w:sz="4" w:space="0" w:color="2AB1BB" w:themeColor="accent1"/>
            </w:tcBorders>
            <w:vAlign w:val="center"/>
          </w:tcPr>
          <w:p w14:paraId="096E1447"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4</w:t>
            </w:r>
          </w:p>
        </w:tc>
        <w:tc>
          <w:tcPr>
            <w:tcW w:w="1436" w:type="dxa"/>
            <w:tcBorders>
              <w:top w:val="single" w:sz="4" w:space="0" w:color="2AB1BB" w:themeColor="accent1"/>
            </w:tcBorders>
            <w:vAlign w:val="center"/>
          </w:tcPr>
          <w:p w14:paraId="5F0C9114"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0</w:t>
            </w:r>
          </w:p>
        </w:tc>
        <w:tc>
          <w:tcPr>
            <w:tcW w:w="1437" w:type="dxa"/>
            <w:tcBorders>
              <w:top w:val="single" w:sz="4" w:space="0" w:color="2AB1BB" w:themeColor="accent1"/>
            </w:tcBorders>
            <w:vAlign w:val="center"/>
          </w:tcPr>
          <w:p w14:paraId="00268955" w14:textId="77777777" w:rsidR="00FA4F7E" w:rsidRPr="00B528D0"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B528D0">
              <w:t>24</w:t>
            </w:r>
          </w:p>
        </w:tc>
      </w:tr>
    </w:tbl>
    <w:p w14:paraId="1B4E5D44" w14:textId="53DC2B31" w:rsidR="00FA4F7E" w:rsidRPr="001D6174" w:rsidRDefault="00EC3654" w:rsidP="00EC3654">
      <w:pPr>
        <w:pStyle w:val="Caption"/>
      </w:pPr>
      <w:r>
        <w:t xml:space="preserve">Table </w:t>
      </w:r>
      <w:r>
        <w:fldChar w:fldCharType="begin"/>
      </w:r>
      <w:r>
        <w:instrText xml:space="preserve"> SEQ Table \* ARABIC </w:instrText>
      </w:r>
      <w:r>
        <w:fldChar w:fldCharType="separate"/>
      </w:r>
      <w:r>
        <w:rPr>
          <w:noProof/>
        </w:rPr>
        <w:t>16</w:t>
      </w:r>
      <w:r>
        <w:fldChar w:fldCharType="end"/>
      </w:r>
      <w:r w:rsidR="00FA4F7E" w:rsidRPr="001D6174">
        <w:t xml:space="preserve"> – Views on the overall impact of the changes on the aged care sector (direction &amp; scale) (proportion of responses)</w:t>
      </w:r>
    </w:p>
    <w:tbl>
      <w:tblPr>
        <w:tblStyle w:val="GridTable1Light-Accent6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555"/>
        <w:gridCol w:w="1456"/>
        <w:gridCol w:w="1456"/>
        <w:gridCol w:w="1456"/>
        <w:gridCol w:w="1457"/>
        <w:gridCol w:w="1456"/>
        <w:gridCol w:w="1456"/>
        <w:gridCol w:w="1457"/>
      </w:tblGrid>
      <w:tr w:rsidR="00B85949" w:rsidRPr="0061193D" w14:paraId="6D6A34AF" w14:textId="77777777" w:rsidTr="00C62D3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shd w:val="clear" w:color="auto" w:fill="1E1545" w:themeFill="text1"/>
            <w:vAlign w:val="center"/>
          </w:tcPr>
          <w:p w14:paraId="285CAFA7" w14:textId="77777777" w:rsidR="00FA4F7E" w:rsidRPr="00A76B05" w:rsidRDefault="00FA4F7E" w:rsidP="0017155E">
            <w:pPr>
              <w:pStyle w:val="TableofAuthorities"/>
            </w:pPr>
          </w:p>
        </w:tc>
        <w:tc>
          <w:tcPr>
            <w:tcW w:w="0" w:type="dxa"/>
            <w:tcBorders>
              <w:bottom w:val="none" w:sz="0" w:space="0" w:color="auto"/>
            </w:tcBorders>
            <w:shd w:val="clear" w:color="auto" w:fill="1E1545" w:themeFill="text1"/>
            <w:vAlign w:val="center"/>
          </w:tcPr>
          <w:p w14:paraId="06CB6B1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 impact</w:t>
            </w:r>
          </w:p>
        </w:tc>
        <w:tc>
          <w:tcPr>
            <w:tcW w:w="0" w:type="dxa"/>
            <w:tcBorders>
              <w:bottom w:val="none" w:sz="0" w:space="0" w:color="auto"/>
            </w:tcBorders>
            <w:shd w:val="clear" w:color="auto" w:fill="1E1545" w:themeFill="text1"/>
            <w:vAlign w:val="center"/>
          </w:tcPr>
          <w:p w14:paraId="44D9226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little</w:t>
            </w:r>
          </w:p>
        </w:tc>
        <w:tc>
          <w:tcPr>
            <w:tcW w:w="0" w:type="dxa"/>
            <w:tcBorders>
              <w:bottom w:val="none" w:sz="0" w:space="0" w:color="auto"/>
            </w:tcBorders>
            <w:shd w:val="clear" w:color="auto" w:fill="1E1545" w:themeFill="text1"/>
            <w:vAlign w:val="center"/>
          </w:tcPr>
          <w:p w14:paraId="5908E43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Moderate</w:t>
            </w:r>
          </w:p>
        </w:tc>
        <w:tc>
          <w:tcPr>
            <w:tcW w:w="0" w:type="dxa"/>
            <w:tcBorders>
              <w:bottom w:val="none" w:sz="0" w:space="0" w:color="auto"/>
            </w:tcBorders>
            <w:shd w:val="clear" w:color="auto" w:fill="1E1545" w:themeFill="text1"/>
            <w:vAlign w:val="center"/>
          </w:tcPr>
          <w:p w14:paraId="4526F66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Large</w:t>
            </w:r>
          </w:p>
        </w:tc>
        <w:tc>
          <w:tcPr>
            <w:tcW w:w="0" w:type="dxa"/>
            <w:tcBorders>
              <w:bottom w:val="none" w:sz="0" w:space="0" w:color="auto"/>
            </w:tcBorders>
            <w:shd w:val="clear" w:color="auto" w:fill="1E1545" w:themeFill="text1"/>
            <w:vAlign w:val="center"/>
          </w:tcPr>
          <w:p w14:paraId="02C8B08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Very large</w:t>
            </w:r>
          </w:p>
        </w:tc>
        <w:tc>
          <w:tcPr>
            <w:tcW w:w="0" w:type="dxa"/>
            <w:tcBorders>
              <w:bottom w:val="none" w:sz="0" w:space="0" w:color="auto"/>
            </w:tcBorders>
            <w:shd w:val="clear" w:color="auto" w:fill="1E1545" w:themeFill="text1"/>
            <w:vAlign w:val="center"/>
          </w:tcPr>
          <w:p w14:paraId="682816D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0" w:type="dxa"/>
            <w:tcBorders>
              <w:bottom w:val="none" w:sz="0" w:space="0" w:color="auto"/>
            </w:tcBorders>
            <w:shd w:val="clear" w:color="auto" w:fill="1E1545" w:themeFill="text1"/>
            <w:vAlign w:val="center"/>
          </w:tcPr>
          <w:p w14:paraId="6500DEA4"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FA4F7E" w:rsidRPr="0061193D" w14:paraId="16A61498"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2AB1BB" w:themeColor="accent1"/>
            </w:tcBorders>
            <w:shd w:val="clear" w:color="auto" w:fill="FFFFFF" w:themeFill="background1"/>
            <w:vAlign w:val="center"/>
          </w:tcPr>
          <w:p w14:paraId="1E740820" w14:textId="77777777" w:rsidR="00FA4F7E" w:rsidRPr="00A76B05" w:rsidRDefault="00FA4F7E" w:rsidP="00A76B05">
            <w:pPr>
              <w:pStyle w:val="Heading1Char"/>
            </w:pPr>
            <w:r w:rsidRPr="00A76B05">
              <w:t>Negative</w:t>
            </w:r>
          </w:p>
        </w:tc>
        <w:tc>
          <w:tcPr>
            <w:tcW w:w="1456" w:type="dxa"/>
            <w:tcBorders>
              <w:bottom w:val="single" w:sz="4" w:space="0" w:color="2AB1BB" w:themeColor="accent1"/>
            </w:tcBorders>
            <w:shd w:val="clear" w:color="auto" w:fill="FFFFFF" w:themeFill="background1"/>
            <w:vAlign w:val="center"/>
          </w:tcPr>
          <w:p w14:paraId="6468727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6" w:type="dxa"/>
            <w:tcBorders>
              <w:bottom w:val="single" w:sz="4" w:space="0" w:color="2AB1BB" w:themeColor="accent1"/>
            </w:tcBorders>
            <w:shd w:val="clear" w:color="auto" w:fill="FFFFFF" w:themeFill="background1"/>
            <w:vAlign w:val="center"/>
          </w:tcPr>
          <w:p w14:paraId="15FD0E76"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6" w:type="dxa"/>
            <w:tcBorders>
              <w:bottom w:val="single" w:sz="4" w:space="0" w:color="2AB1BB" w:themeColor="accent1"/>
            </w:tcBorders>
            <w:shd w:val="clear" w:color="auto" w:fill="FFFFFF" w:themeFill="background1"/>
            <w:vAlign w:val="center"/>
          </w:tcPr>
          <w:p w14:paraId="282091AC"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7" w:type="dxa"/>
            <w:tcBorders>
              <w:bottom w:val="single" w:sz="4" w:space="0" w:color="2AB1BB" w:themeColor="accent1"/>
            </w:tcBorders>
            <w:shd w:val="clear" w:color="auto" w:fill="FFFFFF" w:themeFill="background1"/>
            <w:vAlign w:val="center"/>
          </w:tcPr>
          <w:p w14:paraId="04812DEF"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50%</w:t>
            </w:r>
          </w:p>
        </w:tc>
        <w:tc>
          <w:tcPr>
            <w:tcW w:w="1456" w:type="dxa"/>
            <w:tcBorders>
              <w:bottom w:val="single" w:sz="4" w:space="0" w:color="2AB1BB" w:themeColor="accent1"/>
            </w:tcBorders>
            <w:shd w:val="clear" w:color="auto" w:fill="FFFFFF" w:themeFill="background1"/>
            <w:vAlign w:val="center"/>
          </w:tcPr>
          <w:p w14:paraId="6ACBD10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50%</w:t>
            </w:r>
          </w:p>
        </w:tc>
        <w:tc>
          <w:tcPr>
            <w:tcW w:w="1456" w:type="dxa"/>
            <w:tcBorders>
              <w:bottom w:val="single" w:sz="4" w:space="0" w:color="2AB1BB" w:themeColor="accent1"/>
            </w:tcBorders>
            <w:shd w:val="clear" w:color="auto" w:fill="FFFFFF" w:themeFill="background1"/>
            <w:vAlign w:val="center"/>
          </w:tcPr>
          <w:p w14:paraId="281E39D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7" w:type="dxa"/>
            <w:tcBorders>
              <w:bottom w:val="single" w:sz="4" w:space="0" w:color="2AB1BB" w:themeColor="accent1"/>
            </w:tcBorders>
            <w:shd w:val="clear" w:color="auto" w:fill="FFFFFF" w:themeFill="background1"/>
            <w:vAlign w:val="center"/>
          </w:tcPr>
          <w:p w14:paraId="2A9E516A"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8</w:t>
            </w:r>
          </w:p>
        </w:tc>
      </w:tr>
      <w:tr w:rsidR="00FA4F7E" w:rsidRPr="0061193D" w14:paraId="36D86DA6"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2AB1BB" w:themeColor="accent1"/>
              <w:bottom w:val="single" w:sz="4" w:space="0" w:color="2AB1BB" w:themeColor="accent1"/>
            </w:tcBorders>
            <w:shd w:val="clear" w:color="auto" w:fill="FFFFFF" w:themeFill="background1"/>
            <w:vAlign w:val="center"/>
          </w:tcPr>
          <w:p w14:paraId="7C70D0D3" w14:textId="77777777" w:rsidR="00FA4F7E" w:rsidRPr="00A76B05" w:rsidRDefault="00FA4F7E" w:rsidP="00A76B05">
            <w:pPr>
              <w:pStyle w:val="Heading1Char"/>
            </w:pPr>
            <w:r w:rsidRPr="00A76B05">
              <w:t>Neutral</w:t>
            </w:r>
          </w:p>
        </w:tc>
        <w:tc>
          <w:tcPr>
            <w:tcW w:w="1456" w:type="dxa"/>
            <w:tcBorders>
              <w:top w:val="single" w:sz="4" w:space="0" w:color="2AB1BB" w:themeColor="accent1"/>
              <w:bottom w:val="single" w:sz="4" w:space="0" w:color="2AB1BB" w:themeColor="accent1"/>
            </w:tcBorders>
            <w:shd w:val="clear" w:color="auto" w:fill="FFFFFF" w:themeFill="background1"/>
            <w:vAlign w:val="center"/>
          </w:tcPr>
          <w:p w14:paraId="0F08250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6" w:type="dxa"/>
            <w:tcBorders>
              <w:top w:val="single" w:sz="4" w:space="0" w:color="2AB1BB" w:themeColor="accent1"/>
              <w:bottom w:val="single" w:sz="4" w:space="0" w:color="2AB1BB" w:themeColor="accent1"/>
            </w:tcBorders>
            <w:shd w:val="clear" w:color="auto" w:fill="FFFFFF" w:themeFill="background1"/>
            <w:vAlign w:val="center"/>
          </w:tcPr>
          <w:p w14:paraId="4681CA2C"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6%</w:t>
            </w:r>
          </w:p>
        </w:tc>
        <w:tc>
          <w:tcPr>
            <w:tcW w:w="1456" w:type="dxa"/>
            <w:tcBorders>
              <w:top w:val="single" w:sz="4" w:space="0" w:color="2AB1BB" w:themeColor="accent1"/>
              <w:bottom w:val="single" w:sz="4" w:space="0" w:color="2AB1BB" w:themeColor="accent1"/>
            </w:tcBorders>
            <w:shd w:val="clear" w:color="auto" w:fill="FFFFFF" w:themeFill="background1"/>
            <w:vAlign w:val="center"/>
          </w:tcPr>
          <w:p w14:paraId="7C35D625"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39%</w:t>
            </w:r>
          </w:p>
        </w:tc>
        <w:tc>
          <w:tcPr>
            <w:tcW w:w="1457" w:type="dxa"/>
            <w:tcBorders>
              <w:top w:val="single" w:sz="4" w:space="0" w:color="2AB1BB" w:themeColor="accent1"/>
              <w:bottom w:val="single" w:sz="4" w:space="0" w:color="2AB1BB" w:themeColor="accent1"/>
            </w:tcBorders>
            <w:shd w:val="clear" w:color="auto" w:fill="FFFFFF" w:themeFill="background1"/>
            <w:vAlign w:val="center"/>
          </w:tcPr>
          <w:p w14:paraId="38653351"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11%</w:t>
            </w:r>
          </w:p>
        </w:tc>
        <w:tc>
          <w:tcPr>
            <w:tcW w:w="1456" w:type="dxa"/>
            <w:tcBorders>
              <w:top w:val="single" w:sz="4" w:space="0" w:color="2AB1BB" w:themeColor="accent1"/>
              <w:bottom w:val="single" w:sz="4" w:space="0" w:color="2AB1BB" w:themeColor="accent1"/>
            </w:tcBorders>
            <w:shd w:val="clear" w:color="auto" w:fill="FFFFFF" w:themeFill="background1"/>
            <w:vAlign w:val="center"/>
          </w:tcPr>
          <w:p w14:paraId="1D6E773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28%</w:t>
            </w:r>
          </w:p>
        </w:tc>
        <w:tc>
          <w:tcPr>
            <w:tcW w:w="1456" w:type="dxa"/>
            <w:tcBorders>
              <w:top w:val="single" w:sz="4" w:space="0" w:color="2AB1BB" w:themeColor="accent1"/>
              <w:bottom w:val="single" w:sz="4" w:space="0" w:color="2AB1BB" w:themeColor="accent1"/>
            </w:tcBorders>
            <w:shd w:val="clear" w:color="auto" w:fill="FFFFFF" w:themeFill="background1"/>
            <w:vAlign w:val="center"/>
          </w:tcPr>
          <w:p w14:paraId="31E0CCE1"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17%</w:t>
            </w:r>
          </w:p>
        </w:tc>
        <w:tc>
          <w:tcPr>
            <w:tcW w:w="1457" w:type="dxa"/>
            <w:tcBorders>
              <w:top w:val="single" w:sz="4" w:space="0" w:color="2AB1BB" w:themeColor="accent1"/>
              <w:bottom w:val="single" w:sz="4" w:space="0" w:color="2AB1BB" w:themeColor="accent1"/>
            </w:tcBorders>
            <w:shd w:val="clear" w:color="auto" w:fill="FFFFFF" w:themeFill="background1"/>
            <w:vAlign w:val="center"/>
          </w:tcPr>
          <w:p w14:paraId="1820A14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18</w:t>
            </w:r>
          </w:p>
        </w:tc>
      </w:tr>
      <w:tr w:rsidR="00FA4F7E" w:rsidRPr="0061193D" w14:paraId="05C8F389" w14:textId="77777777" w:rsidTr="00B85949">
        <w:trPr>
          <w:trHeight w:val="39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2AB1BB" w:themeColor="accent1"/>
            </w:tcBorders>
            <w:shd w:val="clear" w:color="auto" w:fill="FFFFFF" w:themeFill="background1"/>
            <w:vAlign w:val="center"/>
          </w:tcPr>
          <w:p w14:paraId="27F34403" w14:textId="77777777" w:rsidR="00FA4F7E" w:rsidRPr="00A76B05" w:rsidRDefault="00FA4F7E" w:rsidP="00A76B05">
            <w:pPr>
              <w:pStyle w:val="Heading1Char"/>
            </w:pPr>
            <w:r w:rsidRPr="00A76B05">
              <w:t>Positive</w:t>
            </w:r>
          </w:p>
        </w:tc>
        <w:tc>
          <w:tcPr>
            <w:tcW w:w="1456" w:type="dxa"/>
            <w:tcBorders>
              <w:top w:val="single" w:sz="4" w:space="0" w:color="2AB1BB" w:themeColor="accent1"/>
            </w:tcBorders>
            <w:shd w:val="clear" w:color="auto" w:fill="FFFFFF" w:themeFill="background1"/>
            <w:vAlign w:val="center"/>
          </w:tcPr>
          <w:p w14:paraId="3A84DE3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6" w:type="dxa"/>
            <w:tcBorders>
              <w:top w:val="single" w:sz="4" w:space="0" w:color="2AB1BB" w:themeColor="accent1"/>
            </w:tcBorders>
            <w:shd w:val="clear" w:color="auto" w:fill="FFFFFF" w:themeFill="background1"/>
            <w:vAlign w:val="center"/>
          </w:tcPr>
          <w:p w14:paraId="164E980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4%</w:t>
            </w:r>
          </w:p>
        </w:tc>
        <w:tc>
          <w:tcPr>
            <w:tcW w:w="1456" w:type="dxa"/>
            <w:tcBorders>
              <w:top w:val="single" w:sz="4" w:space="0" w:color="2AB1BB" w:themeColor="accent1"/>
            </w:tcBorders>
            <w:shd w:val="clear" w:color="auto" w:fill="FFFFFF" w:themeFill="background1"/>
            <w:vAlign w:val="center"/>
          </w:tcPr>
          <w:p w14:paraId="602A7A5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38%</w:t>
            </w:r>
          </w:p>
        </w:tc>
        <w:tc>
          <w:tcPr>
            <w:tcW w:w="1457" w:type="dxa"/>
            <w:tcBorders>
              <w:top w:val="single" w:sz="4" w:space="0" w:color="2AB1BB" w:themeColor="accent1"/>
            </w:tcBorders>
            <w:shd w:val="clear" w:color="auto" w:fill="FFFFFF" w:themeFill="background1"/>
            <w:vAlign w:val="center"/>
          </w:tcPr>
          <w:p w14:paraId="58A5225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42%</w:t>
            </w:r>
          </w:p>
        </w:tc>
        <w:tc>
          <w:tcPr>
            <w:tcW w:w="1456" w:type="dxa"/>
            <w:tcBorders>
              <w:top w:val="single" w:sz="4" w:space="0" w:color="2AB1BB" w:themeColor="accent1"/>
            </w:tcBorders>
            <w:shd w:val="clear" w:color="auto" w:fill="FFFFFF" w:themeFill="background1"/>
            <w:vAlign w:val="center"/>
          </w:tcPr>
          <w:p w14:paraId="52244F2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17%</w:t>
            </w:r>
          </w:p>
        </w:tc>
        <w:tc>
          <w:tcPr>
            <w:tcW w:w="1456" w:type="dxa"/>
            <w:tcBorders>
              <w:top w:val="single" w:sz="4" w:space="0" w:color="2AB1BB" w:themeColor="accent1"/>
            </w:tcBorders>
            <w:shd w:val="clear" w:color="auto" w:fill="FFFFFF" w:themeFill="background1"/>
            <w:vAlign w:val="center"/>
          </w:tcPr>
          <w:p w14:paraId="55FD97A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0%</w:t>
            </w:r>
          </w:p>
        </w:tc>
        <w:tc>
          <w:tcPr>
            <w:tcW w:w="1457" w:type="dxa"/>
            <w:tcBorders>
              <w:top w:val="single" w:sz="4" w:space="0" w:color="2AB1BB" w:themeColor="accent1"/>
            </w:tcBorders>
            <w:shd w:val="clear" w:color="auto" w:fill="FFFFFF" w:themeFill="background1"/>
            <w:vAlign w:val="center"/>
          </w:tcPr>
          <w:p w14:paraId="7CAFF7F9"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24</w:t>
            </w:r>
          </w:p>
        </w:tc>
      </w:tr>
    </w:tbl>
    <w:p w14:paraId="2E83D364" w14:textId="77777777" w:rsidR="0061193D" w:rsidRPr="00D04C0D" w:rsidRDefault="0061193D" w:rsidP="00D04C0D">
      <w:r>
        <w:br w:type="page"/>
      </w:r>
    </w:p>
    <w:p w14:paraId="19D328A5" w14:textId="2E7EF6EA" w:rsidR="00FA4F7E" w:rsidRPr="001D6174"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17</w:t>
      </w:r>
      <w:r>
        <w:fldChar w:fldCharType="end"/>
      </w:r>
      <w:r w:rsidR="00FA4F7E" w:rsidRPr="001D6174">
        <w:t xml:space="preserve"> – Views on the potential impact of the changes</w:t>
      </w:r>
    </w:p>
    <w:tbl>
      <w:tblPr>
        <w:tblStyle w:val="TableGrid"/>
        <w:tblW w:w="14034" w:type="dxa"/>
        <w:tblLayout w:type="fixed"/>
        <w:tblLook w:val="04A0" w:firstRow="1" w:lastRow="0" w:firstColumn="1" w:lastColumn="0" w:noHBand="0" w:noVBand="1"/>
      </w:tblPr>
      <w:tblGrid>
        <w:gridCol w:w="4035"/>
        <w:gridCol w:w="1097"/>
        <w:gridCol w:w="1102"/>
        <w:gridCol w:w="1102"/>
        <w:gridCol w:w="1102"/>
        <w:gridCol w:w="1102"/>
        <w:gridCol w:w="1102"/>
        <w:gridCol w:w="1102"/>
        <w:gridCol w:w="1102"/>
        <w:gridCol w:w="1188"/>
      </w:tblGrid>
      <w:tr w:rsidR="001B7B17" w:rsidRPr="00EC3654" w14:paraId="6919CA45" w14:textId="77777777" w:rsidTr="00EC3654">
        <w:trPr>
          <w:cnfStyle w:val="100000000000" w:firstRow="1" w:lastRow="0" w:firstColumn="0" w:lastColumn="0" w:oddVBand="0" w:evenVBand="0" w:oddHBand="0" w:evenHBand="0" w:firstRowFirstColumn="0" w:firstRowLastColumn="0" w:lastRowFirstColumn="0" w:lastRowLastColumn="0"/>
          <w:trHeight w:val="678"/>
          <w:tblHeader/>
        </w:trPr>
        <w:tc>
          <w:tcPr>
            <w:tcW w:w="4035" w:type="dxa"/>
            <w:vAlign w:val="center"/>
          </w:tcPr>
          <w:p w14:paraId="54CB0680" w14:textId="77777777" w:rsidR="00FA4F7E" w:rsidRPr="00EC3654" w:rsidRDefault="00FA4F7E" w:rsidP="00EC3654">
            <w:pPr>
              <w:pStyle w:val="TableofAuthorities"/>
              <w:rPr>
                <w:b w:val="0"/>
                <w:bCs w:val="0"/>
              </w:rPr>
            </w:pPr>
            <w:r w:rsidRPr="00EC3654">
              <w:rPr>
                <w:b w:val="0"/>
                <w:bCs w:val="0"/>
              </w:rPr>
              <w:t xml:space="preserve">Statement </w:t>
            </w:r>
          </w:p>
        </w:tc>
        <w:tc>
          <w:tcPr>
            <w:tcW w:w="1097" w:type="dxa"/>
            <w:vAlign w:val="center"/>
          </w:tcPr>
          <w:p w14:paraId="0BC53E0F" w14:textId="77777777" w:rsidR="00FA4F7E" w:rsidRPr="00EC3654" w:rsidRDefault="00FA4F7E" w:rsidP="00EC3654">
            <w:pPr>
              <w:pStyle w:val="TableofAuthorities"/>
              <w:rPr>
                <w:b w:val="0"/>
                <w:bCs w:val="0"/>
              </w:rPr>
            </w:pPr>
            <w:proofErr w:type="spellStart"/>
            <w:r w:rsidRPr="00EC3654">
              <w:rPr>
                <w:b w:val="0"/>
                <w:bCs w:val="0"/>
              </w:rPr>
              <w:t>Nett</w:t>
            </w:r>
            <w:proofErr w:type="spellEnd"/>
            <w:r w:rsidRPr="00EC3654">
              <w:rPr>
                <w:b w:val="0"/>
                <w:bCs w:val="0"/>
              </w:rPr>
              <w:t xml:space="preserve"> disagree</w:t>
            </w:r>
          </w:p>
        </w:tc>
        <w:tc>
          <w:tcPr>
            <w:tcW w:w="1102" w:type="dxa"/>
            <w:vAlign w:val="center"/>
          </w:tcPr>
          <w:p w14:paraId="28EA8BF5" w14:textId="77777777" w:rsidR="00FA4F7E" w:rsidRPr="00EC3654" w:rsidRDefault="00FA4F7E" w:rsidP="00EC3654">
            <w:pPr>
              <w:pStyle w:val="TableofAuthorities"/>
              <w:rPr>
                <w:b w:val="0"/>
                <w:bCs w:val="0"/>
              </w:rPr>
            </w:pPr>
            <w:r w:rsidRPr="00EC3654">
              <w:rPr>
                <w:b w:val="0"/>
                <w:bCs w:val="0"/>
              </w:rPr>
              <w:t>Strongly disagree</w:t>
            </w:r>
          </w:p>
        </w:tc>
        <w:tc>
          <w:tcPr>
            <w:tcW w:w="1102" w:type="dxa"/>
            <w:vAlign w:val="center"/>
          </w:tcPr>
          <w:p w14:paraId="49080CEC" w14:textId="77777777" w:rsidR="00FA4F7E" w:rsidRPr="00EC3654" w:rsidRDefault="00FA4F7E" w:rsidP="00EC3654">
            <w:pPr>
              <w:pStyle w:val="TableofAuthorities"/>
              <w:rPr>
                <w:b w:val="0"/>
                <w:bCs w:val="0"/>
              </w:rPr>
            </w:pPr>
            <w:r w:rsidRPr="00EC3654">
              <w:rPr>
                <w:b w:val="0"/>
                <w:bCs w:val="0"/>
              </w:rPr>
              <w:t>Disagree</w:t>
            </w:r>
          </w:p>
        </w:tc>
        <w:tc>
          <w:tcPr>
            <w:tcW w:w="1102" w:type="dxa"/>
            <w:vAlign w:val="center"/>
          </w:tcPr>
          <w:p w14:paraId="54E4882F" w14:textId="77777777" w:rsidR="00FA4F7E" w:rsidRPr="00EC3654" w:rsidRDefault="00FA4F7E" w:rsidP="00EC3654">
            <w:pPr>
              <w:pStyle w:val="TableofAuthorities"/>
              <w:rPr>
                <w:b w:val="0"/>
                <w:bCs w:val="0"/>
              </w:rPr>
            </w:pPr>
            <w:r w:rsidRPr="00EC3654">
              <w:rPr>
                <w:b w:val="0"/>
                <w:bCs w:val="0"/>
              </w:rPr>
              <w:t>Neither</w:t>
            </w:r>
          </w:p>
        </w:tc>
        <w:tc>
          <w:tcPr>
            <w:tcW w:w="1102" w:type="dxa"/>
            <w:vAlign w:val="center"/>
          </w:tcPr>
          <w:p w14:paraId="5E4953BB" w14:textId="77777777" w:rsidR="00FA4F7E" w:rsidRPr="00EC3654" w:rsidRDefault="00FA4F7E" w:rsidP="00EC3654">
            <w:pPr>
              <w:pStyle w:val="TableofAuthorities"/>
              <w:rPr>
                <w:b w:val="0"/>
                <w:bCs w:val="0"/>
              </w:rPr>
            </w:pPr>
            <w:r w:rsidRPr="00EC3654">
              <w:rPr>
                <w:b w:val="0"/>
                <w:bCs w:val="0"/>
              </w:rPr>
              <w:t>Agree</w:t>
            </w:r>
          </w:p>
        </w:tc>
        <w:tc>
          <w:tcPr>
            <w:tcW w:w="1102" w:type="dxa"/>
            <w:vAlign w:val="center"/>
          </w:tcPr>
          <w:p w14:paraId="3E1E12E9" w14:textId="77777777" w:rsidR="00FA4F7E" w:rsidRPr="00EC3654" w:rsidRDefault="00FA4F7E" w:rsidP="00EC3654">
            <w:pPr>
              <w:pStyle w:val="TableofAuthorities"/>
              <w:rPr>
                <w:b w:val="0"/>
                <w:bCs w:val="0"/>
              </w:rPr>
            </w:pPr>
            <w:r w:rsidRPr="00EC3654">
              <w:rPr>
                <w:b w:val="0"/>
                <w:bCs w:val="0"/>
              </w:rPr>
              <w:t>Strongly agree</w:t>
            </w:r>
          </w:p>
        </w:tc>
        <w:tc>
          <w:tcPr>
            <w:tcW w:w="1102" w:type="dxa"/>
            <w:vAlign w:val="center"/>
          </w:tcPr>
          <w:p w14:paraId="22C856A7" w14:textId="77777777" w:rsidR="00FA4F7E" w:rsidRPr="00EC3654" w:rsidRDefault="00FA4F7E" w:rsidP="00EC3654">
            <w:pPr>
              <w:pStyle w:val="TableofAuthorities"/>
              <w:rPr>
                <w:b w:val="0"/>
                <w:bCs w:val="0"/>
              </w:rPr>
            </w:pPr>
            <w:proofErr w:type="spellStart"/>
            <w:r w:rsidRPr="00EC3654">
              <w:rPr>
                <w:b w:val="0"/>
                <w:bCs w:val="0"/>
              </w:rPr>
              <w:t>Nett</w:t>
            </w:r>
            <w:proofErr w:type="spellEnd"/>
            <w:r w:rsidRPr="00EC3654">
              <w:rPr>
                <w:b w:val="0"/>
                <w:bCs w:val="0"/>
              </w:rPr>
              <w:t xml:space="preserve"> agree</w:t>
            </w:r>
          </w:p>
        </w:tc>
        <w:tc>
          <w:tcPr>
            <w:tcW w:w="1102" w:type="dxa"/>
            <w:vAlign w:val="center"/>
          </w:tcPr>
          <w:p w14:paraId="7AB10E9E" w14:textId="77777777" w:rsidR="00FA4F7E" w:rsidRPr="00EC3654" w:rsidRDefault="00FA4F7E" w:rsidP="00EC3654">
            <w:pPr>
              <w:pStyle w:val="TableofAuthorities"/>
              <w:rPr>
                <w:b w:val="0"/>
                <w:bCs w:val="0"/>
              </w:rPr>
            </w:pPr>
            <w:r w:rsidRPr="00EC3654">
              <w:rPr>
                <w:b w:val="0"/>
                <w:bCs w:val="0"/>
              </w:rPr>
              <w:t>Not sure</w:t>
            </w:r>
          </w:p>
        </w:tc>
        <w:tc>
          <w:tcPr>
            <w:tcW w:w="1188" w:type="dxa"/>
            <w:vAlign w:val="center"/>
          </w:tcPr>
          <w:p w14:paraId="758ACE50" w14:textId="77777777" w:rsidR="00FA4F7E" w:rsidRPr="00EC3654" w:rsidRDefault="00FA4F7E" w:rsidP="00EC3654">
            <w:pPr>
              <w:pStyle w:val="TableofAuthorities"/>
              <w:rPr>
                <w:b w:val="0"/>
                <w:bCs w:val="0"/>
              </w:rPr>
            </w:pPr>
            <w:r w:rsidRPr="00EC3654">
              <w:rPr>
                <w:b w:val="0"/>
                <w:bCs w:val="0"/>
              </w:rPr>
              <w:t>Total responses</w:t>
            </w:r>
          </w:p>
        </w:tc>
      </w:tr>
      <w:tr w:rsidR="00B85949" w:rsidRPr="0061193D" w14:paraId="1D9BB351" w14:textId="77777777" w:rsidTr="00EC3654">
        <w:trPr>
          <w:trHeight w:val="454"/>
        </w:trPr>
        <w:tc>
          <w:tcPr>
            <w:tcW w:w="4035" w:type="dxa"/>
          </w:tcPr>
          <w:p w14:paraId="1D71B8F9" w14:textId="77777777" w:rsidR="00FA4F7E" w:rsidRPr="00231194" w:rsidRDefault="00FA4F7E" w:rsidP="00231194">
            <w:pPr>
              <w:rPr>
                <w:rStyle w:val="Strong"/>
              </w:rPr>
            </w:pPr>
            <w:r w:rsidRPr="00231194">
              <w:rPr>
                <w:rStyle w:val="Strong"/>
              </w:rPr>
              <w:t>Improved choice for people</w:t>
            </w:r>
          </w:p>
        </w:tc>
        <w:tc>
          <w:tcPr>
            <w:tcW w:w="1097" w:type="dxa"/>
          </w:tcPr>
          <w:p w14:paraId="2ED1DE42" w14:textId="77777777" w:rsidR="00FA4F7E" w:rsidRPr="00A76B05" w:rsidRDefault="00FA4F7E" w:rsidP="00A76B05">
            <w:pPr>
              <w:pStyle w:val="Heading1Char"/>
            </w:pPr>
            <w:r w:rsidRPr="00A76B05">
              <w:t>19%</w:t>
            </w:r>
          </w:p>
        </w:tc>
        <w:tc>
          <w:tcPr>
            <w:tcW w:w="1102" w:type="dxa"/>
          </w:tcPr>
          <w:p w14:paraId="44484D7D" w14:textId="77777777" w:rsidR="00FA4F7E" w:rsidRPr="00A76B05" w:rsidRDefault="00FA4F7E" w:rsidP="00A76B05">
            <w:pPr>
              <w:pStyle w:val="Heading1Char"/>
            </w:pPr>
            <w:r w:rsidRPr="00A76B05">
              <w:t>2%</w:t>
            </w:r>
          </w:p>
        </w:tc>
        <w:tc>
          <w:tcPr>
            <w:tcW w:w="1102" w:type="dxa"/>
          </w:tcPr>
          <w:p w14:paraId="24D18124" w14:textId="77777777" w:rsidR="00FA4F7E" w:rsidRPr="00A76B05" w:rsidRDefault="00FA4F7E" w:rsidP="00A76B05">
            <w:pPr>
              <w:pStyle w:val="Heading1Char"/>
            </w:pPr>
            <w:r w:rsidRPr="00A76B05">
              <w:t>17%</w:t>
            </w:r>
          </w:p>
        </w:tc>
        <w:tc>
          <w:tcPr>
            <w:tcW w:w="1102" w:type="dxa"/>
          </w:tcPr>
          <w:p w14:paraId="1453F58F" w14:textId="77777777" w:rsidR="00FA4F7E" w:rsidRPr="00A76B05" w:rsidRDefault="00FA4F7E" w:rsidP="00A76B05">
            <w:pPr>
              <w:pStyle w:val="Heading1Char"/>
            </w:pPr>
            <w:r w:rsidRPr="00A76B05">
              <w:t>14%</w:t>
            </w:r>
          </w:p>
        </w:tc>
        <w:tc>
          <w:tcPr>
            <w:tcW w:w="1102" w:type="dxa"/>
          </w:tcPr>
          <w:p w14:paraId="74001A41" w14:textId="77777777" w:rsidR="00FA4F7E" w:rsidRPr="00A76B05" w:rsidRDefault="00FA4F7E" w:rsidP="00A76B05">
            <w:pPr>
              <w:pStyle w:val="Heading1Char"/>
            </w:pPr>
            <w:r w:rsidRPr="00A76B05">
              <w:t>38%</w:t>
            </w:r>
          </w:p>
        </w:tc>
        <w:tc>
          <w:tcPr>
            <w:tcW w:w="1102" w:type="dxa"/>
          </w:tcPr>
          <w:p w14:paraId="42FC2F5E" w14:textId="77777777" w:rsidR="00FA4F7E" w:rsidRPr="00A76B05" w:rsidRDefault="00FA4F7E" w:rsidP="00A76B05">
            <w:pPr>
              <w:pStyle w:val="Heading1Char"/>
            </w:pPr>
            <w:r w:rsidRPr="00A76B05">
              <w:t>21%</w:t>
            </w:r>
          </w:p>
        </w:tc>
        <w:tc>
          <w:tcPr>
            <w:tcW w:w="1102" w:type="dxa"/>
          </w:tcPr>
          <w:p w14:paraId="5FB1F772" w14:textId="77777777" w:rsidR="00FA4F7E" w:rsidRPr="00A76B05" w:rsidRDefault="00FA4F7E" w:rsidP="00A76B05">
            <w:pPr>
              <w:pStyle w:val="Heading1Char"/>
            </w:pPr>
            <w:r w:rsidRPr="00A76B05">
              <w:t>59%</w:t>
            </w:r>
          </w:p>
        </w:tc>
        <w:tc>
          <w:tcPr>
            <w:tcW w:w="1102" w:type="dxa"/>
          </w:tcPr>
          <w:p w14:paraId="496EC97F" w14:textId="77777777" w:rsidR="00FA4F7E" w:rsidRPr="00A76B05" w:rsidRDefault="00FA4F7E" w:rsidP="00A76B05">
            <w:pPr>
              <w:pStyle w:val="Heading1Char"/>
            </w:pPr>
            <w:r w:rsidRPr="00A76B05">
              <w:t>8%</w:t>
            </w:r>
          </w:p>
        </w:tc>
        <w:tc>
          <w:tcPr>
            <w:tcW w:w="1188" w:type="dxa"/>
          </w:tcPr>
          <w:p w14:paraId="3A34FB5B" w14:textId="77777777" w:rsidR="00FA4F7E" w:rsidRPr="00A76B05" w:rsidRDefault="00FA4F7E" w:rsidP="00A76B05">
            <w:pPr>
              <w:pStyle w:val="Heading1Char"/>
            </w:pPr>
            <w:r w:rsidRPr="00A76B05">
              <w:t>63</w:t>
            </w:r>
          </w:p>
        </w:tc>
      </w:tr>
      <w:tr w:rsidR="00B85949" w:rsidRPr="0061193D" w14:paraId="75FFD2FB" w14:textId="77777777" w:rsidTr="00EC3654">
        <w:trPr>
          <w:trHeight w:val="454"/>
        </w:trPr>
        <w:tc>
          <w:tcPr>
            <w:tcW w:w="4035" w:type="dxa"/>
          </w:tcPr>
          <w:p w14:paraId="793AFB6C" w14:textId="77777777" w:rsidR="00FA4F7E" w:rsidRPr="00231194" w:rsidRDefault="00FA4F7E" w:rsidP="00231194">
            <w:pPr>
              <w:rPr>
                <w:rStyle w:val="Strong"/>
              </w:rPr>
            </w:pPr>
            <w:r w:rsidRPr="00231194">
              <w:rPr>
                <w:rStyle w:val="Strong"/>
              </w:rPr>
              <w:t>Improved access for people</w:t>
            </w:r>
          </w:p>
        </w:tc>
        <w:tc>
          <w:tcPr>
            <w:tcW w:w="1097" w:type="dxa"/>
          </w:tcPr>
          <w:p w14:paraId="66CC45A2" w14:textId="77777777" w:rsidR="00FA4F7E" w:rsidRPr="00A76B05" w:rsidRDefault="00FA4F7E" w:rsidP="00A76B05">
            <w:pPr>
              <w:pStyle w:val="Heading1Char"/>
            </w:pPr>
            <w:r w:rsidRPr="00A76B05">
              <w:t>30%</w:t>
            </w:r>
          </w:p>
        </w:tc>
        <w:tc>
          <w:tcPr>
            <w:tcW w:w="1102" w:type="dxa"/>
          </w:tcPr>
          <w:p w14:paraId="45984B2B" w14:textId="77777777" w:rsidR="00FA4F7E" w:rsidRPr="00A76B05" w:rsidRDefault="00FA4F7E" w:rsidP="00A76B05">
            <w:pPr>
              <w:pStyle w:val="Heading1Char"/>
            </w:pPr>
            <w:r w:rsidRPr="00A76B05">
              <w:t>3%</w:t>
            </w:r>
          </w:p>
        </w:tc>
        <w:tc>
          <w:tcPr>
            <w:tcW w:w="1102" w:type="dxa"/>
          </w:tcPr>
          <w:p w14:paraId="7E887900" w14:textId="77777777" w:rsidR="00FA4F7E" w:rsidRPr="00A76B05" w:rsidRDefault="00FA4F7E" w:rsidP="00A76B05">
            <w:pPr>
              <w:pStyle w:val="Heading1Char"/>
            </w:pPr>
            <w:r w:rsidRPr="00A76B05">
              <w:t>27%</w:t>
            </w:r>
          </w:p>
        </w:tc>
        <w:tc>
          <w:tcPr>
            <w:tcW w:w="1102" w:type="dxa"/>
          </w:tcPr>
          <w:p w14:paraId="5496E0AC" w14:textId="77777777" w:rsidR="00FA4F7E" w:rsidRPr="00A76B05" w:rsidRDefault="00FA4F7E" w:rsidP="00A76B05">
            <w:pPr>
              <w:pStyle w:val="Heading1Char"/>
            </w:pPr>
            <w:r w:rsidRPr="00A76B05">
              <w:t>11%</w:t>
            </w:r>
          </w:p>
        </w:tc>
        <w:tc>
          <w:tcPr>
            <w:tcW w:w="1102" w:type="dxa"/>
          </w:tcPr>
          <w:p w14:paraId="3B360113" w14:textId="77777777" w:rsidR="00FA4F7E" w:rsidRPr="00A76B05" w:rsidRDefault="00FA4F7E" w:rsidP="00A76B05">
            <w:pPr>
              <w:pStyle w:val="Heading1Char"/>
            </w:pPr>
            <w:r w:rsidRPr="00A76B05">
              <w:t>33%</w:t>
            </w:r>
          </w:p>
        </w:tc>
        <w:tc>
          <w:tcPr>
            <w:tcW w:w="1102" w:type="dxa"/>
          </w:tcPr>
          <w:p w14:paraId="21D40088" w14:textId="77777777" w:rsidR="00FA4F7E" w:rsidRPr="00A76B05" w:rsidRDefault="00FA4F7E" w:rsidP="00A76B05">
            <w:pPr>
              <w:pStyle w:val="Heading1Char"/>
            </w:pPr>
            <w:r w:rsidRPr="00A76B05">
              <w:t>14%</w:t>
            </w:r>
          </w:p>
        </w:tc>
        <w:tc>
          <w:tcPr>
            <w:tcW w:w="1102" w:type="dxa"/>
          </w:tcPr>
          <w:p w14:paraId="5D2537F2" w14:textId="77777777" w:rsidR="00FA4F7E" w:rsidRPr="00A76B05" w:rsidRDefault="00FA4F7E" w:rsidP="00A76B05">
            <w:pPr>
              <w:pStyle w:val="Heading1Char"/>
            </w:pPr>
            <w:r w:rsidRPr="00A76B05">
              <w:t>48%</w:t>
            </w:r>
          </w:p>
        </w:tc>
        <w:tc>
          <w:tcPr>
            <w:tcW w:w="1102" w:type="dxa"/>
          </w:tcPr>
          <w:p w14:paraId="77E0373F" w14:textId="77777777" w:rsidR="00FA4F7E" w:rsidRPr="00A76B05" w:rsidRDefault="00FA4F7E" w:rsidP="00A76B05">
            <w:pPr>
              <w:pStyle w:val="Heading1Char"/>
            </w:pPr>
            <w:r w:rsidRPr="00A76B05">
              <w:t>11%</w:t>
            </w:r>
          </w:p>
        </w:tc>
        <w:tc>
          <w:tcPr>
            <w:tcW w:w="1188" w:type="dxa"/>
          </w:tcPr>
          <w:p w14:paraId="6FB46126" w14:textId="77777777" w:rsidR="00FA4F7E" w:rsidRPr="00A76B05" w:rsidRDefault="00FA4F7E" w:rsidP="00A76B05">
            <w:pPr>
              <w:pStyle w:val="Heading1Char"/>
            </w:pPr>
            <w:r w:rsidRPr="00A76B05">
              <w:t>63</w:t>
            </w:r>
          </w:p>
        </w:tc>
      </w:tr>
      <w:tr w:rsidR="00B85949" w:rsidRPr="0061193D" w14:paraId="40632343" w14:textId="77777777" w:rsidTr="00EC3654">
        <w:trPr>
          <w:trHeight w:val="454"/>
        </w:trPr>
        <w:tc>
          <w:tcPr>
            <w:tcW w:w="4035" w:type="dxa"/>
          </w:tcPr>
          <w:p w14:paraId="724DE1D7" w14:textId="77777777" w:rsidR="00FA4F7E" w:rsidRPr="00231194" w:rsidRDefault="00FA4F7E" w:rsidP="00231194">
            <w:pPr>
              <w:rPr>
                <w:rStyle w:val="Strong"/>
              </w:rPr>
            </w:pPr>
            <w:r w:rsidRPr="00231194">
              <w:rPr>
                <w:rStyle w:val="Strong"/>
              </w:rPr>
              <w:t>Increased quality</w:t>
            </w:r>
          </w:p>
        </w:tc>
        <w:tc>
          <w:tcPr>
            <w:tcW w:w="1097" w:type="dxa"/>
          </w:tcPr>
          <w:p w14:paraId="30DDDC48" w14:textId="77777777" w:rsidR="00FA4F7E" w:rsidRPr="00A76B05" w:rsidRDefault="00FA4F7E" w:rsidP="00A76B05">
            <w:pPr>
              <w:pStyle w:val="Heading1Char"/>
            </w:pPr>
            <w:r w:rsidRPr="00A76B05">
              <w:t>30%</w:t>
            </w:r>
          </w:p>
        </w:tc>
        <w:tc>
          <w:tcPr>
            <w:tcW w:w="1102" w:type="dxa"/>
          </w:tcPr>
          <w:p w14:paraId="4A5894A4" w14:textId="77777777" w:rsidR="00FA4F7E" w:rsidRPr="00A76B05" w:rsidRDefault="00FA4F7E" w:rsidP="00A76B05">
            <w:pPr>
              <w:pStyle w:val="Heading1Char"/>
            </w:pPr>
            <w:r w:rsidRPr="00A76B05">
              <w:t>3%</w:t>
            </w:r>
          </w:p>
        </w:tc>
        <w:tc>
          <w:tcPr>
            <w:tcW w:w="1102" w:type="dxa"/>
          </w:tcPr>
          <w:p w14:paraId="434B334A" w14:textId="77777777" w:rsidR="00FA4F7E" w:rsidRPr="00A76B05" w:rsidRDefault="00FA4F7E" w:rsidP="00A76B05">
            <w:pPr>
              <w:pStyle w:val="Heading1Char"/>
            </w:pPr>
            <w:r w:rsidRPr="00A76B05">
              <w:t>27%</w:t>
            </w:r>
          </w:p>
        </w:tc>
        <w:tc>
          <w:tcPr>
            <w:tcW w:w="1102" w:type="dxa"/>
          </w:tcPr>
          <w:p w14:paraId="36FB8450" w14:textId="77777777" w:rsidR="00FA4F7E" w:rsidRPr="00A76B05" w:rsidRDefault="00FA4F7E" w:rsidP="00A76B05">
            <w:pPr>
              <w:pStyle w:val="Heading1Char"/>
            </w:pPr>
            <w:r w:rsidRPr="00A76B05">
              <w:t>11%</w:t>
            </w:r>
          </w:p>
        </w:tc>
        <w:tc>
          <w:tcPr>
            <w:tcW w:w="1102" w:type="dxa"/>
          </w:tcPr>
          <w:p w14:paraId="6A0FB026" w14:textId="77777777" w:rsidR="00FA4F7E" w:rsidRPr="00A76B05" w:rsidRDefault="00FA4F7E" w:rsidP="00A76B05">
            <w:pPr>
              <w:pStyle w:val="Heading1Char"/>
            </w:pPr>
            <w:r w:rsidRPr="00A76B05">
              <w:t>33%</w:t>
            </w:r>
          </w:p>
        </w:tc>
        <w:tc>
          <w:tcPr>
            <w:tcW w:w="1102" w:type="dxa"/>
          </w:tcPr>
          <w:p w14:paraId="76E59FC2" w14:textId="77777777" w:rsidR="00FA4F7E" w:rsidRPr="00A76B05" w:rsidRDefault="00FA4F7E" w:rsidP="00A76B05">
            <w:pPr>
              <w:pStyle w:val="Heading1Char"/>
            </w:pPr>
            <w:r w:rsidRPr="00A76B05">
              <w:t>14%</w:t>
            </w:r>
          </w:p>
        </w:tc>
        <w:tc>
          <w:tcPr>
            <w:tcW w:w="1102" w:type="dxa"/>
          </w:tcPr>
          <w:p w14:paraId="622EBC47" w14:textId="77777777" w:rsidR="00FA4F7E" w:rsidRPr="00A76B05" w:rsidRDefault="00FA4F7E" w:rsidP="00A76B05">
            <w:pPr>
              <w:pStyle w:val="Heading1Char"/>
            </w:pPr>
            <w:r w:rsidRPr="00A76B05">
              <w:t>48%</w:t>
            </w:r>
          </w:p>
        </w:tc>
        <w:tc>
          <w:tcPr>
            <w:tcW w:w="1102" w:type="dxa"/>
          </w:tcPr>
          <w:p w14:paraId="35F9D1BA" w14:textId="77777777" w:rsidR="00FA4F7E" w:rsidRPr="00A76B05" w:rsidRDefault="00FA4F7E" w:rsidP="00A76B05">
            <w:pPr>
              <w:pStyle w:val="Heading1Char"/>
            </w:pPr>
            <w:r w:rsidRPr="00A76B05">
              <w:t>11%</w:t>
            </w:r>
          </w:p>
        </w:tc>
        <w:tc>
          <w:tcPr>
            <w:tcW w:w="1188" w:type="dxa"/>
          </w:tcPr>
          <w:p w14:paraId="4BEF8F8E" w14:textId="77777777" w:rsidR="00FA4F7E" w:rsidRPr="00A76B05" w:rsidRDefault="00FA4F7E" w:rsidP="00A76B05">
            <w:pPr>
              <w:pStyle w:val="Heading1Char"/>
            </w:pPr>
            <w:r w:rsidRPr="00A76B05">
              <w:t>63</w:t>
            </w:r>
          </w:p>
        </w:tc>
      </w:tr>
      <w:tr w:rsidR="00B85949" w:rsidRPr="00B528D0" w14:paraId="67473313" w14:textId="77777777" w:rsidTr="00EC3654">
        <w:trPr>
          <w:trHeight w:val="454"/>
        </w:trPr>
        <w:tc>
          <w:tcPr>
            <w:tcW w:w="4035" w:type="dxa"/>
          </w:tcPr>
          <w:p w14:paraId="364C91AA" w14:textId="77777777" w:rsidR="00FA4F7E" w:rsidRPr="00231194" w:rsidRDefault="00FA4F7E" w:rsidP="00231194">
            <w:pPr>
              <w:rPr>
                <w:rStyle w:val="Strong"/>
              </w:rPr>
            </w:pPr>
            <w:r w:rsidRPr="00231194">
              <w:rPr>
                <w:rStyle w:val="Strong"/>
              </w:rPr>
              <w:t>Increased innovation</w:t>
            </w:r>
          </w:p>
        </w:tc>
        <w:tc>
          <w:tcPr>
            <w:tcW w:w="1097" w:type="dxa"/>
          </w:tcPr>
          <w:p w14:paraId="327CF5CF" w14:textId="77777777" w:rsidR="00FA4F7E" w:rsidRPr="0095121C" w:rsidRDefault="00FA4F7E" w:rsidP="0095121C">
            <w:pPr>
              <w:pStyle w:val="Heading1Char"/>
            </w:pPr>
            <w:r w:rsidRPr="0095121C">
              <w:t>23%</w:t>
            </w:r>
          </w:p>
        </w:tc>
        <w:tc>
          <w:tcPr>
            <w:tcW w:w="1102" w:type="dxa"/>
          </w:tcPr>
          <w:p w14:paraId="7EEED1E0" w14:textId="77777777" w:rsidR="00FA4F7E" w:rsidRPr="0095121C" w:rsidRDefault="00FA4F7E" w:rsidP="0095121C">
            <w:pPr>
              <w:pStyle w:val="Heading1Char"/>
            </w:pPr>
            <w:r w:rsidRPr="0095121C">
              <w:t>3%</w:t>
            </w:r>
          </w:p>
        </w:tc>
        <w:tc>
          <w:tcPr>
            <w:tcW w:w="1102" w:type="dxa"/>
          </w:tcPr>
          <w:p w14:paraId="2AF669C0" w14:textId="77777777" w:rsidR="00FA4F7E" w:rsidRPr="0095121C" w:rsidRDefault="00FA4F7E" w:rsidP="0095121C">
            <w:pPr>
              <w:pStyle w:val="Heading1Char"/>
            </w:pPr>
            <w:r w:rsidRPr="0095121C">
              <w:t>20%</w:t>
            </w:r>
          </w:p>
        </w:tc>
        <w:tc>
          <w:tcPr>
            <w:tcW w:w="1102" w:type="dxa"/>
          </w:tcPr>
          <w:p w14:paraId="4A43A977" w14:textId="77777777" w:rsidR="00FA4F7E" w:rsidRPr="0095121C" w:rsidRDefault="00FA4F7E" w:rsidP="0095121C">
            <w:pPr>
              <w:pStyle w:val="Heading1Char"/>
            </w:pPr>
            <w:r w:rsidRPr="0095121C">
              <w:t>23%</w:t>
            </w:r>
          </w:p>
        </w:tc>
        <w:tc>
          <w:tcPr>
            <w:tcW w:w="1102" w:type="dxa"/>
          </w:tcPr>
          <w:p w14:paraId="20C91558" w14:textId="77777777" w:rsidR="00FA4F7E" w:rsidRPr="0095121C" w:rsidRDefault="00FA4F7E" w:rsidP="0095121C">
            <w:pPr>
              <w:pStyle w:val="Heading1Char"/>
            </w:pPr>
            <w:r w:rsidRPr="0095121C">
              <w:t>28%</w:t>
            </w:r>
          </w:p>
        </w:tc>
        <w:tc>
          <w:tcPr>
            <w:tcW w:w="1102" w:type="dxa"/>
          </w:tcPr>
          <w:p w14:paraId="5D44A603" w14:textId="77777777" w:rsidR="00FA4F7E" w:rsidRPr="0095121C" w:rsidRDefault="00FA4F7E" w:rsidP="0095121C">
            <w:pPr>
              <w:pStyle w:val="Heading1Char"/>
            </w:pPr>
            <w:r w:rsidRPr="0095121C">
              <w:t>15%</w:t>
            </w:r>
          </w:p>
        </w:tc>
        <w:tc>
          <w:tcPr>
            <w:tcW w:w="1102" w:type="dxa"/>
          </w:tcPr>
          <w:p w14:paraId="2DA1A126" w14:textId="77777777" w:rsidR="00FA4F7E" w:rsidRPr="0095121C" w:rsidRDefault="00FA4F7E" w:rsidP="0095121C">
            <w:pPr>
              <w:pStyle w:val="Heading1Char"/>
            </w:pPr>
            <w:r w:rsidRPr="0095121C">
              <w:t>43%</w:t>
            </w:r>
          </w:p>
        </w:tc>
        <w:tc>
          <w:tcPr>
            <w:tcW w:w="1102" w:type="dxa"/>
          </w:tcPr>
          <w:p w14:paraId="2CB00366" w14:textId="77777777" w:rsidR="00FA4F7E" w:rsidRPr="0095121C" w:rsidRDefault="00FA4F7E" w:rsidP="0095121C">
            <w:pPr>
              <w:pStyle w:val="Heading1Char"/>
            </w:pPr>
            <w:r w:rsidRPr="0095121C">
              <w:t>11%</w:t>
            </w:r>
          </w:p>
        </w:tc>
        <w:tc>
          <w:tcPr>
            <w:tcW w:w="1188" w:type="dxa"/>
          </w:tcPr>
          <w:p w14:paraId="777F3CAA" w14:textId="77777777" w:rsidR="00FA4F7E" w:rsidRPr="0095121C" w:rsidRDefault="00FA4F7E" w:rsidP="0095121C">
            <w:pPr>
              <w:pStyle w:val="Heading1Char"/>
            </w:pPr>
            <w:r w:rsidRPr="0095121C">
              <w:t>61</w:t>
            </w:r>
          </w:p>
        </w:tc>
      </w:tr>
      <w:tr w:rsidR="00B85949" w:rsidRPr="00B528D0" w14:paraId="73CDCBE1" w14:textId="77777777" w:rsidTr="00EC3654">
        <w:trPr>
          <w:trHeight w:val="454"/>
        </w:trPr>
        <w:tc>
          <w:tcPr>
            <w:tcW w:w="4035" w:type="dxa"/>
          </w:tcPr>
          <w:p w14:paraId="317F60B5" w14:textId="77777777" w:rsidR="00FA4F7E" w:rsidRPr="00231194" w:rsidRDefault="00FA4F7E" w:rsidP="00231194">
            <w:pPr>
              <w:rPr>
                <w:rStyle w:val="Strong"/>
              </w:rPr>
            </w:pPr>
            <w:r w:rsidRPr="00231194">
              <w:rPr>
                <w:rStyle w:val="Strong"/>
              </w:rPr>
              <w:t>Ability for providers to expand their services/ grow their market share</w:t>
            </w:r>
          </w:p>
        </w:tc>
        <w:tc>
          <w:tcPr>
            <w:tcW w:w="1097" w:type="dxa"/>
          </w:tcPr>
          <w:p w14:paraId="7EADBC71" w14:textId="77777777" w:rsidR="00FA4F7E" w:rsidRPr="0095121C" w:rsidRDefault="00FA4F7E" w:rsidP="0095121C">
            <w:pPr>
              <w:pStyle w:val="Heading1Char"/>
            </w:pPr>
            <w:r w:rsidRPr="0095121C">
              <w:t>21%</w:t>
            </w:r>
          </w:p>
        </w:tc>
        <w:tc>
          <w:tcPr>
            <w:tcW w:w="1102" w:type="dxa"/>
          </w:tcPr>
          <w:p w14:paraId="6A234032" w14:textId="77777777" w:rsidR="00FA4F7E" w:rsidRPr="0095121C" w:rsidRDefault="00FA4F7E" w:rsidP="0095121C">
            <w:pPr>
              <w:pStyle w:val="Heading1Char"/>
            </w:pPr>
            <w:r w:rsidRPr="0095121C">
              <w:t>5%</w:t>
            </w:r>
          </w:p>
        </w:tc>
        <w:tc>
          <w:tcPr>
            <w:tcW w:w="1102" w:type="dxa"/>
          </w:tcPr>
          <w:p w14:paraId="6562B5D3" w14:textId="77777777" w:rsidR="00FA4F7E" w:rsidRPr="0095121C" w:rsidRDefault="00FA4F7E" w:rsidP="0095121C">
            <w:pPr>
              <w:pStyle w:val="Heading1Char"/>
            </w:pPr>
            <w:r w:rsidRPr="0095121C">
              <w:t>16%</w:t>
            </w:r>
          </w:p>
        </w:tc>
        <w:tc>
          <w:tcPr>
            <w:tcW w:w="1102" w:type="dxa"/>
          </w:tcPr>
          <w:p w14:paraId="16E63C91" w14:textId="77777777" w:rsidR="00FA4F7E" w:rsidRPr="0095121C" w:rsidRDefault="00FA4F7E" w:rsidP="0095121C">
            <w:pPr>
              <w:pStyle w:val="Heading1Char"/>
            </w:pPr>
            <w:r w:rsidRPr="0095121C">
              <w:t>19%</w:t>
            </w:r>
          </w:p>
        </w:tc>
        <w:tc>
          <w:tcPr>
            <w:tcW w:w="1102" w:type="dxa"/>
          </w:tcPr>
          <w:p w14:paraId="19AE4325" w14:textId="77777777" w:rsidR="00FA4F7E" w:rsidRPr="0095121C" w:rsidRDefault="00FA4F7E" w:rsidP="0095121C">
            <w:pPr>
              <w:pStyle w:val="Heading1Char"/>
            </w:pPr>
            <w:r w:rsidRPr="0095121C">
              <w:t>34%</w:t>
            </w:r>
          </w:p>
        </w:tc>
        <w:tc>
          <w:tcPr>
            <w:tcW w:w="1102" w:type="dxa"/>
          </w:tcPr>
          <w:p w14:paraId="4D52AC52" w14:textId="77777777" w:rsidR="00FA4F7E" w:rsidRPr="0095121C" w:rsidRDefault="00FA4F7E" w:rsidP="0095121C">
            <w:pPr>
              <w:pStyle w:val="Heading1Char"/>
            </w:pPr>
            <w:r w:rsidRPr="0095121C">
              <w:t>13%</w:t>
            </w:r>
          </w:p>
        </w:tc>
        <w:tc>
          <w:tcPr>
            <w:tcW w:w="1102" w:type="dxa"/>
          </w:tcPr>
          <w:p w14:paraId="77A9A35F" w14:textId="77777777" w:rsidR="00FA4F7E" w:rsidRPr="0095121C" w:rsidRDefault="00FA4F7E" w:rsidP="0095121C">
            <w:pPr>
              <w:pStyle w:val="Heading1Char"/>
            </w:pPr>
            <w:r w:rsidRPr="0095121C">
              <w:t>47%</w:t>
            </w:r>
          </w:p>
        </w:tc>
        <w:tc>
          <w:tcPr>
            <w:tcW w:w="1102" w:type="dxa"/>
          </w:tcPr>
          <w:p w14:paraId="41ED6EB2" w14:textId="77777777" w:rsidR="00FA4F7E" w:rsidRPr="0095121C" w:rsidRDefault="00FA4F7E" w:rsidP="0095121C">
            <w:pPr>
              <w:pStyle w:val="Heading1Char"/>
            </w:pPr>
            <w:r w:rsidRPr="0095121C">
              <w:t>13%</w:t>
            </w:r>
          </w:p>
        </w:tc>
        <w:tc>
          <w:tcPr>
            <w:tcW w:w="1188" w:type="dxa"/>
          </w:tcPr>
          <w:p w14:paraId="4CBC6DD1" w14:textId="77777777" w:rsidR="00FA4F7E" w:rsidRPr="0095121C" w:rsidRDefault="00FA4F7E" w:rsidP="0095121C">
            <w:pPr>
              <w:pStyle w:val="Heading1Char"/>
            </w:pPr>
            <w:r w:rsidRPr="0095121C">
              <w:t>62</w:t>
            </w:r>
          </w:p>
        </w:tc>
      </w:tr>
      <w:tr w:rsidR="00B85949" w:rsidRPr="00B528D0" w14:paraId="22F80974" w14:textId="77777777" w:rsidTr="00EC3654">
        <w:trPr>
          <w:trHeight w:val="454"/>
        </w:trPr>
        <w:tc>
          <w:tcPr>
            <w:tcW w:w="4035" w:type="dxa"/>
          </w:tcPr>
          <w:p w14:paraId="39137897" w14:textId="77777777" w:rsidR="00FA4F7E" w:rsidRPr="00231194" w:rsidRDefault="00FA4F7E" w:rsidP="00231194">
            <w:pPr>
              <w:rPr>
                <w:rStyle w:val="Strong"/>
              </w:rPr>
            </w:pPr>
            <w:r w:rsidRPr="00231194">
              <w:rPr>
                <w:rStyle w:val="Strong"/>
              </w:rPr>
              <w:t>More sustainable business models</w:t>
            </w:r>
          </w:p>
        </w:tc>
        <w:tc>
          <w:tcPr>
            <w:tcW w:w="1097" w:type="dxa"/>
          </w:tcPr>
          <w:p w14:paraId="3B060A74" w14:textId="77777777" w:rsidR="00FA4F7E" w:rsidRPr="0095121C" w:rsidRDefault="00FA4F7E" w:rsidP="0095121C">
            <w:pPr>
              <w:pStyle w:val="Heading1Char"/>
            </w:pPr>
            <w:r w:rsidRPr="0095121C">
              <w:t>13%</w:t>
            </w:r>
          </w:p>
        </w:tc>
        <w:tc>
          <w:tcPr>
            <w:tcW w:w="1102" w:type="dxa"/>
          </w:tcPr>
          <w:p w14:paraId="71CBD68F" w14:textId="77777777" w:rsidR="00FA4F7E" w:rsidRPr="0095121C" w:rsidRDefault="00FA4F7E" w:rsidP="0095121C">
            <w:pPr>
              <w:pStyle w:val="Heading1Char"/>
            </w:pPr>
            <w:r w:rsidRPr="0095121C">
              <w:t>7%</w:t>
            </w:r>
          </w:p>
        </w:tc>
        <w:tc>
          <w:tcPr>
            <w:tcW w:w="1102" w:type="dxa"/>
          </w:tcPr>
          <w:p w14:paraId="33F324A9" w14:textId="77777777" w:rsidR="00FA4F7E" w:rsidRPr="0095121C" w:rsidRDefault="00FA4F7E" w:rsidP="0095121C">
            <w:pPr>
              <w:pStyle w:val="Heading1Char"/>
            </w:pPr>
            <w:r w:rsidRPr="0095121C">
              <w:t>7%</w:t>
            </w:r>
          </w:p>
        </w:tc>
        <w:tc>
          <w:tcPr>
            <w:tcW w:w="1102" w:type="dxa"/>
          </w:tcPr>
          <w:p w14:paraId="11D232DA" w14:textId="77777777" w:rsidR="00FA4F7E" w:rsidRPr="0095121C" w:rsidRDefault="00FA4F7E" w:rsidP="0095121C">
            <w:pPr>
              <w:pStyle w:val="Heading1Char"/>
            </w:pPr>
            <w:r w:rsidRPr="0095121C">
              <w:t>18%</w:t>
            </w:r>
          </w:p>
        </w:tc>
        <w:tc>
          <w:tcPr>
            <w:tcW w:w="1102" w:type="dxa"/>
          </w:tcPr>
          <w:p w14:paraId="47F5854D" w14:textId="77777777" w:rsidR="00FA4F7E" w:rsidRPr="0095121C" w:rsidRDefault="00FA4F7E" w:rsidP="0095121C">
            <w:pPr>
              <w:pStyle w:val="Heading1Char"/>
            </w:pPr>
            <w:r w:rsidRPr="0095121C">
              <w:t>38%</w:t>
            </w:r>
          </w:p>
        </w:tc>
        <w:tc>
          <w:tcPr>
            <w:tcW w:w="1102" w:type="dxa"/>
          </w:tcPr>
          <w:p w14:paraId="3107A5FA" w14:textId="77777777" w:rsidR="00FA4F7E" w:rsidRPr="0095121C" w:rsidRDefault="00FA4F7E" w:rsidP="0095121C">
            <w:pPr>
              <w:pStyle w:val="Heading1Char"/>
            </w:pPr>
            <w:r w:rsidRPr="0095121C">
              <w:t>16%</w:t>
            </w:r>
          </w:p>
        </w:tc>
        <w:tc>
          <w:tcPr>
            <w:tcW w:w="1102" w:type="dxa"/>
          </w:tcPr>
          <w:p w14:paraId="0D773AD8" w14:textId="77777777" w:rsidR="00FA4F7E" w:rsidRPr="0095121C" w:rsidRDefault="00FA4F7E" w:rsidP="0095121C">
            <w:pPr>
              <w:pStyle w:val="Heading1Char"/>
            </w:pPr>
            <w:r w:rsidRPr="0095121C">
              <w:t>54%</w:t>
            </w:r>
          </w:p>
        </w:tc>
        <w:tc>
          <w:tcPr>
            <w:tcW w:w="1102" w:type="dxa"/>
          </w:tcPr>
          <w:p w14:paraId="32192DD6" w14:textId="77777777" w:rsidR="00FA4F7E" w:rsidRPr="0095121C" w:rsidRDefault="00FA4F7E" w:rsidP="0095121C">
            <w:pPr>
              <w:pStyle w:val="Heading1Char"/>
            </w:pPr>
            <w:r w:rsidRPr="0095121C">
              <w:t>15%</w:t>
            </w:r>
          </w:p>
        </w:tc>
        <w:tc>
          <w:tcPr>
            <w:tcW w:w="1188" w:type="dxa"/>
          </w:tcPr>
          <w:p w14:paraId="0B003B85" w14:textId="77777777" w:rsidR="00FA4F7E" w:rsidRPr="0095121C" w:rsidRDefault="00FA4F7E" w:rsidP="0095121C">
            <w:pPr>
              <w:pStyle w:val="Heading1Char"/>
            </w:pPr>
            <w:r w:rsidRPr="0095121C">
              <w:t>61</w:t>
            </w:r>
          </w:p>
        </w:tc>
      </w:tr>
      <w:tr w:rsidR="00B85949" w:rsidRPr="00B528D0" w14:paraId="364CFD08" w14:textId="77777777" w:rsidTr="00EC3654">
        <w:trPr>
          <w:trHeight w:val="454"/>
        </w:trPr>
        <w:tc>
          <w:tcPr>
            <w:tcW w:w="4035" w:type="dxa"/>
          </w:tcPr>
          <w:p w14:paraId="208F5A18" w14:textId="77777777" w:rsidR="00FA4F7E" w:rsidRPr="00231194" w:rsidRDefault="00FA4F7E" w:rsidP="00231194">
            <w:pPr>
              <w:rPr>
                <w:rStyle w:val="Strong"/>
              </w:rPr>
            </w:pPr>
            <w:r w:rsidRPr="00231194">
              <w:rPr>
                <w:rStyle w:val="Strong"/>
              </w:rPr>
              <w:t>Consolidation within the market</w:t>
            </w:r>
          </w:p>
        </w:tc>
        <w:tc>
          <w:tcPr>
            <w:tcW w:w="1097" w:type="dxa"/>
          </w:tcPr>
          <w:p w14:paraId="368011FA" w14:textId="77777777" w:rsidR="00FA4F7E" w:rsidRPr="0095121C" w:rsidRDefault="00FA4F7E" w:rsidP="0095121C">
            <w:pPr>
              <w:pStyle w:val="Heading1Char"/>
            </w:pPr>
            <w:r w:rsidRPr="0095121C">
              <w:t>26%</w:t>
            </w:r>
          </w:p>
        </w:tc>
        <w:tc>
          <w:tcPr>
            <w:tcW w:w="1102" w:type="dxa"/>
          </w:tcPr>
          <w:p w14:paraId="6A3E73B1" w14:textId="77777777" w:rsidR="00FA4F7E" w:rsidRPr="0095121C" w:rsidRDefault="00FA4F7E" w:rsidP="0095121C">
            <w:pPr>
              <w:pStyle w:val="Heading1Char"/>
            </w:pPr>
            <w:r w:rsidRPr="0095121C">
              <w:t>8%</w:t>
            </w:r>
          </w:p>
        </w:tc>
        <w:tc>
          <w:tcPr>
            <w:tcW w:w="1102" w:type="dxa"/>
          </w:tcPr>
          <w:p w14:paraId="78E93F43" w14:textId="77777777" w:rsidR="00FA4F7E" w:rsidRPr="0095121C" w:rsidRDefault="00FA4F7E" w:rsidP="0095121C">
            <w:pPr>
              <w:pStyle w:val="Heading1Char"/>
            </w:pPr>
            <w:r w:rsidRPr="0095121C">
              <w:t>18%</w:t>
            </w:r>
          </w:p>
        </w:tc>
        <w:tc>
          <w:tcPr>
            <w:tcW w:w="1102" w:type="dxa"/>
          </w:tcPr>
          <w:p w14:paraId="272CF81C" w14:textId="77777777" w:rsidR="00FA4F7E" w:rsidRPr="0095121C" w:rsidRDefault="00FA4F7E" w:rsidP="0095121C">
            <w:pPr>
              <w:pStyle w:val="Heading1Char"/>
            </w:pPr>
            <w:r w:rsidRPr="0095121C">
              <w:t>20%</w:t>
            </w:r>
          </w:p>
        </w:tc>
        <w:tc>
          <w:tcPr>
            <w:tcW w:w="1102" w:type="dxa"/>
          </w:tcPr>
          <w:p w14:paraId="03370CF0" w14:textId="77777777" w:rsidR="00FA4F7E" w:rsidRPr="0095121C" w:rsidRDefault="00FA4F7E" w:rsidP="0095121C">
            <w:pPr>
              <w:pStyle w:val="Heading1Char"/>
            </w:pPr>
            <w:r w:rsidRPr="0095121C">
              <w:t>21%</w:t>
            </w:r>
          </w:p>
        </w:tc>
        <w:tc>
          <w:tcPr>
            <w:tcW w:w="1102" w:type="dxa"/>
          </w:tcPr>
          <w:p w14:paraId="71F80097" w14:textId="77777777" w:rsidR="00FA4F7E" w:rsidRPr="0095121C" w:rsidRDefault="00FA4F7E" w:rsidP="0095121C">
            <w:pPr>
              <w:pStyle w:val="Heading1Char"/>
            </w:pPr>
            <w:r w:rsidRPr="0095121C">
              <w:t>11%</w:t>
            </w:r>
          </w:p>
        </w:tc>
        <w:tc>
          <w:tcPr>
            <w:tcW w:w="1102" w:type="dxa"/>
          </w:tcPr>
          <w:p w14:paraId="523BA3E8" w14:textId="77777777" w:rsidR="00FA4F7E" w:rsidRPr="0095121C" w:rsidRDefault="00FA4F7E" w:rsidP="0095121C">
            <w:pPr>
              <w:pStyle w:val="Heading1Char"/>
            </w:pPr>
            <w:r w:rsidRPr="0095121C">
              <w:t>33%</w:t>
            </w:r>
          </w:p>
        </w:tc>
        <w:tc>
          <w:tcPr>
            <w:tcW w:w="1102" w:type="dxa"/>
          </w:tcPr>
          <w:p w14:paraId="550BE035" w14:textId="77777777" w:rsidR="00FA4F7E" w:rsidRPr="0095121C" w:rsidRDefault="00FA4F7E" w:rsidP="0095121C">
            <w:pPr>
              <w:pStyle w:val="Heading1Char"/>
            </w:pPr>
            <w:r w:rsidRPr="0095121C">
              <w:t>21%</w:t>
            </w:r>
          </w:p>
        </w:tc>
        <w:tc>
          <w:tcPr>
            <w:tcW w:w="1188" w:type="dxa"/>
          </w:tcPr>
          <w:p w14:paraId="43A544CB" w14:textId="77777777" w:rsidR="00FA4F7E" w:rsidRPr="0095121C" w:rsidRDefault="00FA4F7E" w:rsidP="0095121C">
            <w:pPr>
              <w:pStyle w:val="Heading1Char"/>
            </w:pPr>
            <w:r w:rsidRPr="0095121C">
              <w:t>61</w:t>
            </w:r>
          </w:p>
        </w:tc>
      </w:tr>
    </w:tbl>
    <w:p w14:paraId="3C950147" w14:textId="77777777" w:rsidR="0095121C" w:rsidRPr="00D04C0D" w:rsidRDefault="0095121C" w:rsidP="00D04C0D">
      <w:r>
        <w:br w:type="page"/>
      </w:r>
    </w:p>
    <w:p w14:paraId="4219489E" w14:textId="4CFC7CC6" w:rsidR="00FA4F7E" w:rsidRPr="001D6174" w:rsidRDefault="00EC3654" w:rsidP="00EC3654">
      <w:pPr>
        <w:pStyle w:val="Caption"/>
      </w:pPr>
      <w:r>
        <w:lastRenderedPageBreak/>
        <w:t xml:space="preserve">Table </w:t>
      </w:r>
      <w:r>
        <w:fldChar w:fldCharType="begin"/>
      </w:r>
      <w:r>
        <w:instrText xml:space="preserve"> SEQ Table \* ARABIC </w:instrText>
      </w:r>
      <w:r>
        <w:fldChar w:fldCharType="separate"/>
      </w:r>
      <w:r>
        <w:rPr>
          <w:noProof/>
        </w:rPr>
        <w:t>18</w:t>
      </w:r>
      <w:r>
        <w:fldChar w:fldCharType="end"/>
      </w:r>
      <w:r w:rsidR="00FA4F7E" w:rsidRPr="001D6174">
        <w:t xml:space="preserve"> – Views about whether the changes will have a positive impact for people accessing residential aged care</w:t>
      </w:r>
    </w:p>
    <w:tbl>
      <w:tblPr>
        <w:tblStyle w:val="GridTable1Light-Accent61"/>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035"/>
        <w:gridCol w:w="1097"/>
        <w:gridCol w:w="1102"/>
        <w:gridCol w:w="1102"/>
        <w:gridCol w:w="1102"/>
        <w:gridCol w:w="1102"/>
        <w:gridCol w:w="1102"/>
        <w:gridCol w:w="1102"/>
        <w:gridCol w:w="1102"/>
        <w:gridCol w:w="1329"/>
      </w:tblGrid>
      <w:tr w:rsidR="00CB2C05" w:rsidRPr="0061193D" w14:paraId="77C02550" w14:textId="77777777" w:rsidTr="00C62D3D">
        <w:trPr>
          <w:cnfStyle w:val="100000000000" w:firstRow="1" w:lastRow="0" w:firstColumn="0" w:lastColumn="0" w:oddVBand="0" w:evenVBand="0" w:oddHBand="0" w:evenHBand="0" w:firstRowFirstColumn="0" w:firstRowLastColumn="0" w:lastRowFirstColumn="0" w:lastRowLastColumn="0"/>
          <w:trHeight w:val="678"/>
          <w:tblHeader/>
        </w:trPr>
        <w:tc>
          <w:tcPr>
            <w:cnfStyle w:val="001000000000" w:firstRow="0" w:lastRow="0" w:firstColumn="1" w:lastColumn="0" w:oddVBand="0" w:evenVBand="0" w:oddHBand="0" w:evenHBand="0" w:firstRowFirstColumn="0" w:firstRowLastColumn="0" w:lastRowFirstColumn="0" w:lastRowLastColumn="0"/>
            <w:tcW w:w="4035" w:type="dxa"/>
            <w:tcBorders>
              <w:bottom w:val="none" w:sz="0" w:space="0" w:color="auto"/>
            </w:tcBorders>
            <w:shd w:val="clear" w:color="auto" w:fill="1E1545" w:themeFill="text1"/>
            <w:vAlign w:val="center"/>
          </w:tcPr>
          <w:p w14:paraId="5F03B4DB" w14:textId="77777777" w:rsidR="00FA4F7E" w:rsidRPr="00A76B05" w:rsidRDefault="00FA4F7E" w:rsidP="0017155E">
            <w:pPr>
              <w:pStyle w:val="TableofAuthorities"/>
            </w:pPr>
          </w:p>
        </w:tc>
        <w:tc>
          <w:tcPr>
            <w:tcW w:w="1097" w:type="dxa"/>
            <w:tcBorders>
              <w:bottom w:val="none" w:sz="0" w:space="0" w:color="auto"/>
            </w:tcBorders>
            <w:shd w:val="clear" w:color="auto" w:fill="1E1545" w:themeFill="text1"/>
            <w:vAlign w:val="center"/>
          </w:tcPr>
          <w:p w14:paraId="2C3E1F22"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disagree</w:t>
            </w:r>
          </w:p>
        </w:tc>
        <w:tc>
          <w:tcPr>
            <w:tcW w:w="1102" w:type="dxa"/>
            <w:tcBorders>
              <w:bottom w:val="none" w:sz="0" w:space="0" w:color="auto"/>
            </w:tcBorders>
            <w:shd w:val="clear" w:color="auto" w:fill="1E1545" w:themeFill="text1"/>
            <w:vAlign w:val="center"/>
          </w:tcPr>
          <w:p w14:paraId="663D3291"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disagree</w:t>
            </w:r>
          </w:p>
        </w:tc>
        <w:tc>
          <w:tcPr>
            <w:tcW w:w="1102" w:type="dxa"/>
            <w:tcBorders>
              <w:bottom w:val="none" w:sz="0" w:space="0" w:color="auto"/>
            </w:tcBorders>
            <w:shd w:val="clear" w:color="auto" w:fill="1E1545" w:themeFill="text1"/>
            <w:vAlign w:val="center"/>
          </w:tcPr>
          <w:p w14:paraId="54C9CF0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Disagree</w:t>
            </w:r>
          </w:p>
        </w:tc>
        <w:tc>
          <w:tcPr>
            <w:tcW w:w="1102" w:type="dxa"/>
            <w:tcBorders>
              <w:bottom w:val="none" w:sz="0" w:space="0" w:color="auto"/>
            </w:tcBorders>
            <w:shd w:val="clear" w:color="auto" w:fill="1E1545" w:themeFill="text1"/>
            <w:vAlign w:val="center"/>
          </w:tcPr>
          <w:p w14:paraId="5D17032C"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Neither</w:t>
            </w:r>
          </w:p>
        </w:tc>
        <w:tc>
          <w:tcPr>
            <w:tcW w:w="1102" w:type="dxa"/>
            <w:tcBorders>
              <w:bottom w:val="none" w:sz="0" w:space="0" w:color="auto"/>
            </w:tcBorders>
            <w:shd w:val="clear" w:color="auto" w:fill="1E1545" w:themeFill="text1"/>
            <w:vAlign w:val="center"/>
          </w:tcPr>
          <w:p w14:paraId="56E19676"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Agree</w:t>
            </w:r>
          </w:p>
        </w:tc>
        <w:tc>
          <w:tcPr>
            <w:tcW w:w="1102" w:type="dxa"/>
            <w:tcBorders>
              <w:bottom w:val="none" w:sz="0" w:space="0" w:color="auto"/>
            </w:tcBorders>
            <w:shd w:val="clear" w:color="auto" w:fill="1E1545" w:themeFill="text1"/>
            <w:vAlign w:val="center"/>
          </w:tcPr>
          <w:p w14:paraId="275600CA"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Strongly agree</w:t>
            </w:r>
          </w:p>
        </w:tc>
        <w:tc>
          <w:tcPr>
            <w:tcW w:w="1102" w:type="dxa"/>
            <w:tcBorders>
              <w:bottom w:val="none" w:sz="0" w:space="0" w:color="auto"/>
            </w:tcBorders>
            <w:shd w:val="clear" w:color="auto" w:fill="1E1545" w:themeFill="text1"/>
            <w:vAlign w:val="center"/>
          </w:tcPr>
          <w:p w14:paraId="296909A5"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Nett agree</w:t>
            </w:r>
          </w:p>
        </w:tc>
        <w:tc>
          <w:tcPr>
            <w:tcW w:w="1102" w:type="dxa"/>
            <w:tcBorders>
              <w:bottom w:val="none" w:sz="0" w:space="0" w:color="auto"/>
            </w:tcBorders>
            <w:shd w:val="clear" w:color="auto" w:fill="1E1545" w:themeFill="text1"/>
            <w:vAlign w:val="center"/>
          </w:tcPr>
          <w:p w14:paraId="3DA3C4A0"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Not sure</w:t>
            </w:r>
          </w:p>
        </w:tc>
        <w:tc>
          <w:tcPr>
            <w:tcW w:w="1329" w:type="dxa"/>
            <w:tcBorders>
              <w:bottom w:val="none" w:sz="0" w:space="0" w:color="auto"/>
            </w:tcBorders>
            <w:shd w:val="clear" w:color="auto" w:fill="1E1545" w:themeFill="text1"/>
            <w:vAlign w:val="center"/>
          </w:tcPr>
          <w:p w14:paraId="4EBB051E" w14:textId="77777777" w:rsidR="00FA4F7E" w:rsidRPr="003A426F" w:rsidRDefault="00FA4F7E" w:rsidP="0017155E">
            <w:pPr>
              <w:pStyle w:val="TableofAuthorities"/>
              <w:cnfStyle w:val="100000000000" w:firstRow="1" w:lastRow="0" w:firstColumn="0" w:lastColumn="0" w:oddVBand="0" w:evenVBand="0" w:oddHBand="0" w:evenHBand="0" w:firstRowFirstColumn="0" w:firstRowLastColumn="0" w:lastRowFirstColumn="0" w:lastRowLastColumn="0"/>
            </w:pPr>
            <w:r w:rsidRPr="003A426F">
              <w:t>Total responses</w:t>
            </w:r>
          </w:p>
        </w:tc>
      </w:tr>
      <w:tr w:rsidR="00CB2C05" w:rsidRPr="0061193D" w14:paraId="258C01E8" w14:textId="77777777" w:rsidTr="00CB2C05">
        <w:trPr>
          <w:trHeight w:val="397"/>
        </w:trPr>
        <w:tc>
          <w:tcPr>
            <w:cnfStyle w:val="001000000000" w:firstRow="0" w:lastRow="0" w:firstColumn="1" w:lastColumn="0" w:oddVBand="0" w:evenVBand="0" w:oddHBand="0" w:evenHBand="0" w:firstRowFirstColumn="0" w:firstRowLastColumn="0" w:lastRowFirstColumn="0" w:lastRowLastColumn="0"/>
            <w:tcW w:w="4035" w:type="dxa"/>
            <w:shd w:val="clear" w:color="auto" w:fill="FFFFFF" w:themeFill="background1"/>
            <w:vAlign w:val="center"/>
          </w:tcPr>
          <w:p w14:paraId="216470F7" w14:textId="77777777" w:rsidR="00FA4F7E" w:rsidRPr="00A76B05" w:rsidRDefault="00FA4F7E" w:rsidP="00A76B05">
            <w:pPr>
              <w:pStyle w:val="Heading1Char"/>
            </w:pPr>
            <w:r w:rsidRPr="00A76B05">
              <w:t>Number of responses</w:t>
            </w:r>
          </w:p>
        </w:tc>
        <w:tc>
          <w:tcPr>
            <w:tcW w:w="1097" w:type="dxa"/>
            <w:shd w:val="clear" w:color="auto" w:fill="FFFFFF" w:themeFill="background1"/>
            <w:vAlign w:val="center"/>
          </w:tcPr>
          <w:p w14:paraId="254E73CC"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8</w:t>
            </w:r>
          </w:p>
        </w:tc>
        <w:tc>
          <w:tcPr>
            <w:tcW w:w="1102" w:type="dxa"/>
            <w:shd w:val="clear" w:color="auto" w:fill="FFFFFF" w:themeFill="background1"/>
            <w:vAlign w:val="center"/>
          </w:tcPr>
          <w:p w14:paraId="4DBD183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w:t>
            </w:r>
          </w:p>
        </w:tc>
        <w:tc>
          <w:tcPr>
            <w:tcW w:w="1102" w:type="dxa"/>
            <w:shd w:val="clear" w:color="auto" w:fill="FFFFFF" w:themeFill="background1"/>
            <w:vAlign w:val="center"/>
          </w:tcPr>
          <w:p w14:paraId="6A56341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7</w:t>
            </w:r>
          </w:p>
        </w:tc>
        <w:tc>
          <w:tcPr>
            <w:tcW w:w="1102" w:type="dxa"/>
            <w:shd w:val="clear" w:color="auto" w:fill="FFFFFF" w:themeFill="background1"/>
            <w:vAlign w:val="center"/>
          </w:tcPr>
          <w:p w14:paraId="081A49B4"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12</w:t>
            </w:r>
          </w:p>
        </w:tc>
        <w:tc>
          <w:tcPr>
            <w:tcW w:w="1102" w:type="dxa"/>
            <w:shd w:val="clear" w:color="auto" w:fill="FFFFFF" w:themeFill="background1"/>
            <w:vAlign w:val="center"/>
          </w:tcPr>
          <w:p w14:paraId="738A39F5"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22</w:t>
            </w:r>
          </w:p>
        </w:tc>
        <w:tc>
          <w:tcPr>
            <w:tcW w:w="1102" w:type="dxa"/>
            <w:shd w:val="clear" w:color="auto" w:fill="FFFFFF" w:themeFill="background1"/>
            <w:vAlign w:val="center"/>
          </w:tcPr>
          <w:p w14:paraId="18DE555B"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w:t>
            </w:r>
          </w:p>
        </w:tc>
        <w:tc>
          <w:tcPr>
            <w:tcW w:w="1102" w:type="dxa"/>
            <w:shd w:val="clear" w:color="auto" w:fill="FFFFFF" w:themeFill="background1"/>
            <w:vAlign w:val="center"/>
          </w:tcPr>
          <w:p w14:paraId="247D4686"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32</w:t>
            </w:r>
          </w:p>
        </w:tc>
        <w:tc>
          <w:tcPr>
            <w:tcW w:w="1102" w:type="dxa"/>
            <w:shd w:val="clear" w:color="auto" w:fill="FFFFFF" w:themeFill="background1"/>
            <w:vAlign w:val="center"/>
          </w:tcPr>
          <w:p w14:paraId="75073A9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w:t>
            </w:r>
          </w:p>
        </w:tc>
        <w:tc>
          <w:tcPr>
            <w:tcW w:w="1329" w:type="dxa"/>
            <w:shd w:val="clear" w:color="auto" w:fill="FFFFFF" w:themeFill="background1"/>
            <w:vAlign w:val="center"/>
          </w:tcPr>
          <w:p w14:paraId="315F0693"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62</w:t>
            </w:r>
          </w:p>
        </w:tc>
      </w:tr>
      <w:tr w:rsidR="00CB2C05" w:rsidRPr="0061193D" w14:paraId="4F662F22" w14:textId="77777777" w:rsidTr="00CB2C05">
        <w:trPr>
          <w:trHeight w:val="397"/>
        </w:trPr>
        <w:tc>
          <w:tcPr>
            <w:cnfStyle w:val="001000000000" w:firstRow="0" w:lastRow="0" w:firstColumn="1" w:lastColumn="0" w:oddVBand="0" w:evenVBand="0" w:oddHBand="0" w:evenHBand="0" w:firstRowFirstColumn="0" w:firstRowLastColumn="0" w:lastRowFirstColumn="0" w:lastRowLastColumn="0"/>
            <w:tcW w:w="4035" w:type="dxa"/>
            <w:shd w:val="clear" w:color="auto" w:fill="FFFFFF" w:themeFill="background1"/>
            <w:vAlign w:val="center"/>
          </w:tcPr>
          <w:p w14:paraId="0731E638" w14:textId="77777777" w:rsidR="00FA4F7E" w:rsidRPr="00A76B05" w:rsidRDefault="00FA4F7E" w:rsidP="00A76B05">
            <w:pPr>
              <w:pStyle w:val="Heading1Char"/>
            </w:pPr>
            <w:r w:rsidRPr="00A76B05">
              <w:t>Proportion of responses</w:t>
            </w:r>
          </w:p>
        </w:tc>
        <w:tc>
          <w:tcPr>
            <w:tcW w:w="1097" w:type="dxa"/>
            <w:shd w:val="clear" w:color="auto" w:fill="FFFFFF" w:themeFill="background1"/>
            <w:vAlign w:val="center"/>
          </w:tcPr>
          <w:p w14:paraId="2059AA05"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13%</w:t>
            </w:r>
          </w:p>
        </w:tc>
        <w:tc>
          <w:tcPr>
            <w:tcW w:w="1102" w:type="dxa"/>
            <w:shd w:val="clear" w:color="auto" w:fill="FFFFFF" w:themeFill="background1"/>
            <w:vAlign w:val="center"/>
          </w:tcPr>
          <w:p w14:paraId="2ADC33B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2%</w:t>
            </w:r>
          </w:p>
        </w:tc>
        <w:tc>
          <w:tcPr>
            <w:tcW w:w="1102" w:type="dxa"/>
            <w:shd w:val="clear" w:color="auto" w:fill="FFFFFF" w:themeFill="background1"/>
            <w:vAlign w:val="center"/>
          </w:tcPr>
          <w:p w14:paraId="5CB8F2A2"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11%</w:t>
            </w:r>
          </w:p>
        </w:tc>
        <w:tc>
          <w:tcPr>
            <w:tcW w:w="1102" w:type="dxa"/>
            <w:shd w:val="clear" w:color="auto" w:fill="FFFFFF" w:themeFill="background1"/>
            <w:vAlign w:val="center"/>
          </w:tcPr>
          <w:p w14:paraId="3E41140F"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19%</w:t>
            </w:r>
          </w:p>
        </w:tc>
        <w:tc>
          <w:tcPr>
            <w:tcW w:w="1102" w:type="dxa"/>
            <w:shd w:val="clear" w:color="auto" w:fill="FFFFFF" w:themeFill="background1"/>
            <w:vAlign w:val="center"/>
          </w:tcPr>
          <w:p w14:paraId="61AB49CE"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35%</w:t>
            </w:r>
          </w:p>
        </w:tc>
        <w:tc>
          <w:tcPr>
            <w:tcW w:w="1102" w:type="dxa"/>
            <w:shd w:val="clear" w:color="auto" w:fill="FFFFFF" w:themeFill="background1"/>
            <w:vAlign w:val="center"/>
          </w:tcPr>
          <w:p w14:paraId="033B532F"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16%</w:t>
            </w:r>
          </w:p>
        </w:tc>
        <w:tc>
          <w:tcPr>
            <w:tcW w:w="1102" w:type="dxa"/>
            <w:shd w:val="clear" w:color="auto" w:fill="FFFFFF" w:themeFill="background1"/>
            <w:vAlign w:val="center"/>
          </w:tcPr>
          <w:p w14:paraId="15F2E268"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52%</w:t>
            </w:r>
          </w:p>
        </w:tc>
        <w:tc>
          <w:tcPr>
            <w:tcW w:w="1102" w:type="dxa"/>
            <w:shd w:val="clear" w:color="auto" w:fill="FFFFFF" w:themeFill="background1"/>
            <w:vAlign w:val="center"/>
          </w:tcPr>
          <w:p w14:paraId="21E46955"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16%</w:t>
            </w:r>
          </w:p>
        </w:tc>
        <w:tc>
          <w:tcPr>
            <w:tcW w:w="1329" w:type="dxa"/>
            <w:shd w:val="clear" w:color="auto" w:fill="FFFFFF" w:themeFill="background1"/>
            <w:vAlign w:val="center"/>
          </w:tcPr>
          <w:p w14:paraId="52A9992D" w14:textId="77777777" w:rsidR="00FA4F7E" w:rsidRPr="00A76B05" w:rsidRDefault="00FA4F7E" w:rsidP="00A76B05">
            <w:pPr>
              <w:pStyle w:val="Heading1Char"/>
              <w:cnfStyle w:val="000000000000" w:firstRow="0" w:lastRow="0" w:firstColumn="0" w:lastColumn="0" w:oddVBand="0" w:evenVBand="0" w:oddHBand="0" w:evenHBand="0" w:firstRowFirstColumn="0" w:firstRowLastColumn="0" w:lastRowFirstColumn="0" w:lastRowLastColumn="0"/>
            </w:pPr>
            <w:r w:rsidRPr="00A76B05">
              <w:t>100%</w:t>
            </w:r>
          </w:p>
        </w:tc>
      </w:tr>
    </w:tbl>
    <w:p w14:paraId="79F73697" w14:textId="316224C7" w:rsidR="00BC4018" w:rsidRPr="00D04C0D" w:rsidRDefault="00BC4018" w:rsidP="00D04C0D">
      <w:pPr>
        <w:sectPr w:rsidR="00BC4018" w:rsidRPr="00D04C0D" w:rsidSect="00FA4F7E">
          <w:pgSz w:w="16838" w:h="11906" w:orient="landscape"/>
          <w:pgMar w:top="1440" w:right="1440" w:bottom="1440" w:left="1440" w:header="708" w:footer="708" w:gutter="0"/>
          <w:cols w:space="708"/>
          <w:docGrid w:linePitch="360"/>
        </w:sectPr>
      </w:pPr>
    </w:p>
    <w:p w14:paraId="005810B2" w14:textId="26FA35A4" w:rsidR="005458B8" w:rsidRPr="00086E7C" w:rsidRDefault="00D33206" w:rsidP="00086E7C">
      <w:pPr>
        <w:pStyle w:val="Heading1"/>
      </w:pPr>
      <w:bookmarkStart w:id="43" w:name="_Toc117872994"/>
      <w:bookmarkStart w:id="44" w:name="_Appendix_B_–"/>
      <w:bookmarkEnd w:id="44"/>
      <w:r w:rsidRPr="00086E7C">
        <w:lastRenderedPageBreak/>
        <w:t xml:space="preserve">Appendix B </w:t>
      </w:r>
      <w:r w:rsidR="005975C3" w:rsidRPr="00086E7C">
        <w:t>–</w:t>
      </w:r>
      <w:r w:rsidRPr="00086E7C">
        <w:t xml:space="preserve"> Glossary</w:t>
      </w:r>
      <w:bookmarkEnd w:id="43"/>
    </w:p>
    <w:tbl>
      <w:tblPr>
        <w:tblStyle w:val="ListTable3"/>
        <w:tblW w:w="5183" w:type="pct"/>
        <w:tblLook w:val="04A0" w:firstRow="1" w:lastRow="0" w:firstColumn="1" w:lastColumn="0" w:noHBand="0" w:noVBand="1"/>
        <w:tblCaption w:val="Glossary"/>
        <w:tblDescription w:val="This image shows the glossary. The terms and descriptions are:&#10;Activity based funding (ABF)&#10;Description: &#10;A system of funding service providers whereby they are paid for the number and characteristics of people that they provide services to.&#10;Activities of daily living&#10;Description: &#10;Self-care tasks that include, but are not limited to functional mobility, bathing and showering, dressing, self-feeding, personal hygiene and grooming and toileting.&#10;Additional service fee&#10;Description: &#10;Additional hotel-type services offered by an aged care provider and paid for by the resident. These services may include things like a preferred brand of toiletries, access to paid TV services, or arranging a hairdresser.&#10;Aged Care Financial Report (ACFR)&#10;Description: &#10;The ACFR enables the Commonwealth Government to collect approved provider data (and parent entities where applicable).&#10;Residential aged care providers report:&#10;• income and expenses on care services and other activities, for each individual facility&#10;• approved provider level balance sheet, income statement and cash flow statement (non-government)&#10;• a residential aged care segment note covering all residential services&#10;• an Annual Prudential Compliant Statement.&#10;Aged Care Funding Instrument (ACFI) &#10;Description: &#10;Residential aged care providers currently use ACFI to claim residential care subsidy for each resident that permanently enters their care, based on their assessment of the resident’s ongoing care needs.&#10;Australian National Aged Care Classification (AN-ACC) system &#10;Description: &#10;Consists of the AN-ACC assessment, AN-ACC casemix classification and AN-ACC funding model.&#10;Basic daily fee (BDF)&#10;Description: &#10;The BDF is paid by all residential aged care residents and is independent of income or assets. It is paid by the resident to cover hotel services such as meals, electricity, cleaning, maintenance and laundry. &#10;The BDF is set at 85 per cent of the basic aged care pension and changes with the pension amount in March and September every year.&#10;The BDF is also payable by people with a Home Care Package. It is set at 15.68 to 17.50 per cent of the single basic age pension, depending on the Home Care Package level. &#10;Some people may be eligible for financial hardship assistance with their BDF.&#10;Basic Daily Fee Supplement (BDF Supplement)&#10;Description: &#10;The Commonwealth Government provides BDF Supplements for eligible aged care providers. The 2021 BDF Supplement supports aged care providers to deliver better care and services to residents, with a focus on food and nutrition. &#10;From 1 July 2021 eligible residential aged care providers who have entered into an agreement with the Department of Health and Aged Care (known as an undertaking) have been receiving an additional $10 per day, per resident.&#10;The 2021 BDF supplement is available to eligible:&#10;• residential and respite aged care services&#10;• flexible care services that are Multipurpose services (MPS)&#10;• services providing residential care under the National Aboriginal and Torres Strait Islander Flexible Aged Care Program (NATSIFACP).&#10;Best-practice or normative pricing&#10;Description: &#10;A pricing approach focused on ensuring sufficient funding to achieve desirable or required standards. In the case of residential aged care, this approach recognises that prices should be set at a level that enables the required care, quality and safety standards to be met.&#10;Commonwealth Home Support Programme (CHSP)&#10;Description: &#10;CHSP provides entry level support for older people who need some help to stay at home, maintain their independence and keep them as well as possible.&#10;Cost-based pricing&#10;Description: &#10;A pricing approach focused on alignment to the actual costs of care delivery. This approach would not necessarily account for the achievement of required care, quality and safety standards if it is based on cost data from services not meeting these standards or standards have increased since the collection of cost data.&#10;Daily accommodation payments (DAP) Description: &#10;Instead of a lump-sum residential accommodation deposit (RAD), residents can pay a rental-style DAP. This DAP is calculated by applying the maximum permissible interest rate, set by the Commonwealth Government, to the RAD associated with the accommodation.&#10;Extra services &#10;Description: &#10;Some residential aged care rooms have extra service status. This means that they can charge residents a regular extra service fee to provide residents with a  bundle of higher standard hotel-type services. Examples include specialised menus, higher quality linen or particular room furnishings.&#10;Home Care Packages (HCP)&#10;Description: &#10;HCP provide support to older people assessed as having more complex needs to help them stay at home, going beyond supports provided through the Commonwealth Home Support Programme. Approved aged care service providers work with people receiving care to plan, organise and deliver Home Care Packages. &#10;Services can include:&#10;• help with household tasks&#10;• equipment&#10;• minor home modifications&#10;• personal care&#10;• clinical care such as nursing, allied health and physiotherapy services.&#10;There are four levels of Home Care Packages to provide support from basic to high care needs. &#10;HCP funding comprises the Commonwealth Government subsidy and any applicable supplements, as well as basic daily fees, income-tested care fees and amounts for additional care and services paid by the person receiving care.&#10;Living Longer Living Better reforms&#10;Description: &#10;The Commonwealth Government’s Living Longer Living Better reforms came into effect in June 2013. The package provided $3.7 billion over five years as part of a 10-year plan intended to build a more sustainable, better, fairer, person centred and nationally consistent aged care system. This included providing more home care and support, improving access to residential care, more support for people with dementia and strengthening of the aged care workforce. &#10;Means-tested care fee&#10;Description: &#10;The government’s daily basic subsidy for a resident’s care, currently determined relative to the resident’s ACFI class, is reduced by a means-tested care fee paid to the facility by residents, based on their income and assets. There are significant financial safeguards for residents, imposed by the government, including annual and lifetime caps on means tested care fees payable by residents.&#10;Modified Monash Model (MMM)&#10;Description: &#10;A geographical classification system that categorises metropolitan, regional, rural and remote locations into seven levels according to geographical remoteness and population size.&#10;Multipurpose service (MPS)&#10;Description: &#10;The MPS program provides integrated health and aged care services to regional and remote communities in areas that cannot support both a separate aged care home and hospital.&#10;National Aboriginal and Torres Strait Islander Flexible Aged Care Program (NATSIFACP)&#10;Description: &#10;The NATSIFACP provides Commonwealth Government funding for aged care services to deliver culturally appropriate care to older Aboriginal and Torres Strait Islander peoples and allow them to remain close to home and community. Most of these services are in rural and remote areas.&#10;National Weighted Activity Unit (NWAU)&#10;Description: &#10;In the context of aged care services for Australian aged care services, an AN-ACC NWAU is a measure of relative price. An NWAU of 1.2 means that the price of the activity is 20 per cent higher than the national residential aged care price. An NWAU of 0.5 means that the price is 50 per cent lower than the national price.&#10;Person/people receiving care&#10;Description: &#10;A person who receives aged care or support services in their own home or in a residential aged care facility. This care may include support to take part in social activities, help with physical tasks and/or medical and personal care.&#10;Refundable accommodation deposit (RAD)&#10;Description: &#10;Residents can pay a lump-sum for their accommodation in the form a RAD, which provides a significant source of funding for capital investment and acts as an interest-free loan to providers. The RAD is fully refundable to the resident when they leave the provider or is returned to the estate if they pass away.&#10;Residential aged care &#10;Description: &#10;Personal and/or nursing care that is provided to a person in a residential aged care service in, which the person is also provided with accommodation that includes meals, cleaning services, furniture and equipment. The residential aged care service must meet certain building standards and appropriate staffing in supplying that care and accommodation.&#10;Resource Utilisation and Classification Study (RUCS)&#10;Description: &#10;The RUCS is a national study that was commissioned by the Commonwealth Department of Health and Aged Care to inform the development of future funding models for residential aged care in Australia. The overall aims of the RUCS were to:&#10;• Identify the clinical and need characteristics of aged care residents that influence the cost of care (cost drivers)&#10;• Identify the proportion of care costs that, on average, are shared across residents (shared costs) relative to those costs related to individual needs (individual costs) &#10;• Develop a casemix classification based on identified cost drivers that can underpin a funding model that recognises both shared and individual costs&#10;• Test the feasibility of implementing the recommended classification and funding model across the Australian residential aged care sector.&#10;Schedule of Specified Care and Services&#10;Description: &#10;The care and services that aged care homes must provide to any resident as needed, under the Quality of Care Principles 2014.&#10;Viability and Homeless Supplement&#10;Description: &#10;This supplement supports providers who specialise in caring for people who were homeless, or at severe risk of becoming homeless at the time they entered permanent residential care."/>
      </w:tblPr>
      <w:tblGrid>
        <w:gridCol w:w="2550"/>
        <w:gridCol w:w="6796"/>
      </w:tblGrid>
      <w:tr w:rsidR="001753EA" w:rsidRPr="001753EA" w14:paraId="010F1D54" w14:textId="77777777" w:rsidTr="001753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364" w:type="pct"/>
            <w:vAlign w:val="center"/>
          </w:tcPr>
          <w:p w14:paraId="4B3F5F55" w14:textId="77777777" w:rsidR="008F6DC4" w:rsidRPr="001753EA" w:rsidRDefault="008F6DC4" w:rsidP="0017155E">
            <w:pPr>
              <w:pStyle w:val="TableofAuthorities"/>
            </w:pPr>
            <w:r w:rsidRPr="001753EA">
              <w:t>Term</w:t>
            </w:r>
          </w:p>
        </w:tc>
        <w:tc>
          <w:tcPr>
            <w:tcW w:w="3636" w:type="pct"/>
            <w:vAlign w:val="center"/>
          </w:tcPr>
          <w:p w14:paraId="59392A0D" w14:textId="77777777" w:rsidR="008F6DC4" w:rsidRPr="001753EA" w:rsidRDefault="008F6DC4" w:rsidP="0017155E">
            <w:pPr>
              <w:pStyle w:val="TableofAuthorities"/>
              <w:cnfStyle w:val="100000000000" w:firstRow="1" w:lastRow="0" w:firstColumn="0" w:lastColumn="0" w:oddVBand="0" w:evenVBand="0" w:oddHBand="0" w:evenHBand="0" w:firstRowFirstColumn="0" w:firstRowLastColumn="0" w:lastRowFirstColumn="0" w:lastRowLastColumn="0"/>
            </w:pPr>
            <w:r w:rsidRPr="001753EA">
              <w:t>Description</w:t>
            </w:r>
          </w:p>
        </w:tc>
      </w:tr>
      <w:tr w:rsidR="0017155E" w:rsidRPr="001753EA" w14:paraId="6942C7D2"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3BE4C282" w14:textId="77777777" w:rsidR="008F6DC4" w:rsidRPr="001753EA" w:rsidRDefault="008F6DC4" w:rsidP="001753EA">
            <w:r w:rsidRPr="001753EA">
              <w:t>Accessibility</w:t>
            </w:r>
          </w:p>
        </w:tc>
        <w:tc>
          <w:tcPr>
            <w:tcW w:w="3636" w:type="pct"/>
          </w:tcPr>
          <w:p w14:paraId="5206C866"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When aged care services are available at the right place and time, taking account of different population needs and the affordability of care</w:t>
            </w:r>
          </w:p>
        </w:tc>
      </w:tr>
      <w:tr w:rsidR="008F6DC4" w:rsidRPr="001753EA" w14:paraId="028441C3"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41F8AA2A" w14:textId="77777777" w:rsidR="008F6DC4" w:rsidRPr="001753EA" w:rsidRDefault="008F6DC4" w:rsidP="001753EA">
            <w:r w:rsidRPr="001753EA">
              <w:t>Additional services</w:t>
            </w:r>
          </w:p>
        </w:tc>
        <w:tc>
          <w:tcPr>
            <w:tcW w:w="3636" w:type="pct"/>
          </w:tcPr>
          <w:p w14:paraId="7BA4F627"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Aged care homes are required to provide certain services by law. Some homes may make additional services available at no additional cost.</w:t>
            </w:r>
          </w:p>
        </w:tc>
      </w:tr>
      <w:tr w:rsidR="0017155E" w:rsidRPr="001753EA" w14:paraId="551FA32B"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26DB989A" w14:textId="77777777" w:rsidR="008F6DC4" w:rsidRPr="001753EA" w:rsidRDefault="008F6DC4" w:rsidP="001753EA">
            <w:r w:rsidRPr="001753EA">
              <w:t xml:space="preserve">Admission </w:t>
            </w:r>
          </w:p>
        </w:tc>
        <w:tc>
          <w:tcPr>
            <w:tcW w:w="3636" w:type="pct"/>
          </w:tcPr>
          <w:p w14:paraId="517A1FB7"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An entry into aged care services. People who enter residential aged care or home care are counted as an admission on each entry to that care type. There are two types of admission to residential care: permanent admission and respite admission.</w:t>
            </w:r>
          </w:p>
        </w:tc>
      </w:tr>
      <w:tr w:rsidR="008F6DC4" w:rsidRPr="001753EA" w14:paraId="1B811029"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39C393D8" w14:textId="77777777" w:rsidR="008F6DC4" w:rsidRPr="001753EA" w:rsidRDefault="008F6DC4" w:rsidP="001753EA">
            <w:r w:rsidRPr="001753EA">
              <w:t>Advocate</w:t>
            </w:r>
          </w:p>
        </w:tc>
        <w:tc>
          <w:tcPr>
            <w:tcW w:w="3636" w:type="pct"/>
          </w:tcPr>
          <w:p w14:paraId="1F0B9C8A" w14:textId="5F111032"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A person who represents and works with a someone who may need support and encouragement to exercise their rights, to ensure that their rights are upheld</w:t>
            </w:r>
            <w:r w:rsidR="005C56F6" w:rsidRPr="001753EA">
              <w:t>.</w:t>
            </w:r>
          </w:p>
        </w:tc>
      </w:tr>
      <w:tr w:rsidR="0017155E" w:rsidRPr="001753EA" w14:paraId="2A0B068B"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4155A6F2" w14:textId="77777777" w:rsidR="008F6DC4" w:rsidRPr="001753EA" w:rsidRDefault="008F6DC4" w:rsidP="001753EA">
            <w:r w:rsidRPr="001753EA">
              <w:t>Aged Care Act</w:t>
            </w:r>
          </w:p>
        </w:tc>
        <w:tc>
          <w:tcPr>
            <w:tcW w:w="3636" w:type="pct"/>
          </w:tcPr>
          <w:p w14:paraId="0DF278A5"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The overarching legislation which outlines the obligations and responsibilities that aged care providers must follow to received subsidies from the Australian Government.</w:t>
            </w:r>
          </w:p>
        </w:tc>
      </w:tr>
      <w:tr w:rsidR="008F6DC4" w:rsidRPr="001753EA" w14:paraId="7149A1BB"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0406C99B" w14:textId="77777777" w:rsidR="008F6DC4" w:rsidRPr="001753EA" w:rsidRDefault="008F6DC4" w:rsidP="001753EA">
            <w:r w:rsidRPr="001753EA">
              <w:t>Aged Care Approvals Round (ACAR)</w:t>
            </w:r>
          </w:p>
        </w:tc>
        <w:tc>
          <w:tcPr>
            <w:tcW w:w="3636" w:type="pct"/>
          </w:tcPr>
          <w:p w14:paraId="13710140"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Previously, could apply for Australian Government-</w:t>
            </w:r>
            <w:proofErr w:type="spellStart"/>
            <w:r w:rsidRPr="001753EA">
              <w:t>subsidised</w:t>
            </w:r>
            <w:proofErr w:type="spellEnd"/>
            <w:r w:rsidRPr="001753EA">
              <w:t xml:space="preserve"> places through an ACAR. Residential aged care providers can also apply for capital grants to build or upgrade facilities.</w:t>
            </w:r>
          </w:p>
        </w:tc>
      </w:tr>
      <w:tr w:rsidR="0017155E" w:rsidRPr="001753EA" w14:paraId="062181C2"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30CE6697" w14:textId="77777777" w:rsidR="008F6DC4" w:rsidRPr="001753EA" w:rsidRDefault="008F6DC4" w:rsidP="001753EA">
            <w:r w:rsidRPr="001753EA">
              <w:t>Additional service fee</w:t>
            </w:r>
          </w:p>
        </w:tc>
        <w:tc>
          <w:tcPr>
            <w:tcW w:w="3636" w:type="pct"/>
          </w:tcPr>
          <w:p w14:paraId="794278CE"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Additional hotel-type services offered by an aged care provider and paid for by the resident. These services may include things like a preferred brand of toiletries, access to paid TV services, or arranging a hairdresser.</w:t>
            </w:r>
          </w:p>
        </w:tc>
      </w:tr>
      <w:tr w:rsidR="008F6DC4" w:rsidRPr="001753EA" w14:paraId="05AC0E04"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293C721C" w14:textId="77777777" w:rsidR="008F6DC4" w:rsidRPr="001753EA" w:rsidRDefault="008F6DC4" w:rsidP="001753EA">
            <w:r w:rsidRPr="001753EA">
              <w:t>Allocation</w:t>
            </w:r>
          </w:p>
        </w:tc>
        <w:tc>
          <w:tcPr>
            <w:tcW w:w="3636" w:type="pct"/>
          </w:tcPr>
          <w:p w14:paraId="0EF26F7F"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 xml:space="preserve">The Department of Health is responsible for allocating aged care places. Previously, providers were given </w:t>
            </w:r>
            <w:proofErr w:type="gramStart"/>
            <w:r w:rsidRPr="001753EA">
              <w:t>a number of</w:t>
            </w:r>
            <w:proofErr w:type="gramEnd"/>
            <w:r w:rsidRPr="001753EA">
              <w:t xml:space="preserve"> places if they were successful in the ACAR. From 1 July 2024, places will be given directly to older Australians. </w:t>
            </w:r>
          </w:p>
        </w:tc>
      </w:tr>
      <w:tr w:rsidR="0017155E" w:rsidRPr="001753EA" w14:paraId="606B0457"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34A26FBE" w14:textId="77777777" w:rsidR="008F6DC4" w:rsidRPr="001753EA" w:rsidRDefault="008F6DC4" w:rsidP="001753EA">
            <w:r w:rsidRPr="001753EA">
              <w:t>Assessment</w:t>
            </w:r>
          </w:p>
        </w:tc>
        <w:tc>
          <w:tcPr>
            <w:tcW w:w="3636" w:type="pct"/>
          </w:tcPr>
          <w:p w14:paraId="56A5A004"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Can refer to either:</w:t>
            </w:r>
          </w:p>
          <w:p w14:paraId="2AF8AB0C" w14:textId="77777777"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 xml:space="preserve">Assessment of eligibility for </w:t>
            </w:r>
            <w:proofErr w:type="spellStart"/>
            <w:r w:rsidRPr="001753EA">
              <w:t>subsidised</w:t>
            </w:r>
            <w:proofErr w:type="spellEnd"/>
            <w:r w:rsidRPr="001753EA">
              <w:t xml:space="preserve"> aged care </w:t>
            </w:r>
          </w:p>
          <w:p w14:paraId="00E4B11B" w14:textId="71AE5093"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 xml:space="preserve">Assessment of care needs in permanent residential aged care </w:t>
            </w:r>
          </w:p>
        </w:tc>
      </w:tr>
      <w:tr w:rsidR="008F6DC4" w:rsidRPr="001753EA" w14:paraId="78AA12FB"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04926BE8" w14:textId="77777777" w:rsidR="008F6DC4" w:rsidRPr="001753EA" w:rsidRDefault="008F6DC4" w:rsidP="001753EA">
            <w:r w:rsidRPr="001753EA">
              <w:t>Australian National Aged Care Classification (AN-ACC) system</w:t>
            </w:r>
          </w:p>
        </w:tc>
        <w:tc>
          <w:tcPr>
            <w:tcW w:w="3636" w:type="pct"/>
          </w:tcPr>
          <w:p w14:paraId="00424A40"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The AN-ACC provides more equitable care funding to providers that better matches resident needs with the costs of delivering care and will involve:</w:t>
            </w:r>
          </w:p>
          <w:p w14:paraId="0A2717C0" w14:textId="77777777" w:rsidR="008F6DC4" w:rsidRPr="001753EA" w:rsidRDefault="00000A62" w:rsidP="00EC3654">
            <w:pPr>
              <w:pStyle w:val="ListBullet"/>
              <w:cnfStyle w:val="000000000000" w:firstRow="0" w:lastRow="0" w:firstColumn="0" w:lastColumn="0" w:oddVBand="0" w:evenVBand="0" w:oddHBand="0" w:evenHBand="0" w:firstRowFirstColumn="0" w:firstRowLastColumn="0" w:lastRowFirstColumn="0" w:lastRowLastColumn="0"/>
            </w:pPr>
            <w:hyperlink r:id="rId68" w:history="1">
              <w:r w:rsidR="008F6DC4" w:rsidRPr="001753EA">
                <w:rPr>
                  <w:rStyle w:val="Hyperlink"/>
                </w:rPr>
                <w:t>independent assessments</w:t>
              </w:r>
            </w:hyperlink>
            <w:r w:rsidR="008F6DC4" w:rsidRPr="001753EA">
              <w:t> to determine classification levels for care funding.</w:t>
            </w:r>
          </w:p>
          <w:p w14:paraId="18C6D175"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new </w:t>
            </w:r>
            <w:hyperlink r:id="rId69" w:history="1">
              <w:r w:rsidRPr="001753EA">
                <w:rPr>
                  <w:rStyle w:val="Hyperlink"/>
                </w:rPr>
                <w:t>AN-ACC Assessment Tool</w:t>
              </w:r>
            </w:hyperlink>
            <w:r w:rsidRPr="001753EA">
              <w:t> and method for classifying and funding permanent residents.</w:t>
            </w:r>
          </w:p>
          <w:p w14:paraId="1E5E39E8" w14:textId="77777777" w:rsidR="008F6DC4" w:rsidRPr="001753EA" w:rsidRDefault="00000A62" w:rsidP="00EC3654">
            <w:pPr>
              <w:pStyle w:val="ListBullet"/>
              <w:cnfStyle w:val="000000000000" w:firstRow="0" w:lastRow="0" w:firstColumn="0" w:lastColumn="0" w:oddVBand="0" w:evenVBand="0" w:oddHBand="0" w:evenHBand="0" w:firstRowFirstColumn="0" w:firstRowLastColumn="0" w:lastRowFirstColumn="0" w:lastRowLastColumn="0"/>
            </w:pPr>
            <w:hyperlink r:id="rId70" w:anchor="1.1" w:history="1">
              <w:r w:rsidR="008F6DC4" w:rsidRPr="001753EA">
                <w:rPr>
                  <w:rStyle w:val="Hyperlink"/>
                </w:rPr>
                <w:t>independent analysis</w:t>
              </w:r>
            </w:hyperlink>
            <w:r w:rsidR="008F6DC4" w:rsidRPr="001753EA">
              <w:t> each year to inform changes in funding.</w:t>
            </w:r>
          </w:p>
          <w:p w14:paraId="1FE03DA8"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Care planning is not conducted as part of AN-ACC and will remain the provider’s responsibility.</w:t>
            </w:r>
          </w:p>
        </w:tc>
      </w:tr>
      <w:tr w:rsidR="0017155E" w:rsidRPr="001753EA" w14:paraId="3A8E0E8F"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66818B2F" w14:textId="5194938D" w:rsidR="00482A25" w:rsidRPr="001753EA" w:rsidRDefault="00482A25" w:rsidP="001753EA">
            <w:r w:rsidRPr="001753EA">
              <w:lastRenderedPageBreak/>
              <w:t>Department (the)</w:t>
            </w:r>
          </w:p>
        </w:tc>
        <w:tc>
          <w:tcPr>
            <w:tcW w:w="3636" w:type="pct"/>
          </w:tcPr>
          <w:p w14:paraId="12C56A5C" w14:textId="42ED53E4" w:rsidR="00482A25" w:rsidRPr="001753EA" w:rsidRDefault="00482A25" w:rsidP="001753EA">
            <w:pPr>
              <w:cnfStyle w:val="000000100000" w:firstRow="0" w:lastRow="0" w:firstColumn="0" w:lastColumn="0" w:oddVBand="0" w:evenVBand="0" w:oddHBand="1" w:evenHBand="0" w:firstRowFirstColumn="0" w:firstRowLastColumn="0" w:lastRowFirstColumn="0" w:lastRowLastColumn="0"/>
            </w:pPr>
            <w:r w:rsidRPr="001753EA">
              <w:t xml:space="preserve">The Australian Government </w:t>
            </w:r>
            <w:hyperlink r:id="rId71" w:history="1">
              <w:r w:rsidRPr="001753EA">
                <w:rPr>
                  <w:rStyle w:val="Hyperlink"/>
                </w:rPr>
                <w:t>Department of Health</w:t>
              </w:r>
            </w:hyperlink>
            <w:r w:rsidR="00CF00C6" w:rsidRPr="001753EA">
              <w:t xml:space="preserve"> and Aged Care</w:t>
            </w:r>
            <w:r w:rsidRPr="001753EA">
              <w:t>.</w:t>
            </w:r>
          </w:p>
        </w:tc>
      </w:tr>
      <w:tr w:rsidR="008F6DC4" w:rsidRPr="001753EA" w14:paraId="1335501C"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2FA7318A" w14:textId="77777777" w:rsidR="008F6DC4" w:rsidRPr="001753EA" w:rsidRDefault="008F6DC4" w:rsidP="001753EA">
            <w:r w:rsidRPr="001753EA">
              <w:t>Diverse needs groups</w:t>
            </w:r>
          </w:p>
        </w:tc>
        <w:tc>
          <w:tcPr>
            <w:tcW w:w="3636" w:type="pct"/>
          </w:tcPr>
          <w:p w14:paraId="3C24513A"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The groups of people defined in the </w:t>
            </w:r>
            <w:hyperlink r:id="rId72" w:history="1">
              <w:r w:rsidRPr="001753EA">
                <w:rPr>
                  <w:rStyle w:val="Hyperlink"/>
                </w:rPr>
                <w:t>Aged Care Act 1997</w:t>
              </w:r>
            </w:hyperlink>
            <w:r w:rsidRPr="001753EA">
              <w:t> for whom there is additional consideration in the planning and delivery of appropriate aged care services. These are:</w:t>
            </w:r>
          </w:p>
          <w:p w14:paraId="584CEC98"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from Aboriginal and/or Torres Strait Islander communities</w:t>
            </w:r>
          </w:p>
          <w:p w14:paraId="1A1D6AD9"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from culturally and linguistically diverse backgrounds</w:t>
            </w:r>
          </w:p>
          <w:p w14:paraId="7598C252"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who live in rural or remote areas</w:t>
            </w:r>
          </w:p>
          <w:p w14:paraId="0063CC8A"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who are financially or socially disadvantaged</w:t>
            </w:r>
          </w:p>
          <w:p w14:paraId="0FAA6A48"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 xml:space="preserve">people who are veterans of the Australian </w:t>
            </w:r>
            <w:proofErr w:type="spellStart"/>
            <w:r w:rsidRPr="001753EA">
              <w:t>Defence</w:t>
            </w:r>
            <w:proofErr w:type="spellEnd"/>
            <w:r w:rsidRPr="001753EA">
              <w:t xml:space="preserve"> Force or an allied </w:t>
            </w:r>
            <w:proofErr w:type="spellStart"/>
            <w:r w:rsidRPr="001753EA">
              <w:t>defence</w:t>
            </w:r>
            <w:proofErr w:type="spellEnd"/>
            <w:r w:rsidRPr="001753EA">
              <w:t xml:space="preserve"> force including the spouse, </w:t>
            </w:r>
            <w:proofErr w:type="gramStart"/>
            <w:r w:rsidRPr="001753EA">
              <w:t>widow</w:t>
            </w:r>
            <w:proofErr w:type="gramEnd"/>
            <w:r w:rsidRPr="001753EA">
              <w:t xml:space="preserve"> or widower of a veteran</w:t>
            </w:r>
          </w:p>
          <w:p w14:paraId="17BBFCB7"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who are homeless, or at risk of becoming homeless</w:t>
            </w:r>
          </w:p>
          <w:p w14:paraId="21DAAEF0"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who are care leavers (which includes Forgotten Australians, Former Child Migrants and Stolen Generations)</w:t>
            </w:r>
          </w:p>
          <w:p w14:paraId="5D75EA89"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parents separated from their children by forced adoption or removal</w:t>
            </w:r>
          </w:p>
          <w:p w14:paraId="0FB3626A"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from lesbian, gay, bisexual, trans/transgender and intersex communities</w:t>
            </w:r>
          </w:p>
          <w:p w14:paraId="6FD32B69" w14:textId="77777777" w:rsidR="008F6DC4" w:rsidRPr="001753EA" w:rsidRDefault="008F6DC4" w:rsidP="00EC3654">
            <w:pPr>
              <w:pStyle w:val="ListBullet"/>
              <w:cnfStyle w:val="000000000000" w:firstRow="0" w:lastRow="0" w:firstColumn="0" w:lastColumn="0" w:oddVBand="0" w:evenVBand="0" w:oddHBand="0" w:evenHBand="0" w:firstRowFirstColumn="0" w:firstRowLastColumn="0" w:lastRowFirstColumn="0" w:lastRowLastColumn="0"/>
            </w:pPr>
            <w:r w:rsidRPr="001753EA">
              <w:t>people of a kind specified in the </w:t>
            </w:r>
            <w:hyperlink r:id="rId73" w:history="1">
              <w:r w:rsidRPr="001753EA">
                <w:rPr>
                  <w:rStyle w:val="Hyperlink"/>
                </w:rPr>
                <w:t>Allocation Principles 2014</w:t>
              </w:r>
            </w:hyperlink>
            <w:r w:rsidRPr="001753EA">
              <w:t>.</w:t>
            </w:r>
          </w:p>
        </w:tc>
      </w:tr>
      <w:tr w:rsidR="0017155E" w:rsidRPr="001753EA" w14:paraId="5B7FF7D0"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7F4F0A79" w14:textId="77777777" w:rsidR="008F6DC4" w:rsidRPr="001753EA" w:rsidRDefault="008F6DC4" w:rsidP="001753EA">
            <w:r w:rsidRPr="001753EA">
              <w:t>Extra services</w:t>
            </w:r>
          </w:p>
        </w:tc>
        <w:tc>
          <w:tcPr>
            <w:tcW w:w="3636" w:type="pct"/>
          </w:tcPr>
          <w:p w14:paraId="1651CF07"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 xml:space="preserve">Some residential aged care rooms have extra service status. This means that they can charge residents a regular extra service fee to provide residents with a bundle of higher standard hotel-type services. Examples include </w:t>
            </w:r>
            <w:proofErr w:type="spellStart"/>
            <w:r w:rsidRPr="001753EA">
              <w:t>specialised</w:t>
            </w:r>
            <w:proofErr w:type="spellEnd"/>
            <w:r w:rsidRPr="001753EA">
              <w:t xml:space="preserve"> menus, higher quality linen or </w:t>
            </w:r>
            <w:proofErr w:type="gramStart"/>
            <w:r w:rsidRPr="001753EA">
              <w:t>particular room</w:t>
            </w:r>
            <w:proofErr w:type="gramEnd"/>
            <w:r w:rsidRPr="001753EA">
              <w:t xml:space="preserve"> furnishings.</w:t>
            </w:r>
          </w:p>
        </w:tc>
      </w:tr>
      <w:tr w:rsidR="008F6DC4" w:rsidRPr="001753EA" w14:paraId="71BBEFAC"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5752D036" w14:textId="77777777" w:rsidR="008F6DC4" w:rsidRPr="001753EA" w:rsidRDefault="008F6DC4" w:rsidP="001753EA">
            <w:r w:rsidRPr="001753EA">
              <w:t>Flexible care</w:t>
            </w:r>
          </w:p>
        </w:tc>
        <w:tc>
          <w:tcPr>
            <w:tcW w:w="3636" w:type="pct"/>
          </w:tcPr>
          <w:p w14:paraId="1F0A85CE"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An aged care stream that addresses people's needs, in either a residential or home care setting, in ways other than the care provided through the mainstream residential and home care programs. Flexible care programs include </w:t>
            </w:r>
            <w:r w:rsidRPr="00EC3654">
              <w:rPr>
                <w:rStyle w:val="Emphasis"/>
              </w:rPr>
              <w:t>Multi-Purpose Services, the National Aboriginal and Torres Strait Islander Flexible Aged Care Program, and Innovative Pool</w:t>
            </w:r>
            <w:r w:rsidRPr="001753EA">
              <w:t xml:space="preserve">. GEN contains information on the places available in these flexible care programs but does not currently report on the people using these services. Some </w:t>
            </w:r>
            <w:r w:rsidRPr="001753EA">
              <w:lastRenderedPageBreak/>
              <w:t>publications also include transition care and short-term restorative care under the term ‘flexible care.’</w:t>
            </w:r>
          </w:p>
        </w:tc>
      </w:tr>
      <w:tr w:rsidR="0017155E" w:rsidRPr="001753EA" w14:paraId="1391BD7E"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51E69065" w14:textId="51323551" w:rsidR="008F6DC4" w:rsidRPr="001753EA" w:rsidRDefault="008F6DC4" w:rsidP="001753EA">
            <w:r w:rsidRPr="001753EA">
              <w:lastRenderedPageBreak/>
              <w:t xml:space="preserve">Government </w:t>
            </w:r>
          </w:p>
        </w:tc>
        <w:tc>
          <w:tcPr>
            <w:tcW w:w="3636" w:type="pct"/>
          </w:tcPr>
          <w:p w14:paraId="153E56B9"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An </w:t>
            </w:r>
            <w:proofErr w:type="spellStart"/>
            <w:r w:rsidRPr="001753EA">
              <w:t>organisation</w:t>
            </w:r>
            <w:proofErr w:type="spellEnd"/>
            <w:r w:rsidRPr="001753EA">
              <w:t xml:space="preserve"> type that manages aged care services. This includes federal government, state government, territory government, and local government </w:t>
            </w:r>
            <w:proofErr w:type="spellStart"/>
            <w:r w:rsidRPr="001753EA">
              <w:t>organisations</w:t>
            </w:r>
            <w:proofErr w:type="spellEnd"/>
            <w:r w:rsidRPr="001753EA">
              <w:t>.</w:t>
            </w:r>
          </w:p>
        </w:tc>
      </w:tr>
      <w:tr w:rsidR="00561B91" w:rsidRPr="001753EA" w14:paraId="0CFD8CEB"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56B527BF" w14:textId="210BB3E6" w:rsidR="00561B91" w:rsidRPr="001753EA" w:rsidRDefault="00561B91" w:rsidP="001753EA">
            <w:r w:rsidRPr="001753EA">
              <w:t>Informed decision-making</w:t>
            </w:r>
          </w:p>
        </w:tc>
        <w:tc>
          <w:tcPr>
            <w:tcW w:w="3636" w:type="pct"/>
          </w:tcPr>
          <w:p w14:paraId="7EC2A9EB" w14:textId="3F459637" w:rsidR="00561B91" w:rsidRPr="001753EA" w:rsidRDefault="00561B91" w:rsidP="001753EA">
            <w:pPr>
              <w:cnfStyle w:val="000000000000" w:firstRow="0" w:lastRow="0" w:firstColumn="0" w:lastColumn="0" w:oddVBand="0" w:evenVBand="0" w:oddHBand="0" w:evenHBand="0" w:firstRowFirstColumn="0" w:firstRowLastColumn="0" w:lastRowFirstColumn="0" w:lastRowLastColumn="0"/>
            </w:pPr>
            <w:r w:rsidRPr="001753EA">
              <w:t xml:space="preserve">People are supported and have access to information so they can make, </w:t>
            </w:r>
            <w:r w:rsidR="009E2F8A" w:rsidRPr="001753EA">
              <w:t>communicate,</w:t>
            </w:r>
            <w:r w:rsidRPr="001753EA">
              <w:t xml:space="preserve"> and participate in decisions that affect their lives.</w:t>
            </w:r>
          </w:p>
        </w:tc>
      </w:tr>
      <w:tr w:rsidR="0017155E" w:rsidRPr="001753EA" w14:paraId="236DEBEA"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591F4CC9" w14:textId="77777777" w:rsidR="008F6DC4" w:rsidRPr="001753EA" w:rsidRDefault="008F6DC4" w:rsidP="001753EA">
            <w:r w:rsidRPr="001753EA">
              <w:t>Innovation</w:t>
            </w:r>
          </w:p>
        </w:tc>
        <w:tc>
          <w:tcPr>
            <w:tcW w:w="3636" w:type="pct"/>
          </w:tcPr>
          <w:p w14:paraId="20D195D6"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 xml:space="preserve">Efforts to improve services in new ways, drawing from evidence, to </w:t>
            </w:r>
            <w:proofErr w:type="gramStart"/>
            <w:r w:rsidRPr="001753EA">
              <w:t>more sustainably provide high quality care</w:t>
            </w:r>
            <w:proofErr w:type="gramEnd"/>
            <w:r w:rsidRPr="001753EA">
              <w:t xml:space="preserve"> for older Australians. </w:t>
            </w:r>
          </w:p>
        </w:tc>
      </w:tr>
      <w:tr w:rsidR="008F6DC4" w:rsidRPr="001753EA" w14:paraId="3DFE4A1B"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4B003A30" w14:textId="77777777" w:rsidR="008F6DC4" w:rsidRPr="001753EA" w:rsidRDefault="008F6DC4" w:rsidP="001753EA">
            <w:r w:rsidRPr="001753EA">
              <w:t>Market stewardship</w:t>
            </w:r>
          </w:p>
        </w:tc>
        <w:tc>
          <w:tcPr>
            <w:tcW w:w="3636" w:type="pct"/>
          </w:tcPr>
          <w:p w14:paraId="62C51688"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 xml:space="preserve">Efforts made to address market deficiencies, </w:t>
            </w:r>
            <w:proofErr w:type="gramStart"/>
            <w:r w:rsidRPr="001753EA">
              <w:t>gaps</w:t>
            </w:r>
            <w:proofErr w:type="gramEnd"/>
            <w:r w:rsidRPr="001753EA">
              <w:t xml:space="preserve"> and failures. These often take the form of policy and market interventions. It is typically approached through a design and production focus targeting inputs such as funds, resources and time while measuring outputs such as profits, losses and service or product availability.</w:t>
            </w:r>
          </w:p>
        </w:tc>
      </w:tr>
      <w:tr w:rsidR="0017155E" w:rsidRPr="001753EA" w14:paraId="31DD0F74"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5F6DBA75" w14:textId="77777777" w:rsidR="008F6DC4" w:rsidRPr="001753EA" w:rsidRDefault="008F6DC4" w:rsidP="001753EA">
            <w:r w:rsidRPr="001753EA">
              <w:t>Modified Monash Model (MMM)</w:t>
            </w:r>
          </w:p>
        </w:tc>
        <w:tc>
          <w:tcPr>
            <w:tcW w:w="3636" w:type="pct"/>
          </w:tcPr>
          <w:p w14:paraId="0F9713BE"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 xml:space="preserve">A geographical classification system that </w:t>
            </w:r>
            <w:proofErr w:type="spellStart"/>
            <w:r w:rsidRPr="001753EA">
              <w:t>categorises</w:t>
            </w:r>
            <w:proofErr w:type="spellEnd"/>
            <w:r w:rsidRPr="001753EA">
              <w:t xml:space="preserve"> metropolitan, regional, </w:t>
            </w:r>
            <w:proofErr w:type="gramStart"/>
            <w:r w:rsidRPr="001753EA">
              <w:t>rural</w:t>
            </w:r>
            <w:proofErr w:type="gramEnd"/>
            <w:r w:rsidRPr="001753EA">
              <w:t xml:space="preserve"> and remote locations into seven levels according to geographical remoteness and population size.</w:t>
            </w:r>
          </w:p>
        </w:tc>
      </w:tr>
      <w:tr w:rsidR="008F6DC4" w:rsidRPr="001753EA" w14:paraId="6721B226"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08A6AE29" w14:textId="77777777" w:rsidR="008F6DC4" w:rsidRPr="001753EA" w:rsidRDefault="008F6DC4" w:rsidP="001753EA">
            <w:r w:rsidRPr="001753EA">
              <w:t>Multipurpose service (MPS)</w:t>
            </w:r>
          </w:p>
        </w:tc>
        <w:tc>
          <w:tcPr>
            <w:tcW w:w="3636" w:type="pct"/>
          </w:tcPr>
          <w:p w14:paraId="7D740646"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The MPS program provides integrated health and aged care services to regional and remote communities in areas that cannot support both a separate aged care home and hospital.</w:t>
            </w:r>
          </w:p>
        </w:tc>
      </w:tr>
      <w:tr w:rsidR="0017155E" w:rsidRPr="001753EA" w14:paraId="31EE3B30"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12BC4C6D" w14:textId="77777777" w:rsidR="008F6DC4" w:rsidRPr="001753EA" w:rsidRDefault="008F6DC4" w:rsidP="001753EA">
            <w:r w:rsidRPr="001753EA">
              <w:t>My Aged Care</w:t>
            </w:r>
          </w:p>
        </w:tc>
        <w:tc>
          <w:tcPr>
            <w:tcW w:w="3636" w:type="pct"/>
          </w:tcPr>
          <w:p w14:paraId="5CCCA54C"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A program that provides information for people considering using aged care services, made up of the </w:t>
            </w:r>
            <w:hyperlink r:id="rId74" w:tgtFrame="_blank" w:history="1">
              <w:r w:rsidRPr="001753EA">
                <w:rPr>
                  <w:rStyle w:val="Hyperlink"/>
                </w:rPr>
                <w:t>My Aged Care website</w:t>
              </w:r>
            </w:hyperlink>
            <w:r w:rsidRPr="001753EA">
              <w:t> and My Aged Care Contact Centre.</w:t>
            </w:r>
          </w:p>
        </w:tc>
      </w:tr>
      <w:tr w:rsidR="008F6DC4" w:rsidRPr="001753EA" w14:paraId="41943E51"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1B616D77" w14:textId="77777777" w:rsidR="008F6DC4" w:rsidRPr="001753EA" w:rsidRDefault="008F6DC4" w:rsidP="001753EA">
            <w:r w:rsidRPr="001753EA">
              <w:t>National Aboriginal and Torres Strait Islander Flexible Aged Care Program (NATSIFACP)</w:t>
            </w:r>
          </w:p>
        </w:tc>
        <w:tc>
          <w:tcPr>
            <w:tcW w:w="3636" w:type="pct"/>
          </w:tcPr>
          <w:p w14:paraId="03B13D95"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The NATSIFACP provides Commonwealth Government funding for aged care services to deliver culturally appropriate care to older Aboriginal and Torres Strait Islander peoples and allow them to remain close to home and community. Most of these services are in rural and remote areas.</w:t>
            </w:r>
          </w:p>
        </w:tc>
      </w:tr>
      <w:tr w:rsidR="0017155E" w:rsidRPr="001753EA" w14:paraId="13599BBD"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6F278450" w14:textId="77777777" w:rsidR="008F6DC4" w:rsidRPr="001753EA" w:rsidRDefault="008F6DC4" w:rsidP="001753EA">
            <w:r w:rsidRPr="001753EA">
              <w:t>Occupancy rate</w:t>
            </w:r>
          </w:p>
        </w:tc>
        <w:tc>
          <w:tcPr>
            <w:tcW w:w="3636" w:type="pct"/>
          </w:tcPr>
          <w:p w14:paraId="5A0BD790"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Total number of days that all people spent in a type of aged care over a year, divided by the total number of places that were available in that type of care over the year.</w:t>
            </w:r>
          </w:p>
        </w:tc>
      </w:tr>
      <w:tr w:rsidR="00482A25" w:rsidRPr="001753EA" w14:paraId="75048937"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66CCDBD4" w14:textId="1899C6D9" w:rsidR="00482A25" w:rsidRPr="001753EA" w:rsidRDefault="00482A25" w:rsidP="001753EA">
            <w:r w:rsidRPr="001753EA">
              <w:t>Outcomes</w:t>
            </w:r>
          </w:p>
        </w:tc>
        <w:tc>
          <w:tcPr>
            <w:tcW w:w="3636" w:type="pct"/>
          </w:tcPr>
          <w:p w14:paraId="5C1A38DE" w14:textId="2100EC1A" w:rsidR="00482A25" w:rsidRPr="001753EA" w:rsidRDefault="00482A25" w:rsidP="001753EA">
            <w:pPr>
              <w:cnfStyle w:val="000000000000" w:firstRow="0" w:lastRow="0" w:firstColumn="0" w:lastColumn="0" w:oddVBand="0" w:evenVBand="0" w:oddHBand="0" w:evenHBand="0" w:firstRowFirstColumn="0" w:firstRowLastColumn="0" w:lastRowFirstColumn="0" w:lastRowLastColumn="0"/>
            </w:pPr>
            <w:r w:rsidRPr="001753EA">
              <w:t xml:space="preserve">Describes the effect or result of a service or support, such as an improvement in an individual’s well-being. </w:t>
            </w:r>
            <w:r w:rsidR="00757BFA" w:rsidRPr="001753EA">
              <w:t>Outcomes c</w:t>
            </w:r>
            <w:r w:rsidRPr="001753EA">
              <w:t xml:space="preserve">an be short term (such as a person being involved in their service planning) through to long-term (such as a person being able to manage daily activities on their own after support and </w:t>
            </w:r>
            <w:proofErr w:type="spellStart"/>
            <w:r w:rsidRPr="001753EA">
              <w:t>reablement</w:t>
            </w:r>
            <w:proofErr w:type="spellEnd"/>
            <w:r w:rsidRPr="001753EA">
              <w:t>).</w:t>
            </w:r>
          </w:p>
        </w:tc>
      </w:tr>
      <w:tr w:rsidR="0017155E" w:rsidRPr="001753EA" w14:paraId="3B2613B9"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6FB84EC4" w14:textId="77777777" w:rsidR="008F6DC4" w:rsidRPr="001753EA" w:rsidRDefault="008F6DC4" w:rsidP="001753EA">
            <w:r w:rsidRPr="001753EA">
              <w:lastRenderedPageBreak/>
              <w:t>Priority</w:t>
            </w:r>
          </w:p>
        </w:tc>
        <w:tc>
          <w:tcPr>
            <w:tcW w:w="3636" w:type="pct"/>
          </w:tcPr>
          <w:p w14:paraId="0CB29C62" w14:textId="10ED8656"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 xml:space="preserve">A rating generated by decision support – or set by </w:t>
            </w:r>
            <w:r w:rsidR="005C56F6" w:rsidRPr="001753EA">
              <w:t>an</w:t>
            </w:r>
            <w:r w:rsidRPr="001753EA">
              <w:t xml:space="preserve"> assessor – that identifies a client’s level of priority to access assessment and/or services. The priority rating has associated timeframes attached that identifies the urgency in which a client should be assessed and/or provided with services.</w:t>
            </w:r>
          </w:p>
        </w:tc>
      </w:tr>
      <w:tr w:rsidR="008F6DC4" w:rsidRPr="001753EA" w14:paraId="63AA938F"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3ECF7BEB" w14:textId="77777777" w:rsidR="008F6DC4" w:rsidRPr="001753EA" w:rsidRDefault="008F6DC4" w:rsidP="001753EA">
            <w:r w:rsidRPr="001753EA">
              <w:t xml:space="preserve">Program </w:t>
            </w:r>
          </w:p>
        </w:tc>
        <w:tc>
          <w:tcPr>
            <w:tcW w:w="3636" w:type="pct"/>
          </w:tcPr>
          <w:p w14:paraId="38D1CCCD"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 xml:space="preserve">The program under which a place in aged care is funded </w:t>
            </w:r>
            <w:r w:rsidRPr="00EC3654">
              <w:rPr>
                <w:rStyle w:val="Emphasis"/>
              </w:rPr>
              <w:t>(home support, home care, residential care, transition care, short-term restorative care, Multi-Purpose Service, the National Aboriginal and Torres Strait Islander Aged Care Program, and Innovative pool)</w:t>
            </w:r>
            <w:r w:rsidRPr="001753EA">
              <w:t>.</w:t>
            </w:r>
          </w:p>
        </w:tc>
      </w:tr>
      <w:tr w:rsidR="0017155E" w:rsidRPr="001753EA" w14:paraId="73354AC6"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21EBD2E8" w14:textId="77777777" w:rsidR="008F6DC4" w:rsidRPr="001753EA" w:rsidRDefault="008F6DC4" w:rsidP="001753EA">
            <w:r w:rsidRPr="001753EA">
              <w:t>Provider</w:t>
            </w:r>
          </w:p>
        </w:tc>
        <w:tc>
          <w:tcPr>
            <w:tcW w:w="3636" w:type="pct"/>
          </w:tcPr>
          <w:p w14:paraId="6F06CEB8"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 xml:space="preserve">A provider (or </w:t>
            </w:r>
            <w:proofErr w:type="spellStart"/>
            <w:r w:rsidRPr="001753EA">
              <w:t>organisation</w:t>
            </w:r>
            <w:proofErr w:type="spellEnd"/>
            <w:r w:rsidRPr="001753EA">
              <w:t xml:space="preserve">) manages an aged care service. Providers may operate </w:t>
            </w:r>
            <w:proofErr w:type="gramStart"/>
            <w:r w:rsidRPr="001753EA">
              <w:t>a number of</w:t>
            </w:r>
            <w:proofErr w:type="gramEnd"/>
            <w:r w:rsidRPr="001753EA">
              <w:t xml:space="preserve"> different services, sometimes across different aged care programs. A service is a care facility that provides aged care, such as residential care or home care. A service can also be an outlet that provides home support. The Australian government provides funding for those services that it has approved.</w:t>
            </w:r>
          </w:p>
        </w:tc>
      </w:tr>
      <w:tr w:rsidR="00B17F26" w:rsidRPr="001753EA" w14:paraId="0318F582"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1923A95A" w14:textId="3B051CEF" w:rsidR="00B17F26" w:rsidRPr="001753EA" w:rsidRDefault="00B17F26" w:rsidP="001753EA">
            <w:r w:rsidRPr="001753EA">
              <w:t>Provider governance</w:t>
            </w:r>
          </w:p>
        </w:tc>
        <w:tc>
          <w:tcPr>
            <w:tcW w:w="3636" w:type="pct"/>
          </w:tcPr>
          <w:p w14:paraId="0824B3F8" w14:textId="4E77001B" w:rsidR="00B17F26" w:rsidRPr="001753EA" w:rsidRDefault="00B17F26" w:rsidP="001753EA">
            <w:pPr>
              <w:cnfStyle w:val="000000000000" w:firstRow="0" w:lastRow="0" w:firstColumn="0" w:lastColumn="0" w:oddVBand="0" w:evenVBand="0" w:oddHBand="0" w:evenHBand="0" w:firstRowFirstColumn="0" w:firstRowLastColumn="0" w:lastRowFirstColumn="0" w:lastRowLastColumn="0"/>
            </w:pPr>
            <w:r w:rsidRPr="001753EA">
              <w:t xml:space="preserve">There will be new governance responsibilities for approved providers. These include requirements </w:t>
            </w:r>
            <w:proofErr w:type="gramStart"/>
            <w:r w:rsidRPr="001753EA">
              <w:t>regarding:</w:t>
            </w:r>
            <w:proofErr w:type="gramEnd"/>
            <w:r w:rsidR="00A76B05" w:rsidRPr="001753EA">
              <w:t xml:space="preserve"> </w:t>
            </w:r>
            <w:r w:rsidRPr="001753EA">
              <w:t>membership of governing bodies</w:t>
            </w:r>
            <w:r w:rsidR="00A76B05" w:rsidRPr="001753EA">
              <w:t xml:space="preserve"> </w:t>
            </w:r>
            <w:r w:rsidRPr="001753EA">
              <w:t>the establishment of new consumer and clinical advisory bodies</w:t>
            </w:r>
            <w:r w:rsidR="00A76B05" w:rsidRPr="001753EA">
              <w:t xml:space="preserve"> </w:t>
            </w:r>
            <w:r w:rsidRPr="001753EA">
              <w:t>measures to improve leadership and culture.</w:t>
            </w:r>
          </w:p>
        </w:tc>
      </w:tr>
      <w:tr w:rsidR="0017155E" w:rsidRPr="001753EA" w14:paraId="2F0860AE"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5E82775A" w14:textId="77777777" w:rsidR="008F6DC4" w:rsidRPr="001753EA" w:rsidRDefault="008F6DC4" w:rsidP="001753EA">
            <w:r w:rsidRPr="001753EA">
              <w:t>Quality</w:t>
            </w:r>
          </w:p>
        </w:tc>
        <w:tc>
          <w:tcPr>
            <w:tcW w:w="3636" w:type="pct"/>
          </w:tcPr>
          <w:p w14:paraId="4E29A76A"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Broadly, the extent to which an aged care program or service produces a desired outcome. More specifically, how well the aged care system is performing in its mission to improve the health and wellbeing of older Australians</w:t>
            </w:r>
          </w:p>
        </w:tc>
      </w:tr>
      <w:tr w:rsidR="008F6DC4" w:rsidRPr="001753EA" w14:paraId="06E7E64C"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6F71BE83" w14:textId="77777777" w:rsidR="008F6DC4" w:rsidRPr="001753EA" w:rsidRDefault="008F6DC4" w:rsidP="001753EA">
            <w:r w:rsidRPr="001753EA">
              <w:t>Refundable accommodation deposit (RAD)</w:t>
            </w:r>
          </w:p>
        </w:tc>
        <w:tc>
          <w:tcPr>
            <w:tcW w:w="3636" w:type="pct"/>
          </w:tcPr>
          <w:p w14:paraId="79A6967B"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Residents can pay a lump-sum for their accommodation in the form a RAD, which provides a significant source of funding for capital investment and acts as an interest-free loan to providers. The RAD is fully refundable to the resident when they leave the provider or is returned to the estate if they pass away.</w:t>
            </w:r>
          </w:p>
        </w:tc>
      </w:tr>
      <w:tr w:rsidR="0017155E" w:rsidRPr="001753EA" w14:paraId="3BAF3853"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0E7ADF41" w14:textId="63131600" w:rsidR="00B17F26" w:rsidRPr="001753EA" w:rsidRDefault="00B17F26" w:rsidP="001753EA">
            <w:r w:rsidRPr="001753EA">
              <w:t>Regulatory arrangements</w:t>
            </w:r>
          </w:p>
        </w:tc>
        <w:tc>
          <w:tcPr>
            <w:tcW w:w="3636" w:type="pct"/>
          </w:tcPr>
          <w:p w14:paraId="49E39801" w14:textId="77777777" w:rsidR="00B17F26" w:rsidRPr="001753EA" w:rsidRDefault="00B17F26" w:rsidP="001753EA">
            <w:pPr>
              <w:cnfStyle w:val="000000100000" w:firstRow="0" w:lastRow="0" w:firstColumn="0" w:lastColumn="0" w:oddVBand="0" w:evenVBand="0" w:oddHBand="1" w:evenHBand="0" w:firstRowFirstColumn="0" w:firstRowLastColumn="0" w:lastRowFirstColumn="0" w:lastRowLastColumn="0"/>
            </w:pPr>
            <w:r w:rsidRPr="001753EA">
              <w:t>The Australian Government is introducing a range of practical measures to improve accountability and transparency in the aged care sector. The new Aged Care and Other Legislation Amendment establishes new requirements for aged care providers through 9 measures that respond to the Royal Commission into Aged Care Quality and Safety. Four of these measures directly relate to the regulation of aged care:</w:t>
            </w:r>
          </w:p>
          <w:p w14:paraId="378FC609" w14:textId="6E639E66" w:rsidR="00B17F26" w:rsidRPr="001753EA" w:rsidRDefault="00B17F26" w:rsidP="00EC3654">
            <w:pPr>
              <w:pStyle w:val="ListBullet"/>
              <w:cnfStyle w:val="000000100000" w:firstRow="0" w:lastRow="0" w:firstColumn="0" w:lastColumn="0" w:oddVBand="0" w:evenVBand="0" w:oddHBand="1" w:evenHBand="0" w:firstRowFirstColumn="0" w:firstRowLastColumn="0" w:lastRowFirstColumn="0" w:lastRowLastColumn="0"/>
            </w:pPr>
            <w:r w:rsidRPr="001753EA">
              <w:t xml:space="preserve">expanding the Serious Incident Response Scheme (SIRS) into home services </w:t>
            </w:r>
          </w:p>
          <w:p w14:paraId="3C52B121" w14:textId="5BC4749D" w:rsidR="001D6174" w:rsidRPr="001753EA" w:rsidRDefault="00B17F26" w:rsidP="00EC3654">
            <w:pPr>
              <w:pStyle w:val="ListBullet"/>
              <w:cnfStyle w:val="000000100000" w:firstRow="0" w:lastRow="0" w:firstColumn="0" w:lastColumn="0" w:oddVBand="0" w:evenVBand="0" w:oddHBand="1" w:evenHBand="0" w:firstRowFirstColumn="0" w:firstRowLastColumn="0" w:lastRowFirstColumn="0" w:lastRowLastColumn="0"/>
            </w:pPr>
            <w:r w:rsidRPr="001753EA">
              <w:lastRenderedPageBreak/>
              <w:t>introducing a Code of Conduct for aged care providers, workers and governing persons strengthening provider governance</w:t>
            </w:r>
          </w:p>
          <w:p w14:paraId="1AD36AA7" w14:textId="0FB20ABD" w:rsidR="00B17F26" w:rsidRPr="001753EA" w:rsidRDefault="00B17F26" w:rsidP="00EC3654">
            <w:pPr>
              <w:pStyle w:val="ListBullet"/>
              <w:cnfStyle w:val="000000100000" w:firstRow="0" w:lastRow="0" w:firstColumn="0" w:lastColumn="0" w:oddVBand="0" w:evenVBand="0" w:oddHBand="1" w:evenHBand="0" w:firstRowFirstColumn="0" w:firstRowLastColumn="0" w:lastRowFirstColumn="0" w:lastRowLastColumn="0"/>
            </w:pPr>
            <w:r w:rsidRPr="001753EA">
              <w:t>ensuring consent to the use of restrictive practices</w:t>
            </w:r>
          </w:p>
        </w:tc>
      </w:tr>
      <w:tr w:rsidR="008F6DC4" w:rsidRPr="001753EA" w14:paraId="58EA0C14"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097A9D99" w14:textId="77777777" w:rsidR="008F6DC4" w:rsidRPr="001753EA" w:rsidRDefault="008F6DC4" w:rsidP="001753EA">
            <w:r w:rsidRPr="001753EA">
              <w:lastRenderedPageBreak/>
              <w:t>Residential aged care</w:t>
            </w:r>
          </w:p>
        </w:tc>
        <w:tc>
          <w:tcPr>
            <w:tcW w:w="3636" w:type="pct"/>
          </w:tcPr>
          <w:p w14:paraId="3FFC9B99" w14:textId="47A648A8"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 xml:space="preserve">Personal and/or nursing care that is provided to </w:t>
            </w:r>
            <w:proofErr w:type="spellStart"/>
            <w:r w:rsidRPr="001753EA">
              <w:t>aperson</w:t>
            </w:r>
            <w:proofErr w:type="spellEnd"/>
            <w:r w:rsidRPr="001753EA">
              <w:t xml:space="preserve"> in a residential aged care service in, which the person is also provided with accommodation that includes meals, cleaning services, </w:t>
            </w:r>
            <w:proofErr w:type="gramStart"/>
            <w:r w:rsidRPr="001753EA">
              <w:t>furniture</w:t>
            </w:r>
            <w:proofErr w:type="gramEnd"/>
            <w:r w:rsidRPr="001753EA">
              <w:t xml:space="preserve"> and equipment. The residential aged care service must meet certain building standards and appropriate staffing in supplying that care and accommodation.</w:t>
            </w:r>
          </w:p>
        </w:tc>
      </w:tr>
      <w:tr w:rsidR="0017155E" w:rsidRPr="001753EA" w14:paraId="3824CFBB"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25DE50C1" w14:textId="77777777" w:rsidR="008F6DC4" w:rsidRPr="001753EA" w:rsidRDefault="008F6DC4" w:rsidP="001753EA">
            <w:r w:rsidRPr="001753EA">
              <w:t>Residential aged care homes</w:t>
            </w:r>
          </w:p>
        </w:tc>
        <w:tc>
          <w:tcPr>
            <w:tcW w:w="3636" w:type="pct"/>
          </w:tcPr>
          <w:p w14:paraId="5CCCCEC2"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Organisations approved by the Secretary of the Department of Health and Aged Care to provide residential aged care under the Aged Care Act, 1997</w:t>
            </w:r>
          </w:p>
        </w:tc>
      </w:tr>
      <w:tr w:rsidR="008F6DC4" w:rsidRPr="001753EA" w14:paraId="69D3637A"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7741F7F2" w14:textId="77777777" w:rsidR="008F6DC4" w:rsidRPr="001753EA" w:rsidRDefault="008F6DC4" w:rsidP="001753EA">
            <w:r w:rsidRPr="001753EA">
              <w:t>Residential aged care places</w:t>
            </w:r>
          </w:p>
        </w:tc>
        <w:tc>
          <w:tcPr>
            <w:tcW w:w="3636" w:type="pct"/>
          </w:tcPr>
          <w:p w14:paraId="38D1F5E7" w14:textId="4B6B823E"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Residential and flexible care services are allocated a set number of government-funded places (or ‘beds’). When they are counted</w:t>
            </w:r>
            <w:r w:rsidR="00757BFA" w:rsidRPr="001753EA">
              <w:t>,</w:t>
            </w:r>
            <w:r w:rsidRPr="001753EA">
              <w:t xml:space="preserve"> they can be either occupied by an approved care recipient, or available to be occupied.</w:t>
            </w:r>
          </w:p>
        </w:tc>
      </w:tr>
      <w:tr w:rsidR="0017155E" w:rsidRPr="001753EA" w14:paraId="65D78505"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4DF882C3" w14:textId="0327CEA6" w:rsidR="0080779D" w:rsidRPr="001753EA" w:rsidRDefault="0080779D" w:rsidP="001753EA">
            <w:r w:rsidRPr="001753EA">
              <w:t>Rights-based</w:t>
            </w:r>
          </w:p>
        </w:tc>
        <w:tc>
          <w:tcPr>
            <w:tcW w:w="3636" w:type="pct"/>
          </w:tcPr>
          <w:p w14:paraId="51BD4A48" w14:textId="596D133F" w:rsidR="0080779D" w:rsidRPr="001753EA" w:rsidRDefault="0080779D" w:rsidP="001753EA">
            <w:pPr>
              <w:cnfStyle w:val="000000100000" w:firstRow="0" w:lastRow="0" w:firstColumn="0" w:lastColumn="0" w:oddVBand="0" w:evenVBand="0" w:oddHBand="1" w:evenHBand="0" w:firstRowFirstColumn="0" w:firstRowLastColumn="0" w:lastRowFirstColumn="0" w:lastRowLastColumn="0"/>
            </w:pPr>
            <w:r w:rsidRPr="001753EA">
              <w:t xml:space="preserve">An approach that </w:t>
            </w:r>
            <w:proofErr w:type="spellStart"/>
            <w:r w:rsidRPr="001753EA">
              <w:t>prioritises</w:t>
            </w:r>
            <w:proofErr w:type="spellEnd"/>
            <w:r w:rsidRPr="001753EA">
              <w:t xml:space="preserve"> active decision-making, informed choice, individual values and preferences, and person-</w:t>
            </w:r>
            <w:proofErr w:type="spellStart"/>
            <w:r w:rsidRPr="001753EA">
              <w:t>centred</w:t>
            </w:r>
            <w:proofErr w:type="spellEnd"/>
            <w:r w:rsidRPr="001753EA">
              <w:t xml:space="preserve"> practice. </w:t>
            </w:r>
          </w:p>
        </w:tc>
      </w:tr>
      <w:tr w:rsidR="008F6DC4" w:rsidRPr="001753EA" w14:paraId="14E32DE2"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6D9C20E0" w14:textId="77777777" w:rsidR="008F6DC4" w:rsidRPr="001753EA" w:rsidRDefault="008F6DC4" w:rsidP="001753EA">
            <w:r w:rsidRPr="001753EA">
              <w:t>Staff</w:t>
            </w:r>
          </w:p>
        </w:tc>
        <w:tc>
          <w:tcPr>
            <w:tcW w:w="3636" w:type="pct"/>
          </w:tcPr>
          <w:p w14:paraId="19A61E40"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 xml:space="preserve">People working in an </w:t>
            </w:r>
            <w:proofErr w:type="spellStart"/>
            <w:r w:rsidRPr="001753EA">
              <w:t>organisation</w:t>
            </w:r>
            <w:proofErr w:type="spellEnd"/>
            <w:r w:rsidRPr="001753EA">
              <w:t xml:space="preserve"> who are responsible for the care, </w:t>
            </w:r>
            <w:proofErr w:type="gramStart"/>
            <w:r w:rsidRPr="001753EA">
              <w:t>administration</w:t>
            </w:r>
            <w:proofErr w:type="gramEnd"/>
            <w:r w:rsidRPr="001753EA">
              <w:t xml:space="preserve"> and support of, or involvement with people accessing aged care. </w:t>
            </w:r>
          </w:p>
        </w:tc>
      </w:tr>
      <w:tr w:rsidR="0017155E" w:rsidRPr="001753EA" w14:paraId="1AE93D16"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6A63E627" w14:textId="77777777" w:rsidR="008F6DC4" w:rsidRPr="001753EA" w:rsidRDefault="008F6DC4" w:rsidP="001753EA">
            <w:r w:rsidRPr="001753EA">
              <w:t>Thin markets</w:t>
            </w:r>
          </w:p>
        </w:tc>
        <w:tc>
          <w:tcPr>
            <w:tcW w:w="3636" w:type="pct"/>
          </w:tcPr>
          <w:p w14:paraId="15816912" w14:textId="77777777"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Where there is lack of service availability resulting in peoples’ needs not being met. Thin markets may include:</w:t>
            </w:r>
          </w:p>
          <w:p w14:paraId="20A89788" w14:textId="77777777"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Geographically rural/remote areas</w:t>
            </w:r>
          </w:p>
          <w:p w14:paraId="7EC9F486" w14:textId="77777777"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Support type (</w:t>
            </w:r>
            <w:proofErr w:type="gramStart"/>
            <w:r w:rsidRPr="001753EA">
              <w:t>e.g.</w:t>
            </w:r>
            <w:proofErr w:type="gramEnd"/>
            <w:r w:rsidRPr="001753EA">
              <w:t xml:space="preserve"> </w:t>
            </w:r>
            <w:proofErr w:type="spellStart"/>
            <w:r w:rsidRPr="001753EA">
              <w:t>specialised</w:t>
            </w:r>
            <w:proofErr w:type="spellEnd"/>
            <w:r w:rsidRPr="001753EA">
              <w:t xml:space="preserve"> supports with insufficient supply or low demand)</w:t>
            </w:r>
          </w:p>
          <w:p w14:paraId="24B6BAC2" w14:textId="68096ABC"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Supports for people with complex needs such living with dementia</w:t>
            </w:r>
          </w:p>
          <w:p w14:paraId="1127648B" w14:textId="77777777"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Support for Aboriginal and Torres Strait Island peoples</w:t>
            </w:r>
          </w:p>
          <w:p w14:paraId="2F48E796" w14:textId="70323A06" w:rsidR="008F6DC4" w:rsidRPr="001753EA" w:rsidRDefault="008F6DC4" w:rsidP="00EC3654">
            <w:pPr>
              <w:pStyle w:val="ListBullet"/>
              <w:cnfStyle w:val="000000100000" w:firstRow="0" w:lastRow="0" w:firstColumn="0" w:lastColumn="0" w:oddVBand="0" w:evenVBand="0" w:oddHBand="1" w:evenHBand="0" w:firstRowFirstColumn="0" w:firstRowLastColumn="0" w:lastRowFirstColumn="0" w:lastRowLastColumn="0"/>
            </w:pPr>
            <w:r w:rsidRPr="001753EA">
              <w:t>Support for Culturally and Linguistically Diverse (CALD) people</w:t>
            </w:r>
            <w:r w:rsidR="00A76B05" w:rsidRPr="001753EA">
              <w:t>.</w:t>
            </w:r>
          </w:p>
        </w:tc>
      </w:tr>
      <w:tr w:rsidR="008F6DC4" w:rsidRPr="001753EA" w14:paraId="62537A2D" w14:textId="77777777" w:rsidTr="001753EA">
        <w:tc>
          <w:tcPr>
            <w:cnfStyle w:val="001000000000" w:firstRow="0" w:lastRow="0" w:firstColumn="1" w:lastColumn="0" w:oddVBand="0" w:evenVBand="0" w:oddHBand="0" w:evenHBand="0" w:firstRowFirstColumn="0" w:firstRowLastColumn="0" w:lastRowFirstColumn="0" w:lastRowLastColumn="0"/>
            <w:tcW w:w="1364" w:type="pct"/>
          </w:tcPr>
          <w:p w14:paraId="00D9356F" w14:textId="77777777" w:rsidR="008F6DC4" w:rsidRPr="001753EA" w:rsidRDefault="008F6DC4" w:rsidP="001753EA">
            <w:r w:rsidRPr="001753EA">
              <w:t>Transitional arrangements</w:t>
            </w:r>
          </w:p>
        </w:tc>
        <w:tc>
          <w:tcPr>
            <w:tcW w:w="3636" w:type="pct"/>
          </w:tcPr>
          <w:p w14:paraId="27E39EE5" w14:textId="77777777" w:rsidR="008F6DC4" w:rsidRPr="001753EA" w:rsidRDefault="008F6DC4" w:rsidP="001753EA">
            <w:pPr>
              <w:cnfStyle w:val="000000000000" w:firstRow="0" w:lastRow="0" w:firstColumn="0" w:lastColumn="0" w:oddVBand="0" w:evenVBand="0" w:oddHBand="0" w:evenHBand="0" w:firstRowFirstColumn="0" w:firstRowLastColumn="0" w:lastRowFirstColumn="0" w:lastRowLastColumn="0"/>
            </w:pPr>
            <w:r w:rsidRPr="001753EA">
              <w:t>Arrangements to ensure the ongoing supply of residential places and continued investment and construction in the residential aged care sector in the lead up to reform implementation from 1 July 2024,</w:t>
            </w:r>
          </w:p>
        </w:tc>
      </w:tr>
      <w:tr w:rsidR="0017155E" w:rsidRPr="001753EA" w14:paraId="2603B111" w14:textId="77777777" w:rsidTr="00175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37830486" w14:textId="77777777" w:rsidR="008F6DC4" w:rsidRPr="001753EA" w:rsidRDefault="008F6DC4" w:rsidP="001753EA">
            <w:r w:rsidRPr="001753EA">
              <w:t>Viability</w:t>
            </w:r>
          </w:p>
        </w:tc>
        <w:tc>
          <w:tcPr>
            <w:tcW w:w="3636" w:type="pct"/>
          </w:tcPr>
          <w:p w14:paraId="385167B1" w14:textId="355AB2FA" w:rsidR="008F6DC4" w:rsidRPr="001753EA" w:rsidRDefault="008F6DC4" w:rsidP="001753EA">
            <w:pPr>
              <w:cnfStyle w:val="000000100000" w:firstRow="0" w:lastRow="0" w:firstColumn="0" w:lastColumn="0" w:oddVBand="0" w:evenVBand="0" w:oddHBand="1" w:evenHBand="0" w:firstRowFirstColumn="0" w:firstRowLastColumn="0" w:lastRowFirstColumn="0" w:lastRowLastColumn="0"/>
            </w:pPr>
            <w:r w:rsidRPr="001753EA">
              <w:t xml:space="preserve">The extent to which a provider, </w:t>
            </w:r>
            <w:proofErr w:type="spellStart"/>
            <w:r w:rsidRPr="001753EA">
              <w:t>organisation</w:t>
            </w:r>
            <w:proofErr w:type="spellEnd"/>
            <w:r w:rsidRPr="001753EA">
              <w:t xml:space="preserve">, or residential aged care sector broadly is profitable (in both accounting and operating </w:t>
            </w:r>
            <w:r w:rsidRPr="001753EA">
              <w:lastRenderedPageBreak/>
              <w:t>cash flow terms), liquidity, ability to raise debt or equity capital, and ability to maintain profitability by liquidating some non-current assets.</w:t>
            </w:r>
          </w:p>
        </w:tc>
      </w:tr>
    </w:tbl>
    <w:p w14:paraId="28024709" w14:textId="77777777" w:rsidR="008F6DC4" w:rsidRPr="00D04C0D" w:rsidRDefault="008F6DC4" w:rsidP="00D04C0D">
      <w:r w:rsidRPr="00B528D0">
        <w:rPr>
          <w:lang w:val="en-AU" w:eastAsia="zh-CN"/>
        </w:rPr>
        <w:lastRenderedPageBreak/>
        <w:br w:type="page"/>
      </w:r>
    </w:p>
    <w:p w14:paraId="2E12F31C" w14:textId="1401E6DC" w:rsidR="000D5939" w:rsidRPr="00086E7C" w:rsidRDefault="000D5939" w:rsidP="00086E7C">
      <w:pPr>
        <w:pStyle w:val="Heading1"/>
      </w:pPr>
      <w:bookmarkStart w:id="45" w:name="_Toc117872995"/>
      <w:r w:rsidRPr="00086E7C">
        <w:lastRenderedPageBreak/>
        <w:t xml:space="preserve">Appendix </w:t>
      </w:r>
      <w:r w:rsidR="005458B8" w:rsidRPr="00086E7C">
        <w:t>C</w:t>
      </w:r>
      <w:r w:rsidRPr="00086E7C">
        <w:t xml:space="preserve"> – Stakeholders consulted</w:t>
      </w:r>
      <w:bookmarkEnd w:id="45"/>
      <w:r w:rsidRPr="00086E7C">
        <w:t xml:space="preserve"> </w:t>
      </w:r>
    </w:p>
    <w:p w14:paraId="5F0B0C46" w14:textId="38759688" w:rsidR="007A126D" w:rsidRPr="00B528D0" w:rsidRDefault="007A126D" w:rsidP="00A76B05">
      <w:pPr>
        <w:pStyle w:val="Heading1Char"/>
        <w:rPr>
          <w:lang w:val="en-AU"/>
        </w:rPr>
        <w:sectPr w:rsidR="007A126D" w:rsidRPr="00B528D0" w:rsidSect="007A126D">
          <w:pgSz w:w="11906" w:h="16838" w:code="9"/>
          <w:pgMar w:top="1440" w:right="1440" w:bottom="1440" w:left="1440" w:header="17" w:footer="159" w:gutter="0"/>
          <w:cols w:space="227"/>
          <w:titlePg/>
          <w:docGrid w:linePitch="360"/>
        </w:sectPr>
      </w:pPr>
      <w:r w:rsidRPr="001B7B17">
        <w:rPr>
          <w:rStyle w:val="Strong"/>
        </w:rPr>
        <w:t>Survey respondents</w:t>
      </w:r>
      <w:r w:rsidRPr="001D6174">
        <w:footnoteReference w:id="2"/>
      </w:r>
    </w:p>
    <w:p w14:paraId="45E2CADF" w14:textId="77777777" w:rsidR="007A126D" w:rsidRPr="00B528D0" w:rsidRDefault="007A126D" w:rsidP="00A76B05">
      <w:pPr>
        <w:pStyle w:val="Heading1Char"/>
        <w:rPr>
          <w:lang w:val="en-AU"/>
        </w:rPr>
      </w:pPr>
      <w:proofErr w:type="spellStart"/>
      <w:r w:rsidRPr="00B528D0">
        <w:rPr>
          <w:lang w:val="en-AU"/>
        </w:rPr>
        <w:t>AdventCare</w:t>
      </w:r>
      <w:proofErr w:type="spellEnd"/>
    </w:p>
    <w:p w14:paraId="288DA701" w14:textId="77777777" w:rsidR="007A126D" w:rsidRPr="00B528D0" w:rsidRDefault="007A126D" w:rsidP="00A76B05">
      <w:pPr>
        <w:pStyle w:val="Heading1Char"/>
        <w:rPr>
          <w:lang w:val="en-AU"/>
        </w:rPr>
      </w:pPr>
      <w:proofErr w:type="spellStart"/>
      <w:r w:rsidRPr="00B528D0">
        <w:rPr>
          <w:lang w:val="en-AU"/>
        </w:rPr>
        <w:t>Arcare</w:t>
      </w:r>
      <w:proofErr w:type="spellEnd"/>
    </w:p>
    <w:p w14:paraId="5D4C8A9B" w14:textId="77777777" w:rsidR="007A126D" w:rsidRPr="00B528D0" w:rsidRDefault="007A126D" w:rsidP="00A76B05">
      <w:pPr>
        <w:pStyle w:val="Heading1Char"/>
        <w:rPr>
          <w:lang w:val="en-AU"/>
        </w:rPr>
      </w:pPr>
      <w:r w:rsidRPr="00B528D0">
        <w:rPr>
          <w:lang w:val="en-AU"/>
        </w:rPr>
        <w:t xml:space="preserve">Australian Association of Gerontology </w:t>
      </w:r>
    </w:p>
    <w:p w14:paraId="5C6E53D1" w14:textId="77777777" w:rsidR="007A126D" w:rsidRPr="00B528D0" w:rsidRDefault="007A126D" w:rsidP="00A76B05">
      <w:pPr>
        <w:pStyle w:val="Heading1Char"/>
        <w:rPr>
          <w:lang w:val="en-AU"/>
        </w:rPr>
      </w:pPr>
      <w:r w:rsidRPr="00B528D0">
        <w:rPr>
          <w:lang w:val="en-AU"/>
        </w:rPr>
        <w:t>Australian Community Industry Alliance</w:t>
      </w:r>
    </w:p>
    <w:p w14:paraId="0F926E44" w14:textId="77777777" w:rsidR="007A126D" w:rsidRPr="00B528D0" w:rsidRDefault="007A126D" w:rsidP="00A76B05">
      <w:pPr>
        <w:pStyle w:val="Heading1Char"/>
        <w:rPr>
          <w:lang w:val="en-AU"/>
        </w:rPr>
      </w:pPr>
      <w:r w:rsidRPr="00B528D0">
        <w:rPr>
          <w:lang w:val="en-AU"/>
        </w:rPr>
        <w:t>Australian Unity</w:t>
      </w:r>
    </w:p>
    <w:p w14:paraId="7F9CEB69" w14:textId="77777777" w:rsidR="007A126D" w:rsidRPr="00B528D0" w:rsidRDefault="007A126D" w:rsidP="00A76B05">
      <w:pPr>
        <w:pStyle w:val="Heading1Char"/>
        <w:rPr>
          <w:lang w:val="en-AU"/>
        </w:rPr>
      </w:pPr>
      <w:proofErr w:type="spellStart"/>
      <w:r w:rsidRPr="00B528D0">
        <w:rPr>
          <w:lang w:val="en-AU"/>
        </w:rPr>
        <w:t>BaptistCare</w:t>
      </w:r>
      <w:proofErr w:type="spellEnd"/>
      <w:r w:rsidRPr="00B528D0">
        <w:rPr>
          <w:lang w:val="en-AU"/>
        </w:rPr>
        <w:t xml:space="preserve"> </w:t>
      </w:r>
    </w:p>
    <w:p w14:paraId="42000AA3" w14:textId="77777777" w:rsidR="007A126D" w:rsidRPr="00B528D0" w:rsidRDefault="007A126D" w:rsidP="00A76B05">
      <w:pPr>
        <w:pStyle w:val="Heading1Char"/>
        <w:rPr>
          <w:lang w:val="en-AU"/>
        </w:rPr>
      </w:pPr>
      <w:proofErr w:type="spellStart"/>
      <w:r w:rsidRPr="00B528D0">
        <w:rPr>
          <w:lang w:val="en-AU"/>
        </w:rPr>
        <w:t>Bedsearch</w:t>
      </w:r>
      <w:proofErr w:type="spellEnd"/>
      <w:r w:rsidRPr="00B528D0">
        <w:rPr>
          <w:lang w:val="en-AU"/>
        </w:rPr>
        <w:t xml:space="preserve"> Australia Pty Ltd</w:t>
      </w:r>
    </w:p>
    <w:p w14:paraId="16A4F3D9" w14:textId="77777777" w:rsidR="007A126D" w:rsidRPr="00B528D0" w:rsidRDefault="007A126D" w:rsidP="00A76B05">
      <w:pPr>
        <w:pStyle w:val="Heading1Char"/>
        <w:rPr>
          <w:lang w:val="en-AU"/>
        </w:rPr>
      </w:pPr>
      <w:proofErr w:type="spellStart"/>
      <w:r w:rsidRPr="00B528D0">
        <w:rPr>
          <w:lang w:val="en-AU"/>
        </w:rPr>
        <w:t>Bluecare</w:t>
      </w:r>
      <w:proofErr w:type="spellEnd"/>
      <w:r w:rsidRPr="00B528D0">
        <w:rPr>
          <w:lang w:val="en-AU"/>
        </w:rPr>
        <w:t xml:space="preserve"> </w:t>
      </w:r>
    </w:p>
    <w:p w14:paraId="512B7D22" w14:textId="77777777" w:rsidR="007A126D" w:rsidRPr="00B528D0" w:rsidRDefault="007A126D" w:rsidP="00A76B05">
      <w:pPr>
        <w:pStyle w:val="Heading1Char"/>
        <w:rPr>
          <w:lang w:val="en-AU"/>
        </w:rPr>
      </w:pPr>
      <w:r w:rsidRPr="00B528D0">
        <w:rPr>
          <w:lang w:val="en-AU"/>
        </w:rPr>
        <w:t>BlueCross</w:t>
      </w:r>
    </w:p>
    <w:p w14:paraId="0C6C6F20" w14:textId="77777777" w:rsidR="007A126D" w:rsidRPr="00B528D0" w:rsidRDefault="007A126D" w:rsidP="00A76B05">
      <w:pPr>
        <w:pStyle w:val="Heading1Char"/>
        <w:rPr>
          <w:lang w:val="en-AU"/>
        </w:rPr>
      </w:pPr>
      <w:r w:rsidRPr="00B528D0">
        <w:rPr>
          <w:lang w:val="en-AU"/>
        </w:rPr>
        <w:t>Bupa Aged Care</w:t>
      </w:r>
    </w:p>
    <w:p w14:paraId="36EFD613" w14:textId="77777777" w:rsidR="007A126D" w:rsidRPr="00B528D0" w:rsidRDefault="007A126D" w:rsidP="00A76B05">
      <w:pPr>
        <w:pStyle w:val="Heading1Char"/>
        <w:rPr>
          <w:lang w:val="en-AU"/>
        </w:rPr>
      </w:pPr>
      <w:r w:rsidRPr="00B528D0">
        <w:rPr>
          <w:lang w:val="en-AU"/>
        </w:rPr>
        <w:t>Carers Australia</w:t>
      </w:r>
    </w:p>
    <w:p w14:paraId="29F45A44" w14:textId="77777777" w:rsidR="007A126D" w:rsidRPr="00B528D0" w:rsidRDefault="007A126D" w:rsidP="00A76B05">
      <w:pPr>
        <w:pStyle w:val="Heading1Char"/>
        <w:rPr>
          <w:lang w:val="en-AU"/>
        </w:rPr>
      </w:pPr>
      <w:r w:rsidRPr="00B528D0">
        <w:rPr>
          <w:lang w:val="en-AU"/>
        </w:rPr>
        <w:t>Catholic Healthcare Ltd.</w:t>
      </w:r>
    </w:p>
    <w:p w14:paraId="1E37A17F" w14:textId="77777777" w:rsidR="007A126D" w:rsidRPr="00B528D0" w:rsidRDefault="007A126D" w:rsidP="00A76B05">
      <w:pPr>
        <w:pStyle w:val="Heading1Char"/>
        <w:rPr>
          <w:lang w:val="en-AU"/>
        </w:rPr>
      </w:pPr>
      <w:r w:rsidRPr="00B528D0">
        <w:rPr>
          <w:lang w:val="en-AU"/>
        </w:rPr>
        <w:t>Cobden health</w:t>
      </w:r>
    </w:p>
    <w:p w14:paraId="573B40DA" w14:textId="77777777" w:rsidR="007A126D" w:rsidRPr="00B528D0" w:rsidRDefault="007A126D" w:rsidP="00A76B05">
      <w:pPr>
        <w:pStyle w:val="Heading1Char"/>
        <w:rPr>
          <w:lang w:val="en-AU"/>
        </w:rPr>
      </w:pPr>
      <w:r w:rsidRPr="00B528D0">
        <w:rPr>
          <w:lang w:val="en-AU"/>
        </w:rPr>
        <w:t>Continence Foundation of Australia</w:t>
      </w:r>
    </w:p>
    <w:p w14:paraId="1733E27C" w14:textId="77777777" w:rsidR="007A126D" w:rsidRPr="00B528D0" w:rsidRDefault="007A126D" w:rsidP="00A76B05">
      <w:pPr>
        <w:pStyle w:val="Heading1Char"/>
        <w:rPr>
          <w:lang w:val="en-AU"/>
        </w:rPr>
      </w:pPr>
      <w:r w:rsidRPr="00B528D0">
        <w:rPr>
          <w:lang w:val="en-AU"/>
        </w:rPr>
        <w:t xml:space="preserve">Cora Physiotherapy </w:t>
      </w:r>
    </w:p>
    <w:p w14:paraId="3C84691E" w14:textId="77777777" w:rsidR="007A126D" w:rsidRPr="00B528D0" w:rsidRDefault="007A126D" w:rsidP="00A76B05">
      <w:pPr>
        <w:pStyle w:val="Heading1Char"/>
        <w:rPr>
          <w:lang w:val="en-AU"/>
        </w:rPr>
      </w:pPr>
      <w:r w:rsidRPr="00B528D0">
        <w:rPr>
          <w:lang w:val="en-AU"/>
        </w:rPr>
        <w:t>Council on The Ageing (COTA) Australia</w:t>
      </w:r>
    </w:p>
    <w:p w14:paraId="3EC174F9" w14:textId="77777777" w:rsidR="007A126D" w:rsidRPr="00B528D0" w:rsidRDefault="007A126D" w:rsidP="00A76B05">
      <w:pPr>
        <w:pStyle w:val="Heading1Char"/>
        <w:rPr>
          <w:lang w:val="en-AU"/>
        </w:rPr>
      </w:pPr>
      <w:r w:rsidRPr="00B528D0">
        <w:rPr>
          <w:lang w:val="en-AU"/>
        </w:rPr>
        <w:t xml:space="preserve">Council on the Ageing </w:t>
      </w:r>
      <w:r w:rsidRPr="00B528D0">
        <w:rPr>
          <w:lang w:val="en-AU"/>
        </w:rPr>
        <w:t>Victoria</w:t>
      </w:r>
    </w:p>
    <w:p w14:paraId="1EB13C77" w14:textId="77777777" w:rsidR="007A126D" w:rsidRPr="00B528D0" w:rsidRDefault="007A126D" w:rsidP="00A76B05">
      <w:pPr>
        <w:pStyle w:val="Heading1Char"/>
        <w:rPr>
          <w:lang w:val="en-AU"/>
        </w:rPr>
      </w:pPr>
      <w:r w:rsidRPr="00B528D0">
        <w:rPr>
          <w:lang w:val="en-AU"/>
        </w:rPr>
        <w:t>Dementia Australia</w:t>
      </w:r>
    </w:p>
    <w:p w14:paraId="10696A10" w14:textId="77777777" w:rsidR="007A126D" w:rsidRPr="00B528D0" w:rsidRDefault="007A126D" w:rsidP="00A76B05">
      <w:pPr>
        <w:pStyle w:val="Heading1Char"/>
        <w:rPr>
          <w:lang w:val="en-AU"/>
        </w:rPr>
      </w:pPr>
      <w:r w:rsidRPr="00B528D0">
        <w:rPr>
          <w:lang w:val="en-AU"/>
        </w:rPr>
        <w:t>Dietitians Australia</w:t>
      </w:r>
    </w:p>
    <w:p w14:paraId="3716B092" w14:textId="77777777" w:rsidR="007A126D" w:rsidRPr="00B528D0" w:rsidRDefault="007A126D" w:rsidP="00A76B05">
      <w:pPr>
        <w:pStyle w:val="Heading1Char"/>
        <w:rPr>
          <w:lang w:val="en-AU"/>
        </w:rPr>
      </w:pPr>
      <w:proofErr w:type="spellStart"/>
      <w:r w:rsidRPr="00B528D0">
        <w:rPr>
          <w:lang w:val="en-AU"/>
        </w:rPr>
        <w:t>Estia</w:t>
      </w:r>
      <w:proofErr w:type="spellEnd"/>
      <w:r w:rsidRPr="00B528D0">
        <w:rPr>
          <w:lang w:val="en-AU"/>
        </w:rPr>
        <w:t xml:space="preserve"> Health</w:t>
      </w:r>
    </w:p>
    <w:p w14:paraId="7C8092D3" w14:textId="77777777" w:rsidR="007A126D" w:rsidRPr="00B528D0" w:rsidRDefault="007A126D" w:rsidP="00A76B05">
      <w:pPr>
        <w:pStyle w:val="Heading1Char"/>
        <w:rPr>
          <w:lang w:val="en-AU"/>
        </w:rPr>
      </w:pPr>
      <w:proofErr w:type="spellStart"/>
      <w:r w:rsidRPr="00B528D0">
        <w:rPr>
          <w:lang w:val="en-AU"/>
        </w:rPr>
        <w:t>Feros</w:t>
      </w:r>
      <w:proofErr w:type="spellEnd"/>
      <w:r w:rsidRPr="00B528D0">
        <w:rPr>
          <w:lang w:val="en-AU"/>
        </w:rPr>
        <w:t xml:space="preserve"> Care </w:t>
      </w:r>
    </w:p>
    <w:p w14:paraId="6B8D94EC" w14:textId="77777777" w:rsidR="007A126D" w:rsidRPr="00B528D0" w:rsidRDefault="007A126D" w:rsidP="00A76B05">
      <w:pPr>
        <w:pStyle w:val="Heading1Char"/>
        <w:rPr>
          <w:lang w:val="en-AU"/>
        </w:rPr>
      </w:pPr>
      <w:r w:rsidRPr="00B528D0">
        <w:rPr>
          <w:lang w:val="en-AU"/>
        </w:rPr>
        <w:t>Flinders University</w:t>
      </w:r>
    </w:p>
    <w:p w14:paraId="31970DB5" w14:textId="77777777" w:rsidR="007A126D" w:rsidRPr="00B528D0" w:rsidRDefault="007A126D" w:rsidP="00A76B05">
      <w:pPr>
        <w:pStyle w:val="Heading1Char"/>
        <w:rPr>
          <w:lang w:val="en-AU"/>
        </w:rPr>
      </w:pPr>
      <w:r w:rsidRPr="00B528D0">
        <w:rPr>
          <w:lang w:val="en-AU"/>
        </w:rPr>
        <w:t>Homestyle Aged Care</w:t>
      </w:r>
    </w:p>
    <w:p w14:paraId="0AF5A8DB" w14:textId="77777777" w:rsidR="007A126D" w:rsidRPr="00B528D0" w:rsidRDefault="007A126D" w:rsidP="00A76B05">
      <w:pPr>
        <w:pStyle w:val="Heading1Char"/>
        <w:rPr>
          <w:lang w:val="en-AU"/>
        </w:rPr>
      </w:pPr>
      <w:r w:rsidRPr="00B528D0">
        <w:rPr>
          <w:lang w:val="en-AU"/>
        </w:rPr>
        <w:t>IRT Group</w:t>
      </w:r>
    </w:p>
    <w:p w14:paraId="0D5B93B5" w14:textId="77777777" w:rsidR="007A126D" w:rsidRPr="00B528D0" w:rsidRDefault="007A126D" w:rsidP="00A76B05">
      <w:pPr>
        <w:pStyle w:val="Heading1Char"/>
        <w:rPr>
          <w:lang w:val="en-AU"/>
        </w:rPr>
      </w:pPr>
      <w:r w:rsidRPr="00B528D0">
        <w:rPr>
          <w:lang w:val="en-AU"/>
        </w:rPr>
        <w:t>Japara</w:t>
      </w:r>
    </w:p>
    <w:p w14:paraId="0D3E386F" w14:textId="77777777" w:rsidR="007A126D" w:rsidRPr="00B528D0" w:rsidRDefault="007A126D" w:rsidP="00A76B05">
      <w:pPr>
        <w:pStyle w:val="Heading1Char"/>
        <w:rPr>
          <w:lang w:val="en-AU"/>
        </w:rPr>
      </w:pPr>
      <w:proofErr w:type="spellStart"/>
      <w:r w:rsidRPr="00B528D0">
        <w:rPr>
          <w:lang w:val="en-AU"/>
        </w:rPr>
        <w:t>Knuppel</w:t>
      </w:r>
      <w:proofErr w:type="spellEnd"/>
      <w:r w:rsidRPr="00B528D0">
        <w:rPr>
          <w:lang w:val="en-AU"/>
        </w:rPr>
        <w:t xml:space="preserve"> Enterprises Pty Ltd</w:t>
      </w:r>
    </w:p>
    <w:p w14:paraId="2707BE36" w14:textId="77777777" w:rsidR="007A126D" w:rsidRPr="00B528D0" w:rsidRDefault="007A126D" w:rsidP="00A76B05">
      <w:pPr>
        <w:pStyle w:val="Heading1Char"/>
        <w:rPr>
          <w:lang w:val="en-AU"/>
        </w:rPr>
      </w:pPr>
      <w:r w:rsidRPr="00B528D0">
        <w:rPr>
          <w:lang w:val="en-AU"/>
        </w:rPr>
        <w:t>LGBTIQ+ Health Australia</w:t>
      </w:r>
    </w:p>
    <w:p w14:paraId="6F18E6D2" w14:textId="77777777" w:rsidR="007A126D" w:rsidRPr="00B528D0" w:rsidRDefault="007A126D" w:rsidP="00A76B05">
      <w:pPr>
        <w:pStyle w:val="Heading1Char"/>
        <w:rPr>
          <w:lang w:val="en-AU"/>
        </w:rPr>
      </w:pPr>
      <w:proofErr w:type="spellStart"/>
      <w:r w:rsidRPr="00B528D0">
        <w:rPr>
          <w:lang w:val="en-AU"/>
        </w:rPr>
        <w:t>Luson</w:t>
      </w:r>
      <w:proofErr w:type="spellEnd"/>
      <w:r w:rsidRPr="00B528D0">
        <w:rPr>
          <w:lang w:val="en-AU"/>
        </w:rPr>
        <w:t xml:space="preserve"> Aged Care</w:t>
      </w:r>
    </w:p>
    <w:p w14:paraId="295BF1E3" w14:textId="77777777" w:rsidR="007A126D" w:rsidRPr="00B528D0" w:rsidRDefault="007A126D" w:rsidP="00A76B05">
      <w:pPr>
        <w:pStyle w:val="Heading1Char"/>
        <w:rPr>
          <w:lang w:val="en-AU"/>
        </w:rPr>
      </w:pPr>
      <w:proofErr w:type="spellStart"/>
      <w:r w:rsidRPr="00B528D0">
        <w:rPr>
          <w:lang w:val="en-AU"/>
        </w:rPr>
        <w:t>Menarock</w:t>
      </w:r>
      <w:proofErr w:type="spellEnd"/>
      <w:r w:rsidRPr="00B528D0">
        <w:rPr>
          <w:lang w:val="en-AU"/>
        </w:rPr>
        <w:t xml:space="preserve"> Life</w:t>
      </w:r>
    </w:p>
    <w:p w14:paraId="475B6503" w14:textId="77777777" w:rsidR="007A126D" w:rsidRPr="00B528D0" w:rsidRDefault="007A126D" w:rsidP="00A76B05">
      <w:pPr>
        <w:pStyle w:val="Heading1Char"/>
        <w:rPr>
          <w:lang w:val="en-AU"/>
        </w:rPr>
      </w:pPr>
      <w:r w:rsidRPr="00B528D0">
        <w:rPr>
          <w:lang w:val="en-AU"/>
        </w:rPr>
        <w:t>Mission Australia</w:t>
      </w:r>
    </w:p>
    <w:p w14:paraId="183EEBE0" w14:textId="77777777" w:rsidR="007A126D" w:rsidRPr="00B528D0" w:rsidRDefault="007A126D" w:rsidP="00A76B05">
      <w:pPr>
        <w:pStyle w:val="Heading1Char"/>
        <w:rPr>
          <w:lang w:val="en-AU"/>
        </w:rPr>
      </w:pPr>
      <w:r w:rsidRPr="00B528D0">
        <w:rPr>
          <w:lang w:val="en-AU"/>
        </w:rPr>
        <w:t xml:space="preserve">Occupational Therapy Australia </w:t>
      </w:r>
    </w:p>
    <w:p w14:paraId="40EBA44D" w14:textId="77777777" w:rsidR="007A126D" w:rsidRPr="00B528D0" w:rsidRDefault="007A126D" w:rsidP="00A76B05">
      <w:pPr>
        <w:pStyle w:val="Heading1Char"/>
        <w:rPr>
          <w:lang w:val="en-AU"/>
        </w:rPr>
      </w:pPr>
      <w:r w:rsidRPr="00B528D0">
        <w:rPr>
          <w:lang w:val="en-AU"/>
        </w:rPr>
        <w:t>Older Persons Advocacy Network (OPAN)</w:t>
      </w:r>
    </w:p>
    <w:p w14:paraId="2B0AF318" w14:textId="77777777" w:rsidR="007A126D" w:rsidRPr="00B528D0" w:rsidRDefault="007A126D" w:rsidP="00A76B05">
      <w:pPr>
        <w:pStyle w:val="Heading1Char"/>
        <w:rPr>
          <w:lang w:val="en-AU"/>
        </w:rPr>
      </w:pPr>
      <w:r w:rsidRPr="00B528D0">
        <w:rPr>
          <w:lang w:val="en-AU"/>
        </w:rPr>
        <w:t>Opal HealthCare</w:t>
      </w:r>
    </w:p>
    <w:p w14:paraId="5E1CA061" w14:textId="77777777" w:rsidR="007A126D" w:rsidRPr="00B528D0" w:rsidRDefault="007A126D" w:rsidP="00A76B05">
      <w:pPr>
        <w:pStyle w:val="Heading1Char"/>
        <w:rPr>
          <w:lang w:val="en-AU"/>
        </w:rPr>
      </w:pPr>
      <w:r w:rsidRPr="00B528D0">
        <w:rPr>
          <w:lang w:val="en-AU"/>
        </w:rPr>
        <w:t>Palliative Care Australia</w:t>
      </w:r>
    </w:p>
    <w:p w14:paraId="0B41A014" w14:textId="77777777" w:rsidR="007A126D" w:rsidRPr="00B528D0" w:rsidRDefault="007A126D" w:rsidP="00A76B05">
      <w:pPr>
        <w:pStyle w:val="Heading1Char"/>
        <w:rPr>
          <w:lang w:val="en-AU"/>
        </w:rPr>
      </w:pPr>
      <w:r w:rsidRPr="00B528D0">
        <w:rPr>
          <w:lang w:val="en-AU"/>
        </w:rPr>
        <w:t>Person Centred Software</w:t>
      </w:r>
    </w:p>
    <w:p w14:paraId="6FA6D5E3" w14:textId="77777777" w:rsidR="007A126D" w:rsidRPr="00B528D0" w:rsidRDefault="007A126D" w:rsidP="00A76B05">
      <w:pPr>
        <w:pStyle w:val="Heading1Char"/>
        <w:rPr>
          <w:lang w:val="en-AU"/>
        </w:rPr>
      </w:pPr>
      <w:r w:rsidRPr="00B528D0">
        <w:rPr>
          <w:lang w:val="en-AU"/>
        </w:rPr>
        <w:t>Queensland Council for LGBTI health</w:t>
      </w:r>
    </w:p>
    <w:p w14:paraId="6E684F43" w14:textId="77777777" w:rsidR="007A126D" w:rsidRPr="00B528D0" w:rsidRDefault="007A126D" w:rsidP="00A76B05">
      <w:pPr>
        <w:pStyle w:val="Heading1Char"/>
        <w:rPr>
          <w:lang w:val="en-AU"/>
        </w:rPr>
      </w:pPr>
      <w:r w:rsidRPr="00B528D0">
        <w:rPr>
          <w:lang w:val="en-AU"/>
        </w:rPr>
        <w:t>Respect</w:t>
      </w:r>
    </w:p>
    <w:p w14:paraId="32B5A976" w14:textId="77777777" w:rsidR="007A126D" w:rsidRPr="00B528D0" w:rsidRDefault="007A126D" w:rsidP="00A76B05">
      <w:pPr>
        <w:pStyle w:val="Heading1Char"/>
        <w:rPr>
          <w:lang w:val="en-AU"/>
        </w:rPr>
      </w:pPr>
      <w:r w:rsidRPr="00B528D0">
        <w:rPr>
          <w:lang w:val="en-AU"/>
        </w:rPr>
        <w:t>Resthaven Incorporated</w:t>
      </w:r>
    </w:p>
    <w:p w14:paraId="7E32F1E6" w14:textId="77777777" w:rsidR="007A126D" w:rsidRPr="00B528D0" w:rsidRDefault="007A126D" w:rsidP="00A76B05">
      <w:pPr>
        <w:pStyle w:val="Heading1Char"/>
        <w:rPr>
          <w:lang w:val="en-AU"/>
        </w:rPr>
      </w:pPr>
      <w:r w:rsidRPr="00B528D0">
        <w:rPr>
          <w:lang w:val="en-AU"/>
        </w:rPr>
        <w:t>Rockpool Residential Aged Care</w:t>
      </w:r>
    </w:p>
    <w:p w14:paraId="03770330" w14:textId="77777777" w:rsidR="007A126D" w:rsidRPr="00B528D0" w:rsidRDefault="007A126D" w:rsidP="00A76B05">
      <w:pPr>
        <w:pStyle w:val="Heading1Char"/>
        <w:rPr>
          <w:lang w:val="en-AU"/>
        </w:rPr>
      </w:pPr>
      <w:r w:rsidRPr="00B528D0">
        <w:rPr>
          <w:lang w:val="en-AU"/>
        </w:rPr>
        <w:t xml:space="preserve">Royal Freemasons Benevolent Institution </w:t>
      </w:r>
    </w:p>
    <w:p w14:paraId="07C1FB05" w14:textId="77777777" w:rsidR="007A126D" w:rsidRPr="00B528D0" w:rsidRDefault="007A126D" w:rsidP="00A76B05">
      <w:pPr>
        <w:pStyle w:val="Heading1Char"/>
        <w:rPr>
          <w:lang w:val="en-AU"/>
        </w:rPr>
      </w:pPr>
      <w:r w:rsidRPr="00B528D0">
        <w:rPr>
          <w:lang w:val="en-AU"/>
        </w:rPr>
        <w:t>The Aged Care Industry Association (ACIA)</w:t>
      </w:r>
    </w:p>
    <w:p w14:paraId="37C7933B" w14:textId="77777777" w:rsidR="007A126D" w:rsidRPr="00B528D0" w:rsidRDefault="007A126D" w:rsidP="00A76B05">
      <w:pPr>
        <w:pStyle w:val="Heading1Char"/>
        <w:rPr>
          <w:lang w:val="en-AU"/>
        </w:rPr>
      </w:pPr>
      <w:r w:rsidRPr="00B528D0">
        <w:rPr>
          <w:lang w:val="en-AU"/>
        </w:rPr>
        <w:t>The Aged Care Workforce Remote Accord</w:t>
      </w:r>
    </w:p>
    <w:p w14:paraId="7E6822E9" w14:textId="77777777" w:rsidR="007A126D" w:rsidRPr="00B528D0" w:rsidRDefault="007A126D" w:rsidP="00A76B05">
      <w:pPr>
        <w:pStyle w:val="Heading1Char"/>
        <w:rPr>
          <w:lang w:val="en-AU"/>
        </w:rPr>
      </w:pPr>
      <w:r w:rsidRPr="00B528D0">
        <w:rPr>
          <w:lang w:val="en-AU"/>
        </w:rPr>
        <w:t>University of South Australia (</w:t>
      </w:r>
      <w:proofErr w:type="spellStart"/>
      <w:r w:rsidRPr="00B528D0">
        <w:rPr>
          <w:lang w:val="en-AU"/>
        </w:rPr>
        <w:t>UniSA</w:t>
      </w:r>
      <w:proofErr w:type="spellEnd"/>
      <w:r w:rsidRPr="00B528D0">
        <w:rPr>
          <w:lang w:val="en-AU"/>
        </w:rPr>
        <w:t>)</w:t>
      </w:r>
    </w:p>
    <w:p w14:paraId="7C1034BC" w14:textId="77777777" w:rsidR="007A126D" w:rsidRPr="00B528D0" w:rsidRDefault="007A126D" w:rsidP="00A76B05">
      <w:pPr>
        <w:pStyle w:val="Heading1Char"/>
        <w:rPr>
          <w:lang w:val="en-AU"/>
        </w:rPr>
      </w:pPr>
      <w:r w:rsidRPr="00B528D0">
        <w:rPr>
          <w:lang w:val="en-AU"/>
        </w:rPr>
        <w:t xml:space="preserve">Uniting </w:t>
      </w:r>
    </w:p>
    <w:p w14:paraId="14C40650" w14:textId="77777777" w:rsidR="007A126D" w:rsidRPr="00B528D0" w:rsidRDefault="007A126D" w:rsidP="00A76B05">
      <w:pPr>
        <w:pStyle w:val="Heading1Char"/>
        <w:rPr>
          <w:lang w:val="en-AU"/>
        </w:rPr>
      </w:pPr>
      <w:r w:rsidRPr="00B528D0">
        <w:rPr>
          <w:lang w:val="en-AU"/>
        </w:rPr>
        <w:t>University of Tasmania</w:t>
      </w:r>
    </w:p>
    <w:p w14:paraId="3F32E1D6" w14:textId="77777777" w:rsidR="007A126D" w:rsidRPr="00B528D0" w:rsidRDefault="007A126D" w:rsidP="00A76B05">
      <w:pPr>
        <w:pStyle w:val="Heading1Char"/>
        <w:rPr>
          <w:lang w:val="en-AU"/>
        </w:rPr>
      </w:pPr>
      <w:r w:rsidRPr="00B528D0">
        <w:rPr>
          <w:lang w:val="en-AU"/>
        </w:rPr>
        <w:t>The University of New South Wales (UNSW)</w:t>
      </w:r>
    </w:p>
    <w:p w14:paraId="1E0EA01E" w14:textId="77777777" w:rsidR="007A126D" w:rsidRPr="00B528D0" w:rsidRDefault="007A126D" w:rsidP="00A76B05">
      <w:pPr>
        <w:pStyle w:val="Heading1Char"/>
        <w:rPr>
          <w:lang w:val="en-AU"/>
        </w:rPr>
      </w:pPr>
      <w:r w:rsidRPr="00B528D0">
        <w:rPr>
          <w:lang w:val="en-AU"/>
        </w:rPr>
        <w:t>Vision 2020 Australia</w:t>
      </w:r>
    </w:p>
    <w:p w14:paraId="32215C6A" w14:textId="77777777" w:rsidR="007A126D" w:rsidRPr="00B528D0" w:rsidRDefault="007A126D" w:rsidP="00A76B05">
      <w:pPr>
        <w:pStyle w:val="Heading1Char"/>
        <w:rPr>
          <w:lang w:val="en-AU"/>
        </w:rPr>
      </w:pPr>
      <w:r w:rsidRPr="00B528D0">
        <w:rPr>
          <w:lang w:val="en-AU"/>
        </w:rPr>
        <w:t>Western Sydney University</w:t>
      </w:r>
    </w:p>
    <w:p w14:paraId="44E32D38" w14:textId="77777777" w:rsidR="007A126D" w:rsidRPr="00B528D0" w:rsidRDefault="007A126D" w:rsidP="00A76B05">
      <w:pPr>
        <w:pStyle w:val="Heading1Char"/>
        <w:rPr>
          <w:lang w:val="en-AU"/>
        </w:rPr>
        <w:sectPr w:rsidR="007A126D" w:rsidRPr="00B528D0" w:rsidSect="00FF340D">
          <w:type w:val="continuous"/>
          <w:pgSz w:w="11906" w:h="16838" w:code="9"/>
          <w:pgMar w:top="1440" w:right="1440" w:bottom="1440" w:left="1440" w:header="17" w:footer="159" w:gutter="0"/>
          <w:cols w:num="3" w:space="227"/>
          <w:titlePg/>
          <w:docGrid w:linePitch="360"/>
        </w:sectPr>
      </w:pPr>
      <w:r w:rsidRPr="00B528D0">
        <w:rPr>
          <w:lang w:val="en-AU"/>
        </w:rPr>
        <w:t>Wheatfields Incorporated</w:t>
      </w:r>
    </w:p>
    <w:p w14:paraId="047868E3" w14:textId="7BB10149" w:rsidR="00A76B05" w:rsidRPr="00D04C0D" w:rsidRDefault="00A76B05" w:rsidP="00D04C0D">
      <w:r>
        <w:rPr>
          <w:lang w:val="en-AU"/>
        </w:rPr>
        <w:br w:type="page"/>
      </w:r>
    </w:p>
    <w:p w14:paraId="508B4913" w14:textId="77777777" w:rsidR="00FF340D" w:rsidRPr="00B528D0" w:rsidRDefault="00FF340D" w:rsidP="00A76B05">
      <w:pPr>
        <w:pStyle w:val="Heading1Char"/>
        <w:rPr>
          <w:lang w:val="en-AU"/>
        </w:rPr>
        <w:sectPr w:rsidR="00FF340D" w:rsidRPr="00B528D0" w:rsidSect="00893DCF">
          <w:type w:val="continuous"/>
          <w:pgSz w:w="11906" w:h="16838" w:code="9"/>
          <w:pgMar w:top="1440" w:right="1440" w:bottom="1440" w:left="1440" w:header="17" w:footer="159" w:gutter="0"/>
          <w:cols w:space="227"/>
          <w:titlePg/>
          <w:docGrid w:linePitch="360"/>
        </w:sectPr>
      </w:pPr>
    </w:p>
    <w:p w14:paraId="5A4A8799" w14:textId="6D843880" w:rsidR="007A126D" w:rsidRPr="00231194" w:rsidRDefault="007A126D" w:rsidP="00231194">
      <w:r w:rsidRPr="00231194">
        <w:rPr>
          <w:rStyle w:val="Strong"/>
        </w:rPr>
        <w:lastRenderedPageBreak/>
        <w:t>Written submissions</w:t>
      </w:r>
      <w:r w:rsidRPr="00231194">
        <w:footnoteReference w:id="3"/>
      </w:r>
    </w:p>
    <w:p w14:paraId="7840D2A5" w14:textId="77777777" w:rsidR="007A126D" w:rsidRPr="00B528D0" w:rsidRDefault="007A126D" w:rsidP="00A76B05">
      <w:pPr>
        <w:pStyle w:val="Heading1Char"/>
        <w:rPr>
          <w:lang w:val="en-AU"/>
        </w:rPr>
        <w:sectPr w:rsidR="007A126D" w:rsidRPr="00B528D0" w:rsidSect="00893DCF">
          <w:type w:val="continuous"/>
          <w:pgSz w:w="11906" w:h="16838" w:code="9"/>
          <w:pgMar w:top="1440" w:right="1440" w:bottom="1440" w:left="1440" w:header="17" w:footer="159" w:gutter="0"/>
          <w:cols w:space="227"/>
          <w:titlePg/>
          <w:docGrid w:linePitch="360"/>
        </w:sectPr>
      </w:pPr>
    </w:p>
    <w:p w14:paraId="69DDEA84" w14:textId="77777777" w:rsidR="007A126D" w:rsidRPr="00B528D0" w:rsidRDefault="007A126D" w:rsidP="00A76B05">
      <w:pPr>
        <w:pStyle w:val="Heading1Char"/>
        <w:rPr>
          <w:lang w:val="en-AU"/>
        </w:rPr>
      </w:pPr>
      <w:r w:rsidRPr="00B528D0">
        <w:rPr>
          <w:lang w:val="en-AU"/>
        </w:rPr>
        <w:t>ACSA</w:t>
      </w:r>
    </w:p>
    <w:p w14:paraId="017ABD6C" w14:textId="77777777" w:rsidR="007A126D" w:rsidRPr="00B528D0" w:rsidRDefault="007A126D" w:rsidP="00A76B05">
      <w:pPr>
        <w:pStyle w:val="Heading1Char"/>
        <w:rPr>
          <w:lang w:val="en-AU"/>
        </w:rPr>
      </w:pPr>
      <w:r w:rsidRPr="00B528D0">
        <w:rPr>
          <w:lang w:val="en-AU"/>
        </w:rPr>
        <w:t>Aged Care Industry Association (ACIA)</w:t>
      </w:r>
    </w:p>
    <w:p w14:paraId="5CC18830" w14:textId="77777777" w:rsidR="007A126D" w:rsidRPr="00B528D0" w:rsidRDefault="007A126D" w:rsidP="00A76B05">
      <w:pPr>
        <w:pStyle w:val="Heading1Char"/>
        <w:rPr>
          <w:lang w:val="en-AU"/>
        </w:rPr>
      </w:pPr>
      <w:r w:rsidRPr="00B528D0">
        <w:rPr>
          <w:lang w:val="en-AU"/>
        </w:rPr>
        <w:t>Anglicare</w:t>
      </w:r>
    </w:p>
    <w:p w14:paraId="07927CDF" w14:textId="77777777" w:rsidR="007A126D" w:rsidRPr="00B528D0" w:rsidRDefault="007A126D" w:rsidP="00A76B05">
      <w:pPr>
        <w:pStyle w:val="Heading1Char"/>
        <w:rPr>
          <w:lang w:val="en-AU"/>
        </w:rPr>
      </w:pPr>
      <w:r w:rsidRPr="00B528D0">
        <w:rPr>
          <w:lang w:val="en-AU"/>
        </w:rPr>
        <w:t>Carers NSW Australia (CNSW)</w:t>
      </w:r>
    </w:p>
    <w:p w14:paraId="19CD3761" w14:textId="77777777" w:rsidR="007A126D" w:rsidRPr="00B528D0" w:rsidRDefault="007A126D" w:rsidP="00A76B05">
      <w:pPr>
        <w:pStyle w:val="Heading1Char"/>
        <w:rPr>
          <w:lang w:val="en-AU"/>
        </w:rPr>
      </w:pPr>
      <w:r w:rsidRPr="00B528D0">
        <w:rPr>
          <w:lang w:val="en-AU"/>
        </w:rPr>
        <w:t>Catholic Health Australia (CHA)</w:t>
      </w:r>
    </w:p>
    <w:p w14:paraId="70D238D6" w14:textId="77777777" w:rsidR="007A126D" w:rsidRPr="00B528D0" w:rsidRDefault="007A126D" w:rsidP="00A76B05">
      <w:pPr>
        <w:pStyle w:val="Heading1Char"/>
        <w:rPr>
          <w:lang w:val="en-AU"/>
        </w:rPr>
      </w:pPr>
      <w:proofErr w:type="spellStart"/>
      <w:r w:rsidRPr="00B528D0">
        <w:rPr>
          <w:lang w:val="en-AU"/>
        </w:rPr>
        <w:t>Estia</w:t>
      </w:r>
      <w:proofErr w:type="spellEnd"/>
    </w:p>
    <w:p w14:paraId="4BDB5736" w14:textId="77777777" w:rsidR="007A126D" w:rsidRPr="00B528D0" w:rsidRDefault="007A126D" w:rsidP="00A76B05">
      <w:pPr>
        <w:pStyle w:val="Heading1Char"/>
        <w:rPr>
          <w:lang w:val="en-AU"/>
        </w:rPr>
      </w:pPr>
      <w:r w:rsidRPr="00B528D0">
        <w:rPr>
          <w:lang w:val="en-AU"/>
        </w:rPr>
        <w:t>Leading Age Service Australia (LASA)</w:t>
      </w:r>
    </w:p>
    <w:p w14:paraId="38AD9AFE" w14:textId="77777777" w:rsidR="007A126D" w:rsidRPr="00B528D0" w:rsidRDefault="007A126D" w:rsidP="00A76B05">
      <w:pPr>
        <w:pStyle w:val="Heading1Char"/>
        <w:rPr>
          <w:lang w:val="en-AU"/>
        </w:rPr>
      </w:pPr>
      <w:r w:rsidRPr="00B528D0">
        <w:rPr>
          <w:lang w:val="en-AU"/>
        </w:rPr>
        <w:t>Mission Australia</w:t>
      </w:r>
    </w:p>
    <w:p w14:paraId="771FDD15" w14:textId="77777777" w:rsidR="007A126D" w:rsidRPr="00B528D0" w:rsidRDefault="007A126D" w:rsidP="00A76B05">
      <w:pPr>
        <w:pStyle w:val="Heading1Char"/>
        <w:rPr>
          <w:lang w:val="en-AU"/>
        </w:rPr>
      </w:pPr>
      <w:r w:rsidRPr="00B528D0">
        <w:rPr>
          <w:lang w:val="en-AU"/>
        </w:rPr>
        <w:t>National Aboriginal Community Controlled Health Organisation (NACCHO)</w:t>
      </w:r>
    </w:p>
    <w:p w14:paraId="1C717487" w14:textId="77777777" w:rsidR="007A126D" w:rsidRPr="00B528D0" w:rsidRDefault="007A126D" w:rsidP="00A76B05">
      <w:pPr>
        <w:pStyle w:val="Heading1Char"/>
        <w:rPr>
          <w:lang w:val="en-AU"/>
        </w:rPr>
      </w:pPr>
      <w:r w:rsidRPr="00B528D0">
        <w:rPr>
          <w:lang w:val="en-AU"/>
        </w:rPr>
        <w:t>Mark Cooper-Stanbury – the University of Melbourne</w:t>
      </w:r>
    </w:p>
    <w:p w14:paraId="4790294C" w14:textId="77777777" w:rsidR="007A126D" w:rsidRPr="00B528D0" w:rsidRDefault="007A126D" w:rsidP="00A76B05">
      <w:pPr>
        <w:pStyle w:val="Heading1Char"/>
        <w:rPr>
          <w:lang w:val="en-AU"/>
        </w:rPr>
      </w:pPr>
      <w:r w:rsidRPr="00B528D0">
        <w:rPr>
          <w:lang w:val="en-AU"/>
        </w:rPr>
        <w:t>Occupational Therapy Australia (OTA)</w:t>
      </w:r>
    </w:p>
    <w:p w14:paraId="008D22AD" w14:textId="77777777" w:rsidR="007A126D" w:rsidRPr="00B528D0" w:rsidRDefault="007A126D" w:rsidP="00A76B05">
      <w:pPr>
        <w:pStyle w:val="Heading1Char"/>
        <w:rPr>
          <w:lang w:val="en-AU"/>
        </w:rPr>
      </w:pPr>
      <w:r w:rsidRPr="00B528D0">
        <w:rPr>
          <w:lang w:val="en-AU"/>
        </w:rPr>
        <w:t>Queensland Nurses and Midwives Union (QNMU)</w:t>
      </w:r>
    </w:p>
    <w:p w14:paraId="434AF8F8" w14:textId="63241502" w:rsidR="0095121C" w:rsidRDefault="007A126D" w:rsidP="00A76B05">
      <w:pPr>
        <w:pStyle w:val="Heading1Char"/>
        <w:rPr>
          <w:lang w:val="en-AU"/>
        </w:rPr>
        <w:sectPr w:rsidR="0095121C" w:rsidSect="0095121C">
          <w:type w:val="continuous"/>
          <w:pgSz w:w="11906" w:h="16838" w:code="9"/>
          <w:pgMar w:top="1440" w:right="1440" w:bottom="1440" w:left="1440" w:header="17" w:footer="159" w:gutter="0"/>
          <w:cols w:num="3" w:space="227"/>
          <w:titlePg/>
          <w:docGrid w:linePitch="360"/>
        </w:sectPr>
      </w:pPr>
      <w:r w:rsidRPr="00B528D0">
        <w:rPr>
          <w:lang w:val="en-AU"/>
        </w:rPr>
        <w:t xml:space="preserve">The Public </w:t>
      </w:r>
      <w:proofErr w:type="spellStart"/>
      <w:r w:rsidRPr="00B528D0">
        <w:rPr>
          <w:lang w:val="en-AU"/>
        </w:rPr>
        <w:t>Advocat</w:t>
      </w:r>
      <w:proofErr w:type="spellEnd"/>
    </w:p>
    <w:p w14:paraId="6E86BBEB" w14:textId="0CCF68D0" w:rsidR="007A126D" w:rsidRPr="00231194" w:rsidRDefault="007A126D" w:rsidP="00231194">
      <w:pPr>
        <w:rPr>
          <w:rStyle w:val="Strong"/>
        </w:rPr>
      </w:pPr>
      <w:r w:rsidRPr="00231194">
        <w:rPr>
          <w:rStyle w:val="Strong"/>
        </w:rPr>
        <w:t>Workshop participants</w:t>
      </w:r>
    </w:p>
    <w:p w14:paraId="41E405E8" w14:textId="77777777" w:rsidR="007A126D" w:rsidRPr="00B528D0" w:rsidRDefault="007A126D" w:rsidP="00A76B05">
      <w:pPr>
        <w:pStyle w:val="Heading1Char"/>
        <w:rPr>
          <w:lang w:val="en-AU"/>
        </w:rPr>
      </w:pPr>
      <w:r w:rsidRPr="00B528D0">
        <w:rPr>
          <w:lang w:val="en-AU"/>
        </w:rPr>
        <w:t>ACH Group</w:t>
      </w:r>
    </w:p>
    <w:p w14:paraId="63C35F89" w14:textId="77777777" w:rsidR="007A126D" w:rsidRPr="00B528D0" w:rsidRDefault="007A126D" w:rsidP="00A76B05">
      <w:pPr>
        <w:pStyle w:val="Heading1Char"/>
        <w:rPr>
          <w:lang w:val="en-AU"/>
        </w:rPr>
      </w:pPr>
      <w:r w:rsidRPr="00B528D0">
        <w:rPr>
          <w:lang w:val="en-AU"/>
        </w:rPr>
        <w:t>ACSA</w:t>
      </w:r>
    </w:p>
    <w:p w14:paraId="5934E4D5" w14:textId="77777777" w:rsidR="007A126D" w:rsidRPr="00B528D0" w:rsidRDefault="007A126D" w:rsidP="00A76B05">
      <w:pPr>
        <w:pStyle w:val="Heading1Char"/>
        <w:rPr>
          <w:lang w:val="en-AU"/>
        </w:rPr>
      </w:pPr>
      <w:r w:rsidRPr="00B528D0">
        <w:rPr>
          <w:lang w:val="en-AU"/>
        </w:rPr>
        <w:t>Aegis Aged Care Group Pty Ltd</w:t>
      </w:r>
    </w:p>
    <w:p w14:paraId="5D3BA5F4" w14:textId="77777777" w:rsidR="007A126D" w:rsidRPr="00B528D0" w:rsidRDefault="007A126D" w:rsidP="00A76B05">
      <w:pPr>
        <w:pStyle w:val="Heading1Char"/>
        <w:rPr>
          <w:lang w:val="en-AU"/>
        </w:rPr>
      </w:pPr>
      <w:r w:rsidRPr="00B528D0">
        <w:rPr>
          <w:lang w:val="en-AU"/>
        </w:rPr>
        <w:t>Aged Care Deloraine Inc</w:t>
      </w:r>
    </w:p>
    <w:p w14:paraId="545A7507" w14:textId="77777777" w:rsidR="007A126D" w:rsidRPr="00B528D0" w:rsidRDefault="007A126D" w:rsidP="00A76B05">
      <w:pPr>
        <w:pStyle w:val="Heading1Char"/>
        <w:rPr>
          <w:lang w:val="en-AU"/>
        </w:rPr>
      </w:pPr>
      <w:proofErr w:type="spellStart"/>
      <w:r w:rsidRPr="00B528D0">
        <w:rPr>
          <w:lang w:val="en-AU"/>
        </w:rPr>
        <w:t>Alwyndor</w:t>
      </w:r>
      <w:proofErr w:type="spellEnd"/>
    </w:p>
    <w:p w14:paraId="2D488342" w14:textId="77777777" w:rsidR="007A126D" w:rsidRPr="00B528D0" w:rsidRDefault="007A126D" w:rsidP="00A76B05">
      <w:pPr>
        <w:pStyle w:val="Heading1Char"/>
        <w:rPr>
          <w:lang w:val="en-AU"/>
        </w:rPr>
      </w:pPr>
      <w:r w:rsidRPr="00B528D0">
        <w:rPr>
          <w:lang w:val="en-AU"/>
        </w:rPr>
        <w:t>Anglicare Australia</w:t>
      </w:r>
    </w:p>
    <w:p w14:paraId="51E03C2A" w14:textId="77777777" w:rsidR="007A126D" w:rsidRPr="00B528D0" w:rsidRDefault="007A126D" w:rsidP="00A76B05">
      <w:pPr>
        <w:pStyle w:val="Heading1Char"/>
        <w:rPr>
          <w:lang w:val="en-AU"/>
        </w:rPr>
      </w:pPr>
      <w:proofErr w:type="spellStart"/>
      <w:r w:rsidRPr="00B528D0">
        <w:rPr>
          <w:lang w:val="en-AU"/>
        </w:rPr>
        <w:t>Aurrum</w:t>
      </w:r>
      <w:proofErr w:type="spellEnd"/>
      <w:r w:rsidRPr="00B528D0">
        <w:rPr>
          <w:lang w:val="en-AU"/>
        </w:rPr>
        <w:t xml:space="preserve"> Pty Limited </w:t>
      </w:r>
    </w:p>
    <w:p w14:paraId="2270F226" w14:textId="77777777" w:rsidR="007A126D" w:rsidRPr="00B528D0" w:rsidRDefault="007A126D" w:rsidP="00A76B05">
      <w:pPr>
        <w:pStyle w:val="Heading1Char"/>
        <w:rPr>
          <w:lang w:val="en-AU"/>
        </w:rPr>
      </w:pPr>
      <w:r w:rsidRPr="00B528D0">
        <w:rPr>
          <w:lang w:val="en-AU"/>
        </w:rPr>
        <w:t>Australian Nursing &amp; Midwifery Association</w:t>
      </w:r>
    </w:p>
    <w:p w14:paraId="62065BF1" w14:textId="77777777" w:rsidR="007A126D" w:rsidRPr="00B528D0" w:rsidRDefault="007A126D" w:rsidP="00A76B05">
      <w:pPr>
        <w:pStyle w:val="Heading1Char"/>
        <w:rPr>
          <w:lang w:val="en-AU"/>
        </w:rPr>
      </w:pPr>
      <w:r w:rsidRPr="00B528D0">
        <w:rPr>
          <w:lang w:val="en-AU"/>
        </w:rPr>
        <w:t xml:space="preserve">Australian Nursing Home Foundation Limited </w:t>
      </w:r>
    </w:p>
    <w:p w14:paraId="290218F9" w14:textId="77777777" w:rsidR="007A126D" w:rsidRPr="00B528D0" w:rsidRDefault="007A126D" w:rsidP="00A76B05">
      <w:pPr>
        <w:pStyle w:val="Heading1Char"/>
        <w:rPr>
          <w:lang w:val="en-AU"/>
        </w:rPr>
      </w:pPr>
      <w:r w:rsidRPr="00B528D0">
        <w:rPr>
          <w:lang w:val="en-AU"/>
        </w:rPr>
        <w:t>Australian Regional and Remote Community Services Ltd</w:t>
      </w:r>
    </w:p>
    <w:p w14:paraId="5084DBED" w14:textId="77777777" w:rsidR="007A126D" w:rsidRPr="00B528D0" w:rsidRDefault="007A126D" w:rsidP="00A76B05">
      <w:pPr>
        <w:pStyle w:val="Heading1Char"/>
        <w:rPr>
          <w:lang w:val="en-AU"/>
        </w:rPr>
      </w:pPr>
      <w:r w:rsidRPr="00B528D0">
        <w:rPr>
          <w:lang w:val="en-AU"/>
        </w:rPr>
        <w:t>Australian Unity</w:t>
      </w:r>
    </w:p>
    <w:p w14:paraId="13F5FA47" w14:textId="77777777" w:rsidR="007A126D" w:rsidRPr="00B528D0" w:rsidRDefault="007A126D" w:rsidP="00A76B05">
      <w:pPr>
        <w:pStyle w:val="Heading1Char"/>
        <w:rPr>
          <w:lang w:val="en-AU"/>
        </w:rPr>
      </w:pPr>
      <w:r w:rsidRPr="00B528D0">
        <w:rPr>
          <w:lang w:val="en-AU"/>
        </w:rPr>
        <w:t>Autumn Care Pty Ltd</w:t>
      </w:r>
    </w:p>
    <w:p w14:paraId="5E8F2DD6" w14:textId="77777777" w:rsidR="007A126D" w:rsidRPr="00B528D0" w:rsidRDefault="007A126D" w:rsidP="00A76B05">
      <w:pPr>
        <w:pStyle w:val="Heading1Char"/>
        <w:rPr>
          <w:lang w:val="en-AU"/>
        </w:rPr>
      </w:pPr>
      <w:r w:rsidRPr="00B528D0">
        <w:rPr>
          <w:lang w:val="en-AU"/>
        </w:rPr>
        <w:t>Bairnsdale Regional Health Service</w:t>
      </w:r>
    </w:p>
    <w:p w14:paraId="35DE65DA" w14:textId="77777777" w:rsidR="007A126D" w:rsidRPr="00B528D0" w:rsidRDefault="007A126D" w:rsidP="00A76B05">
      <w:pPr>
        <w:pStyle w:val="Heading1Char"/>
        <w:rPr>
          <w:lang w:val="en-AU"/>
        </w:rPr>
      </w:pPr>
      <w:r w:rsidRPr="00B528D0">
        <w:rPr>
          <w:lang w:val="en-AU"/>
        </w:rPr>
        <w:t>Ballarat Health Services</w:t>
      </w:r>
    </w:p>
    <w:p w14:paraId="2FF62062" w14:textId="77777777" w:rsidR="007A126D" w:rsidRPr="00B528D0" w:rsidRDefault="007A126D" w:rsidP="00A76B05">
      <w:pPr>
        <w:pStyle w:val="Heading1Char"/>
        <w:rPr>
          <w:lang w:val="en-AU"/>
        </w:rPr>
      </w:pPr>
      <w:r w:rsidRPr="00B528D0">
        <w:rPr>
          <w:lang w:val="en-AU"/>
        </w:rPr>
        <w:t>Barossa Village Inc</w:t>
      </w:r>
    </w:p>
    <w:p w14:paraId="10450E52" w14:textId="77777777" w:rsidR="007A126D" w:rsidRPr="00B528D0" w:rsidRDefault="007A126D" w:rsidP="00A76B05">
      <w:pPr>
        <w:pStyle w:val="Heading1Char"/>
        <w:rPr>
          <w:lang w:val="en-AU"/>
        </w:rPr>
      </w:pPr>
      <w:r w:rsidRPr="00B528D0">
        <w:rPr>
          <w:lang w:val="en-AU"/>
        </w:rPr>
        <w:t>Beaufort &amp; Skipton Health Service</w:t>
      </w:r>
    </w:p>
    <w:p w14:paraId="4443148A" w14:textId="77777777" w:rsidR="007A126D" w:rsidRPr="00B528D0" w:rsidRDefault="007A126D" w:rsidP="00A76B05">
      <w:pPr>
        <w:pStyle w:val="Heading1Char"/>
        <w:rPr>
          <w:lang w:val="en-AU"/>
        </w:rPr>
      </w:pPr>
      <w:r w:rsidRPr="00B528D0">
        <w:rPr>
          <w:lang w:val="en-AU"/>
        </w:rPr>
        <w:t>Bene Aged Care</w:t>
      </w:r>
    </w:p>
    <w:p w14:paraId="5C77C72D" w14:textId="77777777" w:rsidR="007A126D" w:rsidRPr="00B528D0" w:rsidRDefault="007A126D" w:rsidP="00A76B05">
      <w:pPr>
        <w:pStyle w:val="Heading1Char"/>
        <w:rPr>
          <w:lang w:val="en-AU"/>
        </w:rPr>
      </w:pPr>
      <w:r w:rsidRPr="00B528D0">
        <w:rPr>
          <w:lang w:val="en-AU"/>
        </w:rPr>
        <w:t>Boort District Health</w:t>
      </w:r>
    </w:p>
    <w:p w14:paraId="7A20E967" w14:textId="77777777" w:rsidR="007A126D" w:rsidRPr="00B528D0" w:rsidRDefault="007A126D" w:rsidP="00A76B05">
      <w:pPr>
        <w:pStyle w:val="Heading1Char"/>
        <w:rPr>
          <w:lang w:val="en-AU"/>
        </w:rPr>
      </w:pPr>
      <w:r w:rsidRPr="00B528D0">
        <w:rPr>
          <w:lang w:val="en-AU"/>
        </w:rPr>
        <w:t>Boroondara Aged Services Society</w:t>
      </w:r>
    </w:p>
    <w:p w14:paraId="5BA70F60" w14:textId="77777777" w:rsidR="007A126D" w:rsidRPr="00B528D0" w:rsidRDefault="007A126D" w:rsidP="00A76B05">
      <w:pPr>
        <w:pStyle w:val="Heading1Char"/>
        <w:rPr>
          <w:lang w:val="en-AU"/>
        </w:rPr>
      </w:pPr>
      <w:r w:rsidRPr="00B528D0">
        <w:rPr>
          <w:lang w:val="en-AU"/>
        </w:rPr>
        <w:t>Brightwater Care Group</w:t>
      </w:r>
    </w:p>
    <w:p w14:paraId="3305B290" w14:textId="77777777" w:rsidR="007A126D" w:rsidRPr="00B528D0" w:rsidRDefault="007A126D" w:rsidP="00A76B05">
      <w:pPr>
        <w:pStyle w:val="Heading1Char"/>
        <w:rPr>
          <w:lang w:val="en-AU"/>
        </w:rPr>
      </w:pPr>
      <w:r w:rsidRPr="00B528D0">
        <w:rPr>
          <w:lang w:val="en-AU"/>
        </w:rPr>
        <w:t>Bupa</w:t>
      </w:r>
    </w:p>
    <w:p w14:paraId="7CA00C3C" w14:textId="77777777" w:rsidR="007A126D" w:rsidRPr="00B528D0" w:rsidRDefault="007A126D" w:rsidP="00A76B05">
      <w:pPr>
        <w:pStyle w:val="Heading1Char"/>
        <w:rPr>
          <w:lang w:val="en-AU"/>
        </w:rPr>
      </w:pPr>
      <w:r w:rsidRPr="00B528D0">
        <w:rPr>
          <w:lang w:val="en-AU"/>
        </w:rPr>
        <w:t>Cadorna House</w:t>
      </w:r>
    </w:p>
    <w:p w14:paraId="23025668" w14:textId="77777777" w:rsidR="007A126D" w:rsidRPr="00B528D0" w:rsidRDefault="007A126D" w:rsidP="00A76B05">
      <w:pPr>
        <w:pStyle w:val="Heading1Char"/>
        <w:rPr>
          <w:lang w:val="en-AU"/>
        </w:rPr>
      </w:pPr>
      <w:r w:rsidRPr="00B528D0">
        <w:rPr>
          <w:lang w:val="en-AU"/>
        </w:rPr>
        <w:t>Calvary Retirement Communities Limited</w:t>
      </w:r>
    </w:p>
    <w:p w14:paraId="2BB989F5" w14:textId="77777777" w:rsidR="007A126D" w:rsidRPr="00B528D0" w:rsidRDefault="007A126D" w:rsidP="00A76B05">
      <w:pPr>
        <w:pStyle w:val="Heading1Char"/>
        <w:rPr>
          <w:lang w:val="en-AU"/>
        </w:rPr>
      </w:pPr>
      <w:r w:rsidRPr="00B528D0">
        <w:rPr>
          <w:lang w:val="en-AU"/>
        </w:rPr>
        <w:t>Castalia Group</w:t>
      </w:r>
    </w:p>
    <w:p w14:paraId="07EE3BFF" w14:textId="77777777" w:rsidR="007A126D" w:rsidRPr="00B528D0" w:rsidRDefault="007A126D" w:rsidP="00A76B05">
      <w:pPr>
        <w:pStyle w:val="Heading1Char"/>
        <w:rPr>
          <w:lang w:val="en-AU"/>
        </w:rPr>
      </w:pPr>
      <w:r w:rsidRPr="00B528D0">
        <w:rPr>
          <w:lang w:val="en-AU"/>
        </w:rPr>
        <w:t>Castlemaine Health</w:t>
      </w:r>
    </w:p>
    <w:p w14:paraId="59805DC2" w14:textId="77777777" w:rsidR="007A126D" w:rsidRPr="00B528D0" w:rsidRDefault="007A126D" w:rsidP="00A76B05">
      <w:pPr>
        <w:pStyle w:val="Heading1Char"/>
        <w:rPr>
          <w:lang w:val="en-AU"/>
        </w:rPr>
      </w:pPr>
      <w:r w:rsidRPr="00B528D0">
        <w:rPr>
          <w:lang w:val="en-AU"/>
        </w:rPr>
        <w:t>Catholic Health Australia</w:t>
      </w:r>
    </w:p>
    <w:p w14:paraId="2C99B731" w14:textId="77777777" w:rsidR="007A126D" w:rsidRPr="00B528D0" w:rsidRDefault="007A126D" w:rsidP="00A76B05">
      <w:pPr>
        <w:pStyle w:val="Heading1Char"/>
        <w:rPr>
          <w:lang w:val="en-AU"/>
        </w:rPr>
      </w:pPr>
      <w:r w:rsidRPr="00B528D0">
        <w:rPr>
          <w:lang w:val="en-AU"/>
        </w:rPr>
        <w:t>Catholic Homes Inc</w:t>
      </w:r>
    </w:p>
    <w:p w14:paraId="201592DE" w14:textId="77777777" w:rsidR="007A126D" w:rsidRPr="00B528D0" w:rsidRDefault="007A126D" w:rsidP="00A76B05">
      <w:pPr>
        <w:pStyle w:val="Heading1Char"/>
        <w:rPr>
          <w:lang w:val="en-AU"/>
        </w:rPr>
      </w:pPr>
      <w:r w:rsidRPr="00B528D0">
        <w:rPr>
          <w:lang w:val="en-AU"/>
        </w:rPr>
        <w:t>Central Gippsland Health Service</w:t>
      </w:r>
    </w:p>
    <w:p w14:paraId="76B00DBC" w14:textId="77777777" w:rsidR="007A126D" w:rsidRPr="00B528D0" w:rsidRDefault="007A126D" w:rsidP="00A76B05">
      <w:pPr>
        <w:pStyle w:val="Heading1Char"/>
        <w:rPr>
          <w:lang w:val="en-AU"/>
        </w:rPr>
      </w:pPr>
      <w:r w:rsidRPr="00B528D0">
        <w:rPr>
          <w:lang w:val="en-AU"/>
        </w:rPr>
        <w:t>Christian Homes Tasmania</w:t>
      </w:r>
    </w:p>
    <w:p w14:paraId="5B0BE340" w14:textId="77777777" w:rsidR="007A126D" w:rsidRPr="00B528D0" w:rsidRDefault="007A126D" w:rsidP="00A76B05">
      <w:pPr>
        <w:pStyle w:val="Heading1Char"/>
        <w:rPr>
          <w:lang w:val="en-AU"/>
        </w:rPr>
      </w:pPr>
      <w:r w:rsidRPr="00B528D0">
        <w:rPr>
          <w:lang w:val="en-AU"/>
        </w:rPr>
        <w:t>Coburg Home for the Aged Inc</w:t>
      </w:r>
    </w:p>
    <w:p w14:paraId="7219F520" w14:textId="77777777" w:rsidR="007A126D" w:rsidRPr="00B528D0" w:rsidRDefault="007A126D" w:rsidP="00A76B05">
      <w:pPr>
        <w:pStyle w:val="Heading1Char"/>
        <w:rPr>
          <w:lang w:val="en-AU"/>
        </w:rPr>
      </w:pPr>
      <w:r w:rsidRPr="00B528D0">
        <w:rPr>
          <w:lang w:val="en-AU"/>
        </w:rPr>
        <w:t>Council on the Ageing</w:t>
      </w:r>
    </w:p>
    <w:p w14:paraId="68DDB586" w14:textId="77777777" w:rsidR="007A126D" w:rsidRPr="00B528D0" w:rsidRDefault="007A126D" w:rsidP="00A76B05">
      <w:pPr>
        <w:pStyle w:val="Heading1Char"/>
        <w:rPr>
          <w:lang w:val="en-AU"/>
        </w:rPr>
      </w:pPr>
      <w:r w:rsidRPr="00B528D0">
        <w:rPr>
          <w:lang w:val="en-AU"/>
        </w:rPr>
        <w:t xml:space="preserve">Department of Health (Victoria) </w:t>
      </w:r>
    </w:p>
    <w:p w14:paraId="1C89BAE9" w14:textId="77777777" w:rsidR="007A126D" w:rsidRPr="00B528D0" w:rsidRDefault="007A126D" w:rsidP="00A76B05">
      <w:pPr>
        <w:pStyle w:val="Heading1Char"/>
        <w:rPr>
          <w:lang w:val="en-AU"/>
        </w:rPr>
      </w:pPr>
      <w:proofErr w:type="spellStart"/>
      <w:r w:rsidRPr="00B528D0">
        <w:rPr>
          <w:lang w:val="en-AU"/>
        </w:rPr>
        <w:t>Doutta</w:t>
      </w:r>
      <w:proofErr w:type="spellEnd"/>
      <w:r w:rsidRPr="00B528D0">
        <w:rPr>
          <w:lang w:val="en-AU"/>
        </w:rPr>
        <w:t xml:space="preserve"> </w:t>
      </w:r>
      <w:proofErr w:type="spellStart"/>
      <w:r w:rsidRPr="00B528D0">
        <w:rPr>
          <w:lang w:val="en-AU"/>
        </w:rPr>
        <w:t>Galla</w:t>
      </w:r>
      <w:proofErr w:type="spellEnd"/>
      <w:r w:rsidRPr="00B528D0">
        <w:rPr>
          <w:lang w:val="en-AU"/>
        </w:rPr>
        <w:t xml:space="preserve"> Aged Services Ltd</w:t>
      </w:r>
    </w:p>
    <w:p w14:paraId="6AD43F54" w14:textId="77777777" w:rsidR="007A126D" w:rsidRPr="00B528D0" w:rsidRDefault="007A126D" w:rsidP="00A76B05">
      <w:pPr>
        <w:pStyle w:val="Heading1Char"/>
        <w:rPr>
          <w:lang w:val="en-AU"/>
        </w:rPr>
      </w:pPr>
      <w:r w:rsidRPr="00B528D0">
        <w:rPr>
          <w:lang w:val="en-AU"/>
        </w:rPr>
        <w:t xml:space="preserve">Edenfield Family Care </w:t>
      </w:r>
    </w:p>
    <w:p w14:paraId="6B8E6CAE" w14:textId="77777777" w:rsidR="007A126D" w:rsidRPr="00B528D0" w:rsidRDefault="007A126D" w:rsidP="00A76B05">
      <w:pPr>
        <w:pStyle w:val="Heading1Char"/>
        <w:rPr>
          <w:lang w:val="en-AU"/>
        </w:rPr>
      </w:pPr>
      <w:r w:rsidRPr="00B528D0">
        <w:rPr>
          <w:lang w:val="en-AU"/>
        </w:rPr>
        <w:t>Eldercare</w:t>
      </w:r>
    </w:p>
    <w:p w14:paraId="51EC3018" w14:textId="77777777" w:rsidR="007A126D" w:rsidRPr="00B528D0" w:rsidRDefault="007A126D" w:rsidP="00A76B05">
      <w:pPr>
        <w:pStyle w:val="Heading1Char"/>
        <w:rPr>
          <w:lang w:val="en-AU"/>
        </w:rPr>
      </w:pPr>
      <w:proofErr w:type="spellStart"/>
      <w:r w:rsidRPr="00B528D0">
        <w:rPr>
          <w:lang w:val="en-AU"/>
        </w:rPr>
        <w:t>Emmerton</w:t>
      </w:r>
      <w:proofErr w:type="spellEnd"/>
      <w:r w:rsidRPr="00B528D0">
        <w:rPr>
          <w:lang w:val="en-AU"/>
        </w:rPr>
        <w:t xml:space="preserve"> Park</w:t>
      </w:r>
    </w:p>
    <w:p w14:paraId="6CFDDD4F" w14:textId="77777777" w:rsidR="007A126D" w:rsidRPr="00B528D0" w:rsidRDefault="007A126D" w:rsidP="00A76B05">
      <w:pPr>
        <w:pStyle w:val="Heading1Char"/>
        <w:rPr>
          <w:lang w:val="en-AU"/>
        </w:rPr>
      </w:pPr>
      <w:proofErr w:type="spellStart"/>
      <w:r w:rsidRPr="00B528D0">
        <w:rPr>
          <w:lang w:val="en-AU"/>
        </w:rPr>
        <w:t>Estia</w:t>
      </w:r>
      <w:proofErr w:type="spellEnd"/>
    </w:p>
    <w:p w14:paraId="622022AC" w14:textId="77777777" w:rsidR="007A126D" w:rsidRPr="00B528D0" w:rsidRDefault="007A126D" w:rsidP="00A76B05">
      <w:pPr>
        <w:pStyle w:val="Heading1Char"/>
        <w:rPr>
          <w:lang w:val="en-AU"/>
        </w:rPr>
      </w:pPr>
      <w:r w:rsidRPr="00B528D0">
        <w:rPr>
          <w:lang w:val="en-AU"/>
        </w:rPr>
        <w:t>Fullarton Lutheran Homes</w:t>
      </w:r>
    </w:p>
    <w:p w14:paraId="05DF0DCF" w14:textId="77777777" w:rsidR="007A126D" w:rsidRPr="00B528D0" w:rsidRDefault="007A126D" w:rsidP="00A76B05">
      <w:pPr>
        <w:pStyle w:val="Heading1Char"/>
        <w:rPr>
          <w:lang w:val="en-AU"/>
        </w:rPr>
      </w:pPr>
      <w:proofErr w:type="spellStart"/>
      <w:r w:rsidRPr="00B528D0">
        <w:rPr>
          <w:lang w:val="en-AU"/>
        </w:rPr>
        <w:t>GenBridge</w:t>
      </w:r>
      <w:proofErr w:type="spellEnd"/>
      <w:r w:rsidRPr="00B528D0">
        <w:rPr>
          <w:lang w:val="en-AU"/>
        </w:rPr>
        <w:t xml:space="preserve"> Pty Ltd</w:t>
      </w:r>
    </w:p>
    <w:p w14:paraId="59217233" w14:textId="77777777" w:rsidR="007A126D" w:rsidRPr="00B528D0" w:rsidRDefault="007A126D" w:rsidP="00A76B05">
      <w:pPr>
        <w:pStyle w:val="Heading1Char"/>
        <w:rPr>
          <w:lang w:val="en-AU"/>
        </w:rPr>
      </w:pPr>
      <w:proofErr w:type="spellStart"/>
      <w:r w:rsidRPr="00B528D0">
        <w:rPr>
          <w:lang w:val="en-AU"/>
        </w:rPr>
        <w:t>Glengollan</w:t>
      </w:r>
      <w:proofErr w:type="spellEnd"/>
      <w:r w:rsidRPr="00B528D0">
        <w:rPr>
          <w:lang w:val="en-AU"/>
        </w:rPr>
        <w:t xml:space="preserve"> Village</w:t>
      </w:r>
    </w:p>
    <w:p w14:paraId="7326EA9D" w14:textId="77777777" w:rsidR="007A126D" w:rsidRPr="00B528D0" w:rsidRDefault="007A126D" w:rsidP="00A76B05">
      <w:pPr>
        <w:pStyle w:val="Heading1Char"/>
        <w:rPr>
          <w:lang w:val="en-AU"/>
        </w:rPr>
      </w:pPr>
      <w:r w:rsidRPr="00B528D0">
        <w:rPr>
          <w:lang w:val="en-AU"/>
        </w:rPr>
        <w:t xml:space="preserve">Glenview Community </w:t>
      </w:r>
      <w:proofErr w:type="spellStart"/>
      <w:r w:rsidRPr="00B528D0">
        <w:rPr>
          <w:lang w:val="en-AU"/>
        </w:rPr>
        <w:t>Serevices</w:t>
      </w:r>
      <w:proofErr w:type="spellEnd"/>
    </w:p>
    <w:p w14:paraId="37036BF1" w14:textId="77777777" w:rsidR="007A126D" w:rsidRPr="00B528D0" w:rsidRDefault="007A126D" w:rsidP="00A76B05">
      <w:pPr>
        <w:pStyle w:val="Heading1Char"/>
        <w:rPr>
          <w:lang w:val="en-AU"/>
        </w:rPr>
      </w:pPr>
      <w:r w:rsidRPr="00B528D0">
        <w:rPr>
          <w:lang w:val="en-AU"/>
        </w:rPr>
        <w:t xml:space="preserve">Hall &amp; Prior </w:t>
      </w:r>
    </w:p>
    <w:p w14:paraId="1950CD67" w14:textId="77777777" w:rsidR="007A126D" w:rsidRPr="00B528D0" w:rsidRDefault="007A126D" w:rsidP="00A76B05">
      <w:pPr>
        <w:pStyle w:val="Heading1Char"/>
        <w:rPr>
          <w:lang w:val="en-AU"/>
        </w:rPr>
      </w:pPr>
      <w:r w:rsidRPr="00B528D0">
        <w:rPr>
          <w:lang w:val="en-AU"/>
        </w:rPr>
        <w:t>Havilah Hostel Inc</w:t>
      </w:r>
    </w:p>
    <w:p w14:paraId="4BE49B85" w14:textId="77777777" w:rsidR="007A126D" w:rsidRPr="00B528D0" w:rsidRDefault="007A126D" w:rsidP="00A76B05">
      <w:pPr>
        <w:pStyle w:val="Heading1Char"/>
        <w:rPr>
          <w:lang w:val="en-AU"/>
        </w:rPr>
      </w:pPr>
      <w:r w:rsidRPr="00B528D0">
        <w:rPr>
          <w:lang w:val="en-AU"/>
        </w:rPr>
        <w:t>Helping Hand Aged Care Inc.</w:t>
      </w:r>
    </w:p>
    <w:p w14:paraId="1C2F1283" w14:textId="77777777" w:rsidR="007A126D" w:rsidRPr="00B528D0" w:rsidRDefault="007A126D" w:rsidP="00A76B05">
      <w:pPr>
        <w:pStyle w:val="Heading1Char"/>
        <w:rPr>
          <w:lang w:val="en-AU"/>
        </w:rPr>
      </w:pPr>
      <w:r w:rsidRPr="00B528D0">
        <w:rPr>
          <w:lang w:val="en-AU"/>
        </w:rPr>
        <w:t>Homestyle Leopold Pty Ltd</w:t>
      </w:r>
    </w:p>
    <w:p w14:paraId="54E5F338" w14:textId="77777777" w:rsidR="007A126D" w:rsidRPr="00B528D0" w:rsidRDefault="007A126D" w:rsidP="00A76B05">
      <w:pPr>
        <w:pStyle w:val="Heading1Char"/>
        <w:rPr>
          <w:lang w:val="en-AU"/>
        </w:rPr>
      </w:pPr>
      <w:r w:rsidRPr="00B528D0">
        <w:rPr>
          <w:lang w:val="en-AU"/>
        </w:rPr>
        <w:t>Homestyle Point Cook Pty Ltd</w:t>
      </w:r>
    </w:p>
    <w:p w14:paraId="14B09E10" w14:textId="77777777" w:rsidR="007A126D" w:rsidRPr="00B528D0" w:rsidRDefault="007A126D" w:rsidP="00A76B05">
      <w:pPr>
        <w:pStyle w:val="Heading1Char"/>
        <w:rPr>
          <w:lang w:val="en-AU"/>
        </w:rPr>
      </w:pPr>
      <w:r w:rsidRPr="00B528D0">
        <w:rPr>
          <w:lang w:val="en-AU"/>
        </w:rPr>
        <w:t>Huon Regional Care</w:t>
      </w:r>
    </w:p>
    <w:p w14:paraId="56AC82CF" w14:textId="77777777" w:rsidR="007A126D" w:rsidRPr="00B528D0" w:rsidRDefault="007A126D" w:rsidP="00A76B05">
      <w:pPr>
        <w:pStyle w:val="Heading1Char"/>
        <w:rPr>
          <w:lang w:val="en-AU"/>
        </w:rPr>
      </w:pPr>
      <w:r w:rsidRPr="00B528D0">
        <w:rPr>
          <w:lang w:val="en-AU"/>
        </w:rPr>
        <w:t xml:space="preserve">Ibis Care </w:t>
      </w:r>
    </w:p>
    <w:p w14:paraId="3323257A" w14:textId="77777777" w:rsidR="007A126D" w:rsidRPr="00B528D0" w:rsidRDefault="007A126D" w:rsidP="00A76B05">
      <w:pPr>
        <w:pStyle w:val="Heading1Char"/>
        <w:rPr>
          <w:lang w:val="en-AU"/>
        </w:rPr>
      </w:pPr>
      <w:r w:rsidRPr="00B528D0">
        <w:rPr>
          <w:lang w:val="en-AU"/>
        </w:rPr>
        <w:t>Illawarra Retirement Trust</w:t>
      </w:r>
    </w:p>
    <w:p w14:paraId="666190D6" w14:textId="77777777" w:rsidR="007A126D" w:rsidRPr="00B528D0" w:rsidRDefault="007A126D" w:rsidP="00A76B05">
      <w:pPr>
        <w:pStyle w:val="Heading1Char"/>
        <w:rPr>
          <w:lang w:val="en-AU"/>
        </w:rPr>
      </w:pPr>
      <w:r w:rsidRPr="00B528D0">
        <w:rPr>
          <w:lang w:val="en-AU"/>
        </w:rPr>
        <w:t>Infinite Care</w:t>
      </w:r>
    </w:p>
    <w:p w14:paraId="47FE4193" w14:textId="77777777" w:rsidR="007A126D" w:rsidRPr="00B528D0" w:rsidRDefault="007A126D" w:rsidP="00A76B05">
      <w:pPr>
        <w:pStyle w:val="Heading1Char"/>
        <w:rPr>
          <w:lang w:val="en-AU"/>
        </w:rPr>
      </w:pPr>
      <w:r w:rsidRPr="00B528D0">
        <w:rPr>
          <w:lang w:val="en-AU"/>
        </w:rPr>
        <w:t>Java Dale Pty Ltd</w:t>
      </w:r>
    </w:p>
    <w:p w14:paraId="00268A75" w14:textId="77777777" w:rsidR="007A126D" w:rsidRPr="00B528D0" w:rsidRDefault="007A126D" w:rsidP="00A76B05">
      <w:pPr>
        <w:pStyle w:val="Heading1Char"/>
        <w:rPr>
          <w:lang w:val="en-AU"/>
        </w:rPr>
      </w:pPr>
      <w:proofErr w:type="spellStart"/>
      <w:r w:rsidRPr="00B528D0">
        <w:rPr>
          <w:lang w:val="en-AU"/>
        </w:rPr>
        <w:t>Sunnymeade</w:t>
      </w:r>
      <w:proofErr w:type="spellEnd"/>
      <w:r w:rsidRPr="00B528D0">
        <w:rPr>
          <w:lang w:val="en-AU"/>
        </w:rPr>
        <w:t xml:space="preserve"> Park</w:t>
      </w:r>
    </w:p>
    <w:p w14:paraId="619A6D1D" w14:textId="77777777" w:rsidR="007A126D" w:rsidRPr="00B528D0" w:rsidRDefault="007A126D" w:rsidP="00A76B05">
      <w:pPr>
        <w:pStyle w:val="Heading1Char"/>
        <w:rPr>
          <w:lang w:val="en-AU"/>
        </w:rPr>
      </w:pPr>
      <w:r w:rsidRPr="00B528D0">
        <w:rPr>
          <w:lang w:val="en-AU"/>
        </w:rPr>
        <w:t>Juniper</w:t>
      </w:r>
    </w:p>
    <w:p w14:paraId="7C58DDBB" w14:textId="77777777" w:rsidR="007A126D" w:rsidRPr="00B528D0" w:rsidRDefault="007A126D" w:rsidP="00A76B05">
      <w:pPr>
        <w:pStyle w:val="Heading1Char"/>
        <w:rPr>
          <w:lang w:val="en-AU"/>
        </w:rPr>
      </w:pPr>
      <w:proofErr w:type="spellStart"/>
      <w:r w:rsidRPr="00B528D0">
        <w:rPr>
          <w:lang w:val="en-AU"/>
        </w:rPr>
        <w:t>Kalyra</w:t>
      </w:r>
      <w:proofErr w:type="spellEnd"/>
      <w:r w:rsidRPr="00B528D0">
        <w:rPr>
          <w:lang w:val="en-AU"/>
        </w:rPr>
        <w:t xml:space="preserve"> </w:t>
      </w:r>
    </w:p>
    <w:p w14:paraId="783F423F" w14:textId="77777777" w:rsidR="007A126D" w:rsidRPr="00B528D0" w:rsidRDefault="007A126D" w:rsidP="00A76B05">
      <w:pPr>
        <w:pStyle w:val="Heading1Char"/>
        <w:rPr>
          <w:lang w:val="en-AU"/>
        </w:rPr>
      </w:pPr>
      <w:r w:rsidRPr="00B528D0">
        <w:rPr>
          <w:lang w:val="en-AU"/>
        </w:rPr>
        <w:t>Karingal St Laurence Limited</w:t>
      </w:r>
    </w:p>
    <w:p w14:paraId="2DDD59B5" w14:textId="77777777" w:rsidR="007A126D" w:rsidRPr="00B528D0" w:rsidRDefault="007A126D" w:rsidP="00A76B05">
      <w:pPr>
        <w:pStyle w:val="Heading1Char"/>
        <w:rPr>
          <w:lang w:val="en-AU"/>
        </w:rPr>
      </w:pPr>
      <w:r w:rsidRPr="00B528D0">
        <w:rPr>
          <w:lang w:val="en-AU"/>
        </w:rPr>
        <w:t>LASA</w:t>
      </w:r>
    </w:p>
    <w:p w14:paraId="1FC7411C" w14:textId="77777777" w:rsidR="007A126D" w:rsidRPr="00B528D0" w:rsidRDefault="007A126D" w:rsidP="00A76B05">
      <w:pPr>
        <w:pStyle w:val="Heading1Char"/>
        <w:rPr>
          <w:lang w:val="en-AU"/>
        </w:rPr>
      </w:pPr>
      <w:proofErr w:type="spellStart"/>
      <w:r w:rsidRPr="00B528D0">
        <w:rPr>
          <w:lang w:val="en-AU"/>
        </w:rPr>
        <w:t>Lerwin</w:t>
      </w:r>
      <w:proofErr w:type="spellEnd"/>
      <w:r w:rsidRPr="00B528D0">
        <w:rPr>
          <w:lang w:val="en-AU"/>
        </w:rPr>
        <w:t xml:space="preserve"> Nursing Home </w:t>
      </w:r>
    </w:p>
    <w:p w14:paraId="3A19862C" w14:textId="77777777" w:rsidR="007A126D" w:rsidRPr="00B528D0" w:rsidRDefault="007A126D" w:rsidP="00A76B05">
      <w:pPr>
        <w:pStyle w:val="Heading1Char"/>
        <w:rPr>
          <w:lang w:val="en-AU"/>
        </w:rPr>
      </w:pPr>
      <w:r w:rsidRPr="00B528D0">
        <w:rPr>
          <w:lang w:val="en-AU"/>
        </w:rPr>
        <w:lastRenderedPageBreak/>
        <w:t>LGBTIQ+ Health Australia</w:t>
      </w:r>
    </w:p>
    <w:p w14:paraId="003D05E7" w14:textId="77777777" w:rsidR="007A126D" w:rsidRPr="00B528D0" w:rsidRDefault="007A126D" w:rsidP="00A76B05">
      <w:pPr>
        <w:pStyle w:val="Heading1Char"/>
        <w:rPr>
          <w:lang w:val="en-AU"/>
        </w:rPr>
      </w:pPr>
      <w:r w:rsidRPr="00B528D0">
        <w:rPr>
          <w:lang w:val="en-AU"/>
        </w:rPr>
        <w:t>Longridge Aged Care</w:t>
      </w:r>
    </w:p>
    <w:p w14:paraId="40182012" w14:textId="77777777" w:rsidR="007A126D" w:rsidRPr="00B528D0" w:rsidRDefault="007A126D" w:rsidP="00A76B05">
      <w:pPr>
        <w:pStyle w:val="Heading1Char"/>
        <w:rPr>
          <w:lang w:val="en-AU"/>
        </w:rPr>
      </w:pPr>
      <w:proofErr w:type="spellStart"/>
      <w:r w:rsidRPr="00B528D0">
        <w:rPr>
          <w:lang w:val="en-AU"/>
        </w:rPr>
        <w:t>Luson</w:t>
      </w:r>
      <w:proofErr w:type="spellEnd"/>
      <w:r w:rsidRPr="00B528D0">
        <w:rPr>
          <w:lang w:val="en-AU"/>
        </w:rPr>
        <w:t xml:space="preserve"> Aged Care Pty Ltd</w:t>
      </w:r>
    </w:p>
    <w:p w14:paraId="7893325F" w14:textId="77777777" w:rsidR="007A126D" w:rsidRPr="00B528D0" w:rsidRDefault="007A126D" w:rsidP="00A76B05">
      <w:pPr>
        <w:pStyle w:val="Heading1Char"/>
        <w:rPr>
          <w:lang w:val="en-AU"/>
        </w:rPr>
      </w:pPr>
      <w:r w:rsidRPr="00B528D0">
        <w:rPr>
          <w:lang w:val="en-AU"/>
        </w:rPr>
        <w:t>Manly Vale Nursing Home Pty Ltd/</w:t>
      </w:r>
      <w:proofErr w:type="spellStart"/>
      <w:r w:rsidRPr="00B528D0">
        <w:rPr>
          <w:lang w:val="en-AU"/>
        </w:rPr>
        <w:t>Hardi</w:t>
      </w:r>
      <w:proofErr w:type="spellEnd"/>
      <w:r w:rsidRPr="00B528D0">
        <w:rPr>
          <w:lang w:val="en-AU"/>
        </w:rPr>
        <w:t xml:space="preserve"> Group</w:t>
      </w:r>
    </w:p>
    <w:p w14:paraId="42005AF3" w14:textId="77777777" w:rsidR="007A126D" w:rsidRPr="00B528D0" w:rsidRDefault="007A126D" w:rsidP="00A76B05">
      <w:pPr>
        <w:pStyle w:val="Heading1Char"/>
        <w:rPr>
          <w:lang w:val="en-AU"/>
        </w:rPr>
      </w:pPr>
      <w:r w:rsidRPr="00B528D0">
        <w:rPr>
          <w:lang w:val="en-AU"/>
        </w:rPr>
        <w:t>Manor Court Werribee Aged Care Ltd</w:t>
      </w:r>
    </w:p>
    <w:p w14:paraId="22AE009C" w14:textId="77777777" w:rsidR="007A126D" w:rsidRPr="00B528D0" w:rsidRDefault="007A126D" w:rsidP="00A76B05">
      <w:pPr>
        <w:pStyle w:val="Heading1Char"/>
        <w:rPr>
          <w:lang w:val="en-AU"/>
        </w:rPr>
      </w:pPr>
      <w:r w:rsidRPr="00B528D0">
        <w:rPr>
          <w:lang w:val="en-AU"/>
        </w:rPr>
        <w:t>Mayflower Brighton</w:t>
      </w:r>
    </w:p>
    <w:p w14:paraId="085A1C78" w14:textId="77777777" w:rsidR="007A126D" w:rsidRPr="00B528D0" w:rsidRDefault="007A126D" w:rsidP="00A76B05">
      <w:pPr>
        <w:pStyle w:val="Heading1Char"/>
        <w:rPr>
          <w:lang w:val="en-AU"/>
        </w:rPr>
      </w:pPr>
      <w:r w:rsidRPr="00B528D0">
        <w:rPr>
          <w:lang w:val="en-AU"/>
        </w:rPr>
        <w:t>Mayflower Reservoir</w:t>
      </w:r>
    </w:p>
    <w:p w14:paraId="0402D920" w14:textId="77777777" w:rsidR="007A126D" w:rsidRPr="00B528D0" w:rsidRDefault="007A126D" w:rsidP="00A76B05">
      <w:pPr>
        <w:pStyle w:val="Heading1Char"/>
        <w:rPr>
          <w:lang w:val="en-AU"/>
        </w:rPr>
      </w:pPr>
      <w:proofErr w:type="spellStart"/>
      <w:r w:rsidRPr="00B528D0">
        <w:rPr>
          <w:lang w:val="en-AU"/>
        </w:rPr>
        <w:t>MayShaw</w:t>
      </w:r>
      <w:proofErr w:type="spellEnd"/>
      <w:r w:rsidRPr="00B528D0">
        <w:rPr>
          <w:lang w:val="en-AU"/>
        </w:rPr>
        <w:t xml:space="preserve"> Health Centre Inc</w:t>
      </w:r>
    </w:p>
    <w:p w14:paraId="7C505692" w14:textId="77777777" w:rsidR="007A126D" w:rsidRPr="00B528D0" w:rsidRDefault="007A126D" w:rsidP="00A76B05">
      <w:pPr>
        <w:pStyle w:val="Heading1Char"/>
        <w:rPr>
          <w:lang w:val="en-AU"/>
        </w:rPr>
      </w:pPr>
      <w:r w:rsidRPr="00B528D0">
        <w:rPr>
          <w:lang w:val="en-AU"/>
        </w:rPr>
        <w:t>Melbourne Health</w:t>
      </w:r>
    </w:p>
    <w:p w14:paraId="311616DA" w14:textId="77777777" w:rsidR="007A126D" w:rsidRPr="00B528D0" w:rsidRDefault="007A126D" w:rsidP="00A76B05">
      <w:pPr>
        <w:pStyle w:val="Heading1Char"/>
        <w:rPr>
          <w:lang w:val="en-AU"/>
        </w:rPr>
      </w:pPr>
      <w:r w:rsidRPr="00B528D0">
        <w:rPr>
          <w:lang w:val="en-AU"/>
        </w:rPr>
        <w:t>Mercy Aged and Community Care Ltd</w:t>
      </w:r>
    </w:p>
    <w:p w14:paraId="37776DC1" w14:textId="77777777" w:rsidR="007A126D" w:rsidRPr="00B528D0" w:rsidRDefault="007A126D" w:rsidP="00A76B05">
      <w:pPr>
        <w:pStyle w:val="Heading1Char"/>
        <w:rPr>
          <w:lang w:val="en-AU"/>
        </w:rPr>
      </w:pPr>
      <w:proofErr w:type="spellStart"/>
      <w:r w:rsidRPr="00B528D0">
        <w:rPr>
          <w:lang w:val="en-AU"/>
        </w:rPr>
        <w:t>MiCare</w:t>
      </w:r>
      <w:proofErr w:type="spellEnd"/>
      <w:r w:rsidRPr="00B528D0">
        <w:rPr>
          <w:lang w:val="en-AU"/>
        </w:rPr>
        <w:t xml:space="preserve"> Ltd</w:t>
      </w:r>
    </w:p>
    <w:p w14:paraId="7BBA66AB" w14:textId="77777777" w:rsidR="007A126D" w:rsidRPr="00B528D0" w:rsidRDefault="007A126D" w:rsidP="00A76B05">
      <w:pPr>
        <w:pStyle w:val="Heading1Char"/>
        <w:rPr>
          <w:lang w:val="en-AU"/>
        </w:rPr>
      </w:pPr>
      <w:r w:rsidRPr="00B528D0">
        <w:rPr>
          <w:lang w:val="en-AU"/>
        </w:rPr>
        <w:t>Mission Australia</w:t>
      </w:r>
    </w:p>
    <w:p w14:paraId="39019AFE" w14:textId="77777777" w:rsidR="007A126D" w:rsidRPr="00B528D0" w:rsidRDefault="007A126D" w:rsidP="00A76B05">
      <w:pPr>
        <w:pStyle w:val="Heading1Char"/>
        <w:rPr>
          <w:lang w:val="en-AU"/>
        </w:rPr>
      </w:pPr>
      <w:r w:rsidRPr="00B528D0">
        <w:rPr>
          <w:lang w:val="en-AU"/>
        </w:rPr>
        <w:t>Moonta Health &amp; Aged Care Services Inc</w:t>
      </w:r>
    </w:p>
    <w:p w14:paraId="0DA3D945" w14:textId="77777777" w:rsidR="007A126D" w:rsidRPr="00B528D0" w:rsidRDefault="007A126D" w:rsidP="00A76B05">
      <w:pPr>
        <w:pStyle w:val="Heading1Char"/>
        <w:rPr>
          <w:lang w:val="en-AU"/>
        </w:rPr>
      </w:pPr>
      <w:r w:rsidRPr="00B528D0">
        <w:rPr>
          <w:lang w:val="en-AU"/>
        </w:rPr>
        <w:t>Moyne Health Service</w:t>
      </w:r>
    </w:p>
    <w:p w14:paraId="61D2DB1F" w14:textId="77777777" w:rsidR="007A126D" w:rsidRPr="00B528D0" w:rsidRDefault="007A126D" w:rsidP="00A76B05">
      <w:pPr>
        <w:pStyle w:val="Heading1Char"/>
        <w:rPr>
          <w:lang w:val="en-AU"/>
        </w:rPr>
      </w:pPr>
      <w:proofErr w:type="spellStart"/>
      <w:r w:rsidRPr="00B528D0">
        <w:rPr>
          <w:lang w:val="en-AU"/>
        </w:rPr>
        <w:t>Moyola</w:t>
      </w:r>
      <w:proofErr w:type="spellEnd"/>
      <w:r w:rsidRPr="00B528D0">
        <w:rPr>
          <w:lang w:val="en-AU"/>
        </w:rPr>
        <w:t xml:space="preserve"> Aged Care Incorporated</w:t>
      </w:r>
    </w:p>
    <w:p w14:paraId="712D10CC" w14:textId="77777777" w:rsidR="007A126D" w:rsidRPr="00B528D0" w:rsidRDefault="007A126D" w:rsidP="00A76B05">
      <w:pPr>
        <w:pStyle w:val="Heading1Char"/>
        <w:rPr>
          <w:lang w:val="en-AU"/>
        </w:rPr>
      </w:pPr>
      <w:r w:rsidRPr="00B528D0">
        <w:rPr>
          <w:lang w:val="en-AU"/>
        </w:rPr>
        <w:t>Mt View Homes</w:t>
      </w:r>
    </w:p>
    <w:p w14:paraId="68EA4876" w14:textId="77777777" w:rsidR="007A126D" w:rsidRPr="00B528D0" w:rsidRDefault="007A126D" w:rsidP="00A76B05">
      <w:pPr>
        <w:pStyle w:val="Heading1Char"/>
        <w:rPr>
          <w:lang w:val="en-AU"/>
        </w:rPr>
      </w:pPr>
      <w:r w:rsidRPr="00B528D0">
        <w:rPr>
          <w:lang w:val="en-AU"/>
        </w:rPr>
        <w:t>Older Persons Advocacy Network</w:t>
      </w:r>
    </w:p>
    <w:p w14:paraId="7EEAB580" w14:textId="77777777" w:rsidR="007A126D" w:rsidRPr="00B528D0" w:rsidRDefault="007A126D" w:rsidP="00A76B05">
      <w:pPr>
        <w:pStyle w:val="Heading1Char"/>
        <w:rPr>
          <w:lang w:val="en-AU"/>
        </w:rPr>
      </w:pPr>
      <w:r w:rsidRPr="00B528D0">
        <w:rPr>
          <w:lang w:val="en-AU"/>
        </w:rPr>
        <w:t>OneCare Ltd</w:t>
      </w:r>
    </w:p>
    <w:p w14:paraId="0D41D927" w14:textId="77777777" w:rsidR="007A126D" w:rsidRPr="00B528D0" w:rsidRDefault="007A126D" w:rsidP="00A76B05">
      <w:pPr>
        <w:pStyle w:val="Heading1Char"/>
        <w:rPr>
          <w:lang w:val="en-AU"/>
        </w:rPr>
      </w:pPr>
      <w:proofErr w:type="spellStart"/>
      <w:r w:rsidRPr="00B528D0">
        <w:rPr>
          <w:lang w:val="en-AU"/>
        </w:rPr>
        <w:t>Orollo</w:t>
      </w:r>
      <w:proofErr w:type="spellEnd"/>
      <w:r w:rsidRPr="00B528D0">
        <w:rPr>
          <w:lang w:val="en-AU"/>
        </w:rPr>
        <w:t xml:space="preserve"> Pty Ltd</w:t>
      </w:r>
    </w:p>
    <w:p w14:paraId="32346524" w14:textId="77777777" w:rsidR="007A126D" w:rsidRPr="00B528D0" w:rsidRDefault="007A126D" w:rsidP="00A76B05">
      <w:pPr>
        <w:pStyle w:val="Heading1Char"/>
        <w:rPr>
          <w:lang w:val="en-AU"/>
        </w:rPr>
      </w:pPr>
      <w:r w:rsidRPr="00B528D0">
        <w:rPr>
          <w:lang w:val="en-AU"/>
        </w:rPr>
        <w:t>Para Hills Residential Care</w:t>
      </w:r>
    </w:p>
    <w:p w14:paraId="1F18E3DB" w14:textId="77777777" w:rsidR="007A126D" w:rsidRPr="00B528D0" w:rsidRDefault="007A126D" w:rsidP="00A76B05">
      <w:pPr>
        <w:pStyle w:val="Heading1Char"/>
        <w:rPr>
          <w:lang w:val="en-AU"/>
        </w:rPr>
      </w:pPr>
      <w:r w:rsidRPr="00B528D0">
        <w:rPr>
          <w:lang w:val="en-AU"/>
        </w:rPr>
        <w:t xml:space="preserve">Premier Health Care </w:t>
      </w:r>
    </w:p>
    <w:p w14:paraId="18EA10DE" w14:textId="77777777" w:rsidR="007A126D" w:rsidRPr="00B528D0" w:rsidRDefault="007A126D" w:rsidP="00A76B05">
      <w:pPr>
        <w:pStyle w:val="Heading1Char"/>
        <w:rPr>
          <w:lang w:val="en-AU"/>
        </w:rPr>
      </w:pPr>
      <w:r w:rsidRPr="00B528D0">
        <w:rPr>
          <w:lang w:val="en-AU"/>
        </w:rPr>
        <w:t>Primary Caring Pty Ltd</w:t>
      </w:r>
    </w:p>
    <w:p w14:paraId="6695D2FD" w14:textId="77777777" w:rsidR="007A126D" w:rsidRPr="00B528D0" w:rsidRDefault="007A126D" w:rsidP="00A76B05">
      <w:pPr>
        <w:pStyle w:val="Heading1Char"/>
        <w:rPr>
          <w:lang w:val="en-AU"/>
        </w:rPr>
      </w:pPr>
      <w:r w:rsidRPr="00B528D0">
        <w:rPr>
          <w:lang w:val="en-AU"/>
        </w:rPr>
        <w:t>Prom Country Aged Care Inc</w:t>
      </w:r>
    </w:p>
    <w:p w14:paraId="1CCC128C" w14:textId="77777777" w:rsidR="007A126D" w:rsidRPr="00B528D0" w:rsidRDefault="007A126D" w:rsidP="00A76B05">
      <w:pPr>
        <w:pStyle w:val="Heading1Char"/>
        <w:rPr>
          <w:lang w:val="en-AU"/>
        </w:rPr>
      </w:pPr>
      <w:proofErr w:type="spellStart"/>
      <w:r w:rsidRPr="00B528D0">
        <w:rPr>
          <w:lang w:val="en-AU"/>
        </w:rPr>
        <w:t>Quambie</w:t>
      </w:r>
      <w:proofErr w:type="spellEnd"/>
      <w:r w:rsidRPr="00B528D0">
        <w:rPr>
          <w:lang w:val="en-AU"/>
        </w:rPr>
        <w:t xml:space="preserve"> Park Waroona (Inc)</w:t>
      </w:r>
    </w:p>
    <w:p w14:paraId="5BF04825" w14:textId="77777777" w:rsidR="007A126D" w:rsidRPr="00B528D0" w:rsidRDefault="007A126D" w:rsidP="00A76B05">
      <w:pPr>
        <w:pStyle w:val="Heading1Char"/>
        <w:rPr>
          <w:lang w:val="en-AU"/>
        </w:rPr>
      </w:pPr>
      <w:r w:rsidRPr="00B528D0">
        <w:rPr>
          <w:lang w:val="en-AU"/>
        </w:rPr>
        <w:t xml:space="preserve">Regis Tiwi </w:t>
      </w:r>
    </w:p>
    <w:p w14:paraId="2C0C91A1" w14:textId="77777777" w:rsidR="007A126D" w:rsidRPr="00B528D0" w:rsidRDefault="007A126D" w:rsidP="00A76B05">
      <w:pPr>
        <w:pStyle w:val="Heading1Char"/>
        <w:rPr>
          <w:lang w:val="en-AU"/>
        </w:rPr>
      </w:pPr>
      <w:proofErr w:type="spellStart"/>
      <w:r w:rsidRPr="00B528D0">
        <w:rPr>
          <w:lang w:val="en-AU"/>
        </w:rPr>
        <w:t>Restvale</w:t>
      </w:r>
      <w:proofErr w:type="spellEnd"/>
      <w:r w:rsidRPr="00B528D0">
        <w:rPr>
          <w:lang w:val="en-AU"/>
        </w:rPr>
        <w:t xml:space="preserve"> Aged Care (Lobethal)</w:t>
      </w:r>
    </w:p>
    <w:p w14:paraId="793B8D53" w14:textId="77777777" w:rsidR="007A126D" w:rsidRPr="00B528D0" w:rsidRDefault="007A126D" w:rsidP="00A76B05">
      <w:pPr>
        <w:pStyle w:val="Heading1Char"/>
        <w:rPr>
          <w:lang w:val="en-AU"/>
        </w:rPr>
      </w:pPr>
      <w:r w:rsidRPr="00B528D0">
        <w:rPr>
          <w:lang w:val="en-AU"/>
        </w:rPr>
        <w:t>Rockpool</w:t>
      </w:r>
    </w:p>
    <w:p w14:paraId="7CA9A00F" w14:textId="77777777" w:rsidR="007A126D" w:rsidRPr="00B528D0" w:rsidRDefault="007A126D" w:rsidP="00A76B05">
      <w:pPr>
        <w:pStyle w:val="Heading1Char"/>
        <w:rPr>
          <w:lang w:val="en-AU"/>
        </w:rPr>
      </w:pPr>
      <w:r w:rsidRPr="00B528D0">
        <w:rPr>
          <w:lang w:val="en-AU"/>
        </w:rPr>
        <w:t xml:space="preserve">Royal Freemasons' </w:t>
      </w:r>
      <w:r w:rsidRPr="00B528D0">
        <w:rPr>
          <w:lang w:val="en-AU"/>
        </w:rPr>
        <w:t>Benevolent Institution</w:t>
      </w:r>
    </w:p>
    <w:p w14:paraId="126E69D8" w14:textId="77777777" w:rsidR="007A126D" w:rsidRPr="00B528D0" w:rsidRDefault="007A126D" w:rsidP="00A76B05">
      <w:pPr>
        <w:pStyle w:val="Heading1Char"/>
        <w:rPr>
          <w:lang w:val="en-AU"/>
        </w:rPr>
      </w:pPr>
      <w:r w:rsidRPr="00B528D0">
        <w:rPr>
          <w:lang w:val="en-AU"/>
        </w:rPr>
        <w:t>RSL Lifecare</w:t>
      </w:r>
    </w:p>
    <w:p w14:paraId="30DF49D4" w14:textId="77777777" w:rsidR="007A126D" w:rsidRPr="00B528D0" w:rsidRDefault="007A126D" w:rsidP="00A76B05">
      <w:pPr>
        <w:pStyle w:val="Heading1Char"/>
        <w:rPr>
          <w:lang w:val="en-AU"/>
        </w:rPr>
      </w:pPr>
      <w:r w:rsidRPr="00B528D0">
        <w:rPr>
          <w:lang w:val="en-AU"/>
        </w:rPr>
        <w:t xml:space="preserve">SA Health </w:t>
      </w:r>
    </w:p>
    <w:p w14:paraId="01201300" w14:textId="77777777" w:rsidR="007A126D" w:rsidRPr="00B528D0" w:rsidRDefault="007A126D" w:rsidP="00A76B05">
      <w:pPr>
        <w:pStyle w:val="Heading1Char"/>
        <w:rPr>
          <w:lang w:val="en-AU"/>
        </w:rPr>
      </w:pPr>
      <w:r w:rsidRPr="00B528D0">
        <w:rPr>
          <w:lang w:val="en-AU"/>
        </w:rPr>
        <w:t>Sale Elderly Citizens Village Inc</w:t>
      </w:r>
    </w:p>
    <w:p w14:paraId="46859754" w14:textId="77777777" w:rsidR="007A126D" w:rsidRPr="00B528D0" w:rsidRDefault="007A126D" w:rsidP="00A76B05">
      <w:pPr>
        <w:pStyle w:val="Heading1Char"/>
        <w:rPr>
          <w:lang w:val="en-AU"/>
        </w:rPr>
      </w:pPr>
      <w:r w:rsidRPr="00B528D0">
        <w:rPr>
          <w:lang w:val="en-AU"/>
        </w:rPr>
        <w:t>Seasons Living</w:t>
      </w:r>
    </w:p>
    <w:p w14:paraId="0E0B516E" w14:textId="77777777" w:rsidR="007A126D" w:rsidRPr="00B528D0" w:rsidRDefault="007A126D" w:rsidP="00A76B05">
      <w:pPr>
        <w:pStyle w:val="Heading1Char"/>
        <w:rPr>
          <w:lang w:val="en-AU"/>
        </w:rPr>
      </w:pPr>
      <w:r w:rsidRPr="00B528D0">
        <w:rPr>
          <w:lang w:val="en-AU"/>
        </w:rPr>
        <w:t>Seventh-Day Adventist Aged Care (Victoria) Ltd</w:t>
      </w:r>
    </w:p>
    <w:p w14:paraId="633F94B8" w14:textId="77777777" w:rsidR="007A126D" w:rsidRPr="00B528D0" w:rsidRDefault="007A126D" w:rsidP="00A76B05">
      <w:pPr>
        <w:pStyle w:val="Heading1Char"/>
        <w:rPr>
          <w:lang w:val="en-AU"/>
        </w:rPr>
      </w:pPr>
      <w:r w:rsidRPr="00B528D0">
        <w:rPr>
          <w:lang w:val="en-AU"/>
        </w:rPr>
        <w:t>Shepparton Retirement Villages Inc</w:t>
      </w:r>
    </w:p>
    <w:p w14:paraId="193933AF" w14:textId="77777777" w:rsidR="007A126D" w:rsidRPr="00B528D0" w:rsidRDefault="007A126D" w:rsidP="00A76B05">
      <w:pPr>
        <w:pStyle w:val="Heading1Char"/>
        <w:rPr>
          <w:lang w:val="en-AU"/>
        </w:rPr>
      </w:pPr>
      <w:r w:rsidRPr="00B528D0">
        <w:rPr>
          <w:lang w:val="en-AU"/>
        </w:rPr>
        <w:t>Signature Care</w:t>
      </w:r>
    </w:p>
    <w:p w14:paraId="42807613" w14:textId="77777777" w:rsidR="007A126D" w:rsidRPr="00B528D0" w:rsidRDefault="007A126D" w:rsidP="00A76B05">
      <w:pPr>
        <w:pStyle w:val="Heading1Char"/>
        <w:rPr>
          <w:lang w:val="en-AU"/>
        </w:rPr>
      </w:pPr>
      <w:proofErr w:type="gramStart"/>
      <w:r w:rsidRPr="00B528D0">
        <w:rPr>
          <w:lang w:val="en-AU"/>
        </w:rPr>
        <w:t>South West</w:t>
      </w:r>
      <w:proofErr w:type="gramEnd"/>
      <w:r w:rsidRPr="00B528D0">
        <w:rPr>
          <w:lang w:val="en-AU"/>
        </w:rPr>
        <w:t xml:space="preserve"> Healthcare</w:t>
      </w:r>
    </w:p>
    <w:p w14:paraId="553E84E7" w14:textId="77777777" w:rsidR="007A126D" w:rsidRPr="00B528D0" w:rsidRDefault="007A126D" w:rsidP="00A76B05">
      <w:pPr>
        <w:pStyle w:val="Heading1Char"/>
        <w:rPr>
          <w:lang w:val="en-AU"/>
        </w:rPr>
      </w:pPr>
      <w:r w:rsidRPr="00B528D0">
        <w:rPr>
          <w:lang w:val="en-AU"/>
        </w:rPr>
        <w:t>Southern Cross Care (SA, NT &amp; VIC) Inc</w:t>
      </w:r>
    </w:p>
    <w:p w14:paraId="5A7D6F21" w14:textId="77777777" w:rsidR="007A126D" w:rsidRPr="00B528D0" w:rsidRDefault="007A126D" w:rsidP="00A76B05">
      <w:pPr>
        <w:pStyle w:val="Heading1Char"/>
        <w:rPr>
          <w:lang w:val="en-AU"/>
        </w:rPr>
      </w:pPr>
      <w:r w:rsidRPr="00B528D0">
        <w:rPr>
          <w:lang w:val="en-AU"/>
        </w:rPr>
        <w:t>Southern Cross Care QLD Ltd</w:t>
      </w:r>
    </w:p>
    <w:p w14:paraId="191D1D55" w14:textId="77777777" w:rsidR="007A126D" w:rsidRPr="00B528D0" w:rsidRDefault="007A126D" w:rsidP="00A76B05">
      <w:pPr>
        <w:pStyle w:val="Heading1Char"/>
        <w:rPr>
          <w:lang w:val="en-AU"/>
        </w:rPr>
      </w:pPr>
      <w:r w:rsidRPr="00B528D0">
        <w:rPr>
          <w:lang w:val="en-AU"/>
        </w:rPr>
        <w:t>Southern Cross Care Tasmania</w:t>
      </w:r>
    </w:p>
    <w:p w14:paraId="0CFAFF47" w14:textId="77777777" w:rsidR="007A126D" w:rsidRPr="00B528D0" w:rsidRDefault="007A126D" w:rsidP="00A76B05">
      <w:pPr>
        <w:pStyle w:val="Heading1Char"/>
        <w:rPr>
          <w:lang w:val="en-AU"/>
        </w:rPr>
      </w:pPr>
      <w:r w:rsidRPr="00B528D0">
        <w:rPr>
          <w:lang w:val="en-AU"/>
        </w:rPr>
        <w:t>St Basil's Homes (SA)</w:t>
      </w:r>
    </w:p>
    <w:p w14:paraId="141FFF84" w14:textId="77777777" w:rsidR="007A126D" w:rsidRPr="00B528D0" w:rsidRDefault="007A126D" w:rsidP="00A76B05">
      <w:pPr>
        <w:pStyle w:val="Heading1Char"/>
        <w:rPr>
          <w:lang w:val="en-AU"/>
        </w:rPr>
      </w:pPr>
      <w:r w:rsidRPr="00B528D0">
        <w:rPr>
          <w:lang w:val="en-AU"/>
        </w:rPr>
        <w:t>Stirling Ethnic Aged Homes Association Inc</w:t>
      </w:r>
    </w:p>
    <w:p w14:paraId="2A9A31B0" w14:textId="77777777" w:rsidR="007A126D" w:rsidRPr="00B528D0" w:rsidRDefault="007A126D" w:rsidP="00A76B05">
      <w:pPr>
        <w:pStyle w:val="Heading1Char"/>
        <w:rPr>
          <w:lang w:val="en-AU"/>
        </w:rPr>
      </w:pPr>
      <w:r w:rsidRPr="00B528D0">
        <w:rPr>
          <w:lang w:val="en-AU"/>
        </w:rPr>
        <w:t>Tanunda Lutheran Home</w:t>
      </w:r>
    </w:p>
    <w:p w14:paraId="7870F265" w14:textId="77777777" w:rsidR="007A126D" w:rsidRPr="00B528D0" w:rsidRDefault="007A126D" w:rsidP="00A76B05">
      <w:pPr>
        <w:pStyle w:val="Heading1Char"/>
        <w:rPr>
          <w:lang w:val="en-AU"/>
        </w:rPr>
      </w:pPr>
      <w:r w:rsidRPr="00B528D0">
        <w:rPr>
          <w:lang w:val="en-AU"/>
        </w:rPr>
        <w:t>Thompson Health Care Pty Ltd</w:t>
      </w:r>
    </w:p>
    <w:p w14:paraId="200FF525" w14:textId="77777777" w:rsidR="007A126D" w:rsidRPr="00B528D0" w:rsidRDefault="007A126D" w:rsidP="00A76B05">
      <w:pPr>
        <w:pStyle w:val="Heading1Char"/>
        <w:rPr>
          <w:lang w:val="en-AU"/>
        </w:rPr>
      </w:pPr>
      <w:r w:rsidRPr="00B528D0">
        <w:rPr>
          <w:lang w:val="en-AU"/>
        </w:rPr>
        <w:t>United Protestant Association of NSW Limited</w:t>
      </w:r>
    </w:p>
    <w:p w14:paraId="1F3C4803" w14:textId="77777777" w:rsidR="007A126D" w:rsidRPr="00B528D0" w:rsidRDefault="007A126D" w:rsidP="00A76B05">
      <w:pPr>
        <w:pStyle w:val="Heading1Char"/>
        <w:rPr>
          <w:lang w:val="en-AU"/>
        </w:rPr>
      </w:pPr>
      <w:r w:rsidRPr="00B528D0">
        <w:rPr>
          <w:lang w:val="en-AU"/>
        </w:rPr>
        <w:t>Uniting Church in Australia Property Trust NSW</w:t>
      </w:r>
    </w:p>
    <w:p w14:paraId="66A35E13" w14:textId="77777777" w:rsidR="007A126D" w:rsidRPr="00B528D0" w:rsidRDefault="007A126D" w:rsidP="00A76B05">
      <w:pPr>
        <w:pStyle w:val="Heading1Char"/>
        <w:rPr>
          <w:lang w:val="en-AU"/>
        </w:rPr>
      </w:pPr>
      <w:r w:rsidRPr="00B528D0">
        <w:rPr>
          <w:lang w:val="en-AU"/>
        </w:rPr>
        <w:t>Uniting Communities</w:t>
      </w:r>
    </w:p>
    <w:p w14:paraId="245CE794" w14:textId="77777777" w:rsidR="007A126D" w:rsidRPr="00B528D0" w:rsidRDefault="007A126D" w:rsidP="00A76B05">
      <w:pPr>
        <w:pStyle w:val="Heading1Char"/>
        <w:rPr>
          <w:lang w:val="en-AU"/>
        </w:rPr>
      </w:pPr>
      <w:proofErr w:type="spellStart"/>
      <w:r w:rsidRPr="00B528D0">
        <w:rPr>
          <w:lang w:val="en-AU"/>
        </w:rPr>
        <w:t>Vacenti</w:t>
      </w:r>
      <w:proofErr w:type="spellEnd"/>
      <w:r w:rsidRPr="00B528D0">
        <w:rPr>
          <w:lang w:val="en-AU"/>
        </w:rPr>
        <w:t xml:space="preserve"> </w:t>
      </w:r>
    </w:p>
    <w:p w14:paraId="1B2CE917" w14:textId="77777777" w:rsidR="007A126D" w:rsidRPr="00B528D0" w:rsidRDefault="007A126D" w:rsidP="00A76B05">
      <w:pPr>
        <w:pStyle w:val="Heading1Char"/>
        <w:rPr>
          <w:lang w:val="en-AU"/>
        </w:rPr>
      </w:pPr>
      <w:r w:rsidRPr="00B528D0">
        <w:rPr>
          <w:lang w:val="en-AU"/>
        </w:rPr>
        <w:t>Vasey RSL Care Ltd</w:t>
      </w:r>
    </w:p>
    <w:p w14:paraId="24F6E668" w14:textId="77777777" w:rsidR="007A126D" w:rsidRPr="00B528D0" w:rsidRDefault="007A126D" w:rsidP="00A76B05">
      <w:pPr>
        <w:pStyle w:val="Heading1Char"/>
        <w:rPr>
          <w:lang w:val="en-AU"/>
        </w:rPr>
      </w:pPr>
      <w:r w:rsidRPr="00B528D0">
        <w:rPr>
          <w:lang w:val="en-AU"/>
        </w:rPr>
        <w:t>West Wimmera Health Service</w:t>
      </w:r>
    </w:p>
    <w:p w14:paraId="2EF1EF76" w14:textId="77777777" w:rsidR="007A126D" w:rsidRPr="00B528D0" w:rsidRDefault="007A126D" w:rsidP="00A76B05">
      <w:pPr>
        <w:pStyle w:val="Heading1Char"/>
        <w:rPr>
          <w:lang w:val="en-AU"/>
        </w:rPr>
      </w:pPr>
      <w:proofErr w:type="spellStart"/>
      <w:r w:rsidRPr="00B528D0">
        <w:rPr>
          <w:lang w:val="en-AU"/>
        </w:rPr>
        <w:t>Wickro</w:t>
      </w:r>
      <w:proofErr w:type="spellEnd"/>
      <w:r w:rsidRPr="00B528D0">
        <w:rPr>
          <w:lang w:val="en-AU"/>
        </w:rPr>
        <w:t xml:space="preserve"> Pty Ltd</w:t>
      </w:r>
    </w:p>
    <w:p w14:paraId="127C46E1" w14:textId="25575490" w:rsidR="007A126D" w:rsidRPr="00B528D0" w:rsidRDefault="007A126D" w:rsidP="00A76B05">
      <w:pPr>
        <w:pStyle w:val="Heading1Char"/>
        <w:rPr>
          <w:lang w:val="en-AU"/>
        </w:rPr>
        <w:sectPr w:rsidR="007A126D" w:rsidRPr="00B528D0" w:rsidSect="00FF340D">
          <w:type w:val="continuous"/>
          <w:pgSz w:w="11906" w:h="16838" w:code="9"/>
          <w:pgMar w:top="1440" w:right="1440" w:bottom="1440" w:left="1440" w:header="17" w:footer="159" w:gutter="0"/>
          <w:cols w:num="3" w:space="227"/>
          <w:titlePg/>
          <w:docGrid w:linePitch="360"/>
        </w:sectPr>
      </w:pPr>
      <w:r w:rsidRPr="00B528D0">
        <w:rPr>
          <w:lang w:val="en-AU"/>
        </w:rPr>
        <w:t xml:space="preserve">Yarram &amp; District Health </w:t>
      </w:r>
      <w:proofErr w:type="spellStart"/>
      <w:r w:rsidRPr="00B528D0">
        <w:rPr>
          <w:lang w:val="en-AU"/>
        </w:rPr>
        <w:t>Servic</w:t>
      </w:r>
      <w:proofErr w:type="spellEnd"/>
    </w:p>
    <w:p w14:paraId="66BF7396" w14:textId="77777777" w:rsidR="00FF340D" w:rsidRPr="00D04C0D" w:rsidRDefault="00FF340D" w:rsidP="00D04C0D">
      <w:pPr>
        <w:sectPr w:rsidR="00FF340D" w:rsidRPr="00D04C0D" w:rsidSect="00FA4F7E">
          <w:pgSz w:w="11906" w:h="16838"/>
          <w:pgMar w:top="1440" w:right="1440" w:bottom="1440" w:left="1440" w:header="720" w:footer="720" w:gutter="0"/>
          <w:cols w:space="720"/>
        </w:sectPr>
      </w:pPr>
    </w:p>
    <w:p w14:paraId="77FA2A84" w14:textId="77777777" w:rsidR="004348E3" w:rsidRPr="003A426F" w:rsidRDefault="004348E3" w:rsidP="003A426F">
      <w:pPr>
        <w:sectPr w:rsidR="004348E3" w:rsidRPr="003A426F" w:rsidSect="00FF340D">
          <w:type w:val="continuous"/>
          <w:pgSz w:w="11906" w:h="16838"/>
          <w:pgMar w:top="1440" w:right="1440" w:bottom="1440" w:left="1440" w:header="720" w:footer="720" w:gutter="0"/>
          <w:cols w:space="720"/>
        </w:sectPr>
      </w:pPr>
    </w:p>
    <w:p w14:paraId="1B955A6F" w14:textId="435E3C2F" w:rsidR="003056A3" w:rsidRPr="003A426F" w:rsidRDefault="00492AC9" w:rsidP="003A426F">
      <w:r w:rsidRPr="003A426F">
        <w:t xml:space="preserve">Visit </w:t>
      </w:r>
      <w:hyperlink r:id="rId75" w:history="1">
        <w:r w:rsidRPr="00231194">
          <w:rPr>
            <w:rStyle w:val="Hyperlink"/>
          </w:rPr>
          <w:t>agedcareengagement.health.gov.au</w:t>
        </w:r>
      </w:hyperlink>
    </w:p>
    <w:p w14:paraId="49EBB732" w14:textId="75434CCC" w:rsidR="003056A3" w:rsidRPr="00D04C0D" w:rsidRDefault="00231194" w:rsidP="00D04C0D">
      <w:r w:rsidRPr="003A426F">
        <mc:AlternateContent>
          <mc:Choice Requires="wpg">
            <w:drawing>
              <wp:inline distT="0" distB="0" distL="0" distR="0" wp14:anchorId="2100AD61" wp14:editId="32082C1E">
                <wp:extent cx="280035" cy="280035"/>
                <wp:effectExtent l="0" t="0" r="5715" b="5715"/>
                <wp:docPr id="2" name="docshapegroup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280035"/>
                          <a:chOff x="3579" y="-47"/>
                          <a:chExt cx="441" cy="441"/>
                        </a:xfrm>
                      </wpg:grpSpPr>
                      <wps:wsp>
                        <wps:cNvPr id="32" name="docshape38"/>
                        <wps:cNvSpPr>
                          <a:spLocks/>
                        </wps:cNvSpPr>
                        <wps:spPr bwMode="auto">
                          <a:xfrm>
                            <a:off x="3579" y="-47"/>
                            <a:ext cx="441" cy="441"/>
                          </a:xfrm>
                          <a:custGeom>
                            <a:avLst/>
                            <a:gdLst>
                              <a:gd name="T0" fmla="+- 0 3799 3579"/>
                              <a:gd name="T1" fmla="*/ T0 w 441"/>
                              <a:gd name="T2" fmla="+- 0 -47 -47"/>
                              <a:gd name="T3" fmla="*/ -47 h 441"/>
                              <a:gd name="T4" fmla="+- 0 3730 3579"/>
                              <a:gd name="T5" fmla="*/ T4 w 441"/>
                              <a:gd name="T6" fmla="+- 0 -36 -47"/>
                              <a:gd name="T7" fmla="*/ -36 h 441"/>
                              <a:gd name="T8" fmla="+- 0 3669 3579"/>
                              <a:gd name="T9" fmla="*/ T8 w 441"/>
                              <a:gd name="T10" fmla="+- 0 -4 -47"/>
                              <a:gd name="T11" fmla="*/ -4 h 441"/>
                              <a:gd name="T12" fmla="+- 0 3622 3579"/>
                              <a:gd name="T13" fmla="*/ T12 w 441"/>
                              <a:gd name="T14" fmla="+- 0 43 -47"/>
                              <a:gd name="T15" fmla="*/ 43 h 441"/>
                              <a:gd name="T16" fmla="+- 0 3590 3579"/>
                              <a:gd name="T17" fmla="*/ T16 w 441"/>
                              <a:gd name="T18" fmla="+- 0 104 -47"/>
                              <a:gd name="T19" fmla="*/ 104 h 441"/>
                              <a:gd name="T20" fmla="+- 0 3579 3579"/>
                              <a:gd name="T21" fmla="*/ T20 w 441"/>
                              <a:gd name="T22" fmla="+- 0 173 -47"/>
                              <a:gd name="T23" fmla="*/ 173 h 441"/>
                              <a:gd name="T24" fmla="+- 0 3590 3579"/>
                              <a:gd name="T25" fmla="*/ T24 w 441"/>
                              <a:gd name="T26" fmla="+- 0 243 -47"/>
                              <a:gd name="T27" fmla="*/ 243 h 441"/>
                              <a:gd name="T28" fmla="+- 0 3622 3579"/>
                              <a:gd name="T29" fmla="*/ T28 w 441"/>
                              <a:gd name="T30" fmla="+- 0 303 -47"/>
                              <a:gd name="T31" fmla="*/ 303 h 441"/>
                              <a:gd name="T32" fmla="+- 0 3669 3579"/>
                              <a:gd name="T33" fmla="*/ T32 w 441"/>
                              <a:gd name="T34" fmla="+- 0 351 -47"/>
                              <a:gd name="T35" fmla="*/ 351 h 441"/>
                              <a:gd name="T36" fmla="+- 0 3730 3579"/>
                              <a:gd name="T37" fmla="*/ T36 w 441"/>
                              <a:gd name="T38" fmla="+- 0 382 -47"/>
                              <a:gd name="T39" fmla="*/ 382 h 441"/>
                              <a:gd name="T40" fmla="+- 0 3799 3579"/>
                              <a:gd name="T41" fmla="*/ T40 w 441"/>
                              <a:gd name="T42" fmla="+- 0 394 -47"/>
                              <a:gd name="T43" fmla="*/ 394 h 441"/>
                              <a:gd name="T44" fmla="+- 0 3869 3579"/>
                              <a:gd name="T45" fmla="*/ T44 w 441"/>
                              <a:gd name="T46" fmla="+- 0 382 -47"/>
                              <a:gd name="T47" fmla="*/ 382 h 441"/>
                              <a:gd name="T48" fmla="+- 0 3929 3579"/>
                              <a:gd name="T49" fmla="*/ T48 w 441"/>
                              <a:gd name="T50" fmla="+- 0 351 -47"/>
                              <a:gd name="T51" fmla="*/ 351 h 441"/>
                              <a:gd name="T52" fmla="+- 0 3977 3579"/>
                              <a:gd name="T53" fmla="*/ T52 w 441"/>
                              <a:gd name="T54" fmla="+- 0 303 -47"/>
                              <a:gd name="T55" fmla="*/ 303 h 441"/>
                              <a:gd name="T56" fmla="+- 0 4008 3579"/>
                              <a:gd name="T57" fmla="*/ T56 w 441"/>
                              <a:gd name="T58" fmla="+- 0 243 -47"/>
                              <a:gd name="T59" fmla="*/ 243 h 441"/>
                              <a:gd name="T60" fmla="+- 0 4020 3579"/>
                              <a:gd name="T61" fmla="*/ T60 w 441"/>
                              <a:gd name="T62" fmla="+- 0 173 -47"/>
                              <a:gd name="T63" fmla="*/ 173 h 441"/>
                              <a:gd name="T64" fmla="+- 0 4008 3579"/>
                              <a:gd name="T65" fmla="*/ T64 w 441"/>
                              <a:gd name="T66" fmla="+- 0 104 -47"/>
                              <a:gd name="T67" fmla="*/ 104 h 441"/>
                              <a:gd name="T68" fmla="+- 0 3977 3579"/>
                              <a:gd name="T69" fmla="*/ T68 w 441"/>
                              <a:gd name="T70" fmla="+- 0 43 -47"/>
                              <a:gd name="T71" fmla="*/ 43 h 441"/>
                              <a:gd name="T72" fmla="+- 0 3929 3579"/>
                              <a:gd name="T73" fmla="*/ T72 w 441"/>
                              <a:gd name="T74" fmla="+- 0 -4 -47"/>
                              <a:gd name="T75" fmla="*/ -4 h 441"/>
                              <a:gd name="T76" fmla="+- 0 3869 3579"/>
                              <a:gd name="T77" fmla="*/ T76 w 441"/>
                              <a:gd name="T78" fmla="+- 0 -36 -47"/>
                              <a:gd name="T79" fmla="*/ -36 h 441"/>
                              <a:gd name="T80" fmla="+- 0 3799 3579"/>
                              <a:gd name="T81" fmla="*/ T80 w 441"/>
                              <a:gd name="T82" fmla="+- 0 -47 -47"/>
                              <a:gd name="T83" fmla="*/ -47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0" y="0"/>
                                </a:moveTo>
                                <a:lnTo>
                                  <a:pt x="151" y="11"/>
                                </a:lnTo>
                                <a:lnTo>
                                  <a:pt x="90" y="43"/>
                                </a:lnTo>
                                <a:lnTo>
                                  <a:pt x="43" y="90"/>
                                </a:lnTo>
                                <a:lnTo>
                                  <a:pt x="11" y="151"/>
                                </a:lnTo>
                                <a:lnTo>
                                  <a:pt x="0" y="220"/>
                                </a:lnTo>
                                <a:lnTo>
                                  <a:pt x="11" y="290"/>
                                </a:lnTo>
                                <a:lnTo>
                                  <a:pt x="43" y="350"/>
                                </a:lnTo>
                                <a:lnTo>
                                  <a:pt x="90" y="398"/>
                                </a:lnTo>
                                <a:lnTo>
                                  <a:pt x="151" y="429"/>
                                </a:lnTo>
                                <a:lnTo>
                                  <a:pt x="220" y="441"/>
                                </a:lnTo>
                                <a:lnTo>
                                  <a:pt x="290" y="429"/>
                                </a:lnTo>
                                <a:lnTo>
                                  <a:pt x="350" y="398"/>
                                </a:lnTo>
                                <a:lnTo>
                                  <a:pt x="398" y="350"/>
                                </a:lnTo>
                                <a:lnTo>
                                  <a:pt x="429" y="290"/>
                                </a:lnTo>
                                <a:lnTo>
                                  <a:pt x="441" y="220"/>
                                </a:lnTo>
                                <a:lnTo>
                                  <a:pt x="429" y="151"/>
                                </a:lnTo>
                                <a:lnTo>
                                  <a:pt x="398" y="90"/>
                                </a:lnTo>
                                <a:lnTo>
                                  <a:pt x="350" y="43"/>
                                </a:lnTo>
                                <a:lnTo>
                                  <a:pt x="290" y="11"/>
                                </a:lnTo>
                                <a:lnTo>
                                  <a:pt x="220" y="0"/>
                                </a:lnTo>
                                <a:close/>
                              </a:path>
                            </a:pathLst>
                          </a:custGeom>
                          <a:solidFill>
                            <a:srgbClr val="2AB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39"/>
                          <pic:cNvPicPr>
                            <a:picLocks/>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3687" y="60"/>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14A2B1" id="docshapegroup37" o:spid="_x0000_s1026" alt="&quot;&quot;" style="width:22.05pt;height:22.05pt;mso-position-horizontal-relative:char;mso-position-vertical-relative:line" coordorigin="3579,-47" coordsize="44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">
                <v:shape id="docshape38" o:spid="_x0000_s1027" style="position:absolute;left:3579;top:-47;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" path="m220,l151,11,90,43,43,90,11,151,,220r11,70l43,350r47,48l151,429r69,12l290,429r60,-31l398,350r31,-60l441,220,429,151,398,90,350,43,290,11,220,xe" fillcolor="#2ab1bb" stroked="f">
                  <v:path arrowok="t" o:connecttype="custom" o:connectlocs="220,-47;151,-36;90,-4;43,43;11,104;0,173;11,243;43,303;90,351;151,382;220,394;290,382;350,351;398,303;429,243;441,173;429,104;398,43;350,-4;290,-36;220,-47"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 o:spid="_x0000_s1028" type="#_x0000_t75" style="position:absolute;left:3687;top:60;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">
                  <v:imagedata r:id="rId77" o:title=""/>
                  <v:path arrowok="t"/>
                  <o:lock v:ext="edit" aspectratio="f"/>
                </v:shape>
                <w10:anchorlock/>
              </v:group>
            </w:pict>
          </mc:Fallback>
        </mc:AlternateContent>
      </w:r>
      <w:r w:rsidRPr="00D04C0D">
        <w:t xml:space="preserve"> </w:t>
      </w:r>
      <w:r w:rsidR="00492AC9" w:rsidRPr="00D04C0D">
        <w:t>Phone 1800 200 422</w:t>
      </w:r>
      <w:r>
        <w:t xml:space="preserve"> </w:t>
      </w:r>
      <w:r w:rsidR="00492AC9" w:rsidRPr="00D04C0D">
        <w:t xml:space="preserve">(My Aged Care’s </w:t>
      </w:r>
      <w:proofErr w:type="spellStart"/>
      <w:r w:rsidR="00492AC9" w:rsidRPr="00D04C0D">
        <w:t>freecall</w:t>
      </w:r>
      <w:proofErr w:type="spellEnd"/>
      <w:r w:rsidR="00492AC9" w:rsidRPr="00D04C0D">
        <w:t xml:space="preserve"> phone line)</w:t>
      </w:r>
    </w:p>
    <w:p w14:paraId="72DFC729" w14:textId="77777777" w:rsidR="003056A3" w:rsidRPr="00D04C0D" w:rsidRDefault="00492AC9" w:rsidP="00D04C0D">
      <w:r w:rsidRPr="00D04C0D">
        <w:t>For translating and interpreting services, call 131 450 and ask for My Aged Care on 1800 200 422.</w:t>
      </w:r>
    </w:p>
    <w:p w14:paraId="3BA71242" w14:textId="448A733F" w:rsidR="004348E3" w:rsidRPr="00D04C0D" w:rsidRDefault="00492AC9" w:rsidP="00D04C0D">
      <w:r w:rsidRPr="00D04C0D">
        <w:t>To use the National Relay Service, visit nrschat.nrscall.gov.au/</w:t>
      </w:r>
      <w:proofErr w:type="spellStart"/>
      <w:r w:rsidRPr="00D04C0D">
        <w:t>nrs</w:t>
      </w:r>
      <w:proofErr w:type="spellEnd"/>
      <w:r w:rsidRPr="00D04C0D">
        <w:t xml:space="preserve"> or call 1800 555 660</w:t>
      </w:r>
      <w:r w:rsidR="004348E3" w:rsidRPr="00D04C0D">
        <w:t>.</w:t>
      </w:r>
    </w:p>
    <w:sectPr w:rsidR="004348E3" w:rsidRPr="00D04C0D" w:rsidSect="00FA4F7E">
      <w:footerReference w:type="default" r:id="rId78"/>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F52F8" w14:textId="77777777" w:rsidR="0048452D" w:rsidRDefault="0048452D" w:rsidP="001D0D47">
      <w:r>
        <w:separator/>
      </w:r>
    </w:p>
  </w:endnote>
  <w:endnote w:type="continuationSeparator" w:id="0">
    <w:p w14:paraId="3633AAAB" w14:textId="77777777" w:rsidR="0048452D" w:rsidRDefault="0048452D" w:rsidP="001D0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Footer"/>
      </w:rPr>
      <w:id w:val="538168845"/>
      <w:docPartObj>
        <w:docPartGallery w:val="Page Numbers (Bottom of Page)"/>
        <w:docPartUnique/>
      </w:docPartObj>
    </w:sdtPr>
    <w:sdtEndPr>
      <w:rPr>
        <w:rStyle w:val="Footer"/>
      </w:rPr>
    </w:sdtEndPr>
    <w:sdtContent>
      <w:p w14:paraId="4B328E90" w14:textId="77777777" w:rsidR="00A61363" w:rsidRDefault="00A61363" w:rsidP="008844C9">
        <w:pPr>
          <w:pStyle w:val="Header"/>
          <w:framePr w:wrap="none" w:vAnchor="text" w:hAnchor="margin" w:y="1"/>
          <w:rPr>
            <w:rStyle w:val="Footer"/>
          </w:rPr>
        </w:pPr>
        <w:r>
          <w:rPr>
            <w:rStyle w:val="Footer"/>
          </w:rPr>
          <w:fldChar w:fldCharType="begin"/>
        </w:r>
        <w:r>
          <w:rPr>
            <w:rStyle w:val="Footer"/>
          </w:rPr>
          <w:instrText xml:space="preserve"> PAGE </w:instrText>
        </w:r>
        <w:r>
          <w:rPr>
            <w:rStyle w:val="Footer"/>
          </w:rPr>
          <w:fldChar w:fldCharType="end"/>
        </w:r>
      </w:p>
    </w:sdtContent>
  </w:sdt>
  <w:p w14:paraId="6D9415AF" w14:textId="77777777" w:rsidR="00A61363" w:rsidRDefault="00A61363" w:rsidP="00A61363">
    <w:pPr>
      <w:pStyle w:val="Head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Footer"/>
        <w:b/>
        <w:bCs/>
        <w:sz w:val="20"/>
        <w:szCs w:val="20"/>
      </w:rPr>
      <w:id w:val="905120018"/>
      <w:docPartObj>
        <w:docPartGallery w:val="Page Numbers (Bottom of Page)"/>
        <w:docPartUnique/>
      </w:docPartObj>
    </w:sdtPr>
    <w:sdtEndPr>
      <w:rPr>
        <w:rStyle w:val="Footer"/>
      </w:rPr>
    </w:sdtEndPr>
    <w:sdtContent>
      <w:p w14:paraId="4E9264E9" w14:textId="77777777" w:rsidR="00A61363" w:rsidRPr="00B475DF" w:rsidRDefault="00A61363" w:rsidP="00A61363">
        <w:pPr>
          <w:pStyle w:val="Header"/>
          <w:framePr w:wrap="none" w:vAnchor="text" w:hAnchor="page" w:x="638" w:y="160"/>
          <w:ind w:left="51" w:right="-711"/>
          <w:rPr>
            <w:rStyle w:val="Footer"/>
            <w:b/>
            <w:bCs/>
            <w:sz w:val="20"/>
            <w:szCs w:val="20"/>
          </w:rPr>
        </w:pPr>
        <w:r w:rsidRPr="00B475DF">
          <w:rPr>
            <w:rStyle w:val="Footer"/>
            <w:b/>
            <w:bCs/>
            <w:sz w:val="20"/>
            <w:szCs w:val="20"/>
          </w:rPr>
          <w:fldChar w:fldCharType="begin"/>
        </w:r>
        <w:r w:rsidRPr="00B475DF">
          <w:rPr>
            <w:rStyle w:val="Footer"/>
            <w:b/>
            <w:bCs/>
            <w:sz w:val="20"/>
            <w:szCs w:val="20"/>
          </w:rPr>
          <w:instrText xml:space="preserve"> PAGE </w:instrText>
        </w:r>
        <w:r w:rsidRPr="00B475DF">
          <w:rPr>
            <w:rStyle w:val="Footer"/>
            <w:b/>
            <w:bCs/>
            <w:sz w:val="20"/>
            <w:szCs w:val="20"/>
          </w:rPr>
          <w:fldChar w:fldCharType="separate"/>
        </w:r>
        <w:r w:rsidRPr="00B475DF">
          <w:rPr>
            <w:rStyle w:val="Footer"/>
            <w:b/>
            <w:bCs/>
            <w:noProof/>
            <w:sz w:val="20"/>
            <w:szCs w:val="20"/>
          </w:rPr>
          <w:t>6</w:t>
        </w:r>
        <w:r w:rsidRPr="00B475DF">
          <w:rPr>
            <w:rStyle w:val="Footer"/>
            <w:b/>
            <w:bCs/>
            <w:sz w:val="20"/>
            <w:szCs w:val="20"/>
          </w:rPr>
          <w:fldChar w:fldCharType="end"/>
        </w:r>
      </w:p>
    </w:sdtContent>
  </w:sdt>
  <w:p w14:paraId="613617CF" w14:textId="08D0CA0F" w:rsidR="001D0D47" w:rsidRPr="00B475DF" w:rsidRDefault="00B75964" w:rsidP="0049607C">
    <w:pPr>
      <w:pStyle w:val="Heading1Char"/>
      <w:tabs>
        <w:tab w:val="left" w:pos="1133"/>
      </w:tabs>
      <w:spacing w:before="139"/>
      <w:rPr>
        <w:sz w:val="21"/>
        <w:szCs w:val="21"/>
      </w:rPr>
    </w:pPr>
    <w:r w:rsidRPr="00CB1F7A">
      <w:rPr>
        <w:sz w:val="21"/>
        <w:szCs w:val="21"/>
      </w:rPr>
      <w:tab/>
    </w:r>
    <w:r w:rsidR="00CB1F7A" w:rsidRPr="007B2578">
      <w:rPr>
        <w:sz w:val="21"/>
        <w:szCs w:val="21"/>
      </w:rPr>
      <w:t>ACAR Transition</w:t>
    </w:r>
    <w:r w:rsidR="00180E32">
      <w:rPr>
        <w:sz w:val="21"/>
        <w:szCs w:val="21"/>
      </w:rPr>
      <w:t xml:space="preserve"> – Consultation Outcomes</w:t>
    </w:r>
    <w:r w:rsidR="00A61363" w:rsidRPr="00B475DF">
      <w:rPr>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Footer"/>
        <w:b/>
        <w:bCs/>
        <w:sz w:val="20"/>
        <w:szCs w:val="20"/>
      </w:rPr>
      <w:id w:val="688956876"/>
      <w:docPartObj>
        <w:docPartGallery w:val="Page Numbers (Bottom of Page)"/>
        <w:docPartUnique/>
      </w:docPartObj>
    </w:sdtPr>
    <w:sdtEndPr>
      <w:rPr>
        <w:rStyle w:val="Footer"/>
      </w:rPr>
    </w:sdtEndPr>
    <w:sdtContent>
      <w:p w14:paraId="7179000C" w14:textId="77777777" w:rsidR="00F366FE" w:rsidRPr="00B475DF" w:rsidRDefault="00F366FE" w:rsidP="00A61363">
        <w:pPr>
          <w:pStyle w:val="Header"/>
          <w:framePr w:wrap="none" w:vAnchor="text" w:hAnchor="page" w:x="638" w:y="160"/>
          <w:ind w:left="51" w:right="-711"/>
          <w:rPr>
            <w:rStyle w:val="Footer"/>
            <w:b/>
            <w:bCs/>
            <w:sz w:val="20"/>
            <w:szCs w:val="20"/>
          </w:rPr>
        </w:pPr>
        <w:r w:rsidRPr="00B475DF">
          <w:rPr>
            <w:rStyle w:val="Footer"/>
            <w:b/>
            <w:bCs/>
            <w:sz w:val="20"/>
            <w:szCs w:val="20"/>
          </w:rPr>
          <w:fldChar w:fldCharType="begin"/>
        </w:r>
        <w:r w:rsidRPr="00B475DF">
          <w:rPr>
            <w:rStyle w:val="Footer"/>
            <w:b/>
            <w:bCs/>
            <w:sz w:val="20"/>
            <w:szCs w:val="20"/>
          </w:rPr>
          <w:instrText xml:space="preserve"> PAGE </w:instrText>
        </w:r>
        <w:r w:rsidRPr="00B475DF">
          <w:rPr>
            <w:rStyle w:val="Footer"/>
            <w:b/>
            <w:bCs/>
            <w:sz w:val="20"/>
            <w:szCs w:val="20"/>
          </w:rPr>
          <w:fldChar w:fldCharType="separate"/>
        </w:r>
        <w:r w:rsidRPr="00B475DF">
          <w:rPr>
            <w:rStyle w:val="Footer"/>
            <w:b/>
            <w:bCs/>
            <w:noProof/>
            <w:sz w:val="20"/>
            <w:szCs w:val="20"/>
          </w:rPr>
          <w:t>6</w:t>
        </w:r>
        <w:r w:rsidRPr="00B475DF">
          <w:rPr>
            <w:rStyle w:val="Footer"/>
            <w:b/>
            <w:bCs/>
            <w:sz w:val="20"/>
            <w:szCs w:val="20"/>
          </w:rPr>
          <w:fldChar w:fldCharType="end"/>
        </w:r>
      </w:p>
    </w:sdtContent>
  </w:sdt>
  <w:p w14:paraId="4A03B87B" w14:textId="036E184C" w:rsidR="00F366FE" w:rsidRPr="00B475DF" w:rsidRDefault="000E6AFB" w:rsidP="0049607C">
    <w:pPr>
      <w:pStyle w:val="Heading1Char"/>
      <w:tabs>
        <w:tab w:val="left" w:pos="1133"/>
      </w:tabs>
      <w:spacing w:before="139"/>
      <w:rPr>
        <w:sz w:val="21"/>
        <w:szCs w:val="21"/>
      </w:rPr>
    </w:pPr>
    <w:r>
      <w:rPr>
        <w:sz w:val="21"/>
        <w:szCs w:val="21"/>
      </w:rPr>
      <w:t>ACAR Transition</w:t>
    </w:r>
    <w:r w:rsidR="00F366FE">
      <w:rPr>
        <w:sz w:val="21"/>
        <w:szCs w:val="21"/>
      </w:rPr>
      <w:t xml:space="preserve"> – Consultation Outcomes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Footer"/>
        <w:b/>
        <w:bCs/>
        <w:sz w:val="20"/>
        <w:szCs w:val="20"/>
      </w:rPr>
      <w:id w:val="355244186"/>
      <w:docPartObj>
        <w:docPartGallery w:val="Page Numbers (Bottom of Page)"/>
        <w:docPartUnique/>
      </w:docPartObj>
    </w:sdtPr>
    <w:sdtEndPr>
      <w:rPr>
        <w:rStyle w:val="Footer"/>
      </w:rPr>
    </w:sdtEndPr>
    <w:sdtContent>
      <w:p w14:paraId="54F566E3" w14:textId="7B008111" w:rsidR="002E2E19" w:rsidRPr="00B475DF" w:rsidRDefault="002E2E19" w:rsidP="00A61363">
        <w:pPr>
          <w:pStyle w:val="Header"/>
          <w:framePr w:wrap="none" w:vAnchor="text" w:hAnchor="page" w:x="638" w:y="160"/>
          <w:ind w:left="51" w:right="-711"/>
          <w:rPr>
            <w:rStyle w:val="Footer"/>
            <w:b/>
            <w:bCs/>
            <w:sz w:val="20"/>
            <w:szCs w:val="20"/>
          </w:rPr>
        </w:pPr>
        <w:r w:rsidRPr="00B475DF">
          <w:rPr>
            <w:rStyle w:val="Footer"/>
            <w:b/>
            <w:bCs/>
            <w:sz w:val="20"/>
            <w:szCs w:val="20"/>
          </w:rPr>
          <w:fldChar w:fldCharType="begin"/>
        </w:r>
        <w:r w:rsidRPr="00B475DF">
          <w:rPr>
            <w:rStyle w:val="Footer"/>
            <w:b/>
            <w:bCs/>
            <w:sz w:val="20"/>
            <w:szCs w:val="20"/>
          </w:rPr>
          <w:instrText xml:space="preserve"> PAGE </w:instrText>
        </w:r>
        <w:r w:rsidRPr="00B475DF">
          <w:rPr>
            <w:rStyle w:val="Footer"/>
            <w:b/>
            <w:bCs/>
            <w:sz w:val="20"/>
            <w:szCs w:val="20"/>
          </w:rPr>
          <w:fldChar w:fldCharType="separate"/>
        </w:r>
        <w:r w:rsidRPr="00B475DF">
          <w:rPr>
            <w:rStyle w:val="Footer"/>
            <w:b/>
            <w:bCs/>
            <w:noProof/>
            <w:sz w:val="20"/>
            <w:szCs w:val="20"/>
          </w:rPr>
          <w:t>6</w:t>
        </w:r>
        <w:r w:rsidRPr="00B475DF">
          <w:rPr>
            <w:rStyle w:val="Footer"/>
            <w:b/>
            <w:bCs/>
            <w:sz w:val="20"/>
            <w:szCs w:val="20"/>
          </w:rPr>
          <w:fldChar w:fldCharType="end"/>
        </w:r>
      </w:p>
    </w:sdtContent>
  </w:sdt>
  <w:p w14:paraId="6578EA47" w14:textId="71AD055A" w:rsidR="002E2E19" w:rsidRPr="00B475DF" w:rsidRDefault="002E678B" w:rsidP="0049607C">
    <w:pPr>
      <w:pStyle w:val="Heading1Char"/>
      <w:tabs>
        <w:tab w:val="left" w:pos="1133"/>
      </w:tabs>
      <w:spacing w:before="139"/>
      <w:rPr>
        <w:sz w:val="21"/>
        <w:szCs w:val="21"/>
      </w:rPr>
    </w:pPr>
    <w:r>
      <w:rPr>
        <w:sz w:val="21"/>
        <w:szCs w:val="21"/>
      </w:rPr>
      <w:t>ACAR Transition</w:t>
    </w:r>
    <w:r w:rsidR="002E2E19">
      <w:rPr>
        <w:sz w:val="21"/>
        <w:szCs w:val="21"/>
      </w:rPr>
      <w:t xml:space="preserve"> – Consultation Outcomes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Footer"/>
        <w:b/>
        <w:bCs/>
        <w:sz w:val="20"/>
        <w:szCs w:val="20"/>
      </w:rPr>
      <w:id w:val="1860082701"/>
      <w:docPartObj>
        <w:docPartGallery w:val="Page Numbers (Bottom of Page)"/>
        <w:docPartUnique/>
      </w:docPartObj>
    </w:sdtPr>
    <w:sdtEndPr>
      <w:rPr>
        <w:rStyle w:val="Footer"/>
      </w:rPr>
    </w:sdtEndPr>
    <w:sdtContent>
      <w:p w14:paraId="081492F7" w14:textId="77777777" w:rsidR="004348E3" w:rsidRPr="00B475DF" w:rsidRDefault="004348E3" w:rsidP="00A61363">
        <w:pPr>
          <w:pStyle w:val="Header"/>
          <w:framePr w:wrap="none" w:vAnchor="text" w:hAnchor="page" w:x="638" w:y="160"/>
          <w:ind w:left="51" w:right="-711"/>
          <w:rPr>
            <w:rStyle w:val="Footer"/>
            <w:b/>
            <w:bCs/>
            <w:sz w:val="20"/>
            <w:szCs w:val="20"/>
          </w:rPr>
        </w:pPr>
        <w:r w:rsidRPr="00B475DF">
          <w:rPr>
            <w:rStyle w:val="Footer"/>
            <w:b/>
            <w:bCs/>
            <w:sz w:val="20"/>
            <w:szCs w:val="20"/>
          </w:rPr>
          <w:fldChar w:fldCharType="begin"/>
        </w:r>
        <w:r w:rsidRPr="00B475DF">
          <w:rPr>
            <w:rStyle w:val="Footer"/>
            <w:b/>
            <w:bCs/>
            <w:sz w:val="20"/>
            <w:szCs w:val="20"/>
          </w:rPr>
          <w:instrText xml:space="preserve"> PAGE </w:instrText>
        </w:r>
        <w:r w:rsidRPr="00B475DF">
          <w:rPr>
            <w:rStyle w:val="Footer"/>
            <w:b/>
            <w:bCs/>
            <w:sz w:val="20"/>
            <w:szCs w:val="20"/>
          </w:rPr>
          <w:fldChar w:fldCharType="separate"/>
        </w:r>
        <w:r w:rsidRPr="00B475DF">
          <w:rPr>
            <w:rStyle w:val="Footer"/>
            <w:b/>
            <w:bCs/>
            <w:noProof/>
            <w:sz w:val="20"/>
            <w:szCs w:val="20"/>
          </w:rPr>
          <w:t>6</w:t>
        </w:r>
        <w:r w:rsidRPr="00B475DF">
          <w:rPr>
            <w:rStyle w:val="Footer"/>
            <w:b/>
            <w:bCs/>
            <w:sz w:val="20"/>
            <w:szCs w:val="20"/>
          </w:rPr>
          <w:fldChar w:fldCharType="end"/>
        </w:r>
      </w:p>
    </w:sdtContent>
  </w:sdt>
  <w:p w14:paraId="1856CCF9" w14:textId="6D3643F3" w:rsidR="004348E3" w:rsidRPr="00B475DF" w:rsidRDefault="00352CAB" w:rsidP="0049607C">
    <w:pPr>
      <w:pStyle w:val="Heading1Char"/>
      <w:tabs>
        <w:tab w:val="left" w:pos="1133"/>
      </w:tabs>
      <w:spacing w:before="139"/>
      <w:rPr>
        <w:sz w:val="21"/>
        <w:szCs w:val="21"/>
      </w:rPr>
    </w:pPr>
    <w:r>
      <w:rPr>
        <w:sz w:val="21"/>
        <w:szCs w:val="21"/>
      </w:rPr>
      <w:t>ACAR Transition</w:t>
    </w:r>
    <w:r w:rsidR="004348E3">
      <w:rPr>
        <w:sz w:val="21"/>
        <w:szCs w:val="21"/>
      </w:rPr>
      <w:t xml:space="preserve"> – Consultation Outcomes</w:t>
    </w:r>
    <w:r w:rsidR="004348E3" w:rsidRPr="00B475DF">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7B147" w14:textId="77777777" w:rsidR="0048452D" w:rsidRPr="00000A62" w:rsidRDefault="0048452D" w:rsidP="00000A62">
      <w:pPr>
        <w:pStyle w:val="Footer"/>
      </w:pPr>
    </w:p>
  </w:footnote>
  <w:footnote w:type="continuationSeparator" w:id="0">
    <w:p w14:paraId="79B4F4B8" w14:textId="77777777" w:rsidR="0048452D" w:rsidRDefault="0048452D" w:rsidP="001D0D47">
      <w:r>
        <w:continuationSeparator/>
      </w:r>
    </w:p>
  </w:footnote>
  <w:footnote w:type="continuationNotice" w:id="1">
    <w:p w14:paraId="2DF8C598" w14:textId="77777777" w:rsidR="0048452D" w:rsidRPr="00000A62" w:rsidRDefault="0048452D" w:rsidP="00000A62">
      <w:pPr>
        <w:pStyle w:val="Footer"/>
      </w:pPr>
    </w:p>
  </w:footnote>
  <w:footnote w:id="2">
    <w:p w14:paraId="5DC13162" w14:textId="77777777" w:rsidR="007A126D" w:rsidRPr="00231194" w:rsidRDefault="007A126D" w:rsidP="00231194">
      <w:pPr>
        <w:pStyle w:val="FootnoteText"/>
      </w:pPr>
      <w:r w:rsidRPr="00231194">
        <w:footnoteRef/>
      </w:r>
      <w:r w:rsidRPr="00231194">
        <w:t xml:space="preserve"> Stakeholders listed are those who provided the name of their </w:t>
      </w:r>
      <w:proofErr w:type="spellStart"/>
      <w:r w:rsidRPr="00231194">
        <w:t>organisation</w:t>
      </w:r>
      <w:proofErr w:type="spellEnd"/>
      <w:r w:rsidRPr="00231194">
        <w:t xml:space="preserve">. Survey responses were completed by individuals and may not represent the views of </w:t>
      </w:r>
      <w:proofErr w:type="spellStart"/>
      <w:r w:rsidRPr="00231194">
        <w:t>organisations</w:t>
      </w:r>
      <w:proofErr w:type="spellEnd"/>
    </w:p>
  </w:footnote>
  <w:footnote w:id="3">
    <w:p w14:paraId="579055C4" w14:textId="77777777" w:rsidR="007A126D" w:rsidRPr="00231194" w:rsidRDefault="007A126D" w:rsidP="00231194">
      <w:pPr>
        <w:pStyle w:val="FootnoteText"/>
      </w:pPr>
      <w:r w:rsidRPr="00231194">
        <w:footnoteRef/>
      </w:r>
      <w:r w:rsidRPr="00231194">
        <w:t xml:space="preserve"> Written responses may not reflect the views of </w:t>
      </w:r>
      <w:proofErr w:type="spellStart"/>
      <w:r w:rsidRPr="00231194">
        <w:t>organisations</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EE3EF" w14:textId="6BE808A1" w:rsidR="001775D5" w:rsidRDefault="00DD1449">
    <w:pPr>
      <w:pStyle w:val="ListTable3"/>
      <w:rPr>
        <w:noProof/>
      </w:rPr>
    </w:pPr>
    <w:r>
      <w:rPr>
        <w:noProof/>
      </w:rPr>
      <w:drawing>
        <wp:anchor distT="0" distB="0" distL="114300" distR="114300" simplePos="0" relativeHeight="251662336" behindDoc="1" locked="0" layoutInCell="1" allowOverlap="1" wp14:anchorId="264D9843" wp14:editId="72B169E3">
          <wp:simplePos x="0" y="0"/>
          <wp:positionH relativeFrom="page">
            <wp:align>left</wp:align>
          </wp:positionH>
          <wp:positionV relativeFrom="paragraph">
            <wp:posOffset>-445324</wp:posOffset>
          </wp:positionV>
          <wp:extent cx="7563485" cy="6055558"/>
          <wp:effectExtent l="0" t="0" r="0" b="254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255" b="29321"/>
                  <a:stretch/>
                </pic:blipFill>
                <pic:spPr bwMode="auto">
                  <a:xfrm>
                    <a:off x="0" y="0"/>
                    <a:ext cx="7571250" cy="606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46B06F1" wp14:editId="1B380FAB">
          <wp:simplePos x="0" y="0"/>
          <wp:positionH relativeFrom="page">
            <wp:align>left</wp:align>
          </wp:positionH>
          <wp:positionV relativeFrom="paragraph">
            <wp:posOffset>-457200</wp:posOffset>
          </wp:positionV>
          <wp:extent cx="7555865" cy="3035651"/>
          <wp:effectExtent l="0" t="0" r="698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3035651"/>
                  </a:xfrm>
                  <a:prstGeom prst="rect">
                    <a:avLst/>
                  </a:prstGeom>
                </pic:spPr>
              </pic:pic>
            </a:graphicData>
          </a:graphic>
          <wp14:sizeRelH relativeFrom="page">
            <wp14:pctWidth>0</wp14:pctWidth>
          </wp14:sizeRelH>
          <wp14:sizeRelV relativeFrom="page">
            <wp14:pctHeight>0</wp14:pctHeight>
          </wp14:sizeRelV>
        </wp:anchor>
      </w:drawing>
    </w:r>
  </w:p>
  <w:p w14:paraId="696B9937" w14:textId="0A41627C" w:rsidR="001D0D47" w:rsidRDefault="001775D5">
    <w:pPr>
      <w:pStyle w:val="ListTable3"/>
    </w:pPr>
    <w:r>
      <w:rPr>
        <w:noProof/>
      </w:rPr>
      <mc:AlternateContent>
        <mc:Choice Requires="wps">
          <w:drawing>
            <wp:anchor distT="0" distB="0" distL="114300" distR="114300" simplePos="0" relativeHeight="251659264" behindDoc="1" locked="0" layoutInCell="1" allowOverlap="1" wp14:anchorId="2A7CF172" wp14:editId="50BDE3AB">
              <wp:simplePos x="0" y="0"/>
              <wp:positionH relativeFrom="column">
                <wp:posOffset>-648335</wp:posOffset>
              </wp:positionH>
              <wp:positionV relativeFrom="paragraph">
                <wp:posOffset>5296980</wp:posOffset>
              </wp:positionV>
              <wp:extent cx="7560310" cy="4944110"/>
              <wp:effectExtent l="0" t="0" r="2540" b="8890"/>
              <wp:wrapNone/>
              <wp:docPr id="5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4411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1E5821D" id="docshape2" o:spid="_x0000_s1026" alt="&quot;&quot;" style="position:absolute;margin-left:-51.05pt;margin-top:417.1pt;width:595.3pt;height:389.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" fillcolor="#f1f2f2"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3396" w14:textId="77777777" w:rsidR="00BC4018" w:rsidRDefault="00BC4018">
    <w:pPr>
      <w:pStyle w:val="ListTable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B6C7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0E8C1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FC4391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FE0264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1E020D5"/>
    <w:multiLevelType w:val="hybridMultilevel"/>
    <w:tmpl w:val="75827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30584C"/>
    <w:multiLevelType w:val="hybridMultilevel"/>
    <w:tmpl w:val="658E6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B37630"/>
    <w:multiLevelType w:val="hybridMultilevel"/>
    <w:tmpl w:val="BA32C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230205"/>
    <w:multiLevelType w:val="hybridMultilevel"/>
    <w:tmpl w:val="70C6B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9C706B"/>
    <w:multiLevelType w:val="hybridMultilevel"/>
    <w:tmpl w:val="15769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DE0CDE"/>
    <w:multiLevelType w:val="hybridMultilevel"/>
    <w:tmpl w:val="B7D61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2A169E"/>
    <w:multiLevelType w:val="hybridMultilevel"/>
    <w:tmpl w:val="B06A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A1AC5"/>
    <w:multiLevelType w:val="multilevel"/>
    <w:tmpl w:val="D96C8A66"/>
    <w:lvl w:ilvl="0">
      <w:start w:val="1"/>
      <w:numFmt w:val="decimal"/>
      <w:pStyle w:val="Footnote"/>
      <w:lvlText w:val="%1."/>
      <w:lvlJc w:val="left"/>
      <w:pPr>
        <w:ind w:left="357" w:hanging="357"/>
      </w:pPr>
      <w:rPr>
        <w:rFonts w:hint="default"/>
      </w:rPr>
    </w:lvl>
    <w:lvl w:ilvl="1">
      <w:start w:val="1"/>
      <w:numFmt w:val="lowerLetter"/>
      <w:pStyle w:val="FootnoteChar"/>
      <w:lvlText w:val="%2)"/>
      <w:lvlJc w:val="left"/>
      <w:pPr>
        <w:ind w:left="714" w:hanging="357"/>
      </w:pPr>
      <w:rPr>
        <w:rFonts w:hint="default"/>
      </w:rPr>
    </w:lvl>
    <w:lvl w:ilvl="2">
      <w:start w:val="1"/>
      <w:numFmt w:val="lowerRoman"/>
      <w:pStyle w:val="ListNumber"/>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1ADD49E0"/>
    <w:multiLevelType w:val="hybridMultilevel"/>
    <w:tmpl w:val="B9082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40860"/>
    <w:multiLevelType w:val="hybridMultilevel"/>
    <w:tmpl w:val="DD8279E6"/>
    <w:lvl w:ilvl="0" w:tplc="DD28EC42">
      <w:start w:val="1"/>
      <w:numFmt w:val="bullet"/>
      <w:pStyle w:val="BalloonTextCha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53F33"/>
    <w:multiLevelType w:val="hybridMultilevel"/>
    <w:tmpl w:val="8076A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987194"/>
    <w:multiLevelType w:val="hybridMultilevel"/>
    <w:tmpl w:val="77B865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A40622F"/>
    <w:multiLevelType w:val="hybridMultilevel"/>
    <w:tmpl w:val="DEB8B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783BB6"/>
    <w:multiLevelType w:val="hybridMultilevel"/>
    <w:tmpl w:val="E604D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36543E"/>
    <w:multiLevelType w:val="hybridMultilevel"/>
    <w:tmpl w:val="45F2E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745D40"/>
    <w:multiLevelType w:val="hybridMultilevel"/>
    <w:tmpl w:val="325A2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1D3D99"/>
    <w:multiLevelType w:val="hybridMultilevel"/>
    <w:tmpl w:val="CFDCE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E57525"/>
    <w:multiLevelType w:val="hybridMultilevel"/>
    <w:tmpl w:val="A5C8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CF0A79"/>
    <w:multiLevelType w:val="hybridMultilevel"/>
    <w:tmpl w:val="F1888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9720A"/>
    <w:multiLevelType w:val="hybridMultilevel"/>
    <w:tmpl w:val="54944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4932EB"/>
    <w:multiLevelType w:val="hybridMultilevel"/>
    <w:tmpl w:val="18BEA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6F31DC"/>
    <w:multiLevelType w:val="multilevel"/>
    <w:tmpl w:val="F384CE82"/>
    <w:lvl w:ilvl="0">
      <w:start w:val="1"/>
      <w:numFmt w:val="bullet"/>
      <w:lvlText w:val=""/>
      <w:lvlJc w:val="left"/>
      <w:pPr>
        <w:ind w:left="360" w:hanging="360"/>
      </w:pPr>
      <w:rPr>
        <w:rFonts w:ascii="Symbol" w:hAnsi="Symbol" w:hint="default"/>
        <w:color w:val="2AB1BB" w:themeColor="accent1"/>
      </w:rPr>
    </w:lvl>
    <w:lvl w:ilvl="1">
      <w:start w:val="1"/>
      <w:numFmt w:val="bullet"/>
      <w:pStyle w:val="ListBullet"/>
      <w:lvlText w:val="–"/>
      <w:lvlJc w:val="left"/>
      <w:pPr>
        <w:ind w:left="714" w:hanging="357"/>
      </w:pPr>
      <w:rPr>
        <w:rFonts w:ascii="Calibri" w:hAnsi="Calibri" w:hint="default"/>
        <w:color w:val="auto"/>
      </w:rPr>
    </w:lvl>
    <w:lvl w:ilvl="2">
      <w:start w:val="1"/>
      <w:numFmt w:val="bullet"/>
      <w:pStyle w:val="ListBullet2"/>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6" w15:restartNumberingAfterBreak="0">
    <w:nsid w:val="72BF5323"/>
    <w:multiLevelType w:val="hybridMultilevel"/>
    <w:tmpl w:val="9E1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DA1543"/>
    <w:multiLevelType w:val="hybridMultilevel"/>
    <w:tmpl w:val="FD7E7876"/>
    <w:lvl w:ilvl="0" w:tplc="0C090001">
      <w:start w:val="1"/>
      <w:numFmt w:val="bullet"/>
      <w:lvlText w:val=""/>
      <w:lvlJc w:val="left"/>
      <w:pPr>
        <w:ind w:left="720" w:hanging="360"/>
      </w:pPr>
      <w:rPr>
        <w:rFonts w:ascii="Symbol" w:hAnsi="Symbol" w:hint="default"/>
      </w:rPr>
    </w:lvl>
    <w:lvl w:ilvl="1" w:tplc="DCF890B8">
      <w:numFmt w:val="bullet"/>
      <w:lvlText w:val="•"/>
      <w:lvlJc w:val="left"/>
      <w:pPr>
        <w:ind w:left="1440" w:hanging="360"/>
      </w:pPr>
      <w:rPr>
        <w:rFonts w:ascii="Arial" w:eastAsia="Proxima Nov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22"/>
  </w:num>
  <w:num w:numId="4">
    <w:abstractNumId w:val="6"/>
  </w:num>
  <w:num w:numId="5">
    <w:abstractNumId w:val="16"/>
  </w:num>
  <w:num w:numId="6">
    <w:abstractNumId w:val="15"/>
  </w:num>
  <w:num w:numId="7">
    <w:abstractNumId w:val="26"/>
  </w:num>
  <w:num w:numId="8">
    <w:abstractNumId w:val="27"/>
  </w:num>
  <w:num w:numId="9">
    <w:abstractNumId w:val="17"/>
  </w:num>
  <w:num w:numId="10">
    <w:abstractNumId w:val="12"/>
  </w:num>
  <w:num w:numId="11">
    <w:abstractNumId w:val="8"/>
  </w:num>
  <w:num w:numId="12">
    <w:abstractNumId w:val="14"/>
  </w:num>
  <w:num w:numId="13">
    <w:abstractNumId w:val="23"/>
  </w:num>
  <w:num w:numId="14">
    <w:abstractNumId w:val="9"/>
  </w:num>
  <w:num w:numId="15">
    <w:abstractNumId w:val="18"/>
  </w:num>
  <w:num w:numId="16">
    <w:abstractNumId w:val="5"/>
  </w:num>
  <w:num w:numId="17">
    <w:abstractNumId w:val="19"/>
  </w:num>
  <w:num w:numId="18">
    <w:abstractNumId w:val="10"/>
  </w:num>
  <w:num w:numId="19">
    <w:abstractNumId w:val="20"/>
  </w:num>
  <w:num w:numId="20">
    <w:abstractNumId w:val="21"/>
  </w:num>
  <w:num w:numId="21">
    <w:abstractNumId w:val="7"/>
  </w:num>
  <w:num w:numId="22">
    <w:abstractNumId w:val="4"/>
  </w:num>
  <w:num w:numId="23">
    <w:abstractNumId w:val="24"/>
  </w:num>
  <w:num w:numId="24">
    <w:abstractNumId w:val="3"/>
  </w:num>
  <w:num w:numId="25">
    <w:abstractNumId w:val="2"/>
  </w:num>
  <w:num w:numId="26">
    <w:abstractNumId w:val="1"/>
  </w:num>
  <w:num w:numId="27">
    <w:abstractNumId w:val="0"/>
  </w:num>
  <w:num w:numId="2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0A62"/>
    <w:rsid w:val="0000597E"/>
    <w:rsid w:val="00016D12"/>
    <w:rsid w:val="00026E2F"/>
    <w:rsid w:val="000311F2"/>
    <w:rsid w:val="00034CBB"/>
    <w:rsid w:val="00052786"/>
    <w:rsid w:val="0005708C"/>
    <w:rsid w:val="00081D54"/>
    <w:rsid w:val="00086E7C"/>
    <w:rsid w:val="000A2544"/>
    <w:rsid w:val="000B1C3F"/>
    <w:rsid w:val="000B7D20"/>
    <w:rsid w:val="000C2360"/>
    <w:rsid w:val="000D15F1"/>
    <w:rsid w:val="000D2BE0"/>
    <w:rsid w:val="000D5939"/>
    <w:rsid w:val="000D6766"/>
    <w:rsid w:val="000E3F9B"/>
    <w:rsid w:val="000E6AFB"/>
    <w:rsid w:val="000E6D2E"/>
    <w:rsid w:val="00106FDC"/>
    <w:rsid w:val="00111E76"/>
    <w:rsid w:val="00123462"/>
    <w:rsid w:val="0012490F"/>
    <w:rsid w:val="00125B69"/>
    <w:rsid w:val="00132345"/>
    <w:rsid w:val="00134E43"/>
    <w:rsid w:val="00142E13"/>
    <w:rsid w:val="0016389F"/>
    <w:rsid w:val="0017155E"/>
    <w:rsid w:val="001753EA"/>
    <w:rsid w:val="001775D5"/>
    <w:rsid w:val="00180E32"/>
    <w:rsid w:val="001968DA"/>
    <w:rsid w:val="001A1621"/>
    <w:rsid w:val="001B09D0"/>
    <w:rsid w:val="001B282E"/>
    <w:rsid w:val="001B4CBD"/>
    <w:rsid w:val="001B7B17"/>
    <w:rsid w:val="001D0D47"/>
    <w:rsid w:val="001D6174"/>
    <w:rsid w:val="001E259B"/>
    <w:rsid w:val="001E587E"/>
    <w:rsid w:val="001F11D0"/>
    <w:rsid w:val="002033F6"/>
    <w:rsid w:val="00206D03"/>
    <w:rsid w:val="00207295"/>
    <w:rsid w:val="00217D8A"/>
    <w:rsid w:val="00224507"/>
    <w:rsid w:val="00231194"/>
    <w:rsid w:val="002647EB"/>
    <w:rsid w:val="0026496A"/>
    <w:rsid w:val="00270A5A"/>
    <w:rsid w:val="0029210E"/>
    <w:rsid w:val="002934A1"/>
    <w:rsid w:val="00293F5D"/>
    <w:rsid w:val="00297745"/>
    <w:rsid w:val="002B0558"/>
    <w:rsid w:val="002B2593"/>
    <w:rsid w:val="002C130A"/>
    <w:rsid w:val="002C28E8"/>
    <w:rsid w:val="002C66F8"/>
    <w:rsid w:val="002E2E19"/>
    <w:rsid w:val="002E678B"/>
    <w:rsid w:val="003056A3"/>
    <w:rsid w:val="00305F3D"/>
    <w:rsid w:val="003222B2"/>
    <w:rsid w:val="003259DF"/>
    <w:rsid w:val="003337A0"/>
    <w:rsid w:val="00352CAB"/>
    <w:rsid w:val="00362410"/>
    <w:rsid w:val="003668BE"/>
    <w:rsid w:val="003713BF"/>
    <w:rsid w:val="003955B5"/>
    <w:rsid w:val="003A09BD"/>
    <w:rsid w:val="003A1594"/>
    <w:rsid w:val="003A426F"/>
    <w:rsid w:val="003A4DBC"/>
    <w:rsid w:val="003A76D5"/>
    <w:rsid w:val="003B4A82"/>
    <w:rsid w:val="003B5CB6"/>
    <w:rsid w:val="003C400B"/>
    <w:rsid w:val="003D3612"/>
    <w:rsid w:val="003E14CF"/>
    <w:rsid w:val="003E2D12"/>
    <w:rsid w:val="00401CA0"/>
    <w:rsid w:val="0041017D"/>
    <w:rsid w:val="004155EB"/>
    <w:rsid w:val="0042055F"/>
    <w:rsid w:val="00430EE1"/>
    <w:rsid w:val="004348E3"/>
    <w:rsid w:val="004407E9"/>
    <w:rsid w:val="00445289"/>
    <w:rsid w:val="00447CDC"/>
    <w:rsid w:val="00450A9A"/>
    <w:rsid w:val="00451A32"/>
    <w:rsid w:val="004546DA"/>
    <w:rsid w:val="00454DDA"/>
    <w:rsid w:val="00455343"/>
    <w:rsid w:val="00456896"/>
    <w:rsid w:val="00471EBF"/>
    <w:rsid w:val="004760E8"/>
    <w:rsid w:val="00482A25"/>
    <w:rsid w:val="0048452D"/>
    <w:rsid w:val="004875B1"/>
    <w:rsid w:val="00492AC9"/>
    <w:rsid w:val="0049607C"/>
    <w:rsid w:val="004B5156"/>
    <w:rsid w:val="004B7756"/>
    <w:rsid w:val="004D0677"/>
    <w:rsid w:val="004D180A"/>
    <w:rsid w:val="004E0A05"/>
    <w:rsid w:val="004E2BE5"/>
    <w:rsid w:val="004E447F"/>
    <w:rsid w:val="004E45D3"/>
    <w:rsid w:val="004F3ED5"/>
    <w:rsid w:val="005327F3"/>
    <w:rsid w:val="005416BC"/>
    <w:rsid w:val="0054223A"/>
    <w:rsid w:val="005458B8"/>
    <w:rsid w:val="005505F6"/>
    <w:rsid w:val="00561B91"/>
    <w:rsid w:val="00561CC5"/>
    <w:rsid w:val="005659A0"/>
    <w:rsid w:val="00571A2C"/>
    <w:rsid w:val="00574020"/>
    <w:rsid w:val="00576721"/>
    <w:rsid w:val="005975C3"/>
    <w:rsid w:val="005A0591"/>
    <w:rsid w:val="005C56F6"/>
    <w:rsid w:val="005F2026"/>
    <w:rsid w:val="005F7DF2"/>
    <w:rsid w:val="006046AF"/>
    <w:rsid w:val="006053ED"/>
    <w:rsid w:val="00606C3B"/>
    <w:rsid w:val="0061193D"/>
    <w:rsid w:val="006733A4"/>
    <w:rsid w:val="0069456C"/>
    <w:rsid w:val="006A5212"/>
    <w:rsid w:val="006C4DE1"/>
    <w:rsid w:val="006C7781"/>
    <w:rsid w:val="006C7985"/>
    <w:rsid w:val="006D0B49"/>
    <w:rsid w:val="006D39A7"/>
    <w:rsid w:val="006D6146"/>
    <w:rsid w:val="006D75D8"/>
    <w:rsid w:val="006E072F"/>
    <w:rsid w:val="006F51F3"/>
    <w:rsid w:val="006F55FE"/>
    <w:rsid w:val="006F5AFD"/>
    <w:rsid w:val="007007C6"/>
    <w:rsid w:val="00707EBF"/>
    <w:rsid w:val="00730C12"/>
    <w:rsid w:val="0073120B"/>
    <w:rsid w:val="00735CD5"/>
    <w:rsid w:val="00741F27"/>
    <w:rsid w:val="00752A43"/>
    <w:rsid w:val="00757BFA"/>
    <w:rsid w:val="00762907"/>
    <w:rsid w:val="00772FA6"/>
    <w:rsid w:val="00774948"/>
    <w:rsid w:val="0078273F"/>
    <w:rsid w:val="0078677E"/>
    <w:rsid w:val="007A126D"/>
    <w:rsid w:val="007B1FD1"/>
    <w:rsid w:val="007B2578"/>
    <w:rsid w:val="007D137C"/>
    <w:rsid w:val="007D35CC"/>
    <w:rsid w:val="007D70D4"/>
    <w:rsid w:val="007D7DB4"/>
    <w:rsid w:val="007E65D4"/>
    <w:rsid w:val="007E66E0"/>
    <w:rsid w:val="007F33CF"/>
    <w:rsid w:val="00802E62"/>
    <w:rsid w:val="00802F47"/>
    <w:rsid w:val="0080779D"/>
    <w:rsid w:val="00813A23"/>
    <w:rsid w:val="00815525"/>
    <w:rsid w:val="00822638"/>
    <w:rsid w:val="00827DD4"/>
    <w:rsid w:val="00841CFF"/>
    <w:rsid w:val="00842FEA"/>
    <w:rsid w:val="00850B4A"/>
    <w:rsid w:val="00851916"/>
    <w:rsid w:val="00870C4F"/>
    <w:rsid w:val="008C2884"/>
    <w:rsid w:val="008C37AC"/>
    <w:rsid w:val="008D69D8"/>
    <w:rsid w:val="008D7642"/>
    <w:rsid w:val="008F67EB"/>
    <w:rsid w:val="008F6DC4"/>
    <w:rsid w:val="00905717"/>
    <w:rsid w:val="009227BD"/>
    <w:rsid w:val="00932A86"/>
    <w:rsid w:val="00932E35"/>
    <w:rsid w:val="00934CDF"/>
    <w:rsid w:val="00937E43"/>
    <w:rsid w:val="00941EC4"/>
    <w:rsid w:val="00942DD4"/>
    <w:rsid w:val="0095121C"/>
    <w:rsid w:val="00952094"/>
    <w:rsid w:val="009621F6"/>
    <w:rsid w:val="00966C8E"/>
    <w:rsid w:val="00974556"/>
    <w:rsid w:val="0099363C"/>
    <w:rsid w:val="00996DC7"/>
    <w:rsid w:val="009A64F8"/>
    <w:rsid w:val="009C412A"/>
    <w:rsid w:val="009E2F8A"/>
    <w:rsid w:val="009F0009"/>
    <w:rsid w:val="009F6C8F"/>
    <w:rsid w:val="00A178B1"/>
    <w:rsid w:val="00A22A21"/>
    <w:rsid w:val="00A61363"/>
    <w:rsid w:val="00A6234A"/>
    <w:rsid w:val="00A71EA8"/>
    <w:rsid w:val="00A74B4B"/>
    <w:rsid w:val="00A76B05"/>
    <w:rsid w:val="00A76FA2"/>
    <w:rsid w:val="00A8097E"/>
    <w:rsid w:val="00A93F0F"/>
    <w:rsid w:val="00A94861"/>
    <w:rsid w:val="00A959AA"/>
    <w:rsid w:val="00A96670"/>
    <w:rsid w:val="00A9705F"/>
    <w:rsid w:val="00AA05A2"/>
    <w:rsid w:val="00AC561D"/>
    <w:rsid w:val="00AC748B"/>
    <w:rsid w:val="00AD28E5"/>
    <w:rsid w:val="00AD3141"/>
    <w:rsid w:val="00AE57FA"/>
    <w:rsid w:val="00AE7759"/>
    <w:rsid w:val="00B02697"/>
    <w:rsid w:val="00B04BCF"/>
    <w:rsid w:val="00B17F26"/>
    <w:rsid w:val="00B24DC7"/>
    <w:rsid w:val="00B26D89"/>
    <w:rsid w:val="00B475DF"/>
    <w:rsid w:val="00B528D0"/>
    <w:rsid w:val="00B600AE"/>
    <w:rsid w:val="00B61883"/>
    <w:rsid w:val="00B73733"/>
    <w:rsid w:val="00B74FD5"/>
    <w:rsid w:val="00B75964"/>
    <w:rsid w:val="00B85949"/>
    <w:rsid w:val="00B85A1A"/>
    <w:rsid w:val="00B9224B"/>
    <w:rsid w:val="00B9461B"/>
    <w:rsid w:val="00BA19B7"/>
    <w:rsid w:val="00BA66FB"/>
    <w:rsid w:val="00BC4018"/>
    <w:rsid w:val="00BD75D4"/>
    <w:rsid w:val="00BE1F1E"/>
    <w:rsid w:val="00BE2E40"/>
    <w:rsid w:val="00BE666D"/>
    <w:rsid w:val="00BE7A8C"/>
    <w:rsid w:val="00BF1ACF"/>
    <w:rsid w:val="00BF3231"/>
    <w:rsid w:val="00BF34C5"/>
    <w:rsid w:val="00C00D84"/>
    <w:rsid w:val="00C06B35"/>
    <w:rsid w:val="00C27B76"/>
    <w:rsid w:val="00C357A0"/>
    <w:rsid w:val="00C47CF7"/>
    <w:rsid w:val="00C55235"/>
    <w:rsid w:val="00C61B97"/>
    <w:rsid w:val="00C62D3D"/>
    <w:rsid w:val="00C81322"/>
    <w:rsid w:val="00C95961"/>
    <w:rsid w:val="00CA0B76"/>
    <w:rsid w:val="00CB1F7A"/>
    <w:rsid w:val="00CB2C05"/>
    <w:rsid w:val="00CC6DAB"/>
    <w:rsid w:val="00CD2349"/>
    <w:rsid w:val="00CD4518"/>
    <w:rsid w:val="00CD4EA1"/>
    <w:rsid w:val="00CF00C6"/>
    <w:rsid w:val="00D04C0D"/>
    <w:rsid w:val="00D20337"/>
    <w:rsid w:val="00D33206"/>
    <w:rsid w:val="00D51B46"/>
    <w:rsid w:val="00D53BA0"/>
    <w:rsid w:val="00D55958"/>
    <w:rsid w:val="00D602A0"/>
    <w:rsid w:val="00D76E5A"/>
    <w:rsid w:val="00D83FDD"/>
    <w:rsid w:val="00D8790B"/>
    <w:rsid w:val="00D9321F"/>
    <w:rsid w:val="00D947CF"/>
    <w:rsid w:val="00D97CD0"/>
    <w:rsid w:val="00DA0E6C"/>
    <w:rsid w:val="00DB3F00"/>
    <w:rsid w:val="00DB5916"/>
    <w:rsid w:val="00DC3212"/>
    <w:rsid w:val="00DD1449"/>
    <w:rsid w:val="00DD1C01"/>
    <w:rsid w:val="00DD3B6D"/>
    <w:rsid w:val="00DD4432"/>
    <w:rsid w:val="00DD7ACA"/>
    <w:rsid w:val="00DE718A"/>
    <w:rsid w:val="00DF2790"/>
    <w:rsid w:val="00DF6A84"/>
    <w:rsid w:val="00E12929"/>
    <w:rsid w:val="00E329EF"/>
    <w:rsid w:val="00E3746F"/>
    <w:rsid w:val="00E40681"/>
    <w:rsid w:val="00E42691"/>
    <w:rsid w:val="00E5060C"/>
    <w:rsid w:val="00E5750F"/>
    <w:rsid w:val="00E72828"/>
    <w:rsid w:val="00E73387"/>
    <w:rsid w:val="00E743F3"/>
    <w:rsid w:val="00E7486E"/>
    <w:rsid w:val="00EB10DE"/>
    <w:rsid w:val="00EC3654"/>
    <w:rsid w:val="00EE037E"/>
    <w:rsid w:val="00EE4D99"/>
    <w:rsid w:val="00EF56DB"/>
    <w:rsid w:val="00F2113C"/>
    <w:rsid w:val="00F3102D"/>
    <w:rsid w:val="00F366FE"/>
    <w:rsid w:val="00F400CA"/>
    <w:rsid w:val="00F55A5E"/>
    <w:rsid w:val="00F603C2"/>
    <w:rsid w:val="00F62EE2"/>
    <w:rsid w:val="00F7177A"/>
    <w:rsid w:val="00F856E0"/>
    <w:rsid w:val="00F863CC"/>
    <w:rsid w:val="00F9226B"/>
    <w:rsid w:val="00F9357A"/>
    <w:rsid w:val="00FA24EC"/>
    <w:rsid w:val="00FA4F7E"/>
    <w:rsid w:val="00FA6FA2"/>
    <w:rsid w:val="00FB1E43"/>
    <w:rsid w:val="00FC232F"/>
    <w:rsid w:val="00FC34E2"/>
    <w:rsid w:val="00FC45DF"/>
    <w:rsid w:val="00FD0424"/>
    <w:rsid w:val="00FD353C"/>
    <w:rsid w:val="00FF340D"/>
    <w:rsid w:val="00FF5095"/>
    <w:rsid w:val="00FF5D7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FFDDA3"/>
  <w15:docId w15:val="{6160E666-5A5F-7C4B-AEFF-40C085D38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E7C"/>
    <w:pPr>
      <w:spacing w:before="120" w:after="120" w:line="276" w:lineRule="auto"/>
    </w:pPr>
    <w:rPr>
      <w:rFonts w:ascii="Arial" w:eastAsia="Proxima Nova" w:hAnsi="Arial" w:cs="Proxima Nova"/>
      <w:color w:val="1E1545" w:themeColor="text2"/>
    </w:rPr>
  </w:style>
  <w:style w:type="paragraph" w:styleId="Heading1">
    <w:name w:val="heading 1"/>
    <w:link w:val="Heading1Char"/>
    <w:uiPriority w:val="9"/>
    <w:qFormat/>
    <w:rsid w:val="00086E7C"/>
    <w:pPr>
      <w:spacing w:before="120" w:after="120"/>
      <w:outlineLvl w:val="0"/>
    </w:pPr>
    <w:rPr>
      <w:rFonts w:ascii="Arial" w:eastAsia="Proxima Nova" w:hAnsi="Arial" w:cs="Proxima Nova"/>
      <w:b/>
      <w:bCs/>
      <w:color w:val="1E1545" w:themeColor="text2"/>
      <w:sz w:val="56"/>
      <w:szCs w:val="90"/>
    </w:rPr>
  </w:style>
  <w:style w:type="paragraph" w:styleId="Heading2">
    <w:name w:val="heading 2"/>
    <w:basedOn w:val="Heading1"/>
    <w:uiPriority w:val="9"/>
    <w:unhideWhenUsed/>
    <w:qFormat/>
    <w:rsid w:val="00086E7C"/>
    <w:pPr>
      <w:outlineLvl w:val="1"/>
    </w:pPr>
    <w:rPr>
      <w:bCs w:val="0"/>
      <w:sz w:val="32"/>
      <w:szCs w:val="36"/>
    </w:rPr>
  </w:style>
  <w:style w:type="paragraph" w:styleId="Heading3">
    <w:name w:val="heading 3"/>
    <w:basedOn w:val="Normal"/>
    <w:uiPriority w:val="9"/>
    <w:unhideWhenUsed/>
    <w:qFormat/>
    <w:rsid w:val="0049607C"/>
    <w:pPr>
      <w:spacing w:before="240" w:after="80"/>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7C"/>
    <w:rPr>
      <w:rFonts w:ascii="Arial" w:eastAsia="Proxima Nova" w:hAnsi="Arial" w:cs="Proxima Nova"/>
      <w:b/>
      <w:bCs/>
      <w:color w:val="1E1545" w:themeColor="text2"/>
      <w:sz w:val="56"/>
      <w:szCs w:val="90"/>
    </w:rPr>
  </w:style>
  <w:style w:type="paragraph" w:styleId="BodyText">
    <w:name w:val="Body Text"/>
    <w:basedOn w:val="Normal"/>
    <w:link w:val="BodyTextChar"/>
    <w:uiPriority w:val="1"/>
    <w:qFormat/>
    <w:rsid w:val="0049607C"/>
    <w:rPr>
      <w:sz w:val="24"/>
      <w:szCs w:val="24"/>
    </w:rPr>
  </w:style>
  <w:style w:type="character" w:customStyle="1" w:styleId="BodyTextChar">
    <w:name w:val="Body Text Char"/>
    <w:basedOn w:val="DefaultParagraphFont"/>
    <w:link w:val="BodyText"/>
    <w:uiPriority w:val="1"/>
    <w:rsid w:val="0049607C"/>
    <w:rPr>
      <w:rFonts w:ascii="Proxima Nova" w:eastAsia="Proxima Nova" w:hAnsi="Proxima Nova" w:cs="Proxima Nova"/>
      <w:color w:val="1E1545" w:themeColor="text2"/>
      <w:sz w:val="24"/>
      <w:szCs w:val="24"/>
    </w:rPr>
  </w:style>
  <w:style w:type="table" w:styleId="ListTable3">
    <w:name w:val="List Table 3"/>
    <w:basedOn w:val="TableNormal"/>
    <w:uiPriority w:val="48"/>
    <w:rsid w:val="007E66E0"/>
    <w:tblPr>
      <w:tblStyleRowBandSize w:val="1"/>
      <w:tblStyleColBandSize w:val="1"/>
      <w:tblBorders>
        <w:top w:val="single" w:sz="4" w:space="0" w:color="1E1545" w:themeColor="text1"/>
        <w:left w:val="single" w:sz="4" w:space="0" w:color="1E1545" w:themeColor="text1"/>
        <w:bottom w:val="single" w:sz="4" w:space="0" w:color="1E1545" w:themeColor="text1"/>
        <w:right w:val="single" w:sz="4" w:space="0" w:color="1E1545" w:themeColor="text1"/>
      </w:tblBorders>
    </w:tblPr>
    <w:tblStylePr w:type="firstRow">
      <w:rPr>
        <w:b/>
        <w:bCs/>
        <w:color w:val="FFFFFF" w:themeColor="background1"/>
      </w:rPr>
      <w:tblPr/>
      <w:tcPr>
        <w:shd w:val="clear" w:color="auto" w:fill="1E1545" w:themeFill="text1"/>
      </w:tcPr>
    </w:tblStylePr>
    <w:tblStylePr w:type="lastRow">
      <w:rPr>
        <w:b/>
        <w:bCs/>
      </w:rPr>
      <w:tblPr/>
      <w:tcPr>
        <w:tcBorders>
          <w:top w:val="double" w:sz="4" w:space="0" w:color="1E154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1545" w:themeColor="text1"/>
          <w:right w:val="single" w:sz="4" w:space="0" w:color="1E1545" w:themeColor="text1"/>
        </w:tcBorders>
      </w:tcPr>
    </w:tblStylePr>
    <w:tblStylePr w:type="band1Horz">
      <w:tblPr/>
      <w:tcPr>
        <w:tcBorders>
          <w:top w:val="single" w:sz="4" w:space="0" w:color="1E1545" w:themeColor="text1"/>
          <w:bottom w:val="single" w:sz="4" w:space="0" w:color="1E15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5" w:themeColor="text1"/>
          <w:left w:val="nil"/>
        </w:tcBorders>
      </w:tcPr>
    </w:tblStylePr>
    <w:tblStylePr w:type="swCell">
      <w:tblPr/>
      <w:tcPr>
        <w:tcBorders>
          <w:top w:val="double" w:sz="4" w:space="0" w:color="1E1545" w:themeColor="text1"/>
          <w:right w:val="nil"/>
        </w:tcBorders>
      </w:tcPr>
    </w:tblStylePr>
  </w:style>
  <w:style w:type="paragraph" w:customStyle="1" w:styleId="TableParagraph">
    <w:name w:val="Table Paragraph"/>
    <w:basedOn w:val="Normal"/>
    <w:uiPriority w:val="1"/>
    <w:qFormat/>
    <w:rsid w:val="00297745"/>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1E154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1E1545" w:themeColor="text2"/>
    </w:rPr>
  </w:style>
  <w:style w:type="character" w:styleId="PageNumber">
    <w:name w:val="page number"/>
    <w:basedOn w:val="DefaultParagraphFont"/>
    <w:uiPriority w:val="99"/>
    <w:semiHidden/>
    <w:unhideWhenUsed/>
    <w:rsid w:val="00A61363"/>
  </w:style>
  <w:style w:type="paragraph" w:customStyle="1" w:styleId="Style1">
    <w:name w:val="Style1"/>
    <w:next w:val="Title"/>
    <w:qFormat/>
    <w:rsid w:val="008D7642"/>
    <w:pPr>
      <w:spacing w:before="252" w:line="237" w:lineRule="auto"/>
    </w:pPr>
    <w:rPr>
      <w:rFonts w:ascii="Proxima Nova" w:eastAsia="Proxima Nova" w:hAnsi="Proxima Nova" w:cs="Proxima Nova"/>
      <w:b/>
      <w:bCs/>
      <w:color w:val="1E1545" w:themeColor="text2"/>
      <w:sz w:val="90"/>
      <w:szCs w:val="90"/>
    </w:rPr>
  </w:style>
  <w:style w:type="paragraph" w:styleId="Title">
    <w:name w:val="Title"/>
    <w:basedOn w:val="Normal"/>
    <w:next w:val="Normal"/>
    <w:link w:val="TitleChar"/>
    <w:uiPriority w:val="10"/>
    <w:qFormat/>
    <w:rsid w:val="008D764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642"/>
    <w:rPr>
      <w:rFonts w:asciiTheme="majorHAnsi" w:eastAsiaTheme="majorEastAsia" w:hAnsiTheme="majorHAnsi" w:cstheme="majorBidi"/>
      <w:spacing w:val="-10"/>
      <w:kern w:val="28"/>
      <w:sz w:val="56"/>
      <w:szCs w:val="56"/>
    </w:rPr>
  </w:style>
  <w:style w:type="paragraph" w:customStyle="1" w:styleId="CoverTitle">
    <w:name w:val="Cover Title"/>
    <w:next w:val="Normal"/>
    <w:qFormat/>
    <w:rsid w:val="00B04BCF"/>
    <w:pPr>
      <w:spacing w:before="252" w:line="237" w:lineRule="auto"/>
    </w:pPr>
    <w:rPr>
      <w:rFonts w:ascii="Arial" w:eastAsia="Proxima Nova" w:hAnsi="Arial" w:cs="Proxima Nova"/>
      <w:b/>
      <w:bCs/>
      <w:color w:val="1E1545" w:themeColor="text2"/>
      <w:sz w:val="80"/>
      <w:szCs w:val="90"/>
    </w:rPr>
  </w:style>
  <w:style w:type="paragraph" w:customStyle="1" w:styleId="CoverSubtitle">
    <w:name w:val="Cover Subtitle"/>
    <w:basedOn w:val="Normal"/>
    <w:qFormat/>
    <w:rsid w:val="00B04BCF"/>
    <w:pPr>
      <w:spacing w:before="666"/>
    </w:pPr>
    <w:rPr>
      <w:sz w:val="56"/>
    </w:rPr>
  </w:style>
  <w:style w:type="paragraph" w:customStyle="1" w:styleId="SectionTitle">
    <w:name w:val="Section Title"/>
    <w:qFormat/>
    <w:rsid w:val="00C62D3D"/>
    <w:pPr>
      <w:pBdr>
        <w:bottom w:val="single" w:sz="4" w:space="1" w:color="2AB1BB" w:themeColor="accent1"/>
      </w:pBdr>
      <w:spacing w:before="120" w:after="120" w:line="276" w:lineRule="auto"/>
    </w:pPr>
    <w:rPr>
      <w:rFonts w:ascii="Arial" w:eastAsia="Proxima Nova" w:hAnsi="Arial" w:cs="Proxima Nova"/>
      <w:bCs/>
      <w:sz w:val="28"/>
      <w:szCs w:val="90"/>
    </w:rPr>
  </w:style>
  <w:style w:type="paragraph" w:customStyle="1" w:styleId="SectionNumber">
    <w:name w:val="Section Number"/>
    <w:basedOn w:val="Normal"/>
    <w:qFormat/>
    <w:rsid w:val="0026496A"/>
    <w:pPr>
      <w:spacing w:before="306"/>
    </w:pPr>
    <w:rPr>
      <w:color w:val="FFFFFF"/>
      <w:sz w:val="36"/>
    </w:rPr>
  </w:style>
  <w:style w:type="paragraph" w:styleId="BalloonText">
    <w:name w:val="Balloon Text"/>
    <w:basedOn w:val="Normal"/>
    <w:link w:val="BalloonTextChar"/>
    <w:uiPriority w:val="99"/>
    <w:semiHidden/>
    <w:unhideWhenUsed/>
    <w:rsid w:val="006D3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39A7"/>
    <w:rPr>
      <w:rFonts w:ascii="Times New Roman" w:eastAsia="Proxima Nova" w:hAnsi="Times New Roman" w:cs="Times New Roman"/>
      <w:color w:val="1E1545" w:themeColor="text2"/>
      <w:sz w:val="18"/>
      <w:szCs w:val="18"/>
    </w:rPr>
  </w:style>
  <w:style w:type="paragraph" w:styleId="ListBullet">
    <w:name w:val="List Bullet"/>
    <w:uiPriority w:val="99"/>
    <w:unhideWhenUsed/>
    <w:qFormat/>
    <w:rsid w:val="00086E7C"/>
    <w:pPr>
      <w:widowControl/>
      <w:numPr>
        <w:numId w:val="28"/>
      </w:numPr>
      <w:autoSpaceDE/>
      <w:autoSpaceDN/>
      <w:spacing w:line="276" w:lineRule="auto"/>
      <w:ind w:left="714" w:hanging="357"/>
    </w:pPr>
    <w:rPr>
      <w:rFonts w:ascii="Arial" w:eastAsiaTheme="minorEastAsia" w:hAnsi="Arial"/>
      <w:color w:val="1E1545" w:themeColor="text2"/>
      <w:szCs w:val="20"/>
      <w:lang w:val="en-AU" w:eastAsia="zh-CN"/>
    </w:rPr>
  </w:style>
  <w:style w:type="paragraph" w:styleId="ListBullet2">
    <w:name w:val="List Bullet 2"/>
    <w:basedOn w:val="ListBullet"/>
    <w:uiPriority w:val="99"/>
    <w:unhideWhenUsed/>
    <w:qFormat/>
    <w:rsid w:val="001753EA"/>
    <w:pPr>
      <w:numPr>
        <w:ilvl w:val="1"/>
        <w:numId w:val="1"/>
      </w:numPr>
      <w:spacing w:before="80" w:after="80"/>
      <w:ind w:left="1434"/>
    </w:pPr>
    <w:rPr>
      <w:color w:val="1E1545" w:themeColor="text1"/>
    </w:rPr>
  </w:style>
  <w:style w:type="paragraph" w:styleId="ListBullet3">
    <w:name w:val="List Bullet 3"/>
    <w:basedOn w:val="ListBullet"/>
    <w:uiPriority w:val="99"/>
    <w:unhideWhenUsed/>
    <w:qFormat/>
    <w:rsid w:val="001753EA"/>
    <w:pPr>
      <w:numPr>
        <w:ilvl w:val="2"/>
        <w:numId w:val="1"/>
      </w:numPr>
      <w:spacing w:before="80" w:after="80" w:line="240" w:lineRule="auto"/>
      <w:ind w:left="641"/>
    </w:pPr>
    <w:rPr>
      <w:color w:val="1E1545" w:themeColor="text1"/>
    </w:rPr>
  </w:style>
  <w:style w:type="paragraph" w:customStyle="1" w:styleId="IntroPara">
    <w:name w:val="Intro Para"/>
    <w:basedOn w:val="Normal"/>
    <w:qFormat/>
    <w:rsid w:val="00B04BCF"/>
    <w:pPr>
      <w:spacing w:before="240" w:line="264" w:lineRule="auto"/>
    </w:pPr>
    <w:rPr>
      <w:sz w:val="28"/>
    </w:rPr>
  </w:style>
  <w:style w:type="paragraph" w:customStyle="1" w:styleId="Pull-out">
    <w:name w:val="Pull-out"/>
    <w:basedOn w:val="Heading2"/>
    <w:qFormat/>
    <w:rsid w:val="00B475DF"/>
    <w:pPr>
      <w:pBdr>
        <w:top w:val="single" w:sz="4" w:space="10" w:color="2AB1BB" w:themeColor="accent1"/>
        <w:bottom w:val="single" w:sz="4" w:space="10" w:color="2AB1BB" w:themeColor="accent1"/>
      </w:pBdr>
      <w:spacing w:before="360" w:after="360"/>
    </w:pPr>
  </w:style>
  <w:style w:type="paragraph" w:styleId="FootnoteText">
    <w:name w:val="footnote text"/>
    <w:basedOn w:val="Normal"/>
    <w:link w:val="FootnoteTextChar"/>
    <w:uiPriority w:val="99"/>
    <w:unhideWhenUsed/>
    <w:rsid w:val="00297745"/>
    <w:rPr>
      <w:sz w:val="20"/>
      <w:szCs w:val="20"/>
    </w:rPr>
  </w:style>
  <w:style w:type="character" w:customStyle="1" w:styleId="FootnoteTextChar">
    <w:name w:val="Footnote Text Char"/>
    <w:basedOn w:val="DefaultParagraphFont"/>
    <w:link w:val="FootnoteText"/>
    <w:uiPriority w:val="99"/>
    <w:rsid w:val="00297745"/>
    <w:rPr>
      <w:rFonts w:ascii="Proxima Nova" w:eastAsia="Proxima Nova" w:hAnsi="Proxima Nova" w:cs="Proxima Nova"/>
      <w:color w:val="1E1545" w:themeColor="text2"/>
      <w:sz w:val="20"/>
      <w:szCs w:val="20"/>
    </w:rPr>
  </w:style>
  <w:style w:type="character" w:styleId="FootnoteReference">
    <w:name w:val="footnote reference"/>
    <w:basedOn w:val="DefaultParagraphFont"/>
    <w:uiPriority w:val="99"/>
    <w:semiHidden/>
    <w:unhideWhenUsed/>
    <w:rsid w:val="00297745"/>
    <w:rPr>
      <w:vertAlign w:val="superscript"/>
    </w:rPr>
  </w:style>
  <w:style w:type="paragraph" w:customStyle="1" w:styleId="Footnote">
    <w:name w:val="Footnote"/>
    <w:basedOn w:val="FootnoteText"/>
    <w:link w:val="FootnoteChar"/>
    <w:qFormat/>
    <w:rsid w:val="00B04BCF"/>
    <w:rPr>
      <w:sz w:val="16"/>
      <w:szCs w:val="16"/>
    </w:rPr>
  </w:style>
  <w:style w:type="character" w:customStyle="1" w:styleId="FootnoteChar">
    <w:name w:val="Footnote Char"/>
    <w:basedOn w:val="FootnoteTextChar"/>
    <w:link w:val="Footnote"/>
    <w:rsid w:val="005F7DF2"/>
    <w:rPr>
      <w:rFonts w:ascii="Arial" w:eastAsia="Proxima Nova" w:hAnsi="Arial" w:cs="Proxima Nova"/>
      <w:color w:val="1E1545" w:themeColor="text2"/>
      <w:sz w:val="16"/>
      <w:szCs w:val="16"/>
    </w:rPr>
  </w:style>
  <w:style w:type="paragraph" w:styleId="ListNumber">
    <w:name w:val="List Number"/>
    <w:uiPriority w:val="99"/>
    <w:unhideWhenUsed/>
    <w:qFormat/>
    <w:rsid w:val="00086E7C"/>
    <w:pPr>
      <w:widowControl/>
      <w:numPr>
        <w:numId w:val="2"/>
      </w:numPr>
      <w:autoSpaceDE/>
      <w:autoSpaceDN/>
      <w:spacing w:after="80"/>
    </w:pPr>
    <w:rPr>
      <w:rFonts w:ascii="Arial" w:eastAsiaTheme="minorEastAsia" w:hAnsi="Arial"/>
      <w:b/>
      <w:color w:val="1E1545" w:themeColor="text1"/>
      <w:sz w:val="24"/>
      <w:szCs w:val="20"/>
      <w:lang w:val="en-AU" w:eastAsia="zh-CN"/>
    </w:rPr>
  </w:style>
  <w:style w:type="paragraph" w:styleId="ListNumber2">
    <w:name w:val="List Number 2"/>
    <w:basedOn w:val="Normal"/>
    <w:uiPriority w:val="99"/>
    <w:unhideWhenUsed/>
    <w:qFormat/>
    <w:rsid w:val="003222B2"/>
    <w:pPr>
      <w:widowControl/>
      <w:numPr>
        <w:ilvl w:val="1"/>
        <w:numId w:val="2"/>
      </w:numPr>
      <w:autoSpaceDE/>
      <w:autoSpaceDN/>
      <w:spacing w:after="80"/>
    </w:pPr>
    <w:rPr>
      <w:rFonts w:eastAsiaTheme="minorEastAsia" w:cstheme="minorBidi"/>
      <w:color w:val="1E1545" w:themeColor="text1"/>
      <w:sz w:val="24"/>
      <w:szCs w:val="20"/>
      <w:lang w:val="en-AU" w:eastAsia="zh-CN"/>
    </w:rPr>
  </w:style>
  <w:style w:type="paragraph" w:styleId="ListNumber3">
    <w:name w:val="List Number 3"/>
    <w:basedOn w:val="Normal"/>
    <w:uiPriority w:val="99"/>
    <w:unhideWhenUsed/>
    <w:qFormat/>
    <w:rsid w:val="003222B2"/>
    <w:pPr>
      <w:widowControl/>
      <w:numPr>
        <w:ilvl w:val="2"/>
        <w:numId w:val="2"/>
      </w:numPr>
      <w:autoSpaceDE/>
      <w:autoSpaceDN/>
      <w:spacing w:after="80"/>
    </w:pPr>
    <w:rPr>
      <w:rFonts w:eastAsiaTheme="minorEastAsia" w:cstheme="minorBidi"/>
      <w:color w:val="1E1545" w:themeColor="text1"/>
      <w:sz w:val="24"/>
      <w:szCs w:val="20"/>
      <w:lang w:val="en-AU" w:eastAsia="zh-CN"/>
    </w:rPr>
  </w:style>
  <w:style w:type="table" w:styleId="TableGrid">
    <w:name w:val="Table Grid"/>
    <w:basedOn w:val="TableNormal"/>
    <w:uiPriority w:val="39"/>
    <w:rsid w:val="001D6174"/>
    <w:pPr>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1E1545" w:themeFill="text1"/>
      </w:tcPr>
    </w:tblStyle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character" w:styleId="CommentReference">
    <w:name w:val="annotation reference"/>
    <w:basedOn w:val="DefaultParagraphFont"/>
    <w:uiPriority w:val="99"/>
    <w:semiHidden/>
    <w:unhideWhenUsed/>
    <w:rsid w:val="00762907"/>
    <w:rPr>
      <w:sz w:val="16"/>
      <w:szCs w:val="16"/>
    </w:rPr>
  </w:style>
  <w:style w:type="paragraph" w:styleId="CommentText">
    <w:name w:val="annotation text"/>
    <w:basedOn w:val="Normal"/>
    <w:link w:val="CommentTextChar"/>
    <w:uiPriority w:val="99"/>
    <w:semiHidden/>
    <w:unhideWhenUsed/>
    <w:rsid w:val="00762907"/>
    <w:rPr>
      <w:sz w:val="20"/>
      <w:szCs w:val="20"/>
    </w:rPr>
  </w:style>
  <w:style w:type="character" w:customStyle="1" w:styleId="CommentTextChar">
    <w:name w:val="Comment Text Char"/>
    <w:basedOn w:val="DefaultParagraphFont"/>
    <w:link w:val="CommentText"/>
    <w:uiPriority w:val="99"/>
    <w:semiHidden/>
    <w:rsid w:val="00762907"/>
    <w:rPr>
      <w:rFonts w:ascii="Arial" w:eastAsia="Proxima Nova" w:hAnsi="Arial" w:cs="Proxima Nova"/>
      <w:color w:val="1E1545" w:themeColor="text2"/>
      <w:sz w:val="20"/>
      <w:szCs w:val="20"/>
    </w:rPr>
  </w:style>
  <w:style w:type="character" w:styleId="HTMLVariable">
    <w:name w:val="HTML Variable"/>
    <w:basedOn w:val="DefaultParagraphFont"/>
    <w:uiPriority w:val="99"/>
    <w:unhideWhenUsed/>
    <w:rsid w:val="001E587E"/>
    <w:rPr>
      <w:i/>
      <w:iCs/>
    </w:rPr>
  </w:style>
  <w:style w:type="character" w:styleId="Hyperlink">
    <w:name w:val="Hyperlink"/>
    <w:basedOn w:val="DefaultParagraphFont"/>
    <w:uiPriority w:val="99"/>
    <w:unhideWhenUsed/>
    <w:qFormat/>
    <w:rsid w:val="00086E7C"/>
    <w:rPr>
      <w:color w:val="0070C0"/>
      <w:u w:val="single"/>
    </w:rPr>
  </w:style>
  <w:style w:type="character" w:styleId="UnresolvedMention">
    <w:name w:val="Unresolved Mention"/>
    <w:basedOn w:val="DefaultParagraphFont"/>
    <w:uiPriority w:val="99"/>
    <w:semiHidden/>
    <w:unhideWhenUsed/>
    <w:rsid w:val="00B9461B"/>
    <w:rPr>
      <w:color w:val="605E5C"/>
      <w:shd w:val="clear" w:color="auto" w:fill="E1DFDD"/>
    </w:rPr>
  </w:style>
  <w:style w:type="paragraph" w:styleId="Caption">
    <w:name w:val="caption"/>
    <w:next w:val="Normal"/>
    <w:uiPriority w:val="99"/>
    <w:semiHidden/>
    <w:qFormat/>
    <w:rsid w:val="00EC3654"/>
    <w:pPr>
      <w:keepLines/>
      <w:widowControl/>
      <w:autoSpaceDE/>
      <w:autoSpaceDN/>
      <w:spacing w:before="80" w:after="80" w:line="276" w:lineRule="auto"/>
    </w:pPr>
    <w:rPr>
      <w:rFonts w:ascii="Arial" w:hAnsi="Arial" w:cs="Times New Roman (Body CS)"/>
      <w:b/>
      <w:bCs/>
      <w:iCs/>
      <w:spacing w:val="-3"/>
      <w:sz w:val="20"/>
      <w:szCs w:val="21"/>
      <w:lang w:val="en-AU"/>
    </w:rPr>
  </w:style>
  <w:style w:type="paragraph" w:styleId="Revision">
    <w:name w:val="Revision"/>
    <w:hidden/>
    <w:uiPriority w:val="99"/>
    <w:semiHidden/>
    <w:rsid w:val="00BF1ACF"/>
    <w:pPr>
      <w:widowControl/>
      <w:autoSpaceDE/>
      <w:autoSpaceDN/>
    </w:pPr>
    <w:rPr>
      <w:rFonts w:ascii="Arial" w:eastAsia="Proxima Nova" w:hAnsi="Arial" w:cs="Proxima Nova"/>
      <w:color w:val="1E1545" w:themeColor="text2"/>
    </w:rPr>
  </w:style>
  <w:style w:type="table" w:customStyle="1" w:styleId="GridTable1Light-Accent61">
    <w:name w:val="Grid Table 1 Light - Accent 61"/>
    <w:basedOn w:val="TableNormal"/>
    <w:next w:val="GridTable1Light-Accent6"/>
    <w:uiPriority w:val="46"/>
    <w:rsid w:val="003E14CF"/>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E14CF"/>
    <w:tblPr>
      <w:tblStyleRowBandSize w:val="1"/>
      <w:tblStyleColBandSize w:val="1"/>
      <w:tblBorders>
        <w:top w:val="single" w:sz="4" w:space="0" w:color="FADFA6" w:themeColor="accent6" w:themeTint="66"/>
        <w:left w:val="single" w:sz="4" w:space="0" w:color="FADFA6" w:themeColor="accent6" w:themeTint="66"/>
        <w:bottom w:val="single" w:sz="4" w:space="0" w:color="FADFA6" w:themeColor="accent6" w:themeTint="66"/>
        <w:right w:val="single" w:sz="4" w:space="0" w:color="FADFA6" w:themeColor="accent6" w:themeTint="66"/>
        <w:insideH w:val="single" w:sz="4" w:space="0" w:color="FADFA6" w:themeColor="accent6" w:themeTint="66"/>
        <w:insideV w:val="single" w:sz="4" w:space="0" w:color="FADFA6" w:themeColor="accent6" w:themeTint="66"/>
      </w:tblBorders>
    </w:tblPr>
    <w:tblStylePr w:type="firstRow">
      <w:rPr>
        <w:b/>
        <w:bCs/>
      </w:rPr>
      <w:tblPr/>
      <w:tcPr>
        <w:tcBorders>
          <w:bottom w:val="single" w:sz="12" w:space="0" w:color="F8D07A" w:themeColor="accent6" w:themeTint="99"/>
        </w:tcBorders>
      </w:tcPr>
    </w:tblStylePr>
    <w:tblStylePr w:type="lastRow">
      <w:rPr>
        <w:b/>
        <w:bCs/>
      </w:rPr>
      <w:tblPr/>
      <w:tcPr>
        <w:tcBorders>
          <w:top w:val="double" w:sz="2" w:space="0" w:color="F8D07A" w:themeColor="accent6" w:themeTint="99"/>
        </w:tcBorders>
      </w:tcPr>
    </w:tblStylePr>
    <w:tblStylePr w:type="firstCol">
      <w:rPr>
        <w:b/>
        <w:bCs/>
      </w:rPr>
    </w:tblStylePr>
    <w:tblStylePr w:type="lastCol">
      <w:rPr>
        <w:b/>
        <w:bCs/>
      </w:rPr>
    </w:tblStylePr>
  </w:style>
  <w:style w:type="table" w:customStyle="1" w:styleId="PlainTable211">
    <w:name w:val="Plain Table 211"/>
    <w:basedOn w:val="TableNormal"/>
    <w:next w:val="PlainTable2"/>
    <w:uiPriority w:val="42"/>
    <w:rsid w:val="002934A1"/>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customStyle="1" w:styleId="GridTable1Light-Accent612">
    <w:name w:val="Grid Table 1 Light - Accent 612"/>
    <w:basedOn w:val="TableNormal"/>
    <w:next w:val="GridTable1Light-Accent6"/>
    <w:uiPriority w:val="46"/>
    <w:rsid w:val="004B7756"/>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3">
    <w:name w:val="Grid Table 1 Light - Accent 613"/>
    <w:basedOn w:val="TableNormal"/>
    <w:next w:val="GridTable1Light-Accent6"/>
    <w:uiPriority w:val="46"/>
    <w:rsid w:val="004B7756"/>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next w:val="GridTable1Light-Accent6"/>
    <w:uiPriority w:val="46"/>
    <w:rsid w:val="00FA4F7E"/>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4">
    <w:name w:val="Grid Table 1 Light - Accent 614"/>
    <w:basedOn w:val="TableNormal"/>
    <w:next w:val="GridTable1Light-Accent6"/>
    <w:uiPriority w:val="46"/>
    <w:rsid w:val="00FA4F7E"/>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5">
    <w:name w:val="Grid Table 1 Light - Accent 615"/>
    <w:basedOn w:val="TableNormal"/>
    <w:next w:val="GridTable1Light-Accent6"/>
    <w:uiPriority w:val="46"/>
    <w:rsid w:val="00FA4F7E"/>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6">
    <w:name w:val="Grid Table 1 Light - Accent 616"/>
    <w:basedOn w:val="TableNormal"/>
    <w:next w:val="GridTable1Light-Accent6"/>
    <w:uiPriority w:val="46"/>
    <w:rsid w:val="00FA4F7E"/>
    <w:pPr>
      <w:widowControl/>
      <w:autoSpaceDE/>
      <w:autoSpaceDN/>
    </w:pPr>
    <w:rPr>
      <w:lang w:val="en-A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Body">
    <w:name w:val="Body"/>
    <w:basedOn w:val="Normal"/>
    <w:link w:val="BodyChar"/>
    <w:qFormat/>
    <w:rsid w:val="005F7DF2"/>
    <w:pPr>
      <w:widowControl/>
      <w:autoSpaceDE/>
      <w:autoSpaceDN/>
      <w:spacing w:after="160" w:line="259" w:lineRule="auto"/>
    </w:pPr>
    <w:rPr>
      <w:rFonts w:asciiTheme="minorHAnsi" w:eastAsiaTheme="minorHAnsi" w:hAnsiTheme="minorHAnsi" w:cstheme="minorBidi"/>
      <w:color w:val="auto"/>
      <w:sz w:val="18"/>
      <w:szCs w:val="18"/>
      <w:lang w:val="en-AU"/>
    </w:rPr>
  </w:style>
  <w:style w:type="character" w:customStyle="1" w:styleId="BodyChar">
    <w:name w:val="Body Char"/>
    <w:basedOn w:val="DefaultParagraphFont"/>
    <w:link w:val="Body"/>
    <w:rsid w:val="005F7DF2"/>
    <w:rPr>
      <w:sz w:val="18"/>
      <w:szCs w:val="18"/>
      <w:lang w:val="en-AU"/>
    </w:rPr>
  </w:style>
  <w:style w:type="paragraph" w:styleId="NormalWeb">
    <w:name w:val="Normal (Web)"/>
    <w:basedOn w:val="Normal"/>
    <w:uiPriority w:val="99"/>
    <w:unhideWhenUsed/>
    <w:rsid w:val="00293F5D"/>
    <w:pPr>
      <w:widowControl/>
      <w:autoSpaceDE/>
      <w:autoSpaceDN/>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styleId="Strong">
    <w:name w:val="Strong"/>
    <w:basedOn w:val="DefaultParagraphFont"/>
    <w:uiPriority w:val="22"/>
    <w:qFormat/>
    <w:rsid w:val="00086E7C"/>
    <w:rPr>
      <w:rFonts w:ascii="Arial" w:hAnsi="Arial"/>
      <w:b/>
      <w:bCs/>
      <w:sz w:val="22"/>
    </w:rPr>
  </w:style>
  <w:style w:type="character" w:styleId="Emphasis">
    <w:name w:val="Emphasis"/>
    <w:basedOn w:val="DefaultParagraphFont"/>
    <w:uiPriority w:val="20"/>
    <w:qFormat/>
    <w:rsid w:val="00D83FDD"/>
    <w:rPr>
      <w:i/>
      <w:iCs/>
    </w:rPr>
  </w:style>
  <w:style w:type="character" w:styleId="FollowedHyperlink">
    <w:name w:val="FollowedHyperlink"/>
    <w:basedOn w:val="DefaultParagraphFont"/>
    <w:uiPriority w:val="99"/>
    <w:semiHidden/>
    <w:unhideWhenUsed/>
    <w:rsid w:val="00482A25"/>
    <w:rPr>
      <w:color w:val="78BE43" w:themeColor="followedHyperlink"/>
      <w:u w:val="single"/>
    </w:rPr>
  </w:style>
  <w:style w:type="paragraph" w:styleId="TOCHeading">
    <w:name w:val="TOC Heading"/>
    <w:next w:val="Normal"/>
    <w:uiPriority w:val="39"/>
    <w:unhideWhenUsed/>
    <w:qFormat/>
    <w:rsid w:val="00086E7C"/>
    <w:pPr>
      <w:keepNext/>
      <w:keepLines/>
      <w:widowControl/>
      <w:autoSpaceDE/>
      <w:autoSpaceDN/>
      <w:spacing w:line="259" w:lineRule="auto"/>
    </w:pPr>
    <w:rPr>
      <w:rFonts w:ascii="Arial" w:eastAsiaTheme="majorEastAsia" w:hAnsi="Arial" w:cstheme="majorBidi"/>
      <w:b/>
      <w:color w:val="1E1545" w:themeColor="text1"/>
      <w:sz w:val="36"/>
      <w:szCs w:val="32"/>
    </w:rPr>
  </w:style>
  <w:style w:type="paragraph" w:styleId="TOC1">
    <w:name w:val="toc 1"/>
    <w:basedOn w:val="Normal"/>
    <w:next w:val="Normal"/>
    <w:autoRedefine/>
    <w:uiPriority w:val="39"/>
    <w:unhideWhenUsed/>
    <w:rsid w:val="00F55A5E"/>
    <w:pPr>
      <w:spacing w:after="100"/>
    </w:pPr>
  </w:style>
  <w:style w:type="paragraph" w:styleId="TOC3">
    <w:name w:val="toc 3"/>
    <w:basedOn w:val="Normal"/>
    <w:next w:val="Normal"/>
    <w:autoRedefine/>
    <w:uiPriority w:val="39"/>
    <w:unhideWhenUsed/>
    <w:rsid w:val="00F55A5E"/>
    <w:pPr>
      <w:spacing w:after="100"/>
      <w:ind w:left="440"/>
    </w:pPr>
  </w:style>
  <w:style w:type="paragraph" w:styleId="TOC2">
    <w:name w:val="toc 2"/>
    <w:basedOn w:val="Normal"/>
    <w:next w:val="Normal"/>
    <w:autoRedefine/>
    <w:uiPriority w:val="39"/>
    <w:unhideWhenUsed/>
    <w:rsid w:val="00F55A5E"/>
    <w:pPr>
      <w:spacing w:after="100"/>
      <w:ind w:left="220"/>
    </w:pPr>
  </w:style>
  <w:style w:type="table" w:styleId="GridTable1Light">
    <w:name w:val="Grid Table 1 Light"/>
    <w:basedOn w:val="TableNormal"/>
    <w:uiPriority w:val="46"/>
    <w:rsid w:val="001D6174"/>
    <w:rPr>
      <w:rFonts w:ascii="Arial" w:hAnsi="Arial"/>
    </w:rPr>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rFonts w:ascii="Arial" w:hAnsi="Arial"/>
        <w:b/>
        <w:bCs/>
        <w:color w:val="FFFFFF" w:themeColor="background1"/>
        <w:sz w:val="22"/>
      </w:rPr>
      <w:tblPr/>
      <w:tcPr>
        <w:shd w:val="clear" w:color="auto" w:fill="1E1545" w:themeFill="text1"/>
      </w:tcPr>
    </w:tblStylePr>
    <w:tblStylePr w:type="lastRow">
      <w:rPr>
        <w:b/>
        <w:bCs/>
      </w:rPr>
      <w:tblPr/>
      <w:tcPr>
        <w:tcBorders>
          <w:top w:val="double" w:sz="2" w:space="0" w:color="563DC4" w:themeColor="text1" w:themeTint="99"/>
        </w:tcBorders>
      </w:tcPr>
    </w:tblStylePr>
    <w:tblStylePr w:type="firstCol">
      <w:pPr>
        <w:wordWrap/>
        <w:spacing w:beforeLines="0" w:before="0" w:beforeAutospacing="0" w:afterLines="0" w:after="0" w:afterAutospacing="0"/>
        <w:ind w:leftChars="0" w:left="0" w:rightChars="0" w:right="0"/>
      </w:pPr>
      <w:rPr>
        <w:b/>
        <w:bCs/>
      </w:rPr>
    </w:tblStylePr>
    <w:tblStylePr w:type="lastCol">
      <w:rPr>
        <w:b/>
        <w:bCs/>
      </w:rPr>
    </w:tblStylePr>
  </w:style>
  <w:style w:type="table" w:styleId="TableGridLight">
    <w:name w:val="Grid Table Light"/>
    <w:basedOn w:val="TableNormal"/>
    <w:uiPriority w:val="40"/>
    <w:rsid w:val="001753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753EA"/>
    <w:tblPr>
      <w:tblStyleRowBandSize w:val="1"/>
      <w:tblStyleColBandSize w:val="1"/>
    </w:tblPr>
    <w:tblStylePr w:type="firstRow">
      <w:rPr>
        <w:b/>
        <w:bCs/>
        <w:caps/>
      </w:rPr>
      <w:tblPr/>
      <w:tcPr>
        <w:tcBorders>
          <w:bottom w:val="single" w:sz="4" w:space="0" w:color="71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15DC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Authorities">
    <w:name w:val="table of authorities"/>
    <w:aliases w:val="Table header (white)"/>
    <w:next w:val="Normal"/>
    <w:uiPriority w:val="99"/>
    <w:unhideWhenUsed/>
    <w:qFormat/>
    <w:rsid w:val="0017155E"/>
    <w:rPr>
      <w:rFonts w:ascii="Arial" w:eastAsia="Proxima Nova" w:hAnsi="Arial" w:cs="Proxima Nova"/>
      <w:b/>
      <w:bCs/>
      <w:color w:val="EEEEEE"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9376">
      <w:bodyDiv w:val="1"/>
      <w:marLeft w:val="0"/>
      <w:marRight w:val="0"/>
      <w:marTop w:val="0"/>
      <w:marBottom w:val="0"/>
      <w:divBdr>
        <w:top w:val="none" w:sz="0" w:space="0" w:color="auto"/>
        <w:left w:val="none" w:sz="0" w:space="0" w:color="auto"/>
        <w:bottom w:val="none" w:sz="0" w:space="0" w:color="auto"/>
        <w:right w:val="none" w:sz="0" w:space="0" w:color="auto"/>
      </w:divBdr>
      <w:divsChild>
        <w:div w:id="2026789284">
          <w:marLeft w:val="0"/>
          <w:marRight w:val="0"/>
          <w:marTop w:val="0"/>
          <w:marBottom w:val="0"/>
          <w:divBdr>
            <w:top w:val="none" w:sz="0" w:space="0" w:color="auto"/>
            <w:left w:val="none" w:sz="0" w:space="0" w:color="auto"/>
            <w:bottom w:val="none" w:sz="0" w:space="0" w:color="auto"/>
            <w:right w:val="none" w:sz="0" w:space="0" w:color="auto"/>
          </w:divBdr>
          <w:divsChild>
            <w:div w:id="1696226664">
              <w:marLeft w:val="0"/>
              <w:marRight w:val="0"/>
              <w:marTop w:val="0"/>
              <w:marBottom w:val="0"/>
              <w:divBdr>
                <w:top w:val="none" w:sz="0" w:space="0" w:color="auto"/>
                <w:left w:val="none" w:sz="0" w:space="0" w:color="auto"/>
                <w:bottom w:val="none" w:sz="0" w:space="0" w:color="auto"/>
                <w:right w:val="none" w:sz="0" w:space="0" w:color="auto"/>
              </w:divBdr>
              <w:divsChild>
                <w:div w:id="19106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4322">
          <w:marLeft w:val="0"/>
          <w:marRight w:val="0"/>
          <w:marTop w:val="0"/>
          <w:marBottom w:val="0"/>
          <w:divBdr>
            <w:top w:val="none" w:sz="0" w:space="0" w:color="auto"/>
            <w:left w:val="none" w:sz="0" w:space="0" w:color="auto"/>
            <w:bottom w:val="none" w:sz="0" w:space="0" w:color="auto"/>
            <w:right w:val="none" w:sz="0" w:space="0" w:color="auto"/>
          </w:divBdr>
          <w:divsChild>
            <w:div w:id="1067267850">
              <w:marLeft w:val="0"/>
              <w:marRight w:val="0"/>
              <w:marTop w:val="0"/>
              <w:marBottom w:val="0"/>
              <w:divBdr>
                <w:top w:val="none" w:sz="0" w:space="0" w:color="auto"/>
                <w:left w:val="none" w:sz="0" w:space="0" w:color="auto"/>
                <w:bottom w:val="none" w:sz="0" w:space="0" w:color="auto"/>
                <w:right w:val="none" w:sz="0" w:space="0" w:color="auto"/>
              </w:divBdr>
              <w:divsChild>
                <w:div w:id="4285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143">
          <w:marLeft w:val="0"/>
          <w:marRight w:val="0"/>
          <w:marTop w:val="0"/>
          <w:marBottom w:val="0"/>
          <w:divBdr>
            <w:top w:val="none" w:sz="0" w:space="0" w:color="auto"/>
            <w:left w:val="none" w:sz="0" w:space="0" w:color="auto"/>
            <w:bottom w:val="none" w:sz="0" w:space="0" w:color="auto"/>
            <w:right w:val="none" w:sz="0" w:space="0" w:color="auto"/>
          </w:divBdr>
          <w:divsChild>
            <w:div w:id="60759570">
              <w:marLeft w:val="0"/>
              <w:marRight w:val="0"/>
              <w:marTop w:val="0"/>
              <w:marBottom w:val="0"/>
              <w:divBdr>
                <w:top w:val="none" w:sz="0" w:space="0" w:color="auto"/>
                <w:left w:val="none" w:sz="0" w:space="0" w:color="auto"/>
                <w:bottom w:val="none" w:sz="0" w:space="0" w:color="auto"/>
                <w:right w:val="none" w:sz="0" w:space="0" w:color="auto"/>
              </w:divBdr>
              <w:divsChild>
                <w:div w:id="1214852209">
                  <w:marLeft w:val="0"/>
                  <w:marRight w:val="0"/>
                  <w:marTop w:val="0"/>
                  <w:marBottom w:val="0"/>
                  <w:divBdr>
                    <w:top w:val="none" w:sz="0" w:space="0" w:color="auto"/>
                    <w:left w:val="none" w:sz="0" w:space="0" w:color="auto"/>
                    <w:bottom w:val="none" w:sz="0" w:space="0" w:color="auto"/>
                    <w:right w:val="none" w:sz="0" w:space="0" w:color="auto"/>
                  </w:divBdr>
                </w:div>
                <w:div w:id="181021594">
                  <w:marLeft w:val="0"/>
                  <w:marRight w:val="0"/>
                  <w:marTop w:val="0"/>
                  <w:marBottom w:val="0"/>
                  <w:divBdr>
                    <w:top w:val="none" w:sz="0" w:space="0" w:color="auto"/>
                    <w:left w:val="none" w:sz="0" w:space="0" w:color="auto"/>
                    <w:bottom w:val="none" w:sz="0" w:space="0" w:color="auto"/>
                    <w:right w:val="none" w:sz="0" w:space="0" w:color="auto"/>
                  </w:divBdr>
                </w:div>
                <w:div w:id="10294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3124">
          <w:marLeft w:val="0"/>
          <w:marRight w:val="0"/>
          <w:marTop w:val="0"/>
          <w:marBottom w:val="0"/>
          <w:divBdr>
            <w:top w:val="none" w:sz="0" w:space="0" w:color="auto"/>
            <w:left w:val="none" w:sz="0" w:space="0" w:color="auto"/>
            <w:bottom w:val="none" w:sz="0" w:space="0" w:color="auto"/>
            <w:right w:val="none" w:sz="0" w:space="0" w:color="auto"/>
          </w:divBdr>
          <w:divsChild>
            <w:div w:id="893388143">
              <w:marLeft w:val="0"/>
              <w:marRight w:val="0"/>
              <w:marTop w:val="0"/>
              <w:marBottom w:val="0"/>
              <w:divBdr>
                <w:top w:val="none" w:sz="0" w:space="0" w:color="auto"/>
                <w:left w:val="none" w:sz="0" w:space="0" w:color="auto"/>
                <w:bottom w:val="none" w:sz="0" w:space="0" w:color="auto"/>
                <w:right w:val="none" w:sz="0" w:space="0" w:color="auto"/>
              </w:divBdr>
              <w:divsChild>
                <w:div w:id="1830293868">
                  <w:marLeft w:val="0"/>
                  <w:marRight w:val="0"/>
                  <w:marTop w:val="0"/>
                  <w:marBottom w:val="0"/>
                  <w:divBdr>
                    <w:top w:val="none" w:sz="0" w:space="0" w:color="auto"/>
                    <w:left w:val="none" w:sz="0" w:space="0" w:color="auto"/>
                    <w:bottom w:val="none" w:sz="0" w:space="0" w:color="auto"/>
                    <w:right w:val="none" w:sz="0" w:space="0" w:color="auto"/>
                  </w:divBdr>
                </w:div>
                <w:div w:id="1651321265">
                  <w:marLeft w:val="0"/>
                  <w:marRight w:val="0"/>
                  <w:marTop w:val="0"/>
                  <w:marBottom w:val="0"/>
                  <w:divBdr>
                    <w:top w:val="none" w:sz="0" w:space="0" w:color="auto"/>
                    <w:left w:val="none" w:sz="0" w:space="0" w:color="auto"/>
                    <w:bottom w:val="none" w:sz="0" w:space="0" w:color="auto"/>
                    <w:right w:val="none" w:sz="0" w:space="0" w:color="auto"/>
                  </w:divBdr>
                </w:div>
                <w:div w:id="19523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5562">
          <w:marLeft w:val="0"/>
          <w:marRight w:val="0"/>
          <w:marTop w:val="0"/>
          <w:marBottom w:val="0"/>
          <w:divBdr>
            <w:top w:val="none" w:sz="0" w:space="0" w:color="auto"/>
            <w:left w:val="none" w:sz="0" w:space="0" w:color="auto"/>
            <w:bottom w:val="none" w:sz="0" w:space="0" w:color="auto"/>
            <w:right w:val="none" w:sz="0" w:space="0" w:color="auto"/>
          </w:divBdr>
          <w:divsChild>
            <w:div w:id="267467244">
              <w:marLeft w:val="0"/>
              <w:marRight w:val="0"/>
              <w:marTop w:val="0"/>
              <w:marBottom w:val="0"/>
              <w:divBdr>
                <w:top w:val="none" w:sz="0" w:space="0" w:color="auto"/>
                <w:left w:val="none" w:sz="0" w:space="0" w:color="auto"/>
                <w:bottom w:val="none" w:sz="0" w:space="0" w:color="auto"/>
                <w:right w:val="none" w:sz="0" w:space="0" w:color="auto"/>
              </w:divBdr>
              <w:divsChild>
                <w:div w:id="13995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81976">
          <w:marLeft w:val="0"/>
          <w:marRight w:val="0"/>
          <w:marTop w:val="0"/>
          <w:marBottom w:val="0"/>
          <w:divBdr>
            <w:top w:val="none" w:sz="0" w:space="0" w:color="auto"/>
            <w:left w:val="none" w:sz="0" w:space="0" w:color="auto"/>
            <w:bottom w:val="none" w:sz="0" w:space="0" w:color="auto"/>
            <w:right w:val="none" w:sz="0" w:space="0" w:color="auto"/>
          </w:divBdr>
          <w:divsChild>
            <w:div w:id="1364746669">
              <w:marLeft w:val="0"/>
              <w:marRight w:val="0"/>
              <w:marTop w:val="0"/>
              <w:marBottom w:val="0"/>
              <w:divBdr>
                <w:top w:val="none" w:sz="0" w:space="0" w:color="auto"/>
                <w:left w:val="none" w:sz="0" w:space="0" w:color="auto"/>
                <w:bottom w:val="none" w:sz="0" w:space="0" w:color="auto"/>
                <w:right w:val="none" w:sz="0" w:space="0" w:color="auto"/>
              </w:divBdr>
              <w:divsChild>
                <w:div w:id="496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9175">
          <w:marLeft w:val="0"/>
          <w:marRight w:val="0"/>
          <w:marTop w:val="0"/>
          <w:marBottom w:val="0"/>
          <w:divBdr>
            <w:top w:val="none" w:sz="0" w:space="0" w:color="auto"/>
            <w:left w:val="none" w:sz="0" w:space="0" w:color="auto"/>
            <w:bottom w:val="none" w:sz="0" w:space="0" w:color="auto"/>
            <w:right w:val="none" w:sz="0" w:space="0" w:color="auto"/>
          </w:divBdr>
          <w:divsChild>
            <w:div w:id="1276134541">
              <w:marLeft w:val="0"/>
              <w:marRight w:val="0"/>
              <w:marTop w:val="0"/>
              <w:marBottom w:val="0"/>
              <w:divBdr>
                <w:top w:val="none" w:sz="0" w:space="0" w:color="auto"/>
                <w:left w:val="none" w:sz="0" w:space="0" w:color="auto"/>
                <w:bottom w:val="none" w:sz="0" w:space="0" w:color="auto"/>
                <w:right w:val="none" w:sz="0" w:space="0" w:color="auto"/>
              </w:divBdr>
              <w:divsChild>
                <w:div w:id="9070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2534">
          <w:marLeft w:val="0"/>
          <w:marRight w:val="0"/>
          <w:marTop w:val="0"/>
          <w:marBottom w:val="0"/>
          <w:divBdr>
            <w:top w:val="none" w:sz="0" w:space="0" w:color="auto"/>
            <w:left w:val="none" w:sz="0" w:space="0" w:color="auto"/>
            <w:bottom w:val="none" w:sz="0" w:space="0" w:color="auto"/>
            <w:right w:val="none" w:sz="0" w:space="0" w:color="auto"/>
          </w:divBdr>
          <w:divsChild>
            <w:div w:id="2118483197">
              <w:marLeft w:val="0"/>
              <w:marRight w:val="0"/>
              <w:marTop w:val="0"/>
              <w:marBottom w:val="0"/>
              <w:divBdr>
                <w:top w:val="none" w:sz="0" w:space="0" w:color="auto"/>
                <w:left w:val="none" w:sz="0" w:space="0" w:color="auto"/>
                <w:bottom w:val="none" w:sz="0" w:space="0" w:color="auto"/>
                <w:right w:val="none" w:sz="0" w:space="0" w:color="auto"/>
              </w:divBdr>
              <w:divsChild>
                <w:div w:id="1638145292">
                  <w:marLeft w:val="0"/>
                  <w:marRight w:val="0"/>
                  <w:marTop w:val="0"/>
                  <w:marBottom w:val="0"/>
                  <w:divBdr>
                    <w:top w:val="none" w:sz="0" w:space="0" w:color="auto"/>
                    <w:left w:val="none" w:sz="0" w:space="0" w:color="auto"/>
                    <w:bottom w:val="none" w:sz="0" w:space="0" w:color="auto"/>
                    <w:right w:val="none" w:sz="0" w:space="0" w:color="auto"/>
                  </w:divBdr>
                </w:div>
                <w:div w:id="18554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0041">
          <w:marLeft w:val="0"/>
          <w:marRight w:val="0"/>
          <w:marTop w:val="0"/>
          <w:marBottom w:val="0"/>
          <w:divBdr>
            <w:top w:val="none" w:sz="0" w:space="0" w:color="auto"/>
            <w:left w:val="none" w:sz="0" w:space="0" w:color="auto"/>
            <w:bottom w:val="none" w:sz="0" w:space="0" w:color="auto"/>
            <w:right w:val="none" w:sz="0" w:space="0" w:color="auto"/>
          </w:divBdr>
          <w:divsChild>
            <w:div w:id="1112166405">
              <w:marLeft w:val="0"/>
              <w:marRight w:val="0"/>
              <w:marTop w:val="0"/>
              <w:marBottom w:val="0"/>
              <w:divBdr>
                <w:top w:val="none" w:sz="0" w:space="0" w:color="auto"/>
                <w:left w:val="none" w:sz="0" w:space="0" w:color="auto"/>
                <w:bottom w:val="none" w:sz="0" w:space="0" w:color="auto"/>
                <w:right w:val="none" w:sz="0" w:space="0" w:color="auto"/>
              </w:divBdr>
              <w:divsChild>
                <w:div w:id="136953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0425">
          <w:marLeft w:val="0"/>
          <w:marRight w:val="0"/>
          <w:marTop w:val="0"/>
          <w:marBottom w:val="0"/>
          <w:divBdr>
            <w:top w:val="none" w:sz="0" w:space="0" w:color="auto"/>
            <w:left w:val="none" w:sz="0" w:space="0" w:color="auto"/>
            <w:bottom w:val="none" w:sz="0" w:space="0" w:color="auto"/>
            <w:right w:val="none" w:sz="0" w:space="0" w:color="auto"/>
          </w:divBdr>
          <w:divsChild>
            <w:div w:id="1325627206">
              <w:marLeft w:val="0"/>
              <w:marRight w:val="0"/>
              <w:marTop w:val="0"/>
              <w:marBottom w:val="0"/>
              <w:divBdr>
                <w:top w:val="none" w:sz="0" w:space="0" w:color="auto"/>
                <w:left w:val="none" w:sz="0" w:space="0" w:color="auto"/>
                <w:bottom w:val="none" w:sz="0" w:space="0" w:color="auto"/>
                <w:right w:val="none" w:sz="0" w:space="0" w:color="auto"/>
              </w:divBdr>
              <w:divsChild>
                <w:div w:id="13936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0671">
          <w:marLeft w:val="0"/>
          <w:marRight w:val="0"/>
          <w:marTop w:val="0"/>
          <w:marBottom w:val="0"/>
          <w:divBdr>
            <w:top w:val="none" w:sz="0" w:space="0" w:color="auto"/>
            <w:left w:val="none" w:sz="0" w:space="0" w:color="auto"/>
            <w:bottom w:val="none" w:sz="0" w:space="0" w:color="auto"/>
            <w:right w:val="none" w:sz="0" w:space="0" w:color="auto"/>
          </w:divBdr>
          <w:divsChild>
            <w:div w:id="823086567">
              <w:marLeft w:val="0"/>
              <w:marRight w:val="0"/>
              <w:marTop w:val="0"/>
              <w:marBottom w:val="0"/>
              <w:divBdr>
                <w:top w:val="none" w:sz="0" w:space="0" w:color="auto"/>
                <w:left w:val="none" w:sz="0" w:space="0" w:color="auto"/>
                <w:bottom w:val="none" w:sz="0" w:space="0" w:color="auto"/>
                <w:right w:val="none" w:sz="0" w:space="0" w:color="auto"/>
              </w:divBdr>
              <w:divsChild>
                <w:div w:id="1120878492">
                  <w:marLeft w:val="0"/>
                  <w:marRight w:val="0"/>
                  <w:marTop w:val="0"/>
                  <w:marBottom w:val="0"/>
                  <w:divBdr>
                    <w:top w:val="none" w:sz="0" w:space="0" w:color="auto"/>
                    <w:left w:val="none" w:sz="0" w:space="0" w:color="auto"/>
                    <w:bottom w:val="none" w:sz="0" w:space="0" w:color="auto"/>
                    <w:right w:val="none" w:sz="0" w:space="0" w:color="auto"/>
                  </w:divBdr>
                </w:div>
                <w:div w:id="18255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492">
          <w:marLeft w:val="0"/>
          <w:marRight w:val="0"/>
          <w:marTop w:val="0"/>
          <w:marBottom w:val="0"/>
          <w:divBdr>
            <w:top w:val="none" w:sz="0" w:space="0" w:color="auto"/>
            <w:left w:val="none" w:sz="0" w:space="0" w:color="auto"/>
            <w:bottom w:val="none" w:sz="0" w:space="0" w:color="auto"/>
            <w:right w:val="none" w:sz="0" w:space="0" w:color="auto"/>
          </w:divBdr>
          <w:divsChild>
            <w:div w:id="176774028">
              <w:marLeft w:val="0"/>
              <w:marRight w:val="0"/>
              <w:marTop w:val="0"/>
              <w:marBottom w:val="0"/>
              <w:divBdr>
                <w:top w:val="none" w:sz="0" w:space="0" w:color="auto"/>
                <w:left w:val="none" w:sz="0" w:space="0" w:color="auto"/>
                <w:bottom w:val="none" w:sz="0" w:space="0" w:color="auto"/>
                <w:right w:val="none" w:sz="0" w:space="0" w:color="auto"/>
              </w:divBdr>
              <w:divsChild>
                <w:div w:id="9919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0167">
          <w:marLeft w:val="0"/>
          <w:marRight w:val="0"/>
          <w:marTop w:val="0"/>
          <w:marBottom w:val="0"/>
          <w:divBdr>
            <w:top w:val="none" w:sz="0" w:space="0" w:color="auto"/>
            <w:left w:val="none" w:sz="0" w:space="0" w:color="auto"/>
            <w:bottom w:val="none" w:sz="0" w:space="0" w:color="auto"/>
            <w:right w:val="none" w:sz="0" w:space="0" w:color="auto"/>
          </w:divBdr>
          <w:divsChild>
            <w:div w:id="576207913">
              <w:marLeft w:val="0"/>
              <w:marRight w:val="0"/>
              <w:marTop w:val="0"/>
              <w:marBottom w:val="0"/>
              <w:divBdr>
                <w:top w:val="none" w:sz="0" w:space="0" w:color="auto"/>
                <w:left w:val="none" w:sz="0" w:space="0" w:color="auto"/>
                <w:bottom w:val="none" w:sz="0" w:space="0" w:color="auto"/>
                <w:right w:val="none" w:sz="0" w:space="0" w:color="auto"/>
              </w:divBdr>
              <w:divsChild>
                <w:div w:id="3104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6878">
          <w:marLeft w:val="0"/>
          <w:marRight w:val="0"/>
          <w:marTop w:val="0"/>
          <w:marBottom w:val="0"/>
          <w:divBdr>
            <w:top w:val="none" w:sz="0" w:space="0" w:color="auto"/>
            <w:left w:val="none" w:sz="0" w:space="0" w:color="auto"/>
            <w:bottom w:val="none" w:sz="0" w:space="0" w:color="auto"/>
            <w:right w:val="none" w:sz="0" w:space="0" w:color="auto"/>
          </w:divBdr>
          <w:divsChild>
            <w:div w:id="1473592496">
              <w:marLeft w:val="0"/>
              <w:marRight w:val="0"/>
              <w:marTop w:val="0"/>
              <w:marBottom w:val="0"/>
              <w:divBdr>
                <w:top w:val="none" w:sz="0" w:space="0" w:color="auto"/>
                <w:left w:val="none" w:sz="0" w:space="0" w:color="auto"/>
                <w:bottom w:val="none" w:sz="0" w:space="0" w:color="auto"/>
                <w:right w:val="none" w:sz="0" w:space="0" w:color="auto"/>
              </w:divBdr>
              <w:divsChild>
                <w:div w:id="7385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4597">
          <w:marLeft w:val="0"/>
          <w:marRight w:val="0"/>
          <w:marTop w:val="0"/>
          <w:marBottom w:val="0"/>
          <w:divBdr>
            <w:top w:val="none" w:sz="0" w:space="0" w:color="auto"/>
            <w:left w:val="none" w:sz="0" w:space="0" w:color="auto"/>
            <w:bottom w:val="none" w:sz="0" w:space="0" w:color="auto"/>
            <w:right w:val="none" w:sz="0" w:space="0" w:color="auto"/>
          </w:divBdr>
          <w:divsChild>
            <w:div w:id="834498268">
              <w:marLeft w:val="0"/>
              <w:marRight w:val="0"/>
              <w:marTop w:val="0"/>
              <w:marBottom w:val="0"/>
              <w:divBdr>
                <w:top w:val="none" w:sz="0" w:space="0" w:color="auto"/>
                <w:left w:val="none" w:sz="0" w:space="0" w:color="auto"/>
                <w:bottom w:val="none" w:sz="0" w:space="0" w:color="auto"/>
                <w:right w:val="none" w:sz="0" w:space="0" w:color="auto"/>
              </w:divBdr>
              <w:divsChild>
                <w:div w:id="7451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447">
          <w:marLeft w:val="0"/>
          <w:marRight w:val="0"/>
          <w:marTop w:val="0"/>
          <w:marBottom w:val="0"/>
          <w:divBdr>
            <w:top w:val="none" w:sz="0" w:space="0" w:color="auto"/>
            <w:left w:val="none" w:sz="0" w:space="0" w:color="auto"/>
            <w:bottom w:val="none" w:sz="0" w:space="0" w:color="auto"/>
            <w:right w:val="none" w:sz="0" w:space="0" w:color="auto"/>
          </w:divBdr>
          <w:divsChild>
            <w:div w:id="639530304">
              <w:marLeft w:val="0"/>
              <w:marRight w:val="0"/>
              <w:marTop w:val="0"/>
              <w:marBottom w:val="0"/>
              <w:divBdr>
                <w:top w:val="none" w:sz="0" w:space="0" w:color="auto"/>
                <w:left w:val="none" w:sz="0" w:space="0" w:color="auto"/>
                <w:bottom w:val="none" w:sz="0" w:space="0" w:color="auto"/>
                <w:right w:val="none" w:sz="0" w:space="0" w:color="auto"/>
              </w:divBdr>
              <w:divsChild>
                <w:div w:id="4030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2061">
          <w:marLeft w:val="0"/>
          <w:marRight w:val="0"/>
          <w:marTop w:val="0"/>
          <w:marBottom w:val="0"/>
          <w:divBdr>
            <w:top w:val="none" w:sz="0" w:space="0" w:color="auto"/>
            <w:left w:val="none" w:sz="0" w:space="0" w:color="auto"/>
            <w:bottom w:val="none" w:sz="0" w:space="0" w:color="auto"/>
            <w:right w:val="none" w:sz="0" w:space="0" w:color="auto"/>
          </w:divBdr>
          <w:divsChild>
            <w:div w:id="183523360">
              <w:marLeft w:val="0"/>
              <w:marRight w:val="0"/>
              <w:marTop w:val="0"/>
              <w:marBottom w:val="0"/>
              <w:divBdr>
                <w:top w:val="none" w:sz="0" w:space="0" w:color="auto"/>
                <w:left w:val="none" w:sz="0" w:space="0" w:color="auto"/>
                <w:bottom w:val="none" w:sz="0" w:space="0" w:color="auto"/>
                <w:right w:val="none" w:sz="0" w:space="0" w:color="auto"/>
              </w:divBdr>
              <w:divsChild>
                <w:div w:id="664626439">
                  <w:marLeft w:val="0"/>
                  <w:marRight w:val="0"/>
                  <w:marTop w:val="0"/>
                  <w:marBottom w:val="0"/>
                  <w:divBdr>
                    <w:top w:val="none" w:sz="0" w:space="0" w:color="auto"/>
                    <w:left w:val="none" w:sz="0" w:space="0" w:color="auto"/>
                    <w:bottom w:val="none" w:sz="0" w:space="0" w:color="auto"/>
                    <w:right w:val="none" w:sz="0" w:space="0" w:color="auto"/>
                  </w:divBdr>
                </w:div>
                <w:div w:id="19665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9079">
          <w:marLeft w:val="0"/>
          <w:marRight w:val="0"/>
          <w:marTop w:val="0"/>
          <w:marBottom w:val="0"/>
          <w:divBdr>
            <w:top w:val="none" w:sz="0" w:space="0" w:color="auto"/>
            <w:left w:val="none" w:sz="0" w:space="0" w:color="auto"/>
            <w:bottom w:val="none" w:sz="0" w:space="0" w:color="auto"/>
            <w:right w:val="none" w:sz="0" w:space="0" w:color="auto"/>
          </w:divBdr>
          <w:divsChild>
            <w:div w:id="565455519">
              <w:marLeft w:val="0"/>
              <w:marRight w:val="0"/>
              <w:marTop w:val="0"/>
              <w:marBottom w:val="0"/>
              <w:divBdr>
                <w:top w:val="none" w:sz="0" w:space="0" w:color="auto"/>
                <w:left w:val="none" w:sz="0" w:space="0" w:color="auto"/>
                <w:bottom w:val="none" w:sz="0" w:space="0" w:color="auto"/>
                <w:right w:val="none" w:sz="0" w:space="0" w:color="auto"/>
              </w:divBdr>
              <w:divsChild>
                <w:div w:id="1852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680140">
      <w:bodyDiv w:val="1"/>
      <w:marLeft w:val="0"/>
      <w:marRight w:val="0"/>
      <w:marTop w:val="0"/>
      <w:marBottom w:val="0"/>
      <w:divBdr>
        <w:top w:val="none" w:sz="0" w:space="0" w:color="auto"/>
        <w:left w:val="none" w:sz="0" w:space="0" w:color="auto"/>
        <w:bottom w:val="none" w:sz="0" w:space="0" w:color="auto"/>
        <w:right w:val="none" w:sz="0" w:space="0" w:color="auto"/>
      </w:divBdr>
    </w:div>
    <w:div w:id="397560896">
      <w:bodyDiv w:val="1"/>
      <w:marLeft w:val="0"/>
      <w:marRight w:val="0"/>
      <w:marTop w:val="0"/>
      <w:marBottom w:val="0"/>
      <w:divBdr>
        <w:top w:val="none" w:sz="0" w:space="0" w:color="auto"/>
        <w:left w:val="none" w:sz="0" w:space="0" w:color="auto"/>
        <w:bottom w:val="none" w:sz="0" w:space="0" w:color="auto"/>
        <w:right w:val="none" w:sz="0" w:space="0" w:color="auto"/>
      </w:divBdr>
    </w:div>
    <w:div w:id="694422315">
      <w:bodyDiv w:val="1"/>
      <w:marLeft w:val="0"/>
      <w:marRight w:val="0"/>
      <w:marTop w:val="0"/>
      <w:marBottom w:val="0"/>
      <w:divBdr>
        <w:top w:val="none" w:sz="0" w:space="0" w:color="auto"/>
        <w:left w:val="none" w:sz="0" w:space="0" w:color="auto"/>
        <w:bottom w:val="none" w:sz="0" w:space="0" w:color="auto"/>
        <w:right w:val="none" w:sz="0" w:space="0" w:color="auto"/>
      </w:divBdr>
    </w:div>
    <w:div w:id="1364986999">
      <w:bodyDiv w:val="1"/>
      <w:marLeft w:val="0"/>
      <w:marRight w:val="0"/>
      <w:marTop w:val="0"/>
      <w:marBottom w:val="0"/>
      <w:divBdr>
        <w:top w:val="none" w:sz="0" w:space="0" w:color="auto"/>
        <w:left w:val="none" w:sz="0" w:space="0" w:color="auto"/>
        <w:bottom w:val="none" w:sz="0" w:space="0" w:color="auto"/>
        <w:right w:val="none" w:sz="0" w:space="0" w:color="auto"/>
      </w:divBdr>
    </w:div>
    <w:div w:id="1565752900">
      <w:bodyDiv w:val="1"/>
      <w:marLeft w:val="0"/>
      <w:marRight w:val="0"/>
      <w:marTop w:val="0"/>
      <w:marBottom w:val="0"/>
      <w:divBdr>
        <w:top w:val="none" w:sz="0" w:space="0" w:color="auto"/>
        <w:left w:val="none" w:sz="0" w:space="0" w:color="auto"/>
        <w:bottom w:val="none" w:sz="0" w:space="0" w:color="auto"/>
        <w:right w:val="none" w:sz="0" w:space="0" w:color="auto"/>
      </w:divBdr>
    </w:div>
    <w:div w:id="1592666281">
      <w:bodyDiv w:val="1"/>
      <w:marLeft w:val="0"/>
      <w:marRight w:val="0"/>
      <w:marTop w:val="0"/>
      <w:marBottom w:val="0"/>
      <w:divBdr>
        <w:top w:val="none" w:sz="0" w:space="0" w:color="auto"/>
        <w:left w:val="none" w:sz="0" w:space="0" w:color="auto"/>
        <w:bottom w:val="none" w:sz="0" w:space="0" w:color="auto"/>
        <w:right w:val="none" w:sz="0" w:space="0" w:color="auto"/>
      </w:divBdr>
    </w:div>
    <w:div w:id="1928152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ealth.gov.au/resources/publications/home-care-pillar-1-of-the-royal-commission-response-connecting-senior-australians-to-aged-care-services" TargetMode="External"/><Relationship Id="rId26" Type="http://schemas.openxmlformats.org/officeDocument/2006/relationships/hyperlink" Target="https://www.health.gov.au/resources/publications/residential-aged-care-quality-and-safety-pillar-3-of-the-royal-commission-response-protecting-consumers-by-strengthening-regulatory-powers-and-capability" TargetMode="External"/><Relationship Id="rId39" Type="http://schemas.openxmlformats.org/officeDocument/2006/relationships/hyperlink" Target="https://www.health.gov.au/initiatives-and-programs/residential-aged-care/managing-residential-aged-care-services/improving-accommodation-in-residential-aged-care" TargetMode="External"/><Relationship Id="rId21" Type="http://schemas.openxmlformats.org/officeDocument/2006/relationships/hyperlink" Target="https://www.health.gov.au/health-topics/aged-care/providing-aged-care-services/delivering-quality-aged-care-services/about-specialisation-verification" TargetMode="External"/><Relationship Id="rId34" Type="http://schemas.openxmlformats.org/officeDocument/2006/relationships/hyperlink" Target="https://www.health.gov.au/initiatives-and-programs/aged-care-system-navigator-measure" TargetMode="External"/><Relationship Id="rId42" Type="http://schemas.openxmlformats.org/officeDocument/2006/relationships/hyperlink" Target="https://www.health.gov.au/initiatives-and-programs/multi-purpose-services-mps-program" TargetMode="External"/><Relationship Id="rId47" Type="http://schemas.openxmlformats.org/officeDocument/2006/relationships/hyperlink" Target="https://www.health.gov.au/health-topics/aged-care/providing-aged-care-services/funding-for-aged-care-service-providers" TargetMode="External"/><Relationship Id="rId50" Type="http://schemas.openxmlformats.org/officeDocument/2006/relationships/hyperlink" Target="https://www.health.gov.au/initiatives-and-programs/multi-purpose-services-mps-program" TargetMode="External"/><Relationship Id="rId55" Type="http://schemas.openxmlformats.org/officeDocument/2006/relationships/hyperlink" Target="https://www.health.gov.au/health-topics/aged-care/aged-care-reforms-and-reviews/financial-and-prudential-monitoring-compliance-and-intervention-framework" TargetMode="External"/><Relationship Id="rId63" Type="http://schemas.openxmlformats.org/officeDocument/2006/relationships/hyperlink" Target="https://www.health.gov.au/initiatives-and-programs/residential-aged-care/managing-residential-aged-care-services/extra-services-agreements-for-residential-aged-care" TargetMode="External"/><Relationship Id="rId68" Type="http://schemas.openxmlformats.org/officeDocument/2006/relationships/hyperlink" Target="https://www.health.gov.au/health-topics/aged-care/aged-care-reforms-and-reviews/residential-aged-care-funding-reform/an-acc-assessment-process-and-classification" TargetMode="External"/><Relationship Id="rId76"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s://www.health.gov.au/" TargetMode="External"/><Relationship Id="rId2" Type="http://schemas.openxmlformats.org/officeDocument/2006/relationships/customXml" Target="../customXml/item2.xml"/><Relationship Id="rId16" Type="http://schemas.openxmlformats.org/officeDocument/2006/relationships/hyperlink" Target="https://www.health.gov.au/initiatives-and-programs/aged-care-reforms/changing-aged-care-for-the-better" TargetMode="External"/><Relationship Id="rId29" Type="http://schemas.openxmlformats.org/officeDocument/2006/relationships/hyperlink" Target="https://www.health.gov.au/initiatives-and-programs/aged-care-reforms" TargetMode="External"/><Relationship Id="rId11" Type="http://schemas.openxmlformats.org/officeDocument/2006/relationships/footer" Target="footer1.xml"/><Relationship Id="rId24" Type="http://schemas.openxmlformats.org/officeDocument/2006/relationships/hyperlink" Target="https://www.health.gov.au/initiatives-and-programs/residential-aged-care/managing-residential-aged-care-services/improving-accommodation-in-residential-aged-care" TargetMode="External"/><Relationship Id="rId32" Type="http://schemas.openxmlformats.org/officeDocument/2006/relationships/hyperlink" Target="https://consultations.health.gov.au/ageing-and-aged-care/improving-choice-in-residential-aged-care/supporting_documents/Improving%20Choice%20in%20Residential%20Aged%20Care%20%20summary%20paper.pdf" TargetMode="External"/><Relationship Id="rId37" Type="http://schemas.openxmlformats.org/officeDocument/2006/relationships/hyperlink" Target="https://www.health.gov.au/initiatives-and-programs/star-ratings-for-residential-aged-care" TargetMode="External"/><Relationship Id="rId40" Type="http://schemas.openxmlformats.org/officeDocument/2006/relationships/hyperlink" Target="https://www.health.gov.au/initiatives-and-programs/residential-aged-care/managing-residential-aged-care-services/managing-accommodation-payments-and-contributions-for-residential-aged-care" TargetMode="External"/><Relationship Id="rId45" Type="http://schemas.openxmlformats.org/officeDocument/2006/relationships/hyperlink" Target="https://www.health.gov.au/health-topics/aged-care/aged-care-reforms-and-reviews/residential-aged-care-funding-reform" TargetMode="External"/><Relationship Id="rId53" Type="http://schemas.openxmlformats.org/officeDocument/2006/relationships/hyperlink" Target="https://www.health.gov.au/health-topics/aged-care/aged-care-reforms-and-reviews/residential-aged-care-funding-reform" TargetMode="External"/><Relationship Id="rId58" Type="http://schemas.openxmlformats.org/officeDocument/2006/relationships/hyperlink" Target="https://www.health.gov.au/initiatives-and-programs/remote-and-aboriginal-and-torres-strait-islander-aged-care-service-development-assistance-panel-sdap" TargetMode="External"/><Relationship Id="rId66" Type="http://schemas.openxmlformats.org/officeDocument/2006/relationships/header" Target="header2.xml"/><Relationship Id="rId74" Type="http://schemas.openxmlformats.org/officeDocument/2006/relationships/hyperlink" Target="https://www.myagedcare.gov.a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onsultations.health.gov.au/residential-and-flexi-aged-care-division/additional-service-fees-in-residential-aged-care/" TargetMode="External"/><Relationship Id="rId10" Type="http://schemas.openxmlformats.org/officeDocument/2006/relationships/endnotes" Target="endnotes.xml"/><Relationship Id="rId19" Type="http://schemas.openxmlformats.org/officeDocument/2006/relationships/hyperlink" Target="https://www.health.gov.au/health-topics/aged-care/providing-aged-care-services/responsibilities-of-approved-aged-care-providers/aged-care-financial-report" TargetMode="External"/><Relationship Id="rId31" Type="http://schemas.openxmlformats.org/officeDocument/2006/relationships/footer" Target="footer3.xml"/><Relationship Id="rId44" Type="http://schemas.openxmlformats.org/officeDocument/2006/relationships/hyperlink" Target="https://www.agedcarequality.gov.au/news-centre/national-aged-care-reforms" TargetMode="External"/><Relationship Id="rId52" Type="http://schemas.openxmlformats.org/officeDocument/2006/relationships/hyperlink" Target="https://www.health.gov.au/initiatives-and-programs/rural-locum-assistance-program-rural-lap" TargetMode="External"/><Relationship Id="rId60" Type="http://schemas.openxmlformats.org/officeDocument/2006/relationships/hyperlink" Target="https://www.health.gov.au/initiatives-and-programs/residential-aged-care/managing-residential-aged-care-services/extra-services-agreements-for-residential-aged-care" TargetMode="External"/><Relationship Id="rId65" Type="http://schemas.openxmlformats.org/officeDocument/2006/relationships/chart" Target="charts/chart1.xml"/><Relationship Id="rId73" Type="http://schemas.openxmlformats.org/officeDocument/2006/relationships/hyperlink" Target="https://www.legislation.gov.au/Series/F2014L00812" TargetMode="External"/><Relationship Id="rId78"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edcare.royalcommission.gov.au/" TargetMode="External"/><Relationship Id="rId22" Type="http://schemas.openxmlformats.org/officeDocument/2006/relationships/hyperlink" Target="https://www.health.gov.au/health-topics/aged-care/aged-care-reforms-and-reviews/residential-aged-care-funding-reform" TargetMode="External"/><Relationship Id="rId27" Type="http://schemas.openxmlformats.org/officeDocument/2006/relationships/hyperlink" Target="https://www.alp.org.au/policies/a-nurse-in-every-nursing-home" TargetMode="External"/><Relationship Id="rId30" Type="http://schemas.openxmlformats.org/officeDocument/2006/relationships/hyperlink" Target="https://agedcareengagement.health.gov.au/get-involved/" TargetMode="External"/><Relationship Id="rId35" Type="http://schemas.openxmlformats.org/officeDocument/2006/relationships/hyperlink" Target="https://www.health.gov.au/ministers/the-hon-anika-wells-mp/media/support-for-first-nations-elders-to-access-aged-care" TargetMode="External"/><Relationship Id="rId43" Type="http://schemas.openxmlformats.org/officeDocument/2006/relationships/hyperlink" Target="https://www.health.gov.au/health-topics/aboriginal-and-torres-strait-islander-health/aged-care-support" TargetMode="External"/><Relationship Id="rId48" Type="http://schemas.openxmlformats.org/officeDocument/2006/relationships/hyperlink" Target="https://www.health.gov.au/health-topics/aboriginal-and-torres-strait-islander-health/aged-care-support" TargetMode="External"/><Relationship Id="rId56" Type="http://schemas.openxmlformats.org/officeDocument/2006/relationships/hyperlink" Target="https://www.health.gov.au/initiatives-and-programs/structural-adjustment-program" TargetMode="External"/><Relationship Id="rId64" Type="http://schemas.openxmlformats.org/officeDocument/2006/relationships/footer" Target="footer4.xml"/><Relationship Id="rId69" Type="http://schemas.openxmlformats.org/officeDocument/2006/relationships/hyperlink" Target="https://www.health.gov.au/resources/publications/an-acc-reference-manual-and-an-acc-assessment-tool" TargetMode="External"/><Relationship Id="rId77"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health.gov.au/initiatives-and-programs/remote-and-aboriginal-and-torres-strait-islander-aged-care-service-development-assistance-panel-sdap" TargetMode="External"/><Relationship Id="rId72" Type="http://schemas.openxmlformats.org/officeDocument/2006/relationships/hyperlink" Target="https://www.legislation.gov.au/Series/C2004A05206"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health.gov.au/initiatives-and-programs/star-ratings-for-residential-aged-care" TargetMode="External"/><Relationship Id="rId25" Type="http://schemas.openxmlformats.org/officeDocument/2006/relationships/hyperlink" Target="https://www.health.gov.au/resources/publications/governance-pillar-5-of-the-royal-commission-response-strengthening-regional-stewardship-of-aged-care" TargetMode="External"/><Relationship Id="rId33" Type="http://schemas.openxmlformats.org/officeDocument/2006/relationships/hyperlink" Target="https://www.health.gov.au/initiatives-and-programs/structural-adjustment-program" TargetMode="External"/><Relationship Id="rId38" Type="http://schemas.openxmlformats.org/officeDocument/2006/relationships/hyperlink" Target="https://www.health.gov.au/health-topics/aged-care/providing-aged-care-services/delivering-quality-aged-care-services/about-specialisation-verification" TargetMode="External"/><Relationship Id="rId46" Type="http://schemas.openxmlformats.org/officeDocument/2006/relationships/hyperlink" Target="https://www.health.gov.au/initiatives-and-programs/star-ratings-for-residential-aged-care" TargetMode="External"/><Relationship Id="rId59" Type="http://schemas.openxmlformats.org/officeDocument/2006/relationships/hyperlink" Target="https://www.health.gov.au/initiatives-and-programs/aged-care-financial-monitoring-and-business-assistance" TargetMode="External"/><Relationship Id="rId67" Type="http://schemas.openxmlformats.org/officeDocument/2006/relationships/chart" Target="charts/chart2.xml"/><Relationship Id="rId20" Type="http://schemas.openxmlformats.org/officeDocument/2006/relationships/hyperlink" Target="https://www.health.gov.au/health-topics/aged-care/aged-care-reforms-and-reviews/financial-and-prudential-monitoring-compliance-and-intervention-framework" TargetMode="External"/><Relationship Id="rId41" Type="http://schemas.openxmlformats.org/officeDocument/2006/relationships/hyperlink" Target="https://www.health.gov.au/initiatives-and-programs/national-aboriginal-and-torres-strait-islander-flexible-aged-care-program" TargetMode="External"/><Relationship Id="rId54" Type="http://schemas.openxmlformats.org/officeDocument/2006/relationships/hyperlink" Target="https://www.health.gov.au/health-topics/aged-care/providing-aged-care-services/delivering-quality-aged-care-services/about-specialisation-verification" TargetMode="External"/><Relationship Id="rId62" Type="http://schemas.openxmlformats.org/officeDocument/2006/relationships/hyperlink" Target="https://consultations.health.gov.au/residential-and-flexi-aged-care-division/additional-service-fees-in-residential-aged-care/" TargetMode="External"/><Relationship Id="rId70" Type="http://schemas.openxmlformats.org/officeDocument/2006/relationships/hyperlink" Target="https://www.health.gov.au/health-topics/aged-care/aged-care-reforms-and-reviews/residential-aged-care-funding-reform/preparing-for-the-model" TargetMode="External"/><Relationship Id="rId75" Type="http://schemas.openxmlformats.org/officeDocument/2006/relationships/hyperlink" Target="https://agedcareengagement.health.gov.au/get-involv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health.gov.au/health-topics/aged-care/aged-care-reforms-and-reviews/residential-aged-care-funding-reform" TargetMode="External"/><Relationship Id="rId28" Type="http://schemas.openxmlformats.org/officeDocument/2006/relationships/hyperlink" Target="https://www.health.gov.au/health-topics/aged-care/aged-care-reforms-and-reviews/residential-aged-care-funding-reform" TargetMode="External"/><Relationship Id="rId36" Type="http://schemas.openxmlformats.org/officeDocument/2006/relationships/hyperlink" Target="https://www.health.gov.au/initiatives-and-programs/national-aged-care-advocacy-program-nacap" TargetMode="External"/><Relationship Id="rId49" Type="http://schemas.openxmlformats.org/officeDocument/2006/relationships/hyperlink" Target="https://www.health.gov.au/initiatives-and-programs/national-aboriginal-and-torres-strait-islander-flexible-aged-care-program" TargetMode="External"/><Relationship Id="rId57" Type="http://schemas.openxmlformats.org/officeDocument/2006/relationships/hyperlink" Target="https://www.health.gov.au/initiatives-and-programs/business-advisory-servi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735D-4A98-88A4-3D3A9BBEB634}"/>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735D-4A98-88A4-3D3A9BBEB634}"/>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735D-4A98-88A4-3D3A9BBEB634}"/>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735D-4A98-88A4-3D3A9BBEB634}"/>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735D-4A98-88A4-3D3A9BBEB634}"/>
              </c:ext>
            </c:extLst>
          </c:dPt>
          <c:dLbls>
            <c:dLbl>
              <c:idx val="0"/>
              <c:layout>
                <c:manualLayout>
                  <c:x val="-4.7998960892220312E-2"/>
                  <c:y val="0.15513994047477528"/>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5D-4A98-88A4-3D3A9BBEB634}"/>
                </c:ext>
              </c:extLst>
            </c:dLbl>
            <c:dLbl>
              <c:idx val="1"/>
              <c:layout>
                <c:manualLayout>
                  <c:x val="-9.2671515836305215E-2"/>
                  <c:y val="-6.928571891730663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5D-4A98-88A4-3D3A9BBEB634}"/>
                </c:ext>
              </c:extLst>
            </c:dLbl>
            <c:dLbl>
              <c:idx val="2"/>
              <c:layout>
                <c:manualLayout>
                  <c:x val="-3.7615533484323428E-3"/>
                  <c:y val="-0.12173664951227789"/>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5D-4A98-88A4-3D3A9BBEB634}"/>
                </c:ext>
              </c:extLst>
            </c:dLbl>
            <c:dLbl>
              <c:idx val="3"/>
              <c:layout>
                <c:manualLayout>
                  <c:x val="7.624167494758223E-2"/>
                  <c:y val="-0.1374768999332124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5D-4A98-88A4-3D3A9BBEB634}"/>
                </c:ext>
              </c:extLst>
            </c:dLbl>
            <c:dLbl>
              <c:idx val="4"/>
              <c:layout>
                <c:manualLayout>
                  <c:x val="6.1182851022545948E-2"/>
                  <c:y val="0.1427710569942139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5D-4A98-88A4-3D3A9BBEB63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1-50 beds, 10 respondents</c:v>
                </c:pt>
                <c:pt idx="1">
                  <c:v>51-200, 19 respondents</c:v>
                </c:pt>
                <c:pt idx="2">
                  <c:v>201-500, 4 respondents</c:v>
                </c:pt>
                <c:pt idx="3">
                  <c:v>501-2000, 13 respondents</c:v>
                </c:pt>
                <c:pt idx="4">
                  <c:v>2000+ beds, 17 respondents</c:v>
                </c:pt>
              </c:strCache>
            </c:strRef>
          </c:cat>
          <c:val>
            <c:numRef>
              <c:f>Sheet1!$B$2:$B$6</c:f>
              <c:numCache>
                <c:formatCode>General</c:formatCode>
                <c:ptCount val="5"/>
                <c:pt idx="0">
                  <c:v>10</c:v>
                </c:pt>
                <c:pt idx="1">
                  <c:v>19</c:v>
                </c:pt>
                <c:pt idx="2">
                  <c:v>4</c:v>
                </c:pt>
                <c:pt idx="3">
                  <c:v>13</c:v>
                </c:pt>
                <c:pt idx="4">
                  <c:v>17</c:v>
                </c:pt>
              </c:numCache>
            </c:numRef>
          </c:val>
          <c:extLst>
            <c:ext xmlns:c16="http://schemas.microsoft.com/office/drawing/2014/chart" uri="{C3380CC4-5D6E-409C-BE32-E72D297353CC}">
              <c16:uniqueId val="{0000000A-735D-4A98-88A4-3D3A9BBEB634}"/>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r"/>
      <c:layout>
        <c:manualLayout>
          <c:xMode val="edge"/>
          <c:yMode val="edge"/>
          <c:x val="0.53795484084668788"/>
          <c:y val="0.18776382707857375"/>
          <c:w val="0.39798366011423458"/>
          <c:h val="0.662902211338323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655896124764942"/>
          <c:y val="0.11521340665095575"/>
          <c:w val="0.43314959620561466"/>
          <c:h val="0.8847865933490443"/>
        </c:manualLayout>
      </c:layout>
      <c:pieChart>
        <c:varyColors val="1"/>
        <c:ser>
          <c:idx val="0"/>
          <c:order val="0"/>
          <c:tx>
            <c:strRef>
              <c:f>Sheet1!$B$1</c:f>
              <c:strCache>
                <c:ptCount val="1"/>
                <c:pt idx="0">
                  <c:v>Column1</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EDE1-43AF-A513-9E0A849C60B4}"/>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EDE1-43AF-A513-9E0A849C60B4}"/>
              </c:ext>
            </c:extLst>
          </c:dPt>
          <c:dLbls>
            <c:dLbl>
              <c:idx val="0"/>
              <c:layout>
                <c:manualLayout>
                  <c:x val="-0.10015683914862976"/>
                  <c:y val="0.1230079125194925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E1-43AF-A513-9E0A849C60B4}"/>
                </c:ext>
              </c:extLst>
            </c:dLbl>
            <c:dLbl>
              <c:idx val="1"/>
              <c:layout>
                <c:manualLayout>
                  <c:x val="0.11338870380006132"/>
                  <c:y val="-0.1333846716593188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E1-43AF-A513-9E0A849C60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For profit, 29 respondents</c:v>
                </c:pt>
                <c:pt idx="1">
                  <c:v>Not for profit, 55 respondents</c:v>
                </c:pt>
              </c:strCache>
            </c:strRef>
          </c:cat>
          <c:val>
            <c:numRef>
              <c:f>Sheet1!$B$2:$B$3</c:f>
              <c:numCache>
                <c:formatCode>General</c:formatCode>
                <c:ptCount val="2"/>
                <c:pt idx="0">
                  <c:v>29</c:v>
                </c:pt>
                <c:pt idx="1">
                  <c:v>55</c:v>
                </c:pt>
              </c:numCache>
            </c:numRef>
          </c:val>
          <c:extLst>
            <c:ext xmlns:c16="http://schemas.microsoft.com/office/drawing/2014/chart" uri="{C3380CC4-5D6E-409C-BE32-E72D297353CC}">
              <c16:uniqueId val="{00000004-EDE1-43AF-A513-9E0A849C60B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023580543322412"/>
          <c:y val="0.40715151820080003"/>
          <c:w val="0.3146462940175071"/>
          <c:h val="0.2376874651059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AE1415C879C4E953A4152F45E6F62" ma:contentTypeVersion="" ma:contentTypeDescription="PDMS Document Site Content Type" ma:contentTypeScope="" ma:versionID="26aa78bbba77c49b49102b78558f7b6d">
  <xsd:schema xmlns:xsd="http://www.w3.org/2001/XMLSchema" xmlns:xs="http://www.w3.org/2001/XMLSchema" xmlns:p="http://schemas.microsoft.com/office/2006/metadata/properties" xmlns:ns2="FF4AA758-90B1-4EAE-ACB7-F8DEB1B8DCCD" targetNamespace="http://schemas.microsoft.com/office/2006/metadata/properties" ma:root="true" ma:fieldsID="e18309346e79b66571632dcb66fb5dd5" ns2:_="">
    <xsd:import namespace="FF4AA758-90B1-4EAE-ACB7-F8DEB1B8DCCD"/>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AA758-90B1-4EAE-ACB7-F8DEB1B8DCC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FF4AA758-90B1-4EAE-ACB7-F8DEB1B8DCCD" xsi:nil="true"/>
  </documentManagement>
</p:properties>
</file>

<file path=customXml/itemProps1.xml><?xml version="1.0" encoding="utf-8"?>
<ds:datastoreItem xmlns:ds="http://schemas.openxmlformats.org/officeDocument/2006/customXml" ds:itemID="{09114DC6-A28D-EE4D-B1DE-60736E8AED19}">
  <ds:schemaRefs>
    <ds:schemaRef ds:uri="http://schemas.openxmlformats.org/officeDocument/2006/bibliography"/>
  </ds:schemaRefs>
</ds:datastoreItem>
</file>

<file path=customXml/itemProps2.xml><?xml version="1.0" encoding="utf-8"?>
<ds:datastoreItem xmlns:ds="http://schemas.openxmlformats.org/officeDocument/2006/customXml" ds:itemID="{B2E06B36-8760-4AA4-AE38-55FFE0ADE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AA758-90B1-4EAE-ACB7-F8DEB1B8D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55A8E-AB23-4187-B242-529DC7FE5A76}">
  <ds:schemaRefs>
    <ds:schemaRef ds:uri="http://schemas.microsoft.com/sharepoint/v3/contenttype/forms"/>
  </ds:schemaRefs>
</ds:datastoreItem>
</file>

<file path=customXml/itemProps4.xml><?xml version="1.0" encoding="utf-8"?>
<ds:datastoreItem xmlns:ds="http://schemas.openxmlformats.org/officeDocument/2006/customXml" ds:itemID="{B30EACEA-77ED-4FCA-B3AB-C1BDA37DC5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F4AA758-90B1-4EAE-ACB7-F8DEB1B8DCC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43</Pages>
  <Words>10559</Words>
  <Characters>60192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HENKEL, Jasmine</dc:creator>
  <cp:lastModifiedBy>Department of Health and Aged Care</cp:lastModifiedBy>
  <cp:revision>13</cp:revision>
  <cp:lastPrinted>2022-10-28T04:13:00Z</cp:lastPrinted>
  <dcterms:created xsi:type="dcterms:W3CDTF">2022-10-28T06:44:00Z</dcterms:created>
  <dcterms:modified xsi:type="dcterms:W3CDTF">2022-10-28T08:05:00Z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2022-08-06T00:00:00Z</vt:filetime>
  </property>
  <property fmtid="{D5CDD505-2E9C-101B-9397-08002B2CF9AE}" pid="3" name="Creator">
    <vt:lpwstr>Adobe InDesign 17.3 (Macintosh)</vt:lpwstr>
  </property>
  <property fmtid="{D5CDD505-2E9C-101B-9397-08002B2CF9AE}" pid="4" name="LastSaved">
    <vt:filetime>2022-08-30T00:00:00Z</vt:filetime>
  </property>
  <property fmtid="{D5CDD505-2E9C-101B-9397-08002B2CF9AE}" pid="5" name="Producer">
    <vt:lpwstr>Adobe PDF Library 16.0.7</vt:lpwstr>
  </property>
  <property fmtid="{D5CDD505-2E9C-101B-9397-08002B2CF9AE}" pid="6" name="ContentTypeId">
    <vt:lpwstr>0x010100266966F133664895A6EE3632470D45F500202AE1415C879C4E953A4152F45E6F62</vt:lpwstr>
  </property>
</Properties>
</file>