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CB627" w14:textId="7B8116DA" w:rsidR="00751A23" w:rsidRPr="00E842CE" w:rsidRDefault="003A149F" w:rsidP="00751A23">
      <w:pPr>
        <w:pStyle w:val="Title"/>
      </w:pPr>
      <w:r>
        <w:t>National Consistent Payment</w:t>
      </w:r>
      <w:r w:rsidR="00181993">
        <w:t>s</w:t>
      </w:r>
    </w:p>
    <w:p w14:paraId="363AFC97" w14:textId="552E9E70" w:rsidR="00CA79CF" w:rsidRPr="00E842CE" w:rsidRDefault="00E842CE" w:rsidP="00D43506">
      <w:pPr>
        <w:pStyle w:val="Subtitle"/>
      </w:pPr>
      <w:r w:rsidRPr="00E842CE">
        <w:rPr>
          <w:noProof/>
          <w:lang w:eastAsia="en-AU"/>
        </w:rPr>
        <mc:AlternateContent>
          <mc:Choice Requires="wps">
            <w:drawing>
              <wp:anchor distT="0" distB="0" distL="114300" distR="114300" simplePos="0" relativeHeight="251659264" behindDoc="0" locked="0" layoutInCell="1" allowOverlap="1" wp14:anchorId="09C14881" wp14:editId="03B1B417">
                <wp:simplePos x="0" y="0"/>
                <wp:positionH relativeFrom="page">
                  <wp:posOffset>219635</wp:posOffset>
                </wp:positionH>
                <wp:positionV relativeFrom="paragraph">
                  <wp:posOffset>739887</wp:posOffset>
                </wp:positionV>
                <wp:extent cx="7128000" cy="6798049"/>
                <wp:effectExtent l="0" t="0" r="0" b="3175"/>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28000" cy="6798049"/>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F94645D" w14:textId="2EDFFE32" w:rsidR="00E842CE" w:rsidRPr="00E842CE" w:rsidRDefault="00E842CE" w:rsidP="00E842C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14881" id="Rectangle 5" o:spid="_x0000_s1026" alt="&quot;&quot;" style="position:absolute;margin-left:17.3pt;margin-top:58.25pt;width:561.25pt;height:53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" fillcolor="#d8d8d8 [2732]" stroked="f">
                <v:textbox>
                  <w:txbxContent>
                    <w:p w14:paraId="1F94645D" w14:textId="2EDFFE32" w:rsidR="00E842CE" w:rsidRPr="00E842CE" w:rsidRDefault="00E842CE" w:rsidP="00E842CE">
                      <w:pPr>
                        <w:jc w:val="center"/>
                      </w:pPr>
                    </w:p>
                  </w:txbxContent>
                </v:textbox>
                <w10:wrap anchorx="page"/>
              </v:rect>
            </w:pict>
          </mc:Fallback>
        </mc:AlternateContent>
      </w:r>
      <w:r w:rsidR="003A149F">
        <w:t xml:space="preserve">Guidelines for </w:t>
      </w:r>
      <w:r w:rsidR="00472066">
        <w:t>s</w:t>
      </w:r>
      <w:r w:rsidR="003A149F">
        <w:t xml:space="preserve">upervisors, </w:t>
      </w:r>
      <w:proofErr w:type="gramStart"/>
      <w:r w:rsidR="00472066">
        <w:t>p</w:t>
      </w:r>
      <w:r w:rsidR="003A149F">
        <w:t>ractices</w:t>
      </w:r>
      <w:proofErr w:type="gramEnd"/>
      <w:r w:rsidR="003A149F">
        <w:t xml:space="preserve"> and </w:t>
      </w:r>
      <w:r w:rsidR="00472066">
        <w:t>r</w:t>
      </w:r>
      <w:r w:rsidR="003A149F">
        <w:t>egistrars</w:t>
      </w:r>
    </w:p>
    <w:p w14:paraId="6982A947" w14:textId="6DE23E8C" w:rsidR="00CA79CF" w:rsidRPr="00E842CE" w:rsidRDefault="00CA79CF" w:rsidP="00CA79CF">
      <w:pPr>
        <w:pStyle w:val="Subtitle"/>
        <w:sectPr w:rsidR="00CA79CF" w:rsidRPr="00E842CE" w:rsidSect="00CA79CF">
          <w:headerReference w:type="default" r:id="rId12"/>
          <w:headerReference w:type="first" r:id="rId13"/>
          <w:type w:val="continuous"/>
          <w:pgSz w:w="11906" w:h="16838"/>
          <w:pgMar w:top="1701" w:right="1418" w:bottom="1418" w:left="1418" w:header="709" w:footer="709" w:gutter="0"/>
          <w:cols w:space="708"/>
          <w:titlePg/>
          <w:docGrid w:linePitch="360"/>
        </w:sectPr>
      </w:pPr>
    </w:p>
    <w:sdt>
      <w:sdtPr>
        <w:id w:val="336429060"/>
        <w:docPartObj>
          <w:docPartGallery w:val="Table of Contents"/>
          <w:docPartUnique/>
        </w:docPartObj>
      </w:sdtPr>
      <w:sdtEndPr>
        <w:rPr>
          <w:rFonts w:ascii="Arial" w:eastAsia="Times New Roman" w:hAnsi="Arial" w:cs="Times New Roman"/>
          <w:b w:val="0"/>
          <w:noProof/>
          <w:color w:val="000000" w:themeColor="text1"/>
          <w:sz w:val="22"/>
          <w:szCs w:val="24"/>
          <w:lang w:val="en-AU"/>
        </w:rPr>
      </w:sdtEndPr>
      <w:sdtContent>
        <w:p w14:paraId="3DBD37A4" w14:textId="4E0C4E16" w:rsidR="0095405D" w:rsidRDefault="00C56592" w:rsidP="00B77682">
          <w:pPr>
            <w:pStyle w:val="TOCHeading"/>
          </w:pPr>
          <w:r w:rsidRPr="0095405D">
            <w:t>Contents</w:t>
          </w:r>
        </w:p>
        <w:p w14:paraId="58DF79D8" w14:textId="0C82EF51" w:rsidR="00B77682" w:rsidRDefault="00C56592" w:rsidP="00B77682">
          <w:pPr>
            <w:pStyle w:val="TOC2"/>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17605614" w:history="1">
            <w:r w:rsidR="00B77682" w:rsidRPr="00CB3234">
              <w:rPr>
                <w:rStyle w:val="Hyperlink"/>
                <w:noProof/>
              </w:rPr>
              <w:t>Objectives</w:t>
            </w:r>
            <w:r w:rsidR="00B77682">
              <w:rPr>
                <w:noProof/>
                <w:webHidden/>
              </w:rPr>
              <w:tab/>
            </w:r>
            <w:r w:rsidR="00B77682">
              <w:rPr>
                <w:noProof/>
                <w:webHidden/>
              </w:rPr>
              <w:fldChar w:fldCharType="begin"/>
            </w:r>
            <w:r w:rsidR="00B77682">
              <w:rPr>
                <w:noProof/>
                <w:webHidden/>
              </w:rPr>
              <w:instrText xml:space="preserve"> PAGEREF _Toc117605614 \h </w:instrText>
            </w:r>
            <w:r w:rsidR="00B77682">
              <w:rPr>
                <w:noProof/>
                <w:webHidden/>
              </w:rPr>
            </w:r>
            <w:r w:rsidR="00B77682">
              <w:rPr>
                <w:noProof/>
                <w:webHidden/>
              </w:rPr>
              <w:fldChar w:fldCharType="separate"/>
            </w:r>
            <w:r w:rsidR="00B77682">
              <w:rPr>
                <w:noProof/>
                <w:webHidden/>
              </w:rPr>
              <w:t>2</w:t>
            </w:r>
            <w:r w:rsidR="00B77682">
              <w:rPr>
                <w:noProof/>
                <w:webHidden/>
              </w:rPr>
              <w:fldChar w:fldCharType="end"/>
            </w:r>
          </w:hyperlink>
        </w:p>
        <w:p w14:paraId="10524523" w14:textId="2986630B" w:rsidR="00B77682" w:rsidRDefault="00B77682" w:rsidP="00B77682">
          <w:pPr>
            <w:pStyle w:val="TOC2"/>
            <w:rPr>
              <w:rFonts w:asciiTheme="minorHAnsi" w:eastAsiaTheme="minorEastAsia" w:hAnsiTheme="minorHAnsi" w:cstheme="minorBidi"/>
              <w:noProof/>
              <w:color w:val="auto"/>
              <w:szCs w:val="22"/>
              <w:lang w:eastAsia="en-AU"/>
            </w:rPr>
          </w:pPr>
          <w:hyperlink w:anchor="_Toc117605615" w:history="1">
            <w:r w:rsidRPr="00CB3234">
              <w:rPr>
                <w:rStyle w:val="Hyperlink"/>
                <w:noProof/>
              </w:rPr>
              <w:t>Overview</w:t>
            </w:r>
            <w:r>
              <w:rPr>
                <w:noProof/>
                <w:webHidden/>
              </w:rPr>
              <w:tab/>
            </w:r>
            <w:r>
              <w:rPr>
                <w:noProof/>
                <w:webHidden/>
              </w:rPr>
              <w:fldChar w:fldCharType="begin"/>
            </w:r>
            <w:r>
              <w:rPr>
                <w:noProof/>
                <w:webHidden/>
              </w:rPr>
              <w:instrText xml:space="preserve"> PAGEREF _Toc117605615 \h </w:instrText>
            </w:r>
            <w:r>
              <w:rPr>
                <w:noProof/>
                <w:webHidden/>
              </w:rPr>
            </w:r>
            <w:r>
              <w:rPr>
                <w:noProof/>
                <w:webHidden/>
              </w:rPr>
              <w:fldChar w:fldCharType="separate"/>
            </w:r>
            <w:r>
              <w:rPr>
                <w:noProof/>
                <w:webHidden/>
              </w:rPr>
              <w:t>2</w:t>
            </w:r>
            <w:r>
              <w:rPr>
                <w:noProof/>
                <w:webHidden/>
              </w:rPr>
              <w:fldChar w:fldCharType="end"/>
            </w:r>
          </w:hyperlink>
        </w:p>
        <w:p w14:paraId="3F33183F" w14:textId="5942852C"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16" w:history="1">
            <w:r w:rsidRPr="00CB3234">
              <w:rPr>
                <w:rStyle w:val="Hyperlink"/>
                <w:rFonts w:eastAsia="Calibri"/>
                <w:noProof/>
              </w:rPr>
              <w:t>Participants – College-Led AGPT Program</w:t>
            </w:r>
            <w:r>
              <w:rPr>
                <w:noProof/>
                <w:webHidden/>
              </w:rPr>
              <w:tab/>
            </w:r>
            <w:r>
              <w:rPr>
                <w:noProof/>
                <w:webHidden/>
              </w:rPr>
              <w:fldChar w:fldCharType="begin"/>
            </w:r>
            <w:r>
              <w:rPr>
                <w:noProof/>
                <w:webHidden/>
              </w:rPr>
              <w:instrText xml:space="preserve"> PAGEREF _Toc117605616 \h </w:instrText>
            </w:r>
            <w:r>
              <w:rPr>
                <w:noProof/>
                <w:webHidden/>
              </w:rPr>
            </w:r>
            <w:r>
              <w:rPr>
                <w:noProof/>
                <w:webHidden/>
              </w:rPr>
              <w:fldChar w:fldCharType="separate"/>
            </w:r>
            <w:r>
              <w:rPr>
                <w:noProof/>
                <w:webHidden/>
              </w:rPr>
              <w:t>2</w:t>
            </w:r>
            <w:r>
              <w:rPr>
                <w:noProof/>
                <w:webHidden/>
              </w:rPr>
              <w:fldChar w:fldCharType="end"/>
            </w:r>
          </w:hyperlink>
        </w:p>
        <w:p w14:paraId="2635FC22" w14:textId="62514DED"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17" w:history="1">
            <w:r w:rsidRPr="00CB3234">
              <w:rPr>
                <w:rStyle w:val="Hyperlink"/>
                <w:noProof/>
              </w:rPr>
              <w:t>Eligibility Requirements Across Geographical Locations</w:t>
            </w:r>
            <w:r>
              <w:rPr>
                <w:noProof/>
                <w:webHidden/>
              </w:rPr>
              <w:tab/>
            </w:r>
            <w:r>
              <w:rPr>
                <w:noProof/>
                <w:webHidden/>
              </w:rPr>
              <w:fldChar w:fldCharType="begin"/>
            </w:r>
            <w:r>
              <w:rPr>
                <w:noProof/>
                <w:webHidden/>
              </w:rPr>
              <w:instrText xml:space="preserve"> PAGEREF _Toc117605617 \h </w:instrText>
            </w:r>
            <w:r>
              <w:rPr>
                <w:noProof/>
                <w:webHidden/>
              </w:rPr>
            </w:r>
            <w:r>
              <w:rPr>
                <w:noProof/>
                <w:webHidden/>
              </w:rPr>
              <w:fldChar w:fldCharType="separate"/>
            </w:r>
            <w:r>
              <w:rPr>
                <w:noProof/>
                <w:webHidden/>
              </w:rPr>
              <w:t>3</w:t>
            </w:r>
            <w:r>
              <w:rPr>
                <w:noProof/>
                <w:webHidden/>
              </w:rPr>
              <w:fldChar w:fldCharType="end"/>
            </w:r>
          </w:hyperlink>
        </w:p>
        <w:p w14:paraId="001676A1" w14:textId="6C1A369A"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18" w:history="1">
            <w:r w:rsidRPr="00CB3234">
              <w:rPr>
                <w:rStyle w:val="Hyperlink"/>
                <w:rFonts w:eastAsia="Calibri"/>
                <w:noProof/>
              </w:rPr>
              <w:t>Calculation Of FTE Hours and Rural/Remote Loading Payments</w:t>
            </w:r>
            <w:r>
              <w:rPr>
                <w:noProof/>
                <w:webHidden/>
              </w:rPr>
              <w:tab/>
            </w:r>
            <w:r>
              <w:rPr>
                <w:noProof/>
                <w:webHidden/>
              </w:rPr>
              <w:fldChar w:fldCharType="begin"/>
            </w:r>
            <w:r>
              <w:rPr>
                <w:noProof/>
                <w:webHidden/>
              </w:rPr>
              <w:instrText xml:space="preserve"> PAGEREF _Toc117605618 \h </w:instrText>
            </w:r>
            <w:r>
              <w:rPr>
                <w:noProof/>
                <w:webHidden/>
              </w:rPr>
            </w:r>
            <w:r>
              <w:rPr>
                <w:noProof/>
                <w:webHidden/>
              </w:rPr>
              <w:fldChar w:fldCharType="separate"/>
            </w:r>
            <w:r>
              <w:rPr>
                <w:noProof/>
                <w:webHidden/>
              </w:rPr>
              <w:t>4</w:t>
            </w:r>
            <w:r>
              <w:rPr>
                <w:noProof/>
                <w:webHidden/>
              </w:rPr>
              <w:fldChar w:fldCharType="end"/>
            </w:r>
          </w:hyperlink>
        </w:p>
        <w:p w14:paraId="78D19C88" w14:textId="06E01DAC"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19" w:history="1">
            <w:r w:rsidRPr="00CB3234">
              <w:rPr>
                <w:rStyle w:val="Hyperlink"/>
                <w:rFonts w:eastAsia="Calibri"/>
                <w:noProof/>
              </w:rPr>
              <w:t>Payments Processing and Application Programming Interface</w:t>
            </w:r>
            <w:r>
              <w:rPr>
                <w:noProof/>
                <w:webHidden/>
              </w:rPr>
              <w:tab/>
            </w:r>
            <w:r>
              <w:rPr>
                <w:noProof/>
                <w:webHidden/>
              </w:rPr>
              <w:fldChar w:fldCharType="begin"/>
            </w:r>
            <w:r>
              <w:rPr>
                <w:noProof/>
                <w:webHidden/>
              </w:rPr>
              <w:instrText xml:space="preserve"> PAGEREF _Toc117605619 \h </w:instrText>
            </w:r>
            <w:r>
              <w:rPr>
                <w:noProof/>
                <w:webHidden/>
              </w:rPr>
            </w:r>
            <w:r>
              <w:rPr>
                <w:noProof/>
                <w:webHidden/>
              </w:rPr>
              <w:fldChar w:fldCharType="separate"/>
            </w:r>
            <w:r>
              <w:rPr>
                <w:noProof/>
                <w:webHidden/>
              </w:rPr>
              <w:t>4</w:t>
            </w:r>
            <w:r>
              <w:rPr>
                <w:noProof/>
                <w:webHidden/>
              </w:rPr>
              <w:fldChar w:fldCharType="end"/>
            </w:r>
          </w:hyperlink>
        </w:p>
        <w:p w14:paraId="1C6F0765" w14:textId="44460011"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0" w:history="1">
            <w:r w:rsidRPr="00CB3234">
              <w:rPr>
                <w:rStyle w:val="Hyperlink"/>
                <w:rFonts w:eastAsia="Calibri"/>
                <w:noProof/>
              </w:rPr>
              <w:t>Payment Calculation and Maximum Payment Amounts</w:t>
            </w:r>
            <w:r>
              <w:rPr>
                <w:noProof/>
                <w:webHidden/>
              </w:rPr>
              <w:tab/>
            </w:r>
            <w:r>
              <w:rPr>
                <w:noProof/>
                <w:webHidden/>
              </w:rPr>
              <w:fldChar w:fldCharType="begin"/>
            </w:r>
            <w:r>
              <w:rPr>
                <w:noProof/>
                <w:webHidden/>
              </w:rPr>
              <w:instrText xml:space="preserve"> PAGEREF _Toc117605620 \h </w:instrText>
            </w:r>
            <w:r>
              <w:rPr>
                <w:noProof/>
                <w:webHidden/>
              </w:rPr>
            </w:r>
            <w:r>
              <w:rPr>
                <w:noProof/>
                <w:webHidden/>
              </w:rPr>
              <w:fldChar w:fldCharType="separate"/>
            </w:r>
            <w:r>
              <w:rPr>
                <w:noProof/>
                <w:webHidden/>
              </w:rPr>
              <w:t>4</w:t>
            </w:r>
            <w:r>
              <w:rPr>
                <w:noProof/>
                <w:webHidden/>
              </w:rPr>
              <w:fldChar w:fldCharType="end"/>
            </w:r>
          </w:hyperlink>
        </w:p>
        <w:p w14:paraId="6A7B63DD" w14:textId="72298C06"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1" w:history="1">
            <w:r w:rsidRPr="00CB3234">
              <w:rPr>
                <w:rStyle w:val="Hyperlink"/>
                <w:noProof/>
              </w:rPr>
              <w:t>Frequency of Payments and Payment Runs</w:t>
            </w:r>
            <w:r>
              <w:rPr>
                <w:noProof/>
                <w:webHidden/>
              </w:rPr>
              <w:tab/>
            </w:r>
            <w:r>
              <w:rPr>
                <w:noProof/>
                <w:webHidden/>
              </w:rPr>
              <w:fldChar w:fldCharType="begin"/>
            </w:r>
            <w:r>
              <w:rPr>
                <w:noProof/>
                <w:webHidden/>
              </w:rPr>
              <w:instrText xml:space="preserve"> PAGEREF _Toc117605621 \h </w:instrText>
            </w:r>
            <w:r>
              <w:rPr>
                <w:noProof/>
                <w:webHidden/>
              </w:rPr>
            </w:r>
            <w:r>
              <w:rPr>
                <w:noProof/>
                <w:webHidden/>
              </w:rPr>
              <w:fldChar w:fldCharType="separate"/>
            </w:r>
            <w:r>
              <w:rPr>
                <w:noProof/>
                <w:webHidden/>
              </w:rPr>
              <w:t>7</w:t>
            </w:r>
            <w:r>
              <w:rPr>
                <w:noProof/>
                <w:webHidden/>
              </w:rPr>
              <w:fldChar w:fldCharType="end"/>
            </w:r>
          </w:hyperlink>
        </w:p>
        <w:p w14:paraId="1AB2FBA4" w14:textId="222B8A23"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2" w:history="1">
            <w:r w:rsidRPr="00CB3234">
              <w:rPr>
                <w:rStyle w:val="Hyperlink"/>
                <w:rFonts w:eastAsia="Calibri"/>
                <w:noProof/>
              </w:rPr>
              <w:t>Payments</w:t>
            </w:r>
            <w:r w:rsidRPr="00CB3234">
              <w:rPr>
                <w:rStyle w:val="Hyperlink"/>
                <w:noProof/>
              </w:rPr>
              <w:t xml:space="preserve"> During Leave Periods</w:t>
            </w:r>
            <w:r>
              <w:rPr>
                <w:noProof/>
                <w:webHidden/>
              </w:rPr>
              <w:tab/>
            </w:r>
            <w:r>
              <w:rPr>
                <w:noProof/>
                <w:webHidden/>
              </w:rPr>
              <w:fldChar w:fldCharType="begin"/>
            </w:r>
            <w:r>
              <w:rPr>
                <w:noProof/>
                <w:webHidden/>
              </w:rPr>
              <w:instrText xml:space="preserve"> PAGEREF _Toc117605622 \h </w:instrText>
            </w:r>
            <w:r>
              <w:rPr>
                <w:noProof/>
                <w:webHidden/>
              </w:rPr>
            </w:r>
            <w:r>
              <w:rPr>
                <w:noProof/>
                <w:webHidden/>
              </w:rPr>
              <w:fldChar w:fldCharType="separate"/>
            </w:r>
            <w:r>
              <w:rPr>
                <w:noProof/>
                <w:webHidden/>
              </w:rPr>
              <w:t>7</w:t>
            </w:r>
            <w:r>
              <w:rPr>
                <w:noProof/>
                <w:webHidden/>
              </w:rPr>
              <w:fldChar w:fldCharType="end"/>
            </w:r>
          </w:hyperlink>
        </w:p>
        <w:p w14:paraId="5F6C7AB3" w14:textId="1E83632E"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3" w:history="1">
            <w:r w:rsidRPr="00CB3234">
              <w:rPr>
                <w:rStyle w:val="Hyperlink"/>
                <w:rFonts w:eastAsia="Calibri"/>
                <w:noProof/>
              </w:rPr>
              <w:t>Participant Bank Account Details</w:t>
            </w:r>
            <w:r>
              <w:rPr>
                <w:noProof/>
                <w:webHidden/>
              </w:rPr>
              <w:tab/>
            </w:r>
            <w:r>
              <w:rPr>
                <w:noProof/>
                <w:webHidden/>
              </w:rPr>
              <w:fldChar w:fldCharType="begin"/>
            </w:r>
            <w:r>
              <w:rPr>
                <w:noProof/>
                <w:webHidden/>
              </w:rPr>
              <w:instrText xml:space="preserve"> PAGEREF _Toc117605623 \h </w:instrText>
            </w:r>
            <w:r>
              <w:rPr>
                <w:noProof/>
                <w:webHidden/>
              </w:rPr>
            </w:r>
            <w:r>
              <w:rPr>
                <w:noProof/>
                <w:webHidden/>
              </w:rPr>
              <w:fldChar w:fldCharType="separate"/>
            </w:r>
            <w:r>
              <w:rPr>
                <w:noProof/>
                <w:webHidden/>
              </w:rPr>
              <w:t>8</w:t>
            </w:r>
            <w:r>
              <w:rPr>
                <w:noProof/>
                <w:webHidden/>
              </w:rPr>
              <w:fldChar w:fldCharType="end"/>
            </w:r>
          </w:hyperlink>
        </w:p>
        <w:p w14:paraId="5FAC00BD" w14:textId="2B355902"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4" w:history="1">
            <w:r w:rsidRPr="00CB3234">
              <w:rPr>
                <w:rStyle w:val="Hyperlink"/>
                <w:noProof/>
              </w:rPr>
              <w:t>Eligibility for Flexible Pool Payments</w:t>
            </w:r>
            <w:r>
              <w:rPr>
                <w:noProof/>
                <w:webHidden/>
              </w:rPr>
              <w:tab/>
            </w:r>
            <w:r>
              <w:rPr>
                <w:noProof/>
                <w:webHidden/>
              </w:rPr>
              <w:fldChar w:fldCharType="begin"/>
            </w:r>
            <w:r>
              <w:rPr>
                <w:noProof/>
                <w:webHidden/>
              </w:rPr>
              <w:instrText xml:space="preserve"> PAGEREF _Toc117605624 \h </w:instrText>
            </w:r>
            <w:r>
              <w:rPr>
                <w:noProof/>
                <w:webHidden/>
              </w:rPr>
            </w:r>
            <w:r>
              <w:rPr>
                <w:noProof/>
                <w:webHidden/>
              </w:rPr>
              <w:fldChar w:fldCharType="separate"/>
            </w:r>
            <w:r>
              <w:rPr>
                <w:noProof/>
                <w:webHidden/>
              </w:rPr>
              <w:t>8</w:t>
            </w:r>
            <w:r>
              <w:rPr>
                <w:noProof/>
                <w:webHidden/>
              </w:rPr>
              <w:fldChar w:fldCharType="end"/>
            </w:r>
          </w:hyperlink>
        </w:p>
        <w:p w14:paraId="64A53916" w14:textId="306AAE7A"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5" w:history="1">
            <w:r w:rsidRPr="00CB3234">
              <w:rPr>
                <w:rStyle w:val="Hyperlink"/>
                <w:noProof/>
              </w:rPr>
              <w:t>Opting Out of AGPT Program</w:t>
            </w:r>
            <w:r>
              <w:rPr>
                <w:noProof/>
                <w:webHidden/>
              </w:rPr>
              <w:tab/>
            </w:r>
            <w:r>
              <w:rPr>
                <w:noProof/>
                <w:webHidden/>
              </w:rPr>
              <w:fldChar w:fldCharType="begin"/>
            </w:r>
            <w:r>
              <w:rPr>
                <w:noProof/>
                <w:webHidden/>
              </w:rPr>
              <w:instrText xml:space="preserve"> PAGEREF _Toc117605625 \h </w:instrText>
            </w:r>
            <w:r>
              <w:rPr>
                <w:noProof/>
                <w:webHidden/>
              </w:rPr>
            </w:r>
            <w:r>
              <w:rPr>
                <w:noProof/>
                <w:webHidden/>
              </w:rPr>
              <w:fldChar w:fldCharType="separate"/>
            </w:r>
            <w:r>
              <w:rPr>
                <w:noProof/>
                <w:webHidden/>
              </w:rPr>
              <w:t>8</w:t>
            </w:r>
            <w:r>
              <w:rPr>
                <w:noProof/>
                <w:webHidden/>
              </w:rPr>
              <w:fldChar w:fldCharType="end"/>
            </w:r>
          </w:hyperlink>
        </w:p>
        <w:p w14:paraId="318BE672" w14:textId="01775C40"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6" w:history="1">
            <w:r w:rsidRPr="00CB3234">
              <w:rPr>
                <w:rStyle w:val="Hyperlink"/>
                <w:noProof/>
              </w:rPr>
              <w:t>Taxation</w:t>
            </w:r>
            <w:r>
              <w:rPr>
                <w:noProof/>
                <w:webHidden/>
              </w:rPr>
              <w:tab/>
            </w:r>
            <w:r>
              <w:rPr>
                <w:noProof/>
                <w:webHidden/>
              </w:rPr>
              <w:fldChar w:fldCharType="begin"/>
            </w:r>
            <w:r>
              <w:rPr>
                <w:noProof/>
                <w:webHidden/>
              </w:rPr>
              <w:instrText xml:space="preserve"> PAGEREF _Toc117605626 \h </w:instrText>
            </w:r>
            <w:r>
              <w:rPr>
                <w:noProof/>
                <w:webHidden/>
              </w:rPr>
            </w:r>
            <w:r>
              <w:rPr>
                <w:noProof/>
                <w:webHidden/>
              </w:rPr>
              <w:fldChar w:fldCharType="separate"/>
            </w:r>
            <w:r>
              <w:rPr>
                <w:noProof/>
                <w:webHidden/>
              </w:rPr>
              <w:t>8</w:t>
            </w:r>
            <w:r>
              <w:rPr>
                <w:noProof/>
                <w:webHidden/>
              </w:rPr>
              <w:fldChar w:fldCharType="end"/>
            </w:r>
          </w:hyperlink>
        </w:p>
        <w:p w14:paraId="5F147B01" w14:textId="71136B88"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7" w:history="1">
            <w:r w:rsidRPr="00CB3234">
              <w:rPr>
                <w:rStyle w:val="Hyperlink"/>
                <w:noProof/>
              </w:rPr>
              <w:t>Recovery of over-payments and withholding of payments</w:t>
            </w:r>
            <w:r>
              <w:rPr>
                <w:noProof/>
                <w:webHidden/>
              </w:rPr>
              <w:tab/>
            </w:r>
            <w:r>
              <w:rPr>
                <w:noProof/>
                <w:webHidden/>
              </w:rPr>
              <w:fldChar w:fldCharType="begin"/>
            </w:r>
            <w:r>
              <w:rPr>
                <w:noProof/>
                <w:webHidden/>
              </w:rPr>
              <w:instrText xml:space="preserve"> PAGEREF _Toc117605627 \h </w:instrText>
            </w:r>
            <w:r>
              <w:rPr>
                <w:noProof/>
                <w:webHidden/>
              </w:rPr>
            </w:r>
            <w:r>
              <w:rPr>
                <w:noProof/>
                <w:webHidden/>
              </w:rPr>
              <w:fldChar w:fldCharType="separate"/>
            </w:r>
            <w:r>
              <w:rPr>
                <w:noProof/>
                <w:webHidden/>
              </w:rPr>
              <w:t>9</w:t>
            </w:r>
            <w:r>
              <w:rPr>
                <w:noProof/>
                <w:webHidden/>
              </w:rPr>
              <w:fldChar w:fldCharType="end"/>
            </w:r>
          </w:hyperlink>
        </w:p>
        <w:p w14:paraId="2FBFBC2B" w14:textId="4B16B289"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8" w:history="1">
            <w:r w:rsidRPr="00CB3234">
              <w:rPr>
                <w:rStyle w:val="Hyperlink"/>
                <w:noProof/>
              </w:rPr>
              <w:t>Changes to Registrar in Training, Supervisor, and Practice Arrangements</w:t>
            </w:r>
            <w:r>
              <w:rPr>
                <w:noProof/>
                <w:webHidden/>
              </w:rPr>
              <w:tab/>
            </w:r>
            <w:r>
              <w:rPr>
                <w:noProof/>
                <w:webHidden/>
              </w:rPr>
              <w:fldChar w:fldCharType="begin"/>
            </w:r>
            <w:r>
              <w:rPr>
                <w:noProof/>
                <w:webHidden/>
              </w:rPr>
              <w:instrText xml:space="preserve"> PAGEREF _Toc117605628 \h </w:instrText>
            </w:r>
            <w:r>
              <w:rPr>
                <w:noProof/>
                <w:webHidden/>
              </w:rPr>
            </w:r>
            <w:r>
              <w:rPr>
                <w:noProof/>
                <w:webHidden/>
              </w:rPr>
              <w:fldChar w:fldCharType="separate"/>
            </w:r>
            <w:r>
              <w:rPr>
                <w:noProof/>
                <w:webHidden/>
              </w:rPr>
              <w:t>9</w:t>
            </w:r>
            <w:r>
              <w:rPr>
                <w:noProof/>
                <w:webHidden/>
              </w:rPr>
              <w:fldChar w:fldCharType="end"/>
            </w:r>
          </w:hyperlink>
        </w:p>
        <w:p w14:paraId="69A27930" w14:textId="286CADBE"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29" w:history="1">
            <w:r w:rsidRPr="00CB3234">
              <w:rPr>
                <w:rStyle w:val="Hyperlink"/>
                <w:noProof/>
              </w:rPr>
              <w:t>Privacy</w:t>
            </w:r>
            <w:r>
              <w:rPr>
                <w:noProof/>
                <w:webHidden/>
              </w:rPr>
              <w:tab/>
            </w:r>
            <w:r>
              <w:rPr>
                <w:noProof/>
                <w:webHidden/>
              </w:rPr>
              <w:fldChar w:fldCharType="begin"/>
            </w:r>
            <w:r>
              <w:rPr>
                <w:noProof/>
                <w:webHidden/>
              </w:rPr>
              <w:instrText xml:space="preserve"> PAGEREF _Toc117605629 \h </w:instrText>
            </w:r>
            <w:r>
              <w:rPr>
                <w:noProof/>
                <w:webHidden/>
              </w:rPr>
            </w:r>
            <w:r>
              <w:rPr>
                <w:noProof/>
                <w:webHidden/>
              </w:rPr>
              <w:fldChar w:fldCharType="separate"/>
            </w:r>
            <w:r>
              <w:rPr>
                <w:noProof/>
                <w:webHidden/>
              </w:rPr>
              <w:t>9</w:t>
            </w:r>
            <w:r>
              <w:rPr>
                <w:noProof/>
                <w:webHidden/>
              </w:rPr>
              <w:fldChar w:fldCharType="end"/>
            </w:r>
          </w:hyperlink>
        </w:p>
        <w:p w14:paraId="19100FCA" w14:textId="7854AB0F" w:rsidR="00B77682" w:rsidRDefault="00B77682">
          <w:pPr>
            <w:pStyle w:val="TOC3"/>
            <w:tabs>
              <w:tab w:val="right" w:leader="dot" w:pos="9060"/>
            </w:tabs>
            <w:rPr>
              <w:rFonts w:asciiTheme="minorHAnsi" w:eastAsiaTheme="minorEastAsia" w:hAnsiTheme="minorHAnsi" w:cstheme="minorBidi"/>
              <w:noProof/>
              <w:color w:val="auto"/>
              <w:szCs w:val="22"/>
              <w:lang w:eastAsia="en-AU"/>
            </w:rPr>
          </w:pPr>
          <w:hyperlink w:anchor="_Toc117605630" w:history="1">
            <w:r w:rsidRPr="00CB3234">
              <w:rPr>
                <w:rStyle w:val="Hyperlink"/>
                <w:noProof/>
              </w:rPr>
              <w:t>Contact Information</w:t>
            </w:r>
            <w:r>
              <w:rPr>
                <w:noProof/>
                <w:webHidden/>
              </w:rPr>
              <w:tab/>
            </w:r>
            <w:r>
              <w:rPr>
                <w:noProof/>
                <w:webHidden/>
              </w:rPr>
              <w:fldChar w:fldCharType="begin"/>
            </w:r>
            <w:r>
              <w:rPr>
                <w:noProof/>
                <w:webHidden/>
              </w:rPr>
              <w:instrText xml:space="preserve"> PAGEREF _Toc117605630 \h </w:instrText>
            </w:r>
            <w:r>
              <w:rPr>
                <w:noProof/>
                <w:webHidden/>
              </w:rPr>
            </w:r>
            <w:r>
              <w:rPr>
                <w:noProof/>
                <w:webHidden/>
              </w:rPr>
              <w:fldChar w:fldCharType="separate"/>
            </w:r>
            <w:r>
              <w:rPr>
                <w:noProof/>
                <w:webHidden/>
              </w:rPr>
              <w:t>10</w:t>
            </w:r>
            <w:r>
              <w:rPr>
                <w:noProof/>
                <w:webHidden/>
              </w:rPr>
              <w:fldChar w:fldCharType="end"/>
            </w:r>
          </w:hyperlink>
        </w:p>
        <w:p w14:paraId="183A7AB2" w14:textId="46AEDE38" w:rsidR="00B77682" w:rsidRDefault="00B77682" w:rsidP="00B77682">
          <w:pPr>
            <w:pStyle w:val="TOC2"/>
            <w:rPr>
              <w:rFonts w:asciiTheme="minorHAnsi" w:eastAsiaTheme="minorEastAsia" w:hAnsiTheme="minorHAnsi" w:cstheme="minorBidi"/>
              <w:noProof/>
              <w:color w:val="auto"/>
              <w:szCs w:val="22"/>
              <w:lang w:eastAsia="en-AU"/>
            </w:rPr>
          </w:pPr>
          <w:hyperlink w:anchor="_Toc117605631" w:history="1">
            <w:r w:rsidRPr="00CB3234">
              <w:rPr>
                <w:rStyle w:val="Hyperlink"/>
                <w:noProof/>
              </w:rPr>
              <w:t>Verso</w:t>
            </w:r>
            <w:r>
              <w:rPr>
                <w:noProof/>
                <w:webHidden/>
              </w:rPr>
              <w:tab/>
            </w:r>
            <w:r>
              <w:rPr>
                <w:noProof/>
                <w:webHidden/>
              </w:rPr>
              <w:fldChar w:fldCharType="begin"/>
            </w:r>
            <w:r>
              <w:rPr>
                <w:noProof/>
                <w:webHidden/>
              </w:rPr>
              <w:instrText xml:space="preserve"> PAGEREF _Toc117605631 \h </w:instrText>
            </w:r>
            <w:r>
              <w:rPr>
                <w:noProof/>
                <w:webHidden/>
              </w:rPr>
            </w:r>
            <w:r>
              <w:rPr>
                <w:noProof/>
                <w:webHidden/>
              </w:rPr>
              <w:fldChar w:fldCharType="separate"/>
            </w:r>
            <w:r>
              <w:rPr>
                <w:noProof/>
                <w:webHidden/>
              </w:rPr>
              <w:t>10</w:t>
            </w:r>
            <w:r>
              <w:rPr>
                <w:noProof/>
                <w:webHidden/>
              </w:rPr>
              <w:fldChar w:fldCharType="end"/>
            </w:r>
          </w:hyperlink>
        </w:p>
        <w:p w14:paraId="3E52D01D" w14:textId="1681CEFD" w:rsidR="0095405D" w:rsidRPr="00C56592" w:rsidRDefault="00C56592" w:rsidP="0095405D">
          <w:pPr>
            <w:rPr>
              <w:noProof/>
            </w:rPr>
          </w:pPr>
          <w:r>
            <w:fldChar w:fldCharType="end"/>
          </w:r>
        </w:p>
      </w:sdtContent>
    </w:sdt>
    <w:p w14:paraId="63BC5C72" w14:textId="77777777" w:rsidR="0095405D" w:rsidRPr="008E4FD2" w:rsidRDefault="0095405D" w:rsidP="008E4FD2">
      <w:r>
        <w:br w:type="page"/>
      </w:r>
    </w:p>
    <w:p w14:paraId="41A089EC" w14:textId="4696E3A0" w:rsidR="00CE6502" w:rsidRPr="00E842CE" w:rsidRDefault="008E4FD2" w:rsidP="00472066">
      <w:pPr>
        <w:pStyle w:val="Heading2"/>
      </w:pPr>
      <w:bookmarkStart w:id="0" w:name="_Toc117605614"/>
      <w:r>
        <w:lastRenderedPageBreak/>
        <w:t>Objectives</w:t>
      </w:r>
      <w:bookmarkEnd w:id="0"/>
    </w:p>
    <w:p w14:paraId="3C424E3F" w14:textId="38877525" w:rsidR="003A149F" w:rsidRPr="008E4FD2" w:rsidRDefault="003A149F" w:rsidP="008E4FD2">
      <w:r w:rsidRPr="008E4FD2">
        <w:t xml:space="preserve">This Guidelines document provides guidance to registrars, </w:t>
      </w:r>
      <w:proofErr w:type="gramStart"/>
      <w:r w:rsidRPr="008E4FD2">
        <w:t>supervisors</w:t>
      </w:r>
      <w:proofErr w:type="gramEnd"/>
      <w:r w:rsidRPr="008E4FD2">
        <w:t xml:space="preserve"> and practices.</w:t>
      </w:r>
    </w:p>
    <w:p w14:paraId="56C09A48" w14:textId="77777777" w:rsidR="003A149F" w:rsidRPr="008E4FD2" w:rsidRDefault="003A149F" w:rsidP="008E4FD2">
      <w:r w:rsidRPr="008E4FD2">
        <w:t xml:space="preserve">The Guidelines will assist all AGPT participants, including supervisors, </w:t>
      </w:r>
      <w:proofErr w:type="gramStart"/>
      <w:r w:rsidRPr="008E4FD2">
        <w:t>practices</w:t>
      </w:r>
      <w:proofErr w:type="gramEnd"/>
      <w:r w:rsidRPr="008E4FD2">
        <w:t xml:space="preserve"> and registrars, to understand the eligibility criteria, the process of determining and delivering the basic support payments, and the process of accessing the flexible payment pool.</w:t>
      </w:r>
    </w:p>
    <w:p w14:paraId="112D864E" w14:textId="1C5B89C5" w:rsidR="00CE6502" w:rsidRPr="008E4FD2" w:rsidRDefault="008E4FD2" w:rsidP="008E4FD2">
      <w:pPr>
        <w:pStyle w:val="Heading2"/>
      </w:pPr>
      <w:bookmarkStart w:id="1" w:name="_Toc117605615"/>
      <w:r>
        <w:t>O</w:t>
      </w:r>
      <w:r w:rsidRPr="008E4FD2">
        <w:t>verview</w:t>
      </w:r>
      <w:bookmarkEnd w:id="1"/>
    </w:p>
    <w:p w14:paraId="73E7DFE5" w14:textId="77777777" w:rsidR="003A149F" w:rsidRPr="008E4FD2" w:rsidRDefault="003A149F" w:rsidP="008E4FD2">
      <w:r w:rsidRPr="008E4FD2">
        <w:t xml:space="preserve">The AGPT program is a three-to-four-year general practice training program that provides entry to up to 1,500 medical practitioners per year. </w:t>
      </w:r>
    </w:p>
    <w:p w14:paraId="133A160F" w14:textId="12A87FFD" w:rsidR="003A149F" w:rsidRPr="008E4FD2" w:rsidRDefault="003A149F" w:rsidP="008E4FD2">
      <w:r w:rsidRPr="008E4FD2">
        <w:t>In 2023, the AGPT program will transition to the general practice (GP) colleges (the Royal Australian College of General Practitioners (RACGP)</w:t>
      </w:r>
      <w:r w:rsidR="00181993" w:rsidRPr="008E4FD2">
        <w:t xml:space="preserve"> and the Australian College of Rural and Remote Medicine, (ACRRM)).</w:t>
      </w:r>
      <w:r w:rsidRPr="008E4FD2">
        <w:t xml:space="preserve"> Nationally Consistent Payments (NCP) across the AGPT will be implemented from Semester 1 2023.</w:t>
      </w:r>
    </w:p>
    <w:p w14:paraId="0E2C9136" w14:textId="77777777" w:rsidR="003A149F" w:rsidRPr="008E4FD2" w:rsidRDefault="003A149F" w:rsidP="008E4FD2">
      <w:r w:rsidRPr="008E4FD2">
        <w:t>The NCP framework and Guidelines provide information on how GP supervisors, practices and registrars will receive support payments. These support payments aim to:</w:t>
      </w:r>
    </w:p>
    <w:p w14:paraId="5ECB7492" w14:textId="77777777" w:rsidR="003A149F" w:rsidRPr="008E4FD2" w:rsidRDefault="003A149F" w:rsidP="008E4FD2">
      <w:pPr>
        <w:pStyle w:val="ListBullet"/>
        <w:rPr>
          <w:rFonts w:eastAsia="Calibri"/>
        </w:rPr>
      </w:pPr>
      <w:r w:rsidRPr="001D4C45">
        <w:rPr>
          <w:rFonts w:eastAsia="Calibri"/>
        </w:rPr>
        <w:t xml:space="preserve">support and encourage GP supervisors, </w:t>
      </w:r>
      <w:proofErr w:type="gramStart"/>
      <w:r w:rsidRPr="001D4C45">
        <w:rPr>
          <w:rFonts w:eastAsia="Calibri"/>
        </w:rPr>
        <w:t>practices</w:t>
      </w:r>
      <w:proofErr w:type="gramEnd"/>
      <w:r w:rsidRPr="001D4C45">
        <w:rPr>
          <w:rFonts w:eastAsia="Calibri"/>
        </w:rPr>
        <w:t xml:space="preserve"> and registrars to participate in GP training an</w:t>
      </w:r>
      <w:r w:rsidRPr="008E4FD2">
        <w:rPr>
          <w:rFonts w:eastAsia="Calibri"/>
        </w:rPr>
        <w:t>d deliver GP services; and</w:t>
      </w:r>
    </w:p>
    <w:p w14:paraId="4E3A1EDB" w14:textId="264ABD3D" w:rsidR="003A149F" w:rsidRPr="008E4FD2" w:rsidRDefault="003A149F" w:rsidP="008E4FD2">
      <w:pPr>
        <w:pStyle w:val="ListBullet"/>
        <w:rPr>
          <w:rFonts w:eastAsia="Calibri"/>
        </w:rPr>
      </w:pPr>
      <w:r w:rsidRPr="008E4FD2">
        <w:rPr>
          <w:rFonts w:eastAsia="Calibri"/>
        </w:rPr>
        <w:t>provide transparency of the support provided to training participants in the AGPT program, part</w:t>
      </w:r>
      <w:r w:rsidRPr="001D4C45">
        <w:rPr>
          <w:rFonts w:eastAsia="Calibri"/>
        </w:rPr>
        <w:t>icular</w:t>
      </w:r>
      <w:r>
        <w:rPr>
          <w:rFonts w:eastAsia="Calibri"/>
        </w:rPr>
        <w:t>ly</w:t>
      </w:r>
      <w:r w:rsidRPr="001D4C45">
        <w:rPr>
          <w:rFonts w:eastAsia="Calibri"/>
        </w:rPr>
        <w:t xml:space="preserve"> in regions where there are difficulties in attracting and retaining GPs.</w:t>
      </w:r>
    </w:p>
    <w:p w14:paraId="26BE9A8A" w14:textId="2292AFD8" w:rsidR="003A149F" w:rsidRPr="008E4FD2" w:rsidRDefault="003A149F" w:rsidP="008E4FD2">
      <w:r w:rsidRPr="008E4FD2">
        <w:t xml:space="preserve">The NCP Guidelines may be amended at any time by Health in consultation with the </w:t>
      </w:r>
      <w:r w:rsidR="00181993" w:rsidRPr="008E4FD2">
        <w:t>RACGP</w:t>
      </w:r>
      <w:r w:rsidRPr="008E4FD2">
        <w:t xml:space="preserve"> and the </w:t>
      </w:r>
      <w:r w:rsidR="00181993" w:rsidRPr="008E4FD2">
        <w:t>ACRRM</w:t>
      </w:r>
      <w:r w:rsidRPr="008E4FD2">
        <w:t>. The NCP Guidelines, fact sheets, and questions and answers on support payments for supervisors, practices and registrars, including all information on the College-</w:t>
      </w:r>
      <w:r w:rsidR="00181993" w:rsidRPr="008E4FD2">
        <w:t>L</w:t>
      </w:r>
      <w:r w:rsidRPr="008E4FD2">
        <w:t xml:space="preserve">ed AGPT program, will be available publicly on the </w:t>
      </w:r>
      <w:proofErr w:type="gramStart"/>
      <w:r w:rsidRPr="008E4FD2">
        <w:t>Health</w:t>
      </w:r>
      <w:proofErr w:type="gramEnd"/>
      <w:r w:rsidRPr="008E4FD2">
        <w:t xml:space="preserve"> website. </w:t>
      </w:r>
    </w:p>
    <w:p w14:paraId="79757A9E" w14:textId="4987722D" w:rsidR="003A149F" w:rsidRPr="008E4FD2" w:rsidRDefault="003A149F" w:rsidP="008E4FD2">
      <w:r w:rsidRPr="008E4FD2">
        <w:t xml:space="preserve">Services Australia will administer the payments to all AGPT program participants on behalf of Health. </w:t>
      </w:r>
    </w:p>
    <w:p w14:paraId="32D6D288" w14:textId="23ADE7E0" w:rsidR="003A149F" w:rsidRPr="008E4FD2" w:rsidRDefault="008E4FD2" w:rsidP="008E4FD2">
      <w:pPr>
        <w:pStyle w:val="Heading3"/>
        <w:rPr>
          <w:rFonts w:eastAsia="Calibri"/>
        </w:rPr>
      </w:pPr>
      <w:bookmarkStart w:id="2" w:name="_Toc117605616"/>
      <w:r w:rsidRPr="008E4FD2">
        <w:rPr>
          <w:rFonts w:eastAsia="Calibri"/>
        </w:rPr>
        <w:t>Participants – College-Led AGPT Program</w:t>
      </w:r>
      <w:bookmarkEnd w:id="2"/>
    </w:p>
    <w:p w14:paraId="5150CF65" w14:textId="77777777" w:rsidR="003A149F" w:rsidRPr="008E4FD2" w:rsidRDefault="003A149F" w:rsidP="008E4FD2">
      <w:bookmarkStart w:id="3" w:name="_Hlk97281039"/>
      <w:r w:rsidRPr="008E4FD2">
        <w:t>The NCP Guidelines (the Guidelines) provide additional information on how the NCP framework operates and how the payments will be calculated and made, including in unusual or complex payment circumstances.</w:t>
      </w:r>
    </w:p>
    <w:p w14:paraId="243129B0" w14:textId="77777777" w:rsidR="003A149F" w:rsidRPr="008E4FD2" w:rsidRDefault="003A149F" w:rsidP="008E4FD2">
      <w:r w:rsidRPr="008E4FD2">
        <w:t xml:space="preserve">The Guidelines provide additional guidance to: </w:t>
      </w:r>
    </w:p>
    <w:p w14:paraId="0D19102B" w14:textId="77777777" w:rsidR="003A149F" w:rsidRPr="001D4C45" w:rsidRDefault="003A149F" w:rsidP="008E4FD2">
      <w:pPr>
        <w:pStyle w:val="ListBullet"/>
        <w:rPr>
          <w:rFonts w:eastAsia="Calibri"/>
        </w:rPr>
      </w:pPr>
      <w:r w:rsidRPr="001D4C45">
        <w:rPr>
          <w:rFonts w:eastAsia="Calibri"/>
        </w:rPr>
        <w:t xml:space="preserve">Supervisors – support payments are made to the practice unless directed by the practice to make payment to the </w:t>
      </w:r>
      <w:proofErr w:type="gramStart"/>
      <w:r w:rsidRPr="001D4C45">
        <w:rPr>
          <w:rFonts w:eastAsia="Calibri"/>
        </w:rPr>
        <w:t>supervisor;</w:t>
      </w:r>
      <w:proofErr w:type="gramEnd"/>
    </w:p>
    <w:p w14:paraId="158E0330" w14:textId="7BEED46F" w:rsidR="003A149F" w:rsidRPr="001D4C45" w:rsidRDefault="003A149F" w:rsidP="008E4FD2">
      <w:pPr>
        <w:pStyle w:val="ListBullet"/>
        <w:rPr>
          <w:rFonts w:eastAsia="Calibri"/>
        </w:rPr>
      </w:pPr>
      <w:r w:rsidRPr="001D4C45">
        <w:rPr>
          <w:rFonts w:eastAsia="Calibri"/>
        </w:rPr>
        <w:t xml:space="preserve">Practices – support payments are made directly to eligible practices </w:t>
      </w:r>
      <w:r>
        <w:rPr>
          <w:rFonts w:eastAsia="Calibri"/>
        </w:rPr>
        <w:t>that</w:t>
      </w:r>
      <w:r w:rsidRPr="001D4C45">
        <w:rPr>
          <w:rFonts w:eastAsia="Calibri"/>
        </w:rPr>
        <w:t xml:space="preserve"> have been accredited and contracted by the </w:t>
      </w:r>
      <w:r w:rsidR="00181993">
        <w:rPr>
          <w:rFonts w:eastAsia="Calibri"/>
        </w:rPr>
        <w:t xml:space="preserve">RACGP </w:t>
      </w:r>
      <w:r w:rsidRPr="001D4C45">
        <w:rPr>
          <w:rFonts w:eastAsia="Calibri"/>
        </w:rPr>
        <w:t xml:space="preserve">and/or the </w:t>
      </w:r>
      <w:r w:rsidR="00181993">
        <w:rPr>
          <w:rFonts w:eastAsia="Calibri"/>
        </w:rPr>
        <w:t>ACRRM</w:t>
      </w:r>
      <w:r w:rsidRPr="001D4C45">
        <w:rPr>
          <w:rFonts w:eastAsia="Calibri"/>
        </w:rPr>
        <w:t xml:space="preserve"> to train a registrar and are hosting registrars; and</w:t>
      </w:r>
    </w:p>
    <w:p w14:paraId="041CF972" w14:textId="7B669AD4" w:rsidR="003A149F" w:rsidRPr="001D4C45" w:rsidRDefault="003A149F" w:rsidP="008E4FD2">
      <w:pPr>
        <w:pStyle w:val="ListBullet"/>
        <w:rPr>
          <w:rFonts w:eastAsia="Calibri"/>
        </w:rPr>
      </w:pPr>
      <w:r w:rsidRPr="001D4C45">
        <w:rPr>
          <w:rFonts w:eastAsia="Calibri"/>
        </w:rPr>
        <w:t>Registrars –</w:t>
      </w:r>
      <w:r>
        <w:rPr>
          <w:rFonts w:eastAsia="Calibri"/>
        </w:rPr>
        <w:t xml:space="preserve"> </w:t>
      </w:r>
      <w:r w:rsidRPr="001D4C45">
        <w:rPr>
          <w:rFonts w:eastAsia="Calibri"/>
        </w:rPr>
        <w:t>support payments are made to eligible registrars in training under the College-</w:t>
      </w:r>
      <w:r w:rsidR="00181993">
        <w:rPr>
          <w:rFonts w:eastAsia="Calibri"/>
        </w:rPr>
        <w:t>L</w:t>
      </w:r>
      <w:r w:rsidRPr="001D4C45">
        <w:rPr>
          <w:rFonts w:eastAsia="Calibri"/>
        </w:rPr>
        <w:t>ed AGPT program.</w:t>
      </w:r>
    </w:p>
    <w:p w14:paraId="3C94A07B" w14:textId="77777777" w:rsidR="003A149F" w:rsidRPr="008E4FD2" w:rsidRDefault="003A149F" w:rsidP="008E4FD2">
      <w:pPr>
        <w:pStyle w:val="Heading4"/>
      </w:pPr>
      <w:r w:rsidRPr="008E4FD2">
        <w:lastRenderedPageBreak/>
        <w:t>Geography based support payments</w:t>
      </w:r>
    </w:p>
    <w:bookmarkEnd w:id="3"/>
    <w:p w14:paraId="2CDD5B90" w14:textId="77777777" w:rsidR="003A149F" w:rsidRPr="008E4FD2" w:rsidRDefault="003A149F" w:rsidP="008E4FD2">
      <w:r w:rsidRPr="008E4FD2">
        <w:t xml:space="preserve">The AGPT program support payments to registrars and supervisors are tiered according to the Modified Monash Model (MMM) classification of the location of training.  </w:t>
      </w:r>
    </w:p>
    <w:p w14:paraId="1A3AFD01" w14:textId="117B8B27" w:rsidR="003A149F" w:rsidRPr="008E4FD2" w:rsidRDefault="003A149F" w:rsidP="008E4FD2">
      <w:r w:rsidRPr="008E4FD2">
        <w:t xml:space="preserve">The </w:t>
      </w:r>
      <w:r w:rsidR="00181993" w:rsidRPr="008E4FD2">
        <w:t>RACGP</w:t>
      </w:r>
      <w:r w:rsidRPr="008E4FD2">
        <w:t xml:space="preserve"> and the </w:t>
      </w:r>
      <w:r w:rsidR="00181993" w:rsidRPr="008E4FD2">
        <w:t xml:space="preserve">ACRRM </w:t>
      </w:r>
      <w:r w:rsidRPr="008E4FD2">
        <w:t xml:space="preserve">will provide payment instructions to Services Australia to make payments based on training placements agreed to by supervisors, </w:t>
      </w:r>
      <w:proofErr w:type="gramStart"/>
      <w:r w:rsidRPr="008E4FD2">
        <w:t>practices</w:t>
      </w:r>
      <w:proofErr w:type="gramEnd"/>
      <w:r w:rsidRPr="008E4FD2">
        <w:t xml:space="preserve"> and registrars. Payment levels will be adjusted by the colleges based on the Full Time Equivalent (FTE) training to be undertaken by registrars. </w:t>
      </w:r>
    </w:p>
    <w:p w14:paraId="076DA9E5" w14:textId="167862B4" w:rsidR="003A149F" w:rsidRPr="008E4FD2" w:rsidRDefault="008E4FD2" w:rsidP="008E4FD2">
      <w:pPr>
        <w:pStyle w:val="Heading3"/>
      </w:pPr>
      <w:bookmarkStart w:id="4" w:name="_Hlk89853565"/>
      <w:bookmarkStart w:id="5" w:name="_Toc117605617"/>
      <w:r w:rsidRPr="008E4FD2">
        <w:t>Eligibility Requirements Across Geographical Locations</w:t>
      </w:r>
      <w:bookmarkEnd w:id="5"/>
      <w:r w:rsidRPr="008E4FD2">
        <w:t xml:space="preserve"> </w:t>
      </w:r>
      <w:bookmarkEnd w:id="4"/>
    </w:p>
    <w:p w14:paraId="2B828F44" w14:textId="4D5B183C" w:rsidR="00FF575C" w:rsidRPr="008E4FD2" w:rsidRDefault="00FF575C" w:rsidP="008E4FD2">
      <w:r w:rsidRPr="008E4FD2">
        <w:t>All eligible supervisors, practices and registrars who are currently participating in the AGPT program with the RTOs will automatically transition to the College-</w:t>
      </w:r>
      <w:r w:rsidR="00181993" w:rsidRPr="008E4FD2">
        <w:t>L</w:t>
      </w:r>
      <w:r w:rsidRPr="008E4FD2">
        <w:t>ed AGPT program starting from Semester 1, 2023.</w:t>
      </w:r>
    </w:p>
    <w:p w14:paraId="17B64159" w14:textId="3392E961" w:rsidR="00FF575C" w:rsidRPr="008E4FD2" w:rsidRDefault="00FF575C" w:rsidP="008E4FD2">
      <w:r w:rsidRPr="008E4FD2">
        <w:t>The College–</w:t>
      </w:r>
      <w:r w:rsidR="00181993" w:rsidRPr="008E4FD2">
        <w:t>L</w:t>
      </w:r>
      <w:r w:rsidRPr="008E4FD2">
        <w:t xml:space="preserve">ed AGPT program will provide payments tiered according to MMM to target financial support more effectively and provide greater clarity for supervisors, </w:t>
      </w:r>
      <w:proofErr w:type="gramStart"/>
      <w:r w:rsidRPr="008E4FD2">
        <w:t>practices</w:t>
      </w:r>
      <w:proofErr w:type="gramEnd"/>
      <w:r w:rsidRPr="008E4FD2">
        <w:t xml:space="preserve"> and registrars in regional, rural and remote locations.</w:t>
      </w:r>
    </w:p>
    <w:p w14:paraId="7FE438A3" w14:textId="77777777" w:rsidR="00FF575C" w:rsidRPr="008E4FD2" w:rsidRDefault="00FF575C" w:rsidP="008E4FD2">
      <w:r w:rsidRPr="008E4FD2">
        <w:t xml:space="preserve">The number of payments and amount of funding for each of the eligible AGPT program participants (supervisors, </w:t>
      </w:r>
      <w:proofErr w:type="gramStart"/>
      <w:r w:rsidRPr="008E4FD2">
        <w:t>practices</w:t>
      </w:r>
      <w:proofErr w:type="gramEnd"/>
      <w:r w:rsidRPr="008E4FD2">
        <w:t xml:space="preserve"> and registrars) receive depends on the:</w:t>
      </w:r>
    </w:p>
    <w:p w14:paraId="715DCF01" w14:textId="77777777" w:rsidR="00FF575C" w:rsidRPr="008E4FD2" w:rsidRDefault="00FF575C" w:rsidP="00B77682">
      <w:pPr>
        <w:pStyle w:val="ListBullet"/>
        <w:rPr>
          <w:rFonts w:eastAsia="Calibri"/>
        </w:rPr>
      </w:pPr>
      <w:r w:rsidRPr="008E4FD2">
        <w:rPr>
          <w:rFonts w:eastAsia="Calibri"/>
        </w:rPr>
        <w:t xml:space="preserve">MMM training </w:t>
      </w:r>
      <w:proofErr w:type="gramStart"/>
      <w:r w:rsidRPr="008E4FD2">
        <w:rPr>
          <w:rFonts w:eastAsia="Calibri"/>
        </w:rPr>
        <w:t>location;</w:t>
      </w:r>
      <w:proofErr w:type="gramEnd"/>
      <w:r w:rsidRPr="008E4FD2">
        <w:rPr>
          <w:rFonts w:eastAsia="Calibri"/>
        </w:rPr>
        <w:t xml:space="preserve"> </w:t>
      </w:r>
    </w:p>
    <w:p w14:paraId="36DB5B11" w14:textId="77777777" w:rsidR="00FF575C" w:rsidRPr="008E4FD2" w:rsidRDefault="00FF575C" w:rsidP="00B77682">
      <w:pPr>
        <w:pStyle w:val="ListBullet"/>
        <w:rPr>
          <w:rFonts w:eastAsia="Calibri"/>
        </w:rPr>
      </w:pPr>
      <w:r w:rsidRPr="008E4FD2">
        <w:rPr>
          <w:rFonts w:eastAsia="Calibri"/>
        </w:rPr>
        <w:t xml:space="preserve">training term in which the participant is </w:t>
      </w:r>
      <w:proofErr w:type="gramStart"/>
      <w:r w:rsidRPr="008E4FD2">
        <w:rPr>
          <w:rFonts w:eastAsia="Calibri"/>
        </w:rPr>
        <w:t>engaged;</w:t>
      </w:r>
      <w:proofErr w:type="gramEnd"/>
      <w:r w:rsidRPr="008E4FD2">
        <w:rPr>
          <w:rFonts w:eastAsia="Calibri"/>
        </w:rPr>
        <w:t xml:space="preserve"> </w:t>
      </w:r>
    </w:p>
    <w:p w14:paraId="18415ED7" w14:textId="77777777" w:rsidR="00FF575C" w:rsidRPr="008E4FD2" w:rsidRDefault="00FF575C" w:rsidP="00B77682">
      <w:pPr>
        <w:pStyle w:val="ListBullet"/>
        <w:rPr>
          <w:rFonts w:eastAsia="Calibri"/>
        </w:rPr>
      </w:pPr>
      <w:r w:rsidRPr="008E4FD2">
        <w:rPr>
          <w:rFonts w:eastAsia="Calibri"/>
        </w:rPr>
        <w:t>(</w:t>
      </w:r>
      <w:proofErr w:type="gramStart"/>
      <w:r w:rsidRPr="008E4FD2">
        <w:rPr>
          <w:rFonts w:eastAsia="Calibri"/>
        </w:rPr>
        <w:t>for</w:t>
      </w:r>
      <w:proofErr w:type="gramEnd"/>
      <w:r w:rsidRPr="008E4FD2">
        <w:rPr>
          <w:rFonts w:eastAsia="Calibri"/>
        </w:rPr>
        <w:t xml:space="preserve"> supervisors and practices) hours each eligible participant is involved in training each week / term (1.0 FTE is equivalent to 38 hours per week and 26 FTE weeks per term (GPT1/GPT2/GPT3)); and</w:t>
      </w:r>
    </w:p>
    <w:p w14:paraId="1EE01268" w14:textId="77777777" w:rsidR="00FF575C" w:rsidRPr="008E4FD2" w:rsidRDefault="00FF575C" w:rsidP="00B77682">
      <w:pPr>
        <w:pStyle w:val="ListBullet"/>
        <w:rPr>
          <w:rFonts w:eastAsia="Calibri"/>
        </w:rPr>
      </w:pPr>
      <w:r w:rsidRPr="008E4FD2">
        <w:rPr>
          <w:rFonts w:eastAsia="Calibri"/>
        </w:rPr>
        <w:t>terms and conditions of payments within the scope of the NCP framework and requirements.</w:t>
      </w:r>
    </w:p>
    <w:p w14:paraId="44EEE8A9" w14:textId="77777777" w:rsidR="00FF575C" w:rsidRPr="008E4FD2" w:rsidRDefault="00FF575C" w:rsidP="008E4FD2">
      <w:pPr>
        <w:pStyle w:val="Heading4"/>
      </w:pPr>
      <w:r w:rsidRPr="008E4FD2">
        <w:t>Withdrawal from AGPT program</w:t>
      </w:r>
    </w:p>
    <w:p w14:paraId="1C606DBE" w14:textId="77777777" w:rsidR="00FF575C" w:rsidRPr="008E4FD2" w:rsidRDefault="00FF575C" w:rsidP="008E4FD2">
      <w:r w:rsidRPr="008E4FD2">
        <w:t xml:space="preserve">Eligible AGPT program participants, including supervisors, </w:t>
      </w:r>
      <w:proofErr w:type="gramStart"/>
      <w:r w:rsidRPr="008E4FD2">
        <w:t>practices</w:t>
      </w:r>
      <w:proofErr w:type="gramEnd"/>
      <w:r w:rsidRPr="008E4FD2">
        <w:t xml:space="preserve"> and registrars, should advise the relevant college that they are considering withdrawing from the AGPT program. In the case of circumstances that could lead to a participant being withdrawn from the AGPT program after the commencement of training, the relevant college should be advised by the participant ahead of withdrawal occurring.</w:t>
      </w:r>
    </w:p>
    <w:p w14:paraId="646087EA" w14:textId="77777777" w:rsidR="00FF575C" w:rsidRPr="008E4FD2" w:rsidRDefault="00FF575C" w:rsidP="008E4FD2">
      <w:r w:rsidRPr="008E4FD2">
        <w:t xml:space="preserve">Consistent with college eligibility requirements, registrars who plan to start the AGPT program but do not proceed with a placement will not be paid. Registrars who terminate their training in the AGPT program during a placement with a GP practice will not be required to return the support payments received during the period of their training. </w:t>
      </w:r>
    </w:p>
    <w:p w14:paraId="68EB07C8" w14:textId="77777777" w:rsidR="00FF575C" w:rsidRPr="008E4FD2" w:rsidRDefault="00FF575C" w:rsidP="008E4FD2">
      <w:pPr>
        <w:pStyle w:val="Heading4"/>
      </w:pPr>
      <w:r w:rsidRPr="008E4FD2">
        <w:t>Payments to eligible AGPT participants – Semester 1, January 2023</w:t>
      </w:r>
    </w:p>
    <w:p w14:paraId="1B966AE9" w14:textId="77777777" w:rsidR="00FF575C" w:rsidRPr="008E4FD2" w:rsidRDefault="00FF575C" w:rsidP="008E4FD2">
      <w:r w:rsidRPr="008E4FD2">
        <w:t xml:space="preserve">Health, Services </w:t>
      </w:r>
      <w:proofErr w:type="gramStart"/>
      <w:r w:rsidRPr="008E4FD2">
        <w:t>Australia</w:t>
      </w:r>
      <w:proofErr w:type="gramEnd"/>
      <w:r w:rsidRPr="008E4FD2">
        <w:t xml:space="preserve"> and the colleges (RACGP and ACRRM) are working closely together to ensure that those eligible participants who are continuing and/or starting their training term in January 2023 will be paid in accordance with the NCP framework at the start of their Semester 1 training term.</w:t>
      </w:r>
    </w:p>
    <w:p w14:paraId="59E7C304" w14:textId="77777777" w:rsidR="00FF575C" w:rsidRPr="008E4FD2" w:rsidRDefault="00FF575C" w:rsidP="008E4FD2">
      <w:r w:rsidRPr="008E4FD2">
        <w:t>Further instructions will be provided in due course for those regions that commence Semester 1, 2023 in January 2023.</w:t>
      </w:r>
    </w:p>
    <w:p w14:paraId="096F43DB" w14:textId="0AC093F1" w:rsidR="00FF575C" w:rsidRPr="008E4FD2" w:rsidRDefault="008E4FD2" w:rsidP="008E4FD2">
      <w:pPr>
        <w:pStyle w:val="Heading3"/>
        <w:rPr>
          <w:rFonts w:eastAsia="Calibri"/>
        </w:rPr>
      </w:pPr>
      <w:bookmarkStart w:id="6" w:name="_Hlk98949965"/>
      <w:bookmarkStart w:id="7" w:name="_Toc117605618"/>
      <w:r w:rsidRPr="008E4FD2">
        <w:rPr>
          <w:rFonts w:eastAsia="Calibri"/>
        </w:rPr>
        <w:lastRenderedPageBreak/>
        <w:t xml:space="preserve">Calculation Of FTE Hours </w:t>
      </w:r>
      <w:r>
        <w:rPr>
          <w:rFonts w:eastAsia="Calibri"/>
        </w:rPr>
        <w:t>a</w:t>
      </w:r>
      <w:r w:rsidRPr="008E4FD2">
        <w:rPr>
          <w:rFonts w:eastAsia="Calibri"/>
        </w:rPr>
        <w:t>nd Rural/Remote Loading Payments</w:t>
      </w:r>
      <w:bookmarkEnd w:id="7"/>
    </w:p>
    <w:bookmarkEnd w:id="6"/>
    <w:p w14:paraId="1FF2F0CB" w14:textId="139B4837" w:rsidR="00FF575C" w:rsidRPr="008E4FD2" w:rsidRDefault="00FF575C" w:rsidP="008E4FD2">
      <w:r w:rsidRPr="008E4FD2">
        <w:t xml:space="preserve">The </w:t>
      </w:r>
      <w:r w:rsidR="00181993" w:rsidRPr="008E4FD2">
        <w:t xml:space="preserve">RACGP </w:t>
      </w:r>
      <w:r w:rsidRPr="008E4FD2">
        <w:t xml:space="preserve">and the </w:t>
      </w:r>
      <w:r w:rsidR="00181993" w:rsidRPr="008E4FD2">
        <w:t>ACRRM</w:t>
      </w:r>
      <w:r w:rsidRPr="008E4FD2">
        <w:t xml:space="preserve"> will calculate and determine the appropriate FTE hours for all AGPT program participants to support the training and payment requirements. This is consistent with the GP training colleges’ role in setting standards for training and determining FTE training hours to obtain college fellowship.</w:t>
      </w:r>
    </w:p>
    <w:p w14:paraId="61CC496E" w14:textId="48A8A58A" w:rsidR="00FF575C" w:rsidRPr="008E4FD2" w:rsidRDefault="00FF575C" w:rsidP="008E4FD2">
      <w:r w:rsidRPr="008E4FD2">
        <w:t xml:space="preserve">The </w:t>
      </w:r>
      <w:r w:rsidR="00181993" w:rsidRPr="008E4FD2">
        <w:t>RACGP</w:t>
      </w:r>
      <w:r w:rsidRPr="008E4FD2">
        <w:t xml:space="preserve"> and the </w:t>
      </w:r>
      <w:r w:rsidR="00181993" w:rsidRPr="008E4FD2">
        <w:t>ACRRM</w:t>
      </w:r>
      <w:r w:rsidRPr="008E4FD2">
        <w:t xml:space="preserve"> will provide payment data for each of the AGPT program participants (supervisors, </w:t>
      </w:r>
      <w:proofErr w:type="gramStart"/>
      <w:r w:rsidRPr="008E4FD2">
        <w:t>practices</w:t>
      </w:r>
      <w:proofErr w:type="gramEnd"/>
      <w:r w:rsidRPr="008E4FD2">
        <w:t xml:space="preserve"> and registrars) to Health and Services Australia.</w:t>
      </w:r>
    </w:p>
    <w:p w14:paraId="1512EE37" w14:textId="1211C919" w:rsidR="00FF575C" w:rsidRPr="008E4FD2" w:rsidRDefault="008E4FD2" w:rsidP="008E4FD2">
      <w:pPr>
        <w:pStyle w:val="Heading3"/>
        <w:rPr>
          <w:rFonts w:eastAsia="Calibri"/>
        </w:rPr>
      </w:pPr>
      <w:bookmarkStart w:id="8" w:name="_Toc117605619"/>
      <w:r w:rsidRPr="008E4FD2">
        <w:rPr>
          <w:rFonts w:eastAsia="Calibri"/>
        </w:rPr>
        <w:t xml:space="preserve">Payments Processing </w:t>
      </w:r>
      <w:r>
        <w:rPr>
          <w:rFonts w:eastAsia="Calibri"/>
        </w:rPr>
        <w:t>a</w:t>
      </w:r>
      <w:r w:rsidRPr="008E4FD2">
        <w:rPr>
          <w:rFonts w:eastAsia="Calibri"/>
        </w:rPr>
        <w:t>nd Application Programming Interface</w:t>
      </w:r>
      <w:bookmarkEnd w:id="8"/>
    </w:p>
    <w:p w14:paraId="265CA4F4" w14:textId="77777777" w:rsidR="00FF575C" w:rsidRPr="008E4FD2" w:rsidRDefault="00FF575C" w:rsidP="008E4FD2">
      <w:r w:rsidRPr="008E4FD2">
        <w:t>Services Australia will build an Application Programming Interface (API) that will allow college systems to communicate directly with Services Australia systems.</w:t>
      </w:r>
    </w:p>
    <w:p w14:paraId="2CBA3EBE" w14:textId="77777777" w:rsidR="00FF575C" w:rsidRPr="001D4C45" w:rsidRDefault="00FF575C" w:rsidP="008E4FD2">
      <w:r w:rsidRPr="001D4C45">
        <w:t xml:space="preserve">The two key operations of the API will </w:t>
      </w:r>
      <w:r>
        <w:t>be</w:t>
      </w:r>
      <w:r w:rsidRPr="001D4C45">
        <w:t>:</w:t>
      </w:r>
    </w:p>
    <w:p w14:paraId="0005D220" w14:textId="266AECDA" w:rsidR="00FF575C" w:rsidRPr="008E4FD2" w:rsidRDefault="00FF575C" w:rsidP="008E4FD2">
      <w:pPr>
        <w:pStyle w:val="ListBullet"/>
        <w:rPr>
          <w:rFonts w:eastAsia="Calibri"/>
        </w:rPr>
      </w:pPr>
      <w:r w:rsidRPr="008E4FD2">
        <w:rPr>
          <w:rFonts w:eastAsia="Calibri"/>
        </w:rPr>
        <w:t xml:space="preserve">the </w:t>
      </w:r>
      <w:r w:rsidR="00181993" w:rsidRPr="008E4FD2">
        <w:rPr>
          <w:rFonts w:eastAsia="Calibri"/>
        </w:rPr>
        <w:t>RACGP</w:t>
      </w:r>
      <w:r w:rsidRPr="008E4FD2">
        <w:rPr>
          <w:rFonts w:eastAsia="Calibri"/>
        </w:rPr>
        <w:t xml:space="preserve"> and the </w:t>
      </w:r>
      <w:r w:rsidR="00181993" w:rsidRPr="008E4FD2">
        <w:rPr>
          <w:rFonts w:eastAsia="Calibri"/>
        </w:rPr>
        <w:t>ACRRM</w:t>
      </w:r>
      <w:r w:rsidRPr="008E4FD2">
        <w:rPr>
          <w:rFonts w:eastAsia="Calibri"/>
        </w:rPr>
        <w:t xml:space="preserve"> submitting payment requests; and</w:t>
      </w:r>
    </w:p>
    <w:p w14:paraId="7A5AB398" w14:textId="77777777" w:rsidR="00FF575C" w:rsidRPr="008E4FD2" w:rsidRDefault="00FF575C" w:rsidP="008E4FD2">
      <w:pPr>
        <w:pStyle w:val="ListBullet"/>
        <w:rPr>
          <w:rFonts w:eastAsia="Calibri"/>
        </w:rPr>
      </w:pPr>
      <w:r w:rsidRPr="008E4FD2">
        <w:rPr>
          <w:rFonts w:eastAsia="Calibri"/>
        </w:rPr>
        <w:t>both colleges enquiring on the status of submitted payment requests.</w:t>
      </w:r>
    </w:p>
    <w:p w14:paraId="5909FB87" w14:textId="77777777" w:rsidR="00FF575C" w:rsidRPr="008E4FD2" w:rsidRDefault="00FF575C" w:rsidP="003E2843">
      <w:pPr>
        <w:pStyle w:val="Heading4"/>
      </w:pPr>
      <w:r w:rsidRPr="008E4FD2">
        <w:t>Bank Account Details</w:t>
      </w:r>
    </w:p>
    <w:p w14:paraId="6F0356FC" w14:textId="77777777" w:rsidR="00FF575C" w:rsidRDefault="00FF575C" w:rsidP="008E4FD2">
      <w:r w:rsidRPr="001D4C45">
        <w:t>For payment processing, the bank account details will be held within Services Australia systems as part of recipient registration. Payment requests may remain in a pending state if bank account details are not currently available for the recipient at the time of a payment run.</w:t>
      </w:r>
    </w:p>
    <w:p w14:paraId="17556B03" w14:textId="29F8F3E6" w:rsidR="00FF575C" w:rsidRPr="001D4C45" w:rsidRDefault="008E4FD2" w:rsidP="00FF575C">
      <w:pPr>
        <w:pStyle w:val="Heading3"/>
        <w:rPr>
          <w:rFonts w:eastAsia="Calibri"/>
        </w:rPr>
      </w:pPr>
      <w:bookmarkStart w:id="9" w:name="_Toc117605620"/>
      <w:r w:rsidRPr="001D4C45">
        <w:rPr>
          <w:rFonts w:eastAsia="Calibri"/>
        </w:rPr>
        <w:t xml:space="preserve">Payment Calculation </w:t>
      </w:r>
      <w:r>
        <w:rPr>
          <w:rFonts w:eastAsia="Calibri"/>
        </w:rPr>
        <w:t>a</w:t>
      </w:r>
      <w:r w:rsidRPr="001D4C45">
        <w:rPr>
          <w:rFonts w:eastAsia="Calibri"/>
        </w:rPr>
        <w:t>nd Maximum Payment Amounts</w:t>
      </w:r>
      <w:bookmarkEnd w:id="9"/>
    </w:p>
    <w:p w14:paraId="5EEA7498" w14:textId="2ABEC90F" w:rsidR="00FF575C" w:rsidRPr="008E4FD2" w:rsidRDefault="00FF575C" w:rsidP="008E4FD2">
      <w:r w:rsidRPr="00BB1D1E">
        <w:t xml:space="preserve">The FTE training hours will be used by the </w:t>
      </w:r>
      <w:r w:rsidR="00181993">
        <w:t>RACGP</w:t>
      </w:r>
      <w:r w:rsidRPr="00BB1D1E">
        <w:t xml:space="preserve"> and the </w:t>
      </w:r>
      <w:r w:rsidR="00181993">
        <w:t>ACRRM</w:t>
      </w:r>
      <w:r w:rsidRPr="00BB1D1E">
        <w:t xml:space="preserve"> to calculate the maximum payment amounts which will be received by AGPT program participants across each</w:t>
      </w:r>
      <w:r w:rsidRPr="008E4FD2">
        <w:t xml:space="preserve"> MMM geographic classification and at each training year level.  </w:t>
      </w:r>
    </w:p>
    <w:p w14:paraId="6BCA94AB" w14:textId="42B76117" w:rsidR="00FF575C" w:rsidRPr="008E4FD2" w:rsidRDefault="00FF575C" w:rsidP="008E4FD2">
      <w:r w:rsidRPr="008E4FD2">
        <w:t>Consistent with the NCP framework and payments model, the colleges (</w:t>
      </w:r>
      <w:r w:rsidR="00181993" w:rsidRPr="008E4FD2">
        <w:t>RACGP</w:t>
      </w:r>
      <w:r w:rsidRPr="008E4FD2">
        <w:t xml:space="preserve"> and </w:t>
      </w:r>
      <w:r w:rsidR="00181993" w:rsidRPr="008E4FD2">
        <w:t>ACRRM</w:t>
      </w:r>
      <w:r w:rsidRPr="008E4FD2">
        <w:t xml:space="preserve">) will provide the payments data to Services Australia for processing and prior to making payments, as applicable.  </w:t>
      </w:r>
    </w:p>
    <w:p w14:paraId="5025620E" w14:textId="43E3F8F7" w:rsidR="00FF575C" w:rsidRPr="008E4FD2" w:rsidRDefault="00FF575C" w:rsidP="008E4FD2">
      <w:r w:rsidRPr="008E4FD2">
        <w:t xml:space="preserve">Any changes or amendments to the payments data will be communicated by the </w:t>
      </w:r>
      <w:r w:rsidR="00181993" w:rsidRPr="008E4FD2">
        <w:t>RACGP</w:t>
      </w:r>
      <w:r w:rsidRPr="008E4FD2">
        <w:t xml:space="preserve"> and the </w:t>
      </w:r>
      <w:r w:rsidR="00181993" w:rsidRPr="008E4FD2">
        <w:t>ACRRM</w:t>
      </w:r>
      <w:r w:rsidRPr="008E4FD2">
        <w:t xml:space="preserve"> to Services Australia. This will allow the colleges to reconcile payment data for checking and quality assurance purposes. </w:t>
      </w:r>
    </w:p>
    <w:p w14:paraId="4DC8000D" w14:textId="52CA80BE" w:rsidR="00FF575C" w:rsidRPr="001D4C45" w:rsidRDefault="00FF575C" w:rsidP="008E4FD2">
      <w:r w:rsidRPr="008E4FD2">
        <w:t>The use o</w:t>
      </w:r>
      <w:r w:rsidRPr="001D4C45">
        <w:t xml:space="preserve">f discretionary </w:t>
      </w:r>
      <w:r>
        <w:t>flexible payment pool funds</w:t>
      </w:r>
      <w:r w:rsidRPr="001D4C45">
        <w:t xml:space="preserve"> by the </w:t>
      </w:r>
      <w:r w:rsidR="00181993">
        <w:t>RACGP</w:t>
      </w:r>
      <w:r w:rsidRPr="001D4C45">
        <w:t xml:space="preserve"> and the </w:t>
      </w:r>
      <w:r w:rsidR="00181993">
        <w:t>ACRRM</w:t>
      </w:r>
      <w:r w:rsidRPr="001D4C45">
        <w:t xml:space="preserve"> will provide additional support</w:t>
      </w:r>
      <w:r>
        <w:t>, including</w:t>
      </w:r>
      <w:r w:rsidRPr="001D4C45">
        <w:t xml:space="preserve"> in hard</w:t>
      </w:r>
      <w:r>
        <w:t>-</w:t>
      </w:r>
      <w:r w:rsidRPr="001D4C45">
        <w:t>t</w:t>
      </w:r>
      <w:r>
        <w:t>o-</w:t>
      </w:r>
      <w:r w:rsidRPr="001D4C45">
        <w:t xml:space="preserve">fill locations or </w:t>
      </w:r>
      <w:r>
        <w:t xml:space="preserve">for </w:t>
      </w:r>
      <w:r w:rsidRPr="001D4C45">
        <w:t xml:space="preserve">complex training requirements. These special training circumstances will be considered by the </w:t>
      </w:r>
      <w:r w:rsidR="00181993">
        <w:t>RACGP</w:t>
      </w:r>
      <w:r w:rsidRPr="001D4C45">
        <w:t xml:space="preserve"> and the </w:t>
      </w:r>
      <w:r w:rsidR="00181993">
        <w:t>ACRRM</w:t>
      </w:r>
      <w:r w:rsidRPr="001D4C45">
        <w:t xml:space="preserve"> to ensure a nationally consistent payments approach is sustainable. To maintain the principles of accountability and transparency around the use of public funds, the colleges will provide an annual report to the Department</w:t>
      </w:r>
      <w:r>
        <w:t xml:space="preserve"> </w:t>
      </w:r>
      <w:r w:rsidRPr="001D4C45">
        <w:t xml:space="preserve">on the use of flexible </w:t>
      </w:r>
      <w:r>
        <w:t>payment pool funds</w:t>
      </w:r>
      <w:r w:rsidRPr="001D4C45">
        <w:t xml:space="preserve"> as part of annual compliance reporting to Health. </w:t>
      </w:r>
    </w:p>
    <w:p w14:paraId="5D621002" w14:textId="77777777" w:rsidR="00FF575C" w:rsidRPr="008E4FD2" w:rsidRDefault="00FF575C" w:rsidP="008E4FD2">
      <w:pPr>
        <w:pStyle w:val="Heading4"/>
      </w:pPr>
      <w:r w:rsidRPr="008E4FD2">
        <w:t>AGPT program year level</w:t>
      </w:r>
    </w:p>
    <w:p w14:paraId="160CF8BE" w14:textId="77777777" w:rsidR="00FF575C" w:rsidRPr="008E4FD2" w:rsidRDefault="00FF575C" w:rsidP="008E4FD2">
      <w:r w:rsidRPr="008E4FD2">
        <w:t xml:space="preserve">The AGPT program provides for a participant to actively remain within the program in training for a period of 52 FTE weeks per year.  </w:t>
      </w:r>
    </w:p>
    <w:p w14:paraId="0134308E" w14:textId="5342FA88" w:rsidR="00FF575C" w:rsidRPr="008E4FD2" w:rsidRDefault="00FF575C" w:rsidP="008E4FD2">
      <w:r w:rsidRPr="001D4C45">
        <w:lastRenderedPageBreak/>
        <w:t>To d</w:t>
      </w:r>
      <w:r w:rsidRPr="008E4FD2">
        <w:t xml:space="preserve">etermine the maximum support payment amount, the </w:t>
      </w:r>
      <w:r w:rsidR="00181993" w:rsidRPr="008E4FD2">
        <w:t xml:space="preserve">RACGP </w:t>
      </w:r>
      <w:r w:rsidRPr="008E4FD2">
        <w:t xml:space="preserve">and the </w:t>
      </w:r>
      <w:r w:rsidR="00181993" w:rsidRPr="008E4FD2">
        <w:t>ACRRM</w:t>
      </w:r>
      <w:r w:rsidRPr="008E4FD2">
        <w:t xml:space="preserve"> will consider the AGPT program year level, the pro-rata FTE active training hours of each participant, and the MMM classification of the locations in which the training program will occur and/or has occurred. The </w:t>
      </w:r>
      <w:r w:rsidR="00181993" w:rsidRPr="008E4FD2">
        <w:t>RACGP</w:t>
      </w:r>
      <w:r w:rsidRPr="008E4FD2">
        <w:t xml:space="preserve"> and the </w:t>
      </w:r>
      <w:r w:rsidR="00181993" w:rsidRPr="008E4FD2">
        <w:t>ACRRM</w:t>
      </w:r>
      <w:r w:rsidRPr="008E4FD2">
        <w:t xml:space="preserve"> will provide the training and payment data to Health and Services Australia for the payments to be processed and delivered to all eligible program participants.  </w:t>
      </w:r>
    </w:p>
    <w:p w14:paraId="4AF657C7" w14:textId="77777777" w:rsidR="00FF575C" w:rsidRDefault="00FF575C" w:rsidP="008E4FD2">
      <w:r w:rsidRPr="008E4FD2">
        <w:t xml:space="preserve">Of note: Consistent with the NCP framework and payments model, eligible registrars on the AGPT program will be provided with support payments in advance of every training term. As such, registrar payments will be based on college requirements and starting a placement with </w:t>
      </w:r>
      <w:r w:rsidRPr="004B7F97">
        <w:t>a GP practice</w:t>
      </w:r>
      <w:r>
        <w:t>,</w:t>
      </w:r>
      <w:r w:rsidRPr="004B7F97">
        <w:t xml:space="preserve"> irrespective of FTE hours in a particular location. </w:t>
      </w:r>
      <w:r>
        <w:t xml:space="preserve">For participating </w:t>
      </w:r>
      <w:r w:rsidRPr="004B7F97">
        <w:t>supervisors and practices, support payments will be based on the FTE hours, and as such pro-rata FTE hours will be applicable.</w:t>
      </w:r>
    </w:p>
    <w:p w14:paraId="73D37D18" w14:textId="1CD952A1" w:rsidR="00FF575C" w:rsidRPr="008E4FD2" w:rsidRDefault="00FF575C" w:rsidP="008E4FD2">
      <w:r w:rsidRPr="008E4FD2">
        <w:t xml:space="preserve">The timely submission of a payment data file to Services Australia for the purposes of compliance checks, data processing and payment run is the responsibility of the </w:t>
      </w:r>
      <w:r w:rsidR="00181993" w:rsidRPr="008E4FD2">
        <w:t>RACGP</w:t>
      </w:r>
      <w:r w:rsidRPr="008E4FD2">
        <w:t xml:space="preserve"> and the </w:t>
      </w:r>
      <w:r w:rsidR="00181993" w:rsidRPr="008E4FD2">
        <w:t>ACRRM</w:t>
      </w:r>
      <w:r w:rsidRPr="008E4FD2">
        <w:t>.</w:t>
      </w:r>
    </w:p>
    <w:p w14:paraId="3EC724ED" w14:textId="27414360" w:rsidR="00FF575C" w:rsidRPr="008E4FD2" w:rsidRDefault="00FF575C" w:rsidP="008E4FD2">
      <w:r w:rsidRPr="008E4FD2">
        <w:t xml:space="preserve">For participating supervisors who practise across multiple MM locations, the </w:t>
      </w:r>
      <w:r w:rsidR="00181993" w:rsidRPr="008E4FD2">
        <w:t>RACGP</w:t>
      </w:r>
      <w:r w:rsidRPr="008E4FD2">
        <w:t xml:space="preserve"> or </w:t>
      </w:r>
      <w:r w:rsidR="00181993" w:rsidRPr="008E4FD2">
        <w:t>ACRRM</w:t>
      </w:r>
      <w:r w:rsidRPr="008E4FD2">
        <w:t xml:space="preserve"> will calculate pro-rata FTE training hours for each location to determine the total payments to be provided. For registrars who practise across multiple MM locations, the </w:t>
      </w:r>
      <w:r w:rsidR="00181993" w:rsidRPr="008E4FD2">
        <w:t>RACGP</w:t>
      </w:r>
      <w:r w:rsidRPr="008E4FD2">
        <w:t xml:space="preserve"> or </w:t>
      </w:r>
      <w:r w:rsidR="00181993" w:rsidRPr="008E4FD2">
        <w:t>ACRRM</w:t>
      </w:r>
      <w:r w:rsidRPr="008E4FD2">
        <w:t xml:space="preserve"> will pay eligible registrars at a level consistent with the highest MM location of their training placement. </w:t>
      </w:r>
    </w:p>
    <w:p w14:paraId="5593F4F4" w14:textId="6E82D780" w:rsidR="00FF575C" w:rsidRPr="008E4FD2" w:rsidRDefault="00FF575C" w:rsidP="008E4FD2">
      <w:r w:rsidRPr="008E4FD2">
        <w:t>The following guidance is provided for scenarios that may involve complex situations.</w:t>
      </w:r>
    </w:p>
    <w:tbl>
      <w:tblPr>
        <w:tblStyle w:val="DepartmentofHealthtable"/>
        <w:tblW w:w="5000" w:type="pct"/>
        <w:tblLook w:val="04A0" w:firstRow="1" w:lastRow="0" w:firstColumn="1" w:lastColumn="0" w:noHBand="0" w:noVBand="1"/>
      </w:tblPr>
      <w:tblGrid>
        <w:gridCol w:w="4502"/>
        <w:gridCol w:w="4568"/>
      </w:tblGrid>
      <w:tr w:rsidR="00FF575C" w:rsidRPr="00E842CE" w14:paraId="03BC2FA3" w14:textId="77777777" w:rsidTr="00FF575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82" w:type="pct"/>
          </w:tcPr>
          <w:p w14:paraId="54B555A1" w14:textId="70A8619B" w:rsidR="00FF575C" w:rsidRPr="00E842CE" w:rsidRDefault="00FF575C" w:rsidP="00DA4CAA">
            <w:pPr>
              <w:pStyle w:val="TableHeaderWhite"/>
            </w:pPr>
            <w:r>
              <w:t>Scenario</w:t>
            </w:r>
            <w:r w:rsidRPr="00E842CE">
              <w:t xml:space="preserve"> </w:t>
            </w:r>
          </w:p>
        </w:tc>
        <w:tc>
          <w:tcPr>
            <w:tcW w:w="2518" w:type="pct"/>
          </w:tcPr>
          <w:p w14:paraId="4BA2EB5D" w14:textId="054025BB" w:rsidR="00FF575C" w:rsidRPr="00E842CE" w:rsidRDefault="00FF575C" w:rsidP="00DA4CAA">
            <w:pPr>
              <w:pStyle w:val="TableHeader"/>
              <w:cnfStyle w:val="100000000000" w:firstRow="1" w:lastRow="0" w:firstColumn="0" w:lastColumn="0" w:oddVBand="0" w:evenVBand="0" w:oddHBand="0" w:evenHBand="0" w:firstRowFirstColumn="0" w:firstRowLastColumn="0" w:lastRowFirstColumn="0" w:lastRowLastColumn="0"/>
            </w:pPr>
            <w:r>
              <w:t>Guidelines</w:t>
            </w:r>
          </w:p>
        </w:tc>
      </w:tr>
      <w:tr w:rsidR="00FF575C" w:rsidRPr="00E842CE" w14:paraId="3FA35BBA" w14:textId="77777777" w:rsidTr="00FF5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pct"/>
          </w:tcPr>
          <w:p w14:paraId="657C3364" w14:textId="357E5BC1" w:rsidR="00FF575C" w:rsidRPr="00E842CE" w:rsidRDefault="00FF575C" w:rsidP="00FF575C">
            <w:pPr>
              <w:pStyle w:val="Tabletextleft"/>
            </w:pPr>
            <w:r w:rsidRPr="001D4C45">
              <w:rPr>
                <w:rFonts w:cstheme="minorHAnsi"/>
              </w:rPr>
              <w:t>Part-time vs full</w:t>
            </w:r>
            <w:r>
              <w:rPr>
                <w:rFonts w:cstheme="minorHAnsi"/>
              </w:rPr>
              <w:t>-</w:t>
            </w:r>
            <w:r w:rsidRPr="001D4C45">
              <w:rPr>
                <w:rFonts w:cstheme="minorHAnsi"/>
              </w:rPr>
              <w:t>time GP training</w:t>
            </w:r>
          </w:p>
        </w:tc>
        <w:tc>
          <w:tcPr>
            <w:tcW w:w="2518" w:type="pct"/>
          </w:tcPr>
          <w:p w14:paraId="1D75940C" w14:textId="7155E634"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pPr>
            <w:r w:rsidRPr="008E4FD2">
              <w:t xml:space="preserve">Supervisor and Practice Payments will be made to all participants based on FTE training hours.  The calculation and determination of FTE for each participant will be carried out by the </w:t>
            </w:r>
            <w:r w:rsidR="00181993" w:rsidRPr="008E4FD2">
              <w:t>RACGP</w:t>
            </w:r>
            <w:r w:rsidRPr="008E4FD2">
              <w:t xml:space="preserve"> and the </w:t>
            </w:r>
            <w:r w:rsidR="00181993" w:rsidRPr="008E4FD2">
              <w:t xml:space="preserve">ACRRM </w:t>
            </w:r>
            <w:r w:rsidRPr="008E4FD2">
              <w:t xml:space="preserve">prior to providing the information to Health and Services Australia for payments to be made.  </w:t>
            </w:r>
          </w:p>
          <w:p w14:paraId="72A9715C" w14:textId="77777777"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pPr>
            <w:r w:rsidRPr="008E4FD2">
              <w:t>As indicated in the NCP framework, an eligible registrar on a part-time training program will receive the same level of support as one undertaking full-time training.</w:t>
            </w:r>
          </w:p>
          <w:p w14:paraId="68CC5F7D" w14:textId="7C9F413C"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pPr>
            <w:r w:rsidRPr="008E4FD2">
              <w:t xml:space="preserve">Registrar Payments will be made in advance at the commencement of each training term. </w:t>
            </w:r>
          </w:p>
        </w:tc>
      </w:tr>
      <w:tr w:rsidR="00FF575C" w:rsidRPr="00E842CE" w14:paraId="3FA9C1F6" w14:textId="77777777" w:rsidTr="00FF5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pct"/>
          </w:tcPr>
          <w:p w14:paraId="7902C03D" w14:textId="5ED75E4F" w:rsidR="00FF575C" w:rsidRPr="00E842CE" w:rsidRDefault="00FF575C" w:rsidP="00DA4CAA">
            <w:pPr>
              <w:pStyle w:val="Tabletextleft"/>
            </w:pPr>
            <w:proofErr w:type="gramStart"/>
            <w:r>
              <w:rPr>
                <w:rFonts w:cstheme="minorHAnsi"/>
              </w:rPr>
              <w:t>R</w:t>
            </w:r>
            <w:r w:rsidRPr="001D4C45">
              <w:rPr>
                <w:rFonts w:cstheme="minorHAnsi"/>
              </w:rPr>
              <w:t>egistrars</w:t>
            </w:r>
            <w:proofErr w:type="gramEnd"/>
            <w:r w:rsidRPr="001D4C45">
              <w:rPr>
                <w:rFonts w:cstheme="minorHAnsi"/>
              </w:rPr>
              <w:t xml:space="preserve"> </w:t>
            </w:r>
            <w:r>
              <w:rPr>
                <w:rFonts w:cstheme="minorHAnsi"/>
              </w:rPr>
              <w:t xml:space="preserve">training </w:t>
            </w:r>
            <w:r w:rsidRPr="001D4C45">
              <w:rPr>
                <w:rFonts w:cstheme="minorHAnsi"/>
              </w:rPr>
              <w:t xml:space="preserve">across multiple locations </w:t>
            </w:r>
            <w:r>
              <w:rPr>
                <w:rFonts w:cstheme="minorHAnsi"/>
              </w:rPr>
              <w:t>concurrently</w:t>
            </w:r>
          </w:p>
        </w:tc>
        <w:tc>
          <w:tcPr>
            <w:tcW w:w="2518" w:type="pct"/>
          </w:tcPr>
          <w:p w14:paraId="11DC95CB" w14:textId="77777777"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 xml:space="preserve">For Practices and Supervisors, payments made will be based on the FTE training hours undertaken by the registrar in each MM location. </w:t>
            </w:r>
          </w:p>
          <w:p w14:paraId="7995E3E9" w14:textId="74F0D34A"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lastRenderedPageBreak/>
              <w:t xml:space="preserve">For registrars working across multiple MM locations, the colleges will provide payment advice that reflects the higher location-based payment rate. For example, in a scenario where a registrar works across an MM2 and MM1 area, payments would be made at the MM2 level. </w:t>
            </w:r>
          </w:p>
        </w:tc>
      </w:tr>
      <w:tr w:rsidR="00FF575C" w:rsidRPr="00E842CE" w14:paraId="10D8C1D7" w14:textId="77777777" w:rsidTr="00FF5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pct"/>
          </w:tcPr>
          <w:p w14:paraId="48BD7835" w14:textId="7F23B1FA" w:rsidR="00FF575C" w:rsidRDefault="00FF575C" w:rsidP="00DA4CAA">
            <w:pPr>
              <w:pStyle w:val="Tabletextleft"/>
              <w:rPr>
                <w:rFonts w:cstheme="minorHAnsi"/>
              </w:rPr>
            </w:pPr>
            <w:r w:rsidRPr="001D4C45">
              <w:rPr>
                <w:rFonts w:cstheme="minorHAnsi"/>
              </w:rPr>
              <w:lastRenderedPageBreak/>
              <w:t xml:space="preserve">Registrars in training with </w:t>
            </w:r>
            <w:r>
              <w:rPr>
                <w:rFonts w:cstheme="minorHAnsi"/>
              </w:rPr>
              <w:t xml:space="preserve">both the </w:t>
            </w:r>
            <w:r w:rsidR="00181993">
              <w:rPr>
                <w:rFonts w:cstheme="minorHAnsi"/>
              </w:rPr>
              <w:t>RACGP</w:t>
            </w:r>
            <w:r w:rsidRPr="001D4C45">
              <w:rPr>
                <w:rFonts w:cstheme="minorHAnsi"/>
              </w:rPr>
              <w:t xml:space="preserve"> and </w:t>
            </w:r>
            <w:r w:rsidR="00181993">
              <w:rPr>
                <w:rFonts w:cstheme="minorHAnsi"/>
              </w:rPr>
              <w:t>the ACRRM</w:t>
            </w:r>
          </w:p>
        </w:tc>
        <w:tc>
          <w:tcPr>
            <w:tcW w:w="2518" w:type="pct"/>
          </w:tcPr>
          <w:p w14:paraId="7BED8D2D" w14:textId="02A12021"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pPr>
            <w:r w:rsidRPr="008E4FD2">
              <w:t xml:space="preserve">It is the responsibility of the </w:t>
            </w:r>
            <w:r w:rsidR="00181993" w:rsidRPr="008E4FD2">
              <w:t>RACGP</w:t>
            </w:r>
            <w:r w:rsidRPr="008E4FD2">
              <w:t xml:space="preserve"> and </w:t>
            </w:r>
            <w:r w:rsidR="00181993" w:rsidRPr="008E4FD2">
              <w:t>ACRRM</w:t>
            </w:r>
            <w:r w:rsidRPr="008E4FD2">
              <w:t xml:space="preserve"> to provide a single payment to registrars, practice and supervisors hosting a dual applicant.  </w:t>
            </w:r>
          </w:p>
          <w:p w14:paraId="27B97561" w14:textId="0475893E"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pPr>
            <w:r w:rsidRPr="008E4FD2">
              <w:t>The RACGP</w:t>
            </w:r>
            <w:r w:rsidR="003B0914" w:rsidRPr="008E4FD2">
              <w:t xml:space="preserve"> </w:t>
            </w:r>
            <w:r w:rsidR="00B83F71" w:rsidRPr="008E4FD2">
              <w:t>and ACRRM</w:t>
            </w:r>
            <w:r w:rsidRPr="008E4FD2">
              <w:t xml:space="preserve"> will work together to determine a simple process of data collection based on their system requirements and internal business and financial processes.</w:t>
            </w:r>
          </w:p>
        </w:tc>
      </w:tr>
      <w:tr w:rsidR="00FF575C" w:rsidRPr="00E842CE" w14:paraId="364BB791" w14:textId="77777777" w:rsidTr="00FF5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pct"/>
          </w:tcPr>
          <w:p w14:paraId="538C4015" w14:textId="262B0FAD" w:rsidR="00FF575C" w:rsidRPr="001D4C45" w:rsidRDefault="00FF575C" w:rsidP="00DA4CAA">
            <w:pPr>
              <w:pStyle w:val="Tabletextleft"/>
              <w:rPr>
                <w:rFonts w:cstheme="minorHAnsi"/>
              </w:rPr>
            </w:pPr>
            <w:r w:rsidRPr="001D4C45">
              <w:rPr>
                <w:rFonts w:cstheme="minorHAnsi"/>
              </w:rPr>
              <w:t>GP training in a hospital</w:t>
            </w:r>
          </w:p>
        </w:tc>
        <w:tc>
          <w:tcPr>
            <w:tcW w:w="2518" w:type="pct"/>
          </w:tcPr>
          <w:p w14:paraId="46834DC7" w14:textId="0995EDD7"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 xml:space="preserve">The NCP framework is limited to provisions for payments to supervisors, practices and registrars involved in GP training activities approved by the </w:t>
            </w:r>
            <w:r w:rsidR="003B0914" w:rsidRPr="008E4FD2">
              <w:t>RACGP</w:t>
            </w:r>
            <w:r w:rsidRPr="008E4FD2">
              <w:t xml:space="preserve"> and the </w:t>
            </w:r>
            <w:r w:rsidR="003B0914" w:rsidRPr="008E4FD2">
              <w:t>ACRRM</w:t>
            </w:r>
            <w:r w:rsidRPr="008E4FD2">
              <w:t xml:space="preserve"> in a GP facility or an Aboriginal Medical Service facility. </w:t>
            </w:r>
          </w:p>
        </w:tc>
      </w:tr>
      <w:tr w:rsidR="00FF575C" w:rsidRPr="00E842CE" w14:paraId="7B83DAF4" w14:textId="77777777" w:rsidTr="00FF5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pct"/>
          </w:tcPr>
          <w:p w14:paraId="084EA263" w14:textId="5A33D92F" w:rsidR="00FF575C" w:rsidRPr="001D4C45" w:rsidRDefault="00FF575C" w:rsidP="00DA4CAA">
            <w:pPr>
              <w:pStyle w:val="Tabletextleft"/>
              <w:rPr>
                <w:rFonts w:cstheme="minorHAnsi"/>
              </w:rPr>
            </w:pPr>
            <w:r w:rsidRPr="001D4C45">
              <w:rPr>
                <w:rFonts w:cstheme="minorHAnsi"/>
              </w:rPr>
              <w:t>Participant seeking a review of their payments</w:t>
            </w:r>
          </w:p>
        </w:tc>
        <w:tc>
          <w:tcPr>
            <w:tcW w:w="2518" w:type="pct"/>
          </w:tcPr>
          <w:p w14:paraId="04E565A1" w14:textId="6FFB43C8"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pPr>
            <w:r w:rsidRPr="008E4FD2">
              <w:t xml:space="preserve">Participants can seek a review of their payments via the colleges, </w:t>
            </w:r>
            <w:r w:rsidR="003B0914" w:rsidRPr="008E4FD2">
              <w:t>RACGP</w:t>
            </w:r>
            <w:r w:rsidRPr="008E4FD2">
              <w:t xml:space="preserve"> and </w:t>
            </w:r>
            <w:r w:rsidR="003B0914" w:rsidRPr="008E4FD2">
              <w:t>ACRRM</w:t>
            </w:r>
            <w:r w:rsidRPr="008E4FD2">
              <w:t>.</w:t>
            </w:r>
          </w:p>
          <w:p w14:paraId="6F7891C6" w14:textId="77777777"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pPr>
            <w:r w:rsidRPr="008E4FD2">
              <w:t>Examples of circumstances under which a review may be sought include:</w:t>
            </w:r>
          </w:p>
          <w:p w14:paraId="7F7D5349" w14:textId="77777777"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rPr>
                <w:rFonts w:eastAsia="Calibri"/>
              </w:rPr>
            </w:pPr>
            <w:r w:rsidRPr="008E4FD2">
              <w:rPr>
                <w:rFonts w:eastAsia="Calibri"/>
              </w:rPr>
              <w:t>a registrar has received a lower payment due to a movement across MM locations in a period. which was not captured in the payment process.</w:t>
            </w:r>
          </w:p>
          <w:p w14:paraId="0AFA3F0C" w14:textId="4B467B00"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rPr>
                <w:rFonts w:eastAsia="Calibri"/>
              </w:rPr>
            </w:pPr>
            <w:r w:rsidRPr="008E4FD2">
              <w:rPr>
                <w:rFonts w:eastAsia="Calibri"/>
              </w:rPr>
              <w:t>a supervisor or practice is affected by inadequate documentation of active FTE training hours.</w:t>
            </w:r>
          </w:p>
          <w:p w14:paraId="4BB86191" w14:textId="2EB4FA8C" w:rsidR="00FF575C" w:rsidRPr="008E4FD2" w:rsidRDefault="00FF575C" w:rsidP="008E4FD2">
            <w:pPr>
              <w:cnfStyle w:val="000000100000" w:firstRow="0" w:lastRow="0" w:firstColumn="0" w:lastColumn="0" w:oddVBand="0" w:evenVBand="0" w:oddHBand="1" w:evenHBand="0" w:firstRowFirstColumn="0" w:firstRowLastColumn="0" w:lastRowFirstColumn="0" w:lastRowLastColumn="0"/>
            </w:pPr>
            <w:r w:rsidRPr="008E4FD2">
              <w:t xml:space="preserve">The information submitted by the participants will be assessed by the </w:t>
            </w:r>
            <w:r w:rsidR="003B0914" w:rsidRPr="008E4FD2">
              <w:t>RACGP</w:t>
            </w:r>
            <w:r w:rsidRPr="008E4FD2">
              <w:t xml:space="preserve"> and / or the </w:t>
            </w:r>
            <w:r w:rsidR="003B0914" w:rsidRPr="008E4FD2">
              <w:t>ACRRM</w:t>
            </w:r>
            <w:r w:rsidRPr="008E4FD2">
              <w:t xml:space="preserve">. If the case is assessed as eligible, a ‘top-up’ will be requested by the college, which will allow Services </w:t>
            </w:r>
            <w:r w:rsidRPr="008E4FD2">
              <w:lastRenderedPageBreak/>
              <w:t>Australia to make additional payments directly to the training participant.</w:t>
            </w:r>
          </w:p>
        </w:tc>
      </w:tr>
      <w:tr w:rsidR="00FF575C" w:rsidRPr="00E842CE" w14:paraId="7AA17FCF" w14:textId="77777777" w:rsidTr="00FF5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82" w:type="pct"/>
          </w:tcPr>
          <w:p w14:paraId="1841F053" w14:textId="47060D90" w:rsidR="00FF575C" w:rsidRPr="001D4C45" w:rsidRDefault="00FF575C" w:rsidP="00DA4CAA">
            <w:pPr>
              <w:pStyle w:val="Tabletextleft"/>
              <w:rPr>
                <w:rFonts w:cstheme="minorHAnsi"/>
              </w:rPr>
            </w:pPr>
            <w:r w:rsidRPr="001D4C45">
              <w:rPr>
                <w:rFonts w:cstheme="minorHAnsi"/>
              </w:rPr>
              <w:lastRenderedPageBreak/>
              <w:t xml:space="preserve">Hardship situation payments - </w:t>
            </w:r>
            <w:r>
              <w:rPr>
                <w:rFonts w:cstheme="minorHAnsi"/>
              </w:rPr>
              <w:t>d</w:t>
            </w:r>
            <w:r w:rsidRPr="001D4C45">
              <w:rPr>
                <w:rFonts w:cstheme="minorHAnsi"/>
              </w:rPr>
              <w:t>ifficult to fill GP training locations</w:t>
            </w:r>
          </w:p>
        </w:tc>
        <w:tc>
          <w:tcPr>
            <w:tcW w:w="2518" w:type="pct"/>
          </w:tcPr>
          <w:p w14:paraId="747FE2EF" w14:textId="41F40C43"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 xml:space="preserve">There are provisions under the flexible pool of funds to provide additional support payments to participants in areas where it is difficult to recruit GPs. The </w:t>
            </w:r>
            <w:r w:rsidR="003B0914" w:rsidRPr="008E4FD2">
              <w:t>RACGP</w:t>
            </w:r>
            <w:r w:rsidRPr="008E4FD2">
              <w:t xml:space="preserve"> and </w:t>
            </w:r>
            <w:r w:rsidR="003B0914" w:rsidRPr="008E4FD2">
              <w:t>the ACRRM</w:t>
            </w:r>
            <w:r w:rsidRPr="008E4FD2">
              <w:t xml:space="preserve"> will assess and consider eligibility for these payments to meet community needs.</w:t>
            </w:r>
          </w:p>
          <w:p w14:paraId="3B687969" w14:textId="77777777"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Queries on the flexible payment pool funds should be directed to:</w:t>
            </w:r>
          </w:p>
          <w:p w14:paraId="4BFD81C6" w14:textId="77777777"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 xml:space="preserve">RACGP: </w:t>
            </w:r>
          </w:p>
          <w:p w14:paraId="55421059" w14:textId="1B3C658B"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 xml:space="preserve">Email: </w:t>
            </w:r>
            <w:hyperlink r:id="rId14" w:history="1">
              <w:r w:rsidRPr="008E4FD2">
                <w:rPr>
                  <w:rStyle w:val="Hyperlink"/>
                </w:rPr>
                <w:t>transition@racgp.org.au</w:t>
              </w:r>
            </w:hyperlink>
          </w:p>
          <w:p w14:paraId="378BFFCB" w14:textId="77777777"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Tel: 1800 472 247</w:t>
            </w:r>
          </w:p>
          <w:p w14:paraId="5A48D53F" w14:textId="10E0F061"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 xml:space="preserve">ACRRM: </w:t>
            </w:r>
          </w:p>
          <w:p w14:paraId="207286B7" w14:textId="099D9722"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 xml:space="preserve">Email: </w:t>
            </w:r>
            <w:hyperlink r:id="rId15" w:history="1">
              <w:r w:rsidR="003B0914" w:rsidRPr="008E4FD2">
                <w:rPr>
                  <w:rStyle w:val="Hyperlink"/>
                </w:rPr>
                <w:t>training@acrrm.org.au</w:t>
              </w:r>
            </w:hyperlink>
          </w:p>
          <w:p w14:paraId="34AD6251" w14:textId="1BEB0EB7" w:rsidR="00FF575C" w:rsidRPr="008E4FD2" w:rsidRDefault="00FF575C" w:rsidP="008E4FD2">
            <w:pPr>
              <w:cnfStyle w:val="000000010000" w:firstRow="0" w:lastRow="0" w:firstColumn="0" w:lastColumn="0" w:oddVBand="0" w:evenVBand="0" w:oddHBand="0" w:evenHBand="1" w:firstRowFirstColumn="0" w:firstRowLastColumn="0" w:lastRowFirstColumn="0" w:lastRowLastColumn="0"/>
            </w:pPr>
            <w:r w:rsidRPr="008E4FD2">
              <w:t>Tel: 1800 223 226</w:t>
            </w:r>
          </w:p>
        </w:tc>
      </w:tr>
    </w:tbl>
    <w:p w14:paraId="3D66D371" w14:textId="7C3EBDF8" w:rsidR="0095464E" w:rsidRPr="001D4C45" w:rsidRDefault="0095464E" w:rsidP="003E2843">
      <w:pPr>
        <w:pStyle w:val="Heading4"/>
      </w:pPr>
      <w:r w:rsidRPr="001D4C45">
        <w:t xml:space="preserve">Evaluation of College-Led AGPT program – NCP framework and payments model </w:t>
      </w:r>
    </w:p>
    <w:p w14:paraId="2CCA6374" w14:textId="77777777" w:rsidR="0095464E" w:rsidRPr="008E4FD2" w:rsidRDefault="0095464E" w:rsidP="008E4FD2">
      <w:r w:rsidRPr="008E4FD2">
        <w:t xml:space="preserve">The College-Led AGPT program and NCP framework is planned for evaluation in mid-2024.   </w:t>
      </w:r>
    </w:p>
    <w:p w14:paraId="6B5624F7" w14:textId="77777777" w:rsidR="0095464E" w:rsidRPr="008E4FD2" w:rsidRDefault="0095464E" w:rsidP="008E4FD2">
      <w:r w:rsidRPr="008E4FD2">
        <w:t>This will include review of the business rules and guidelines.</w:t>
      </w:r>
    </w:p>
    <w:p w14:paraId="4FFE3156" w14:textId="1B8FD5B0" w:rsidR="0095464E" w:rsidRPr="008E4FD2" w:rsidRDefault="008E4FD2" w:rsidP="0095464E">
      <w:pPr>
        <w:pStyle w:val="Heading3"/>
      </w:pPr>
      <w:bookmarkStart w:id="10" w:name="_Toc117605621"/>
      <w:r w:rsidRPr="001D4C45">
        <w:t xml:space="preserve">Frequency </w:t>
      </w:r>
      <w:r>
        <w:t>o</w:t>
      </w:r>
      <w:r w:rsidRPr="001D4C45">
        <w:t xml:space="preserve">f Payments </w:t>
      </w:r>
      <w:r>
        <w:t>a</w:t>
      </w:r>
      <w:r w:rsidRPr="001D4C45">
        <w:t>nd Payment Runs</w:t>
      </w:r>
      <w:bookmarkEnd w:id="10"/>
      <w:r w:rsidRPr="001D4C45">
        <w:t xml:space="preserve"> </w:t>
      </w:r>
    </w:p>
    <w:p w14:paraId="1AC3A0F2" w14:textId="78057FE0" w:rsidR="0095464E" w:rsidRPr="008E4FD2" w:rsidRDefault="0095464E" w:rsidP="008E4FD2">
      <w:r w:rsidRPr="008E4FD2">
        <w:t>Consistent with the requirements under the NCP framework, the colleges (</w:t>
      </w:r>
      <w:r w:rsidR="003B0914" w:rsidRPr="008E4FD2">
        <w:t>RACGP</w:t>
      </w:r>
      <w:r w:rsidRPr="008E4FD2">
        <w:t xml:space="preserve"> and </w:t>
      </w:r>
      <w:r w:rsidR="003B0914" w:rsidRPr="008E4FD2">
        <w:t>ACRRM</w:t>
      </w:r>
      <w:r w:rsidRPr="008E4FD2">
        <w:t xml:space="preserve">) will determine how the frequency of pay runs will integrate with the payments system, including payment data processing by Services Australia. In addition, the </w:t>
      </w:r>
      <w:r w:rsidR="003B0914" w:rsidRPr="008E4FD2">
        <w:t xml:space="preserve">RACGP </w:t>
      </w:r>
      <w:r w:rsidRPr="008E4FD2">
        <w:t xml:space="preserve">and the </w:t>
      </w:r>
      <w:r w:rsidR="003B0914" w:rsidRPr="008E4FD2">
        <w:t>ACRRM</w:t>
      </w:r>
      <w:r w:rsidRPr="008E4FD2">
        <w:t xml:space="preserve">, in agreement with Services Australia, will determine how exceptional and/or off cycle payments requests are managed.  </w:t>
      </w:r>
    </w:p>
    <w:p w14:paraId="15A656B2" w14:textId="77777777" w:rsidR="0095464E" w:rsidRPr="001D4C45" w:rsidRDefault="0095464E" w:rsidP="008E4FD2">
      <w:r w:rsidRPr="001D4C45">
        <w:t>For example, standard payment runs could be determined to occur on a monthly or quarterly basis for supervisor and practice payments</w:t>
      </w:r>
      <w:r>
        <w:t>,</w:t>
      </w:r>
      <w:r w:rsidRPr="001D4C45">
        <w:t xml:space="preserve"> or once a semester for registrar payments.   </w:t>
      </w:r>
    </w:p>
    <w:p w14:paraId="48DFAF6E" w14:textId="23180A1A" w:rsidR="0095464E" w:rsidRPr="008E4FD2" w:rsidRDefault="0095464E" w:rsidP="008E4FD2">
      <w:r w:rsidRPr="008E4FD2">
        <w:t>Both colleges (RACGP</w:t>
      </w:r>
      <w:r w:rsidR="003B0914" w:rsidRPr="008E4FD2">
        <w:t xml:space="preserve"> and ACRRM</w:t>
      </w:r>
      <w:r w:rsidRPr="008E4FD2">
        <w:t xml:space="preserve">) will provide additional guidance on the expected payment dates as part of their communications plan on how the payments will be provided to supervisors, </w:t>
      </w:r>
      <w:proofErr w:type="gramStart"/>
      <w:r w:rsidRPr="008E4FD2">
        <w:t>practices</w:t>
      </w:r>
      <w:proofErr w:type="gramEnd"/>
      <w:r w:rsidRPr="008E4FD2">
        <w:t xml:space="preserve"> and registrars prior to Semester 1, 2023.</w:t>
      </w:r>
    </w:p>
    <w:p w14:paraId="7A25B7B1" w14:textId="0607A466" w:rsidR="0095464E" w:rsidRPr="008E4FD2" w:rsidRDefault="008E4FD2" w:rsidP="0095464E">
      <w:pPr>
        <w:pStyle w:val="Heading3"/>
      </w:pPr>
      <w:bookmarkStart w:id="11" w:name="_Hlk110328447"/>
      <w:bookmarkStart w:id="12" w:name="_Toc117605622"/>
      <w:r w:rsidRPr="008E4FD2">
        <w:rPr>
          <w:rFonts w:eastAsia="Calibri"/>
        </w:rPr>
        <w:t>Payments</w:t>
      </w:r>
      <w:r w:rsidRPr="001D4C45">
        <w:t xml:space="preserve"> During Leave Periods</w:t>
      </w:r>
      <w:bookmarkEnd w:id="12"/>
    </w:p>
    <w:bookmarkEnd w:id="11"/>
    <w:p w14:paraId="36A6EAC4" w14:textId="2EC0B8CD" w:rsidR="0095464E" w:rsidRPr="008E4FD2" w:rsidRDefault="0095464E" w:rsidP="008E4FD2">
      <w:r w:rsidRPr="008E4FD2">
        <w:t>The NCP framework provides support payments for training placements.</w:t>
      </w:r>
    </w:p>
    <w:p w14:paraId="754F41D3" w14:textId="77777777" w:rsidR="0095464E" w:rsidRPr="008E4FD2" w:rsidRDefault="0095464E" w:rsidP="008E4FD2">
      <w:r w:rsidRPr="008E4FD2">
        <w:t xml:space="preserve">Where support placements are paid directly to a supervisor who has long-term leave (greater than 4 weeks) during a training placement, the supervisor can direct the college to provide </w:t>
      </w:r>
      <w:r w:rsidRPr="008E4FD2">
        <w:lastRenderedPageBreak/>
        <w:t>the payment to the relieving supervisor. Where supervisor payments are made to the practice, it will be at the discretion of the practice as to how payments will be distributed to supervisors.</w:t>
      </w:r>
    </w:p>
    <w:p w14:paraId="3473304F" w14:textId="0CCFB38D" w:rsidR="0095464E" w:rsidRPr="008E4FD2" w:rsidRDefault="0095464E" w:rsidP="008E4FD2">
      <w:r w:rsidRPr="008E4FD2">
        <w:t>Where registrars undertake long-term leave (greater than 4 weeks), future supervisor and practice support payments will be adjusted on account the new FTE level of payment required.</w:t>
      </w:r>
    </w:p>
    <w:p w14:paraId="561503BC" w14:textId="04BB3F88" w:rsidR="0095464E" w:rsidRPr="001D4C45" w:rsidRDefault="008E4FD2" w:rsidP="0095464E">
      <w:pPr>
        <w:pStyle w:val="Heading3"/>
        <w:rPr>
          <w:rFonts w:eastAsia="Calibri"/>
        </w:rPr>
      </w:pPr>
      <w:bookmarkStart w:id="13" w:name="_Toc117605623"/>
      <w:r w:rsidRPr="001D4C45">
        <w:rPr>
          <w:rFonts w:eastAsia="Calibri"/>
        </w:rPr>
        <w:t>Participant Bank Account Details</w:t>
      </w:r>
      <w:bookmarkEnd w:id="13"/>
    </w:p>
    <w:p w14:paraId="45054D01" w14:textId="77777777" w:rsidR="0095464E" w:rsidRPr="008E4FD2" w:rsidRDefault="0095464E" w:rsidP="008E4FD2">
      <w:r w:rsidRPr="008E4FD2">
        <w:t xml:space="preserve">All eligible participants for AGPT program payments must provide their bank account details and register for a Provider Digital Access (PRODA) account with Services Australia. </w:t>
      </w:r>
    </w:p>
    <w:p w14:paraId="7767F3E1" w14:textId="77777777" w:rsidR="0095464E" w:rsidRPr="008E4FD2" w:rsidRDefault="0095464E" w:rsidP="008E4FD2">
      <w:r w:rsidRPr="008E4FD2">
        <w:t>Information on how to register for a PRODA account is available on the Services Australia’s website:</w:t>
      </w:r>
    </w:p>
    <w:p w14:paraId="6A03FABE" w14:textId="77777777" w:rsidR="0095464E" w:rsidRPr="001D4C45" w:rsidRDefault="003E2843" w:rsidP="0095464E">
      <w:pPr>
        <w:pStyle w:val="ListBullet"/>
        <w:rPr>
          <w:rFonts w:cstheme="minorHAnsi"/>
        </w:rPr>
      </w:pPr>
      <w:hyperlink r:id="rId16" w:history="1">
        <w:r w:rsidR="0095464E" w:rsidRPr="001D4C45">
          <w:rPr>
            <w:rFonts w:cstheme="minorHAnsi"/>
            <w:color w:val="0563C1"/>
            <w:u w:val="single"/>
          </w:rPr>
          <w:t>https://www.servicesaustralia.gov.au/proda-provider-digital-access</w:t>
        </w:r>
      </w:hyperlink>
    </w:p>
    <w:p w14:paraId="35B73C8A" w14:textId="77777777" w:rsidR="0095464E" w:rsidRPr="001D4C45" w:rsidRDefault="003E2843" w:rsidP="0095464E">
      <w:pPr>
        <w:pStyle w:val="ListBullet"/>
        <w:rPr>
          <w:rFonts w:cstheme="minorHAnsi"/>
        </w:rPr>
      </w:pPr>
      <w:hyperlink r:id="rId17" w:history="1">
        <w:r w:rsidR="0095464E" w:rsidRPr="001D4C45">
          <w:rPr>
            <w:rFonts w:cstheme="minorHAnsi"/>
            <w:color w:val="0563C1"/>
            <w:u w:val="single"/>
          </w:rPr>
          <w:t>http://medicareaust.com/MISC/MISCP02/provider-digital-access.html</w:t>
        </w:r>
      </w:hyperlink>
    </w:p>
    <w:p w14:paraId="29A55CD8" w14:textId="77777777" w:rsidR="0095464E" w:rsidRPr="008E4FD2" w:rsidRDefault="0095464E" w:rsidP="008E4FD2">
      <w:r w:rsidRPr="008E4FD2">
        <w:t xml:space="preserve">If you require assistance with PRODA, you can contact PRODA Support on 1800 700 199 (option 1) 8am to 5pm local time or email: </w:t>
      </w:r>
      <w:hyperlink r:id="rId18" w:history="1">
        <w:r w:rsidRPr="008E4FD2">
          <w:rPr>
            <w:rStyle w:val="Hyperlink"/>
          </w:rPr>
          <w:t>proda@servicesaustralia.gov.au</w:t>
        </w:r>
      </w:hyperlink>
      <w:r w:rsidRPr="008E4FD2">
        <w:t>.</w:t>
      </w:r>
    </w:p>
    <w:p w14:paraId="6C33F49F" w14:textId="59E6AB8B" w:rsidR="003A149F" w:rsidRDefault="008E4FD2" w:rsidP="0095464E">
      <w:pPr>
        <w:pStyle w:val="Heading3"/>
      </w:pPr>
      <w:bookmarkStart w:id="14" w:name="_Toc117605624"/>
      <w:r w:rsidRPr="0095464E">
        <w:t xml:space="preserve">Eligibility </w:t>
      </w:r>
      <w:r>
        <w:t>f</w:t>
      </w:r>
      <w:r w:rsidRPr="0095464E">
        <w:t>or Flexible Pool Payments</w:t>
      </w:r>
      <w:bookmarkEnd w:id="14"/>
    </w:p>
    <w:p w14:paraId="47B8772A" w14:textId="77777777" w:rsidR="0095464E" w:rsidRPr="008E4FD2" w:rsidRDefault="0095464E" w:rsidP="008E4FD2">
      <w:r w:rsidRPr="008E4FD2">
        <w:t>The scope, terms and conditions and requirements for accessing and receiving the discretionary flexible pool of funds are provided in the NCP framework.</w:t>
      </w:r>
    </w:p>
    <w:p w14:paraId="11616EB0" w14:textId="77777777" w:rsidR="0095464E" w:rsidRPr="008E4FD2" w:rsidRDefault="0095464E" w:rsidP="008E4FD2">
      <w:r w:rsidRPr="008E4FD2">
        <w:t>ACRRM and RACGP will provide details of the flexible payment available to training participants in the AGPT program. Details of the support payments available from each college’s flexible fund pool can be accessed at:</w:t>
      </w:r>
    </w:p>
    <w:p w14:paraId="2E68C582" w14:textId="6FD63B87" w:rsidR="0095464E" w:rsidRPr="003B0914" w:rsidRDefault="0095464E" w:rsidP="003B0914">
      <w:pPr>
        <w:pStyle w:val="ListBullet"/>
        <w:rPr>
          <w:rFonts w:cstheme="minorHAnsi"/>
        </w:rPr>
      </w:pPr>
      <w:r w:rsidRPr="003B0914">
        <w:rPr>
          <w:rFonts w:cstheme="minorHAnsi"/>
        </w:rPr>
        <w:t xml:space="preserve">RACGP payment: </w:t>
      </w:r>
      <w:hyperlink r:id="rId19" w:history="1">
        <w:r w:rsidR="003B0914" w:rsidRPr="003B0914">
          <w:rPr>
            <w:rStyle w:val="Hyperlink"/>
          </w:rPr>
          <w:t>RACGP - College-led general practice training</w:t>
        </w:r>
      </w:hyperlink>
    </w:p>
    <w:p w14:paraId="2EE029AB" w14:textId="41D381F6" w:rsidR="003B0914" w:rsidRPr="003B0914" w:rsidRDefault="003B0914" w:rsidP="003B0914">
      <w:pPr>
        <w:pStyle w:val="ListBullet"/>
        <w:rPr>
          <w:rFonts w:cstheme="minorHAnsi"/>
        </w:rPr>
      </w:pPr>
      <w:r w:rsidRPr="003B0914">
        <w:rPr>
          <w:rFonts w:cstheme="minorHAnsi"/>
        </w:rPr>
        <w:t xml:space="preserve">ACRRM payments: </w:t>
      </w:r>
      <w:hyperlink r:id="rId20" w:history="1">
        <w:r w:rsidRPr="003B0914">
          <w:rPr>
            <w:rStyle w:val="Hyperlink"/>
          </w:rPr>
          <w:t>College-led Training (acrrm.org.au)</w:t>
        </w:r>
      </w:hyperlink>
    </w:p>
    <w:p w14:paraId="486976BA" w14:textId="6E3FB8C6" w:rsidR="0095464E" w:rsidRPr="008E4FD2" w:rsidRDefault="0095464E" w:rsidP="008E4FD2">
      <w:r w:rsidRPr="008E4FD2">
        <w:t xml:space="preserve">The use of flexible funds to provide additional payments to eligible AGPT program </w:t>
      </w:r>
    </w:p>
    <w:p w14:paraId="4620FF1E" w14:textId="3AD63ADD" w:rsidR="0095464E" w:rsidRPr="008E4FD2" w:rsidRDefault="0095464E" w:rsidP="008E4FD2">
      <w:r w:rsidRPr="008E4FD2">
        <w:t xml:space="preserve">Health, through the management of the </w:t>
      </w:r>
      <w:r w:rsidR="003B0914" w:rsidRPr="008E4FD2">
        <w:t xml:space="preserve">RACGP </w:t>
      </w:r>
      <w:r w:rsidRPr="008E4FD2">
        <w:t xml:space="preserve">and </w:t>
      </w:r>
      <w:r w:rsidR="003B0914" w:rsidRPr="008E4FD2">
        <w:t>the ACRRM</w:t>
      </w:r>
      <w:r w:rsidRPr="008E4FD2">
        <w:t xml:space="preserve"> </w:t>
      </w:r>
      <w:r w:rsidR="003B0914" w:rsidRPr="008E4FD2">
        <w:t>C</w:t>
      </w:r>
      <w:r w:rsidRPr="008E4FD2">
        <w:t>ollege-</w:t>
      </w:r>
      <w:r w:rsidR="003B0914" w:rsidRPr="008E4FD2">
        <w:t>L</w:t>
      </w:r>
      <w:r w:rsidRPr="008E4FD2">
        <w:t xml:space="preserve">ed </w:t>
      </w:r>
      <w:r w:rsidR="008F4175" w:rsidRPr="008E4FD2">
        <w:t>t</w:t>
      </w:r>
      <w:r w:rsidRPr="008E4FD2">
        <w:t>raining grant agreements, will ensure that the use of funds is in accordance with the requirements set out under the NCP framework, business rules and these Guidelines.</w:t>
      </w:r>
    </w:p>
    <w:p w14:paraId="305354A2" w14:textId="4B255D44" w:rsidR="000B5688" w:rsidRPr="001D4C45" w:rsidRDefault="008E4FD2" w:rsidP="000B5688">
      <w:pPr>
        <w:pStyle w:val="Heading3"/>
      </w:pPr>
      <w:bookmarkStart w:id="15" w:name="_Toc117605625"/>
      <w:r w:rsidRPr="001D4C45">
        <w:t xml:space="preserve">Opting Out </w:t>
      </w:r>
      <w:r>
        <w:t>o</w:t>
      </w:r>
      <w:r w:rsidRPr="001D4C45">
        <w:t>f AGPT Program</w:t>
      </w:r>
      <w:bookmarkEnd w:id="15"/>
    </w:p>
    <w:p w14:paraId="4678CEE3" w14:textId="51FEC8E7" w:rsidR="000B5688" w:rsidRPr="008E4FD2" w:rsidRDefault="000B5688" w:rsidP="008E4FD2">
      <w:r w:rsidRPr="008E4FD2">
        <w:t xml:space="preserve">All AGPT program participants who are eligible for a support payment under the </w:t>
      </w:r>
      <w:r w:rsidR="008F4175" w:rsidRPr="008E4FD2">
        <w:t>C</w:t>
      </w:r>
      <w:r w:rsidRPr="008E4FD2">
        <w:t>ollege-</w:t>
      </w:r>
      <w:r w:rsidR="008F4175" w:rsidRPr="008E4FD2">
        <w:t>L</w:t>
      </w:r>
      <w:r w:rsidRPr="008E4FD2">
        <w:t xml:space="preserve">ed AGPT program must satisfy all eligible requirements and any other GP training compliance requirements specified by the </w:t>
      </w:r>
      <w:r w:rsidR="003B0914" w:rsidRPr="008E4FD2">
        <w:t>RACGP</w:t>
      </w:r>
      <w:r w:rsidRPr="008E4FD2">
        <w:t xml:space="preserve"> and the </w:t>
      </w:r>
      <w:r w:rsidR="003B0914" w:rsidRPr="008E4FD2">
        <w:t>ACRRM</w:t>
      </w:r>
      <w:r w:rsidRPr="008E4FD2">
        <w:t>.</w:t>
      </w:r>
    </w:p>
    <w:p w14:paraId="2442A5B2" w14:textId="77777777" w:rsidR="000B5688" w:rsidRPr="008E4FD2" w:rsidRDefault="000B5688" w:rsidP="008E4FD2">
      <w:r w:rsidRPr="008E4FD2">
        <w:t>If an eligible participant opts out of the AGPT program, such a participant will be required to notify the college(s).</w:t>
      </w:r>
    </w:p>
    <w:p w14:paraId="1987EF73" w14:textId="5879F04D" w:rsidR="000B5688" w:rsidRPr="008E4FD2" w:rsidRDefault="000B5688" w:rsidP="008E4FD2">
      <w:r w:rsidRPr="008E4FD2">
        <w:t xml:space="preserve">The </w:t>
      </w:r>
      <w:r w:rsidR="003B0914" w:rsidRPr="008E4FD2">
        <w:t>RACGP</w:t>
      </w:r>
      <w:r w:rsidRPr="008E4FD2">
        <w:t xml:space="preserve"> and the </w:t>
      </w:r>
      <w:r w:rsidR="003B0914" w:rsidRPr="008E4FD2">
        <w:t xml:space="preserve">ACRRM </w:t>
      </w:r>
      <w:r w:rsidRPr="008E4FD2">
        <w:t xml:space="preserve">must notify Services Australia of any participants who have opted out of the AGPT program or payments.  </w:t>
      </w:r>
    </w:p>
    <w:p w14:paraId="49B93BC5" w14:textId="55382090" w:rsidR="0095464E" w:rsidRDefault="008E4FD2" w:rsidP="000B5688">
      <w:pPr>
        <w:pStyle w:val="Heading3"/>
      </w:pPr>
      <w:bookmarkStart w:id="16" w:name="_Toc117605626"/>
      <w:r w:rsidRPr="001D4C45">
        <w:lastRenderedPageBreak/>
        <w:t>Taxation</w:t>
      </w:r>
      <w:bookmarkEnd w:id="16"/>
    </w:p>
    <w:p w14:paraId="09FB9621" w14:textId="77777777" w:rsidR="000B5688" w:rsidRPr="008E4FD2" w:rsidRDefault="000B5688" w:rsidP="008E4FD2">
      <w:r w:rsidRPr="008E4FD2">
        <w:t xml:space="preserve">Goods and Services Tax will not be provided on practice and supervisor payments consistent with advice received that the activity undertaken by practices and supervisors are not considered services under the goods and services tax legislation purposes.  </w:t>
      </w:r>
    </w:p>
    <w:p w14:paraId="0F51C6A0" w14:textId="7723A5CB" w:rsidR="000B5688" w:rsidRPr="008E4FD2" w:rsidRDefault="000B5688" w:rsidP="008E4FD2">
      <w:r w:rsidRPr="008E4FD2">
        <w:t xml:space="preserve">Supervisors, </w:t>
      </w:r>
      <w:proofErr w:type="gramStart"/>
      <w:r w:rsidRPr="008E4FD2">
        <w:t>practices</w:t>
      </w:r>
      <w:proofErr w:type="gramEnd"/>
      <w:r w:rsidRPr="008E4FD2">
        <w:t xml:space="preserve"> and registrars are advised to seek tax advice from their financial adviser, accountant and/or the Australian taxation office regarding their individual tax circumstances, including the support payments received under the </w:t>
      </w:r>
      <w:r w:rsidR="008F4175" w:rsidRPr="008E4FD2">
        <w:t>C</w:t>
      </w:r>
      <w:r w:rsidRPr="008E4FD2">
        <w:t>ollege-</w:t>
      </w:r>
      <w:r w:rsidR="008F4175" w:rsidRPr="008E4FD2">
        <w:t>L</w:t>
      </w:r>
      <w:r w:rsidRPr="008E4FD2">
        <w:t>ed AGPT program.</w:t>
      </w:r>
    </w:p>
    <w:p w14:paraId="49703955" w14:textId="27DAE461" w:rsidR="000B5688" w:rsidRPr="001D4C45" w:rsidRDefault="008E4FD2" w:rsidP="000B5688">
      <w:pPr>
        <w:pStyle w:val="Heading3"/>
      </w:pPr>
      <w:bookmarkStart w:id="17" w:name="_Toc117605627"/>
      <w:r w:rsidRPr="001D4C45">
        <w:t xml:space="preserve">Recovery </w:t>
      </w:r>
      <w:r w:rsidR="00C56592">
        <w:t>o</w:t>
      </w:r>
      <w:r w:rsidRPr="001D4C45">
        <w:t xml:space="preserve">f </w:t>
      </w:r>
      <w:r w:rsidR="00C56592">
        <w:t>o</w:t>
      </w:r>
      <w:r w:rsidRPr="001D4C45">
        <w:t>ver-</w:t>
      </w:r>
      <w:r w:rsidR="00C56592">
        <w:t>p</w:t>
      </w:r>
      <w:r w:rsidRPr="001D4C45">
        <w:t xml:space="preserve">ayments </w:t>
      </w:r>
      <w:r w:rsidR="00C56592">
        <w:t>a</w:t>
      </w:r>
      <w:r w:rsidRPr="001D4C45">
        <w:t xml:space="preserve">nd </w:t>
      </w:r>
      <w:r w:rsidR="00C56592">
        <w:t>w</w:t>
      </w:r>
      <w:r>
        <w:t>ithholding</w:t>
      </w:r>
      <w:r w:rsidRPr="001D4C45">
        <w:t xml:space="preserve"> </w:t>
      </w:r>
      <w:r w:rsidR="00C56592">
        <w:t>o</w:t>
      </w:r>
      <w:r w:rsidRPr="001D4C45">
        <w:t xml:space="preserve">f </w:t>
      </w:r>
      <w:r w:rsidR="00C56592">
        <w:t>p</w:t>
      </w:r>
      <w:r w:rsidRPr="001D4C45">
        <w:t>ayments</w:t>
      </w:r>
      <w:bookmarkEnd w:id="17"/>
    </w:p>
    <w:p w14:paraId="1D083298" w14:textId="6D5B2DA6" w:rsidR="000B5688" w:rsidRPr="008E4FD2" w:rsidRDefault="000B5688" w:rsidP="008E4FD2">
      <w:r w:rsidRPr="008E4FD2">
        <w:t xml:space="preserve">Where an over-payment has been identified, the </w:t>
      </w:r>
      <w:r w:rsidR="003B0914" w:rsidRPr="008E4FD2">
        <w:t xml:space="preserve">RACGP </w:t>
      </w:r>
      <w:r w:rsidRPr="008E4FD2">
        <w:t xml:space="preserve">and the </w:t>
      </w:r>
      <w:r w:rsidR="003B0914" w:rsidRPr="008E4FD2">
        <w:t>ACRRM</w:t>
      </w:r>
      <w:r w:rsidRPr="008E4FD2">
        <w:t xml:space="preserve"> will work with training participants to adjust future payments to recoup the excess funds paid. </w:t>
      </w:r>
      <w:r w:rsidR="008F4175" w:rsidRPr="008E4FD2">
        <w:t>T</w:t>
      </w:r>
      <w:r w:rsidRPr="008E4FD2">
        <w:t xml:space="preserve">he </w:t>
      </w:r>
      <w:r w:rsidR="003B0914" w:rsidRPr="008E4FD2">
        <w:t xml:space="preserve">RACGP </w:t>
      </w:r>
      <w:r w:rsidRPr="008E4FD2">
        <w:t xml:space="preserve">and </w:t>
      </w:r>
      <w:r w:rsidR="003B0914" w:rsidRPr="008E4FD2">
        <w:t>the ACRRM</w:t>
      </w:r>
      <w:r w:rsidRPr="008E4FD2">
        <w:t xml:space="preserve"> will receive a payment advice from Services Australia outlining the payment details after each payment has been made. Services Australia requires the </w:t>
      </w:r>
      <w:r w:rsidR="003B0914" w:rsidRPr="008E4FD2">
        <w:t xml:space="preserve">RACGP and the </w:t>
      </w:r>
      <w:r w:rsidRPr="008E4FD2">
        <w:t>ACRRM to check and confirm the payment advice is correct and appropriately paid to the participants as specified in the payments data file received in Services Australia.</w:t>
      </w:r>
    </w:p>
    <w:p w14:paraId="60C53ABE" w14:textId="4E693A57" w:rsidR="000B5688" w:rsidRPr="008E4FD2" w:rsidRDefault="000B5688" w:rsidP="008E4FD2">
      <w:r w:rsidRPr="008E4FD2">
        <w:t xml:space="preserve">All participants (supervisors, </w:t>
      </w:r>
      <w:proofErr w:type="gramStart"/>
      <w:r w:rsidRPr="008E4FD2">
        <w:t>practices</w:t>
      </w:r>
      <w:proofErr w:type="gramEnd"/>
      <w:r w:rsidRPr="008E4FD2">
        <w:t xml:space="preserve"> and registrars) who provide false information or refuse to notify the </w:t>
      </w:r>
      <w:r w:rsidR="003B0914" w:rsidRPr="008E4FD2">
        <w:t xml:space="preserve">RACGP </w:t>
      </w:r>
      <w:r w:rsidRPr="008E4FD2">
        <w:t xml:space="preserve">and the </w:t>
      </w:r>
      <w:r w:rsidR="003B0914" w:rsidRPr="008E4FD2">
        <w:t>ACRRM</w:t>
      </w:r>
      <w:r w:rsidRPr="008E4FD2">
        <w:t xml:space="preserve"> of any changes to their circumstances which might affect their eligibility to receive the support payments, will be required to pay back any payments received incorrectly.</w:t>
      </w:r>
    </w:p>
    <w:p w14:paraId="77DE25E5" w14:textId="56680AF6" w:rsidR="000B5688" w:rsidRPr="008E4FD2" w:rsidRDefault="000B5688" w:rsidP="008E4FD2">
      <w:r w:rsidRPr="008E4FD2">
        <w:t xml:space="preserve">Practices are required to work closely with the </w:t>
      </w:r>
      <w:r w:rsidR="003B0914" w:rsidRPr="008E4FD2">
        <w:t xml:space="preserve">RACGP </w:t>
      </w:r>
      <w:r w:rsidRPr="008E4FD2">
        <w:t xml:space="preserve">and the </w:t>
      </w:r>
      <w:r w:rsidR="003B0914" w:rsidRPr="008E4FD2">
        <w:t>ACRRM</w:t>
      </w:r>
      <w:r w:rsidRPr="008E4FD2">
        <w:t xml:space="preserve"> to ensure that the support payments provided are correct. </w:t>
      </w:r>
    </w:p>
    <w:p w14:paraId="38C12907" w14:textId="16BEB129" w:rsidR="000B5688" w:rsidRPr="008E4FD2" w:rsidRDefault="000B5688" w:rsidP="008E4FD2">
      <w:r w:rsidRPr="008E4FD2">
        <w:t xml:space="preserve">Practices and supervisors who are not actively involved in the GP training activities approved by the </w:t>
      </w:r>
      <w:r w:rsidR="003B0914" w:rsidRPr="008E4FD2">
        <w:t>RACGP</w:t>
      </w:r>
      <w:r w:rsidRPr="008E4FD2">
        <w:t xml:space="preserve"> and the </w:t>
      </w:r>
      <w:r w:rsidR="003B0914" w:rsidRPr="008E4FD2">
        <w:t>ACRRM</w:t>
      </w:r>
      <w:r w:rsidRPr="008E4FD2">
        <w:t xml:space="preserve"> will not be provided with support payments under the NCP framework.  </w:t>
      </w:r>
    </w:p>
    <w:p w14:paraId="3D9F89CA" w14:textId="568F9EA2" w:rsidR="000B5688" w:rsidRPr="008E4FD2" w:rsidRDefault="000B5688" w:rsidP="008E4FD2">
      <w:r w:rsidRPr="008E4FD2">
        <w:t xml:space="preserve">Support payments will be withheld for any payment period where practices or supervisors do not maintain ongoing training requirements within the GP training period. Payment eligibility will be reinstated once the participant has undertaken the requirements as outlined in the practice placements agreements as agreed to by the </w:t>
      </w:r>
      <w:r w:rsidR="003B0914" w:rsidRPr="008E4FD2">
        <w:t>RACGP</w:t>
      </w:r>
      <w:r w:rsidRPr="008E4FD2">
        <w:t xml:space="preserve"> and/or the </w:t>
      </w:r>
      <w:r w:rsidR="003B0914" w:rsidRPr="008E4FD2">
        <w:t>ACRRM</w:t>
      </w:r>
      <w:r w:rsidRPr="008E4FD2">
        <w:t>.</w:t>
      </w:r>
    </w:p>
    <w:p w14:paraId="1C8734A6" w14:textId="60697E94" w:rsidR="000B5688" w:rsidRDefault="008E4FD2" w:rsidP="000B5688">
      <w:pPr>
        <w:pStyle w:val="Heading3"/>
      </w:pPr>
      <w:bookmarkStart w:id="18" w:name="_Toc117605628"/>
      <w:r w:rsidRPr="001D4C45">
        <w:t>Changes</w:t>
      </w:r>
      <w:r w:rsidR="00C56592">
        <w:t xml:space="preserve"> </w:t>
      </w:r>
      <w:r>
        <w:t>t</w:t>
      </w:r>
      <w:r w:rsidRPr="001D4C45">
        <w:t xml:space="preserve">o Registrar </w:t>
      </w:r>
      <w:r>
        <w:t>i</w:t>
      </w:r>
      <w:r w:rsidRPr="001D4C45">
        <w:t xml:space="preserve">n Training, Supervisor, </w:t>
      </w:r>
      <w:r>
        <w:t>a</w:t>
      </w:r>
      <w:r w:rsidRPr="001D4C45">
        <w:t>nd Practice Arrangements</w:t>
      </w:r>
      <w:bookmarkEnd w:id="18"/>
    </w:p>
    <w:p w14:paraId="01844C35" w14:textId="750B1DD6" w:rsidR="000B5688" w:rsidRPr="008E4FD2" w:rsidRDefault="000B5688" w:rsidP="008E4FD2">
      <w:r w:rsidRPr="008E4FD2">
        <w:t xml:space="preserve">To remain eligible for support payments under the </w:t>
      </w:r>
      <w:r w:rsidR="008F4175" w:rsidRPr="008E4FD2">
        <w:t>C</w:t>
      </w:r>
      <w:r w:rsidRPr="008E4FD2">
        <w:t>ollege-</w:t>
      </w:r>
      <w:r w:rsidR="008F4175" w:rsidRPr="008E4FD2">
        <w:t>L</w:t>
      </w:r>
      <w:r w:rsidRPr="008E4FD2">
        <w:t xml:space="preserve">ed AGPT program, all participants (supervisors, </w:t>
      </w:r>
      <w:proofErr w:type="gramStart"/>
      <w:r w:rsidRPr="008E4FD2">
        <w:t>practices</w:t>
      </w:r>
      <w:proofErr w:type="gramEnd"/>
      <w:r w:rsidRPr="008E4FD2">
        <w:t xml:space="preserve"> and registrars) must notify the </w:t>
      </w:r>
      <w:r w:rsidR="003B0914" w:rsidRPr="008E4FD2">
        <w:t>RACGP</w:t>
      </w:r>
      <w:r w:rsidRPr="008E4FD2">
        <w:t xml:space="preserve"> and the </w:t>
      </w:r>
      <w:r w:rsidR="003B0914" w:rsidRPr="008E4FD2">
        <w:t>ACRRM</w:t>
      </w:r>
      <w:r w:rsidRPr="008E4FD2">
        <w:t xml:space="preserve"> about any changes to the training arrangements to support continuous training and maintain appropriate payment arrangements.</w:t>
      </w:r>
    </w:p>
    <w:p w14:paraId="109D92E6" w14:textId="2EFE760E" w:rsidR="000B5688" w:rsidRPr="008E4FD2" w:rsidRDefault="000B5688" w:rsidP="008E4FD2">
      <w:r w:rsidRPr="008E4FD2">
        <w:t xml:space="preserve">Health requires the </w:t>
      </w:r>
      <w:r w:rsidR="008F4175" w:rsidRPr="008E4FD2">
        <w:t>RACGP</w:t>
      </w:r>
      <w:r w:rsidRPr="008E4FD2">
        <w:t xml:space="preserve"> and the </w:t>
      </w:r>
      <w:r w:rsidR="008F4175" w:rsidRPr="008E4FD2">
        <w:t>ACRRM</w:t>
      </w:r>
      <w:r w:rsidRPr="008E4FD2">
        <w:t xml:space="preserve"> to provide accurate data and relevant supporting information for compliance reporting.</w:t>
      </w:r>
    </w:p>
    <w:p w14:paraId="0819333C" w14:textId="6F7DE365" w:rsidR="000B5688" w:rsidRPr="002C1FD2" w:rsidRDefault="008E4FD2" w:rsidP="000B5688">
      <w:pPr>
        <w:pStyle w:val="Heading3"/>
      </w:pPr>
      <w:bookmarkStart w:id="19" w:name="_Toc117605629"/>
      <w:r w:rsidRPr="001D4C45">
        <w:t>Privacy</w:t>
      </w:r>
      <w:bookmarkEnd w:id="19"/>
    </w:p>
    <w:p w14:paraId="3EBB6D23" w14:textId="77777777" w:rsidR="000B5688" w:rsidRPr="008E4FD2" w:rsidRDefault="000B5688" w:rsidP="008E4FD2">
      <w:r w:rsidRPr="008E4FD2">
        <w:t xml:space="preserve">All personal information provided to Services Australia is protected by privacy law, including the Privacy Act 1988, and this information will be used to generate data which will be used by </w:t>
      </w:r>
      <w:r w:rsidRPr="008E4FD2">
        <w:lastRenderedPageBreak/>
        <w:t xml:space="preserve">Services Australia, as a Commonwealth Australian Government entity, for the purposes of the AGPT program.  </w:t>
      </w:r>
    </w:p>
    <w:p w14:paraId="15E04F80" w14:textId="771679EC" w:rsidR="000B5688" w:rsidRPr="008E4FD2" w:rsidRDefault="000B5688" w:rsidP="008E4FD2">
      <w:r w:rsidRPr="008E4FD2">
        <w:t xml:space="preserve">The personal information collected from AGPT program participants by the </w:t>
      </w:r>
      <w:r w:rsidR="008F4175" w:rsidRPr="008E4FD2">
        <w:t>RACGP</w:t>
      </w:r>
      <w:r w:rsidRPr="008E4FD2">
        <w:t xml:space="preserve"> and the </w:t>
      </w:r>
      <w:r w:rsidR="008F4175" w:rsidRPr="008E4FD2">
        <w:t>ACRRM</w:t>
      </w:r>
      <w:r w:rsidRPr="008E4FD2">
        <w:t xml:space="preserve"> will be disclosed to the Australian Government (Commonwealth) Department of Health and Aged Care and Services Australia for the purposes of: </w:t>
      </w:r>
    </w:p>
    <w:p w14:paraId="5956981F" w14:textId="77777777" w:rsidR="000B5688" w:rsidRPr="002C1FD2" w:rsidRDefault="000B5688" w:rsidP="000B5688">
      <w:pPr>
        <w:pStyle w:val="ListBullet"/>
      </w:pPr>
      <w:r w:rsidRPr="002C1FD2">
        <w:t>administer</w:t>
      </w:r>
      <w:r>
        <w:t>ing</w:t>
      </w:r>
      <w:r w:rsidRPr="002C1FD2">
        <w:t xml:space="preserve"> the AGPT program and payments </w:t>
      </w:r>
      <w:proofErr w:type="gramStart"/>
      <w:r w:rsidRPr="002C1FD2">
        <w:t>system;</w:t>
      </w:r>
      <w:proofErr w:type="gramEnd"/>
    </w:p>
    <w:p w14:paraId="6A16C70F" w14:textId="77777777" w:rsidR="000B5688" w:rsidRPr="002C1FD2" w:rsidRDefault="000B5688" w:rsidP="000B5688">
      <w:pPr>
        <w:pStyle w:val="ListBullet"/>
      </w:pPr>
      <w:r w:rsidRPr="002C1FD2">
        <w:t xml:space="preserve">program auditing and compliance </w:t>
      </w:r>
      <w:proofErr w:type="gramStart"/>
      <w:r w:rsidRPr="002C1FD2">
        <w:t>reporting;</w:t>
      </w:r>
      <w:proofErr w:type="gramEnd"/>
    </w:p>
    <w:p w14:paraId="06DF7693" w14:textId="77777777" w:rsidR="000B5688" w:rsidRPr="002C1FD2" w:rsidRDefault="000B5688" w:rsidP="000B5688">
      <w:pPr>
        <w:pStyle w:val="ListBullet"/>
      </w:pPr>
      <w:r w:rsidRPr="002C1FD2">
        <w:t xml:space="preserve">statistical and research purposes where it is authorised by </w:t>
      </w:r>
      <w:proofErr w:type="gramStart"/>
      <w:r w:rsidRPr="002C1FD2">
        <w:t>law;</w:t>
      </w:r>
      <w:proofErr w:type="gramEnd"/>
      <w:r w:rsidRPr="002C1FD2">
        <w:t xml:space="preserve">  </w:t>
      </w:r>
    </w:p>
    <w:p w14:paraId="45D49D00" w14:textId="77777777" w:rsidR="000B5688" w:rsidRPr="002C1FD2" w:rsidRDefault="000B5688" w:rsidP="000B5688">
      <w:pPr>
        <w:pStyle w:val="ListBullet"/>
      </w:pPr>
      <w:r w:rsidRPr="002C1FD2">
        <w:t>monitoring, assessment and evaluation of progress and achievements; and</w:t>
      </w:r>
    </w:p>
    <w:p w14:paraId="449E7285" w14:textId="298F19C7" w:rsidR="000B5688" w:rsidRPr="008E4FD2" w:rsidRDefault="000B5688" w:rsidP="00485ACF">
      <w:pPr>
        <w:pStyle w:val="ListBullet"/>
      </w:pPr>
      <w:r w:rsidRPr="002C1FD2">
        <w:t xml:space="preserve">further strategic policy reforms and review of operational principles around </w:t>
      </w:r>
      <w:r>
        <w:t xml:space="preserve">the </w:t>
      </w:r>
      <w:r w:rsidRPr="002C1FD2">
        <w:t>AGPT program.</w:t>
      </w:r>
    </w:p>
    <w:p w14:paraId="0D9C3B26" w14:textId="61AE5A18" w:rsidR="000B5688" w:rsidRPr="008E4FD2" w:rsidRDefault="000B5688" w:rsidP="008E4FD2">
      <w:r w:rsidRPr="008E4FD2">
        <w:t xml:space="preserve">Further information is available from the </w:t>
      </w:r>
      <w:r w:rsidR="008F4175" w:rsidRPr="008E4FD2">
        <w:t>RACGP</w:t>
      </w:r>
      <w:r w:rsidRPr="008E4FD2">
        <w:t xml:space="preserve"> and the </w:t>
      </w:r>
      <w:r w:rsidR="008F4175" w:rsidRPr="008E4FD2">
        <w:t>ACRRM</w:t>
      </w:r>
      <w:r w:rsidRPr="008E4FD2">
        <w:t xml:space="preserve"> about how the information collected from the participants in the AGPT program will be managed and used for training and payment purposes, as set out in their privacy policy documents on their websites.</w:t>
      </w:r>
    </w:p>
    <w:p w14:paraId="56501E25" w14:textId="6DE129C6" w:rsidR="000B5688" w:rsidRDefault="008E4FD2" w:rsidP="000B5688">
      <w:pPr>
        <w:pStyle w:val="Heading3"/>
      </w:pPr>
      <w:bookmarkStart w:id="20" w:name="_Toc117605630"/>
      <w:r w:rsidRPr="001D4C45">
        <w:t>Contact Information</w:t>
      </w:r>
      <w:bookmarkEnd w:id="20"/>
    </w:p>
    <w:p w14:paraId="0E5B0942" w14:textId="77777777" w:rsidR="000B5688" w:rsidRPr="008E4FD2" w:rsidRDefault="000B5688" w:rsidP="008E4FD2">
      <w:r w:rsidRPr="008E4FD2">
        <w:t>For any further queries and questions on the NCP Guidelines and Payments Model, please contact:</w:t>
      </w:r>
    </w:p>
    <w:p w14:paraId="3E77B018" w14:textId="77777777" w:rsidR="008F4175" w:rsidRPr="00F64ADF" w:rsidRDefault="008F4175" w:rsidP="008E4FD2">
      <w:pPr>
        <w:pStyle w:val="ListBullet"/>
      </w:pPr>
      <w:r w:rsidRPr="00F64ADF">
        <w:t>RACGP</w:t>
      </w:r>
      <w:r>
        <w:t xml:space="preserve"> </w:t>
      </w:r>
      <w:r w:rsidRPr="00F64ADF">
        <w:t xml:space="preserve">– Queries on eligibility, access and release of payments and other operational matters: </w:t>
      </w:r>
      <w:hyperlink r:id="rId21" w:history="1">
        <w:r w:rsidRPr="00FF575C">
          <w:rPr>
            <w:rStyle w:val="Hyperlink"/>
            <w:rFonts w:cstheme="minorHAnsi"/>
          </w:rPr>
          <w:t>transition@racgp.org.au</w:t>
        </w:r>
      </w:hyperlink>
    </w:p>
    <w:p w14:paraId="7DFEC9C4" w14:textId="46F86D80" w:rsidR="000B5688" w:rsidRDefault="000B5688" w:rsidP="008E4FD2">
      <w:pPr>
        <w:pStyle w:val="ListBullet"/>
      </w:pPr>
      <w:r w:rsidRPr="00F64ADF">
        <w:t>ACRRM – Queries on eligibility, access and release of payments and other operational matters:</w:t>
      </w:r>
      <w:r w:rsidRPr="000B5688">
        <w:t xml:space="preserve"> </w:t>
      </w:r>
      <w:hyperlink r:id="rId22" w:history="1">
        <w:r w:rsidR="008F4175" w:rsidRPr="00AC4229">
          <w:rPr>
            <w:rStyle w:val="Hyperlink"/>
            <w:rFonts w:cstheme="minorHAnsi"/>
          </w:rPr>
          <w:t>training@acrrm.org.au</w:t>
        </w:r>
      </w:hyperlink>
    </w:p>
    <w:p w14:paraId="3ADC4AB9" w14:textId="493C90DF" w:rsidR="008F4175" w:rsidRPr="008F4175" w:rsidRDefault="008F4175" w:rsidP="008E4FD2">
      <w:pPr>
        <w:pStyle w:val="ListBullet"/>
        <w:rPr>
          <w:rFonts w:cstheme="minorHAnsi"/>
        </w:rPr>
      </w:pPr>
      <w:r w:rsidRPr="00F64ADF">
        <w:rPr>
          <w:rFonts w:cstheme="minorHAnsi"/>
        </w:rPr>
        <w:t>Health – Policy matters, NCP Framework and Payments model</w:t>
      </w:r>
      <w:r>
        <w:rPr>
          <w:rFonts w:cstheme="minorHAnsi"/>
        </w:rPr>
        <w:t xml:space="preserve">: </w:t>
      </w:r>
      <w:hyperlink r:id="rId23" w:history="1">
        <w:r w:rsidRPr="00AC4229">
          <w:rPr>
            <w:rStyle w:val="Hyperlink"/>
          </w:rPr>
          <w:t>AGPTTransition@health.gov.au</w:t>
        </w:r>
      </w:hyperlink>
    </w:p>
    <w:p w14:paraId="5675FC93" w14:textId="02651B66" w:rsidR="00CA79CF" w:rsidRPr="00E842CE" w:rsidRDefault="00CA79CF" w:rsidP="008E4FD2">
      <w:pPr>
        <w:pStyle w:val="Heading2"/>
      </w:pPr>
      <w:bookmarkStart w:id="21" w:name="_Toc115249116"/>
      <w:bookmarkStart w:id="22" w:name="_Toc117605631"/>
      <w:r w:rsidRPr="00E842CE">
        <w:t>Verso</w:t>
      </w:r>
      <w:bookmarkEnd w:id="21"/>
      <w:bookmarkEnd w:id="22"/>
    </w:p>
    <w:p w14:paraId="18306120" w14:textId="475D5C05" w:rsidR="00521724" w:rsidRPr="008E4FD2" w:rsidRDefault="003A149F" w:rsidP="008E4FD2">
      <w:r w:rsidRPr="008E4FD2">
        <w:t>The Commonwealth Department of Health and Aged Care (Health), in consultation with Services Australia, the Australian College of Rural and Remote Medicine (ACCRM) and the Royal Australian College of General Practitioners (RAC</w:t>
      </w:r>
      <w:r w:rsidR="00521724" w:rsidRPr="008E4FD2">
        <w:t>GP)</w:t>
      </w:r>
      <w:r w:rsidR="00737A50" w:rsidRPr="008E4FD2">
        <w:t>.</w:t>
      </w:r>
    </w:p>
    <w:sectPr w:rsidR="00521724" w:rsidRPr="008E4FD2" w:rsidSect="00205A93">
      <w:headerReference w:type="default" r:id="rId24"/>
      <w:footerReference w:type="default" r:id="rId25"/>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A5FB2" w14:textId="77777777" w:rsidR="00EE4C33" w:rsidRDefault="00EE4C33" w:rsidP="006B56BB">
      <w:r>
        <w:separator/>
      </w:r>
    </w:p>
    <w:p w14:paraId="7E761DF4" w14:textId="77777777" w:rsidR="00EE4C33" w:rsidRDefault="00EE4C33"/>
  </w:endnote>
  <w:endnote w:type="continuationSeparator" w:id="0">
    <w:p w14:paraId="7ADC2C62" w14:textId="77777777" w:rsidR="00EE4C33" w:rsidRDefault="00EE4C33" w:rsidP="006B56BB">
      <w:r>
        <w:continuationSeparator/>
      </w:r>
    </w:p>
    <w:p w14:paraId="6B9F9A58" w14:textId="77777777" w:rsidR="00EE4C33" w:rsidRDefault="00EE4C33"/>
  </w:endnote>
  <w:endnote w:type="continuationNotice" w:id="1">
    <w:p w14:paraId="0EAAE6E9" w14:textId="77777777" w:rsidR="00EE4C33" w:rsidRDefault="00EE4C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95D6" w14:textId="553859B8" w:rsidR="00205A93" w:rsidRDefault="00205A93" w:rsidP="0052172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F896" w14:textId="77777777" w:rsidR="00EE4C33" w:rsidRDefault="00EE4C33" w:rsidP="006B56BB">
      <w:r>
        <w:separator/>
      </w:r>
    </w:p>
    <w:p w14:paraId="3E598C2D" w14:textId="77777777" w:rsidR="00EE4C33" w:rsidRDefault="00EE4C33"/>
  </w:footnote>
  <w:footnote w:type="continuationSeparator" w:id="0">
    <w:p w14:paraId="5E562824" w14:textId="77777777" w:rsidR="00EE4C33" w:rsidRDefault="00EE4C33" w:rsidP="006B56BB">
      <w:r>
        <w:continuationSeparator/>
      </w:r>
    </w:p>
    <w:p w14:paraId="2A4EE770" w14:textId="77777777" w:rsidR="00EE4C33" w:rsidRDefault="00EE4C33"/>
  </w:footnote>
  <w:footnote w:type="continuationNotice" w:id="1">
    <w:p w14:paraId="2A3EBEEF" w14:textId="77777777" w:rsidR="00EE4C33" w:rsidRDefault="00EE4C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09A9D0EF" w:rsidR="008E0C77" w:rsidRDefault="00CA79CF" w:rsidP="008E0C77">
    <w:pPr>
      <w:pStyle w:val="Headertext"/>
      <w:spacing w:after="180"/>
      <w:jc w:val="left"/>
    </w:pPr>
    <w:r>
      <w:rPr>
        <w:noProof/>
        <w:lang w:eastAsia="en-AU"/>
      </w:rPr>
      <w:drawing>
        <wp:anchor distT="0" distB="0" distL="114300" distR="114300" simplePos="0" relativeHeight="251659264" behindDoc="1" locked="0" layoutInCell="1" allowOverlap="1" wp14:anchorId="52C11533" wp14:editId="4CA95BAB">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69A1B" w14:textId="27BADCA4"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59F0DF2E" wp14:editId="182E9A59">
          <wp:simplePos x="0" y="0"/>
          <wp:positionH relativeFrom="page">
            <wp:align>center</wp:align>
          </wp:positionH>
          <wp:positionV relativeFrom="page">
            <wp:align>center</wp:align>
          </wp:positionV>
          <wp:extent cx="7558768" cy="10692000"/>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4740C3">
      <w:rPr>
        <w:noProof/>
        <w:lang w:eastAsia="en-AU"/>
      </w:rPr>
      <w:softHyphen/>
    </w:r>
    <w:r w:rsidR="004740C3">
      <w:rPr>
        <w:noProof/>
        <w:lang w:eastAsia="en-AU"/>
      </w:rPr>
      <w:softHyphen/>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6720" w14:textId="43A0593C" w:rsidR="00205A93" w:rsidRDefault="00205A93"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30E58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336F75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64E7DF4"/>
    <w:multiLevelType w:val="hybridMultilevel"/>
    <w:tmpl w:val="4196695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0" w15:restartNumberingAfterBreak="0">
    <w:nsid w:val="09786A93"/>
    <w:multiLevelType w:val="hybridMultilevel"/>
    <w:tmpl w:val="9F9A71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D45681"/>
    <w:multiLevelType w:val="hybridMultilevel"/>
    <w:tmpl w:val="9D0A0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254730E"/>
    <w:multiLevelType w:val="hybridMultilevel"/>
    <w:tmpl w:val="6B82E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A243D60"/>
    <w:multiLevelType w:val="hybridMultilevel"/>
    <w:tmpl w:val="BAA0427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8" w15:restartNumberingAfterBreak="0">
    <w:nsid w:val="3E7F4B3D"/>
    <w:multiLevelType w:val="hybridMultilevel"/>
    <w:tmpl w:val="6764C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0E5DEC"/>
    <w:multiLevelType w:val="hybridMultilevel"/>
    <w:tmpl w:val="ED902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B0202DD"/>
    <w:multiLevelType w:val="hybridMultilevel"/>
    <w:tmpl w:val="1B32C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0A66BF"/>
    <w:multiLevelType w:val="hybridMultilevel"/>
    <w:tmpl w:val="02E2EB24"/>
    <w:lvl w:ilvl="0" w:tplc="7274379A">
      <w:start w:val="1"/>
      <w:numFmt w:val="decimal"/>
      <w:lvlText w:val="%1."/>
      <w:lvlJc w:val="left"/>
      <w:pPr>
        <w:ind w:left="360" w:hanging="360"/>
      </w:pPr>
      <w:rPr>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5"/>
  </w:num>
  <w:num w:numId="4">
    <w:abstractNumId w:val="8"/>
  </w:num>
  <w:num w:numId="5">
    <w:abstractNumId w:val="8"/>
    <w:lvlOverride w:ilvl="0">
      <w:startOverride w:val="1"/>
    </w:lvlOverride>
  </w:num>
  <w:num w:numId="6">
    <w:abstractNumId w:val="11"/>
  </w:num>
  <w:num w:numId="7">
    <w:abstractNumId w:val="19"/>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7"/>
  </w:num>
  <w:num w:numId="17">
    <w:abstractNumId w:val="12"/>
  </w:num>
  <w:num w:numId="18">
    <w:abstractNumId w:val="13"/>
  </w:num>
  <w:num w:numId="19">
    <w:abstractNumId w:val="16"/>
  </w:num>
  <w:num w:numId="20">
    <w:abstractNumId w:val="12"/>
  </w:num>
  <w:num w:numId="21">
    <w:abstractNumId w:val="16"/>
  </w:num>
  <w:num w:numId="22">
    <w:abstractNumId w:val="27"/>
  </w:num>
  <w:num w:numId="23">
    <w:abstractNumId w:val="21"/>
  </w:num>
  <w:num w:numId="24">
    <w:abstractNumId w:val="25"/>
  </w:num>
  <w:num w:numId="25">
    <w:abstractNumId w:val="8"/>
  </w:num>
  <w:num w:numId="26">
    <w:abstractNumId w:val="20"/>
  </w:num>
  <w:num w:numId="27">
    <w:abstractNumId w:val="17"/>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9"/>
  </w:num>
  <w:num w:numId="31">
    <w:abstractNumId w:val="15"/>
  </w:num>
  <w:num w:numId="32">
    <w:abstractNumId w:val="10"/>
  </w:num>
  <w:num w:numId="33">
    <w:abstractNumId w:val="14"/>
  </w:num>
  <w:num w:numId="34">
    <w:abstractNumId w:val="18"/>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7456"/>
    <w:rsid w:val="00071506"/>
    <w:rsid w:val="0007154F"/>
    <w:rsid w:val="00081AB1"/>
    <w:rsid w:val="00090316"/>
    <w:rsid w:val="00093981"/>
    <w:rsid w:val="00093CD9"/>
    <w:rsid w:val="000B067A"/>
    <w:rsid w:val="000B1540"/>
    <w:rsid w:val="000B33FD"/>
    <w:rsid w:val="000B4ABA"/>
    <w:rsid w:val="000B5688"/>
    <w:rsid w:val="000C321B"/>
    <w:rsid w:val="000C4B16"/>
    <w:rsid w:val="000C50C3"/>
    <w:rsid w:val="000D21F6"/>
    <w:rsid w:val="000D42C3"/>
    <w:rsid w:val="000D4500"/>
    <w:rsid w:val="000D56E4"/>
    <w:rsid w:val="000D7AEA"/>
    <w:rsid w:val="000E01A9"/>
    <w:rsid w:val="000E2C66"/>
    <w:rsid w:val="000E6E7D"/>
    <w:rsid w:val="000F123C"/>
    <w:rsid w:val="000F2FED"/>
    <w:rsid w:val="00100F6D"/>
    <w:rsid w:val="0010616D"/>
    <w:rsid w:val="00110478"/>
    <w:rsid w:val="0011711B"/>
    <w:rsid w:val="00117F8A"/>
    <w:rsid w:val="00121B9B"/>
    <w:rsid w:val="00122ADC"/>
    <w:rsid w:val="00130F59"/>
    <w:rsid w:val="00133EC0"/>
    <w:rsid w:val="00141CE5"/>
    <w:rsid w:val="00144908"/>
    <w:rsid w:val="00145CAD"/>
    <w:rsid w:val="001571C7"/>
    <w:rsid w:val="00161094"/>
    <w:rsid w:val="00172A55"/>
    <w:rsid w:val="001758CD"/>
    <w:rsid w:val="0017665C"/>
    <w:rsid w:val="00177AD2"/>
    <w:rsid w:val="001815A8"/>
    <w:rsid w:val="00181993"/>
    <w:rsid w:val="001840FA"/>
    <w:rsid w:val="00190079"/>
    <w:rsid w:val="0019622E"/>
    <w:rsid w:val="001966A7"/>
    <w:rsid w:val="001A4627"/>
    <w:rsid w:val="001A4979"/>
    <w:rsid w:val="001B15D3"/>
    <w:rsid w:val="001B3443"/>
    <w:rsid w:val="001C0326"/>
    <w:rsid w:val="001C192F"/>
    <w:rsid w:val="001C3C42"/>
    <w:rsid w:val="001D7869"/>
    <w:rsid w:val="001F2F78"/>
    <w:rsid w:val="001F47F3"/>
    <w:rsid w:val="002026CD"/>
    <w:rsid w:val="002033FC"/>
    <w:rsid w:val="002044BB"/>
    <w:rsid w:val="00205A93"/>
    <w:rsid w:val="00210B09"/>
    <w:rsid w:val="00210C9E"/>
    <w:rsid w:val="00211840"/>
    <w:rsid w:val="00220E5F"/>
    <w:rsid w:val="002212B5"/>
    <w:rsid w:val="00226668"/>
    <w:rsid w:val="00233809"/>
    <w:rsid w:val="002360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6E75"/>
    <w:rsid w:val="002E1A1D"/>
    <w:rsid w:val="002E4081"/>
    <w:rsid w:val="002E5B78"/>
    <w:rsid w:val="002F3AE3"/>
    <w:rsid w:val="002F454E"/>
    <w:rsid w:val="0030464B"/>
    <w:rsid w:val="0030786C"/>
    <w:rsid w:val="003233DE"/>
    <w:rsid w:val="0032466B"/>
    <w:rsid w:val="00327B44"/>
    <w:rsid w:val="003330EB"/>
    <w:rsid w:val="00336605"/>
    <w:rsid w:val="003415FD"/>
    <w:rsid w:val="003429F0"/>
    <w:rsid w:val="0035097A"/>
    <w:rsid w:val="003540A4"/>
    <w:rsid w:val="00360E4E"/>
    <w:rsid w:val="00360FEA"/>
    <w:rsid w:val="00370AAA"/>
    <w:rsid w:val="00375F77"/>
    <w:rsid w:val="00377A78"/>
    <w:rsid w:val="00381BBE"/>
    <w:rsid w:val="00382903"/>
    <w:rsid w:val="003846FF"/>
    <w:rsid w:val="00385AD4"/>
    <w:rsid w:val="00387924"/>
    <w:rsid w:val="0039384D"/>
    <w:rsid w:val="00395C23"/>
    <w:rsid w:val="003A149F"/>
    <w:rsid w:val="003A2E4F"/>
    <w:rsid w:val="003A4438"/>
    <w:rsid w:val="003A5013"/>
    <w:rsid w:val="003A5078"/>
    <w:rsid w:val="003A62DD"/>
    <w:rsid w:val="003A775A"/>
    <w:rsid w:val="003B0914"/>
    <w:rsid w:val="003B0DAB"/>
    <w:rsid w:val="003B213A"/>
    <w:rsid w:val="003B43AD"/>
    <w:rsid w:val="003C0FEC"/>
    <w:rsid w:val="003C15B8"/>
    <w:rsid w:val="003C2AC8"/>
    <w:rsid w:val="003D17F9"/>
    <w:rsid w:val="003D2D88"/>
    <w:rsid w:val="003D41EA"/>
    <w:rsid w:val="003D4850"/>
    <w:rsid w:val="003D535A"/>
    <w:rsid w:val="003E10B8"/>
    <w:rsid w:val="003E2843"/>
    <w:rsid w:val="003E5265"/>
    <w:rsid w:val="003F0955"/>
    <w:rsid w:val="003F36A2"/>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72066"/>
    <w:rsid w:val="004740C3"/>
    <w:rsid w:val="004867E2"/>
    <w:rsid w:val="004929A9"/>
    <w:rsid w:val="004C2FEC"/>
    <w:rsid w:val="004C6BCF"/>
    <w:rsid w:val="004D58BF"/>
    <w:rsid w:val="004E4335"/>
    <w:rsid w:val="004E5ACF"/>
    <w:rsid w:val="004F13EE"/>
    <w:rsid w:val="004F2022"/>
    <w:rsid w:val="004F7C05"/>
    <w:rsid w:val="00501C94"/>
    <w:rsid w:val="00506432"/>
    <w:rsid w:val="0051242B"/>
    <w:rsid w:val="0052051D"/>
    <w:rsid w:val="00521724"/>
    <w:rsid w:val="00545EE6"/>
    <w:rsid w:val="005550E7"/>
    <w:rsid w:val="005564FB"/>
    <w:rsid w:val="005572C7"/>
    <w:rsid w:val="00557D5A"/>
    <w:rsid w:val="0056335C"/>
    <w:rsid w:val="0056486D"/>
    <w:rsid w:val="005650ED"/>
    <w:rsid w:val="00575754"/>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37A50"/>
    <w:rsid w:val="00751A23"/>
    <w:rsid w:val="0076672A"/>
    <w:rsid w:val="00775E45"/>
    <w:rsid w:val="00776E74"/>
    <w:rsid w:val="00785169"/>
    <w:rsid w:val="007954AB"/>
    <w:rsid w:val="007A14C5"/>
    <w:rsid w:val="007A3E38"/>
    <w:rsid w:val="007A4A10"/>
    <w:rsid w:val="007A53E2"/>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1111"/>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D0533"/>
    <w:rsid w:val="008D42CB"/>
    <w:rsid w:val="008D48C9"/>
    <w:rsid w:val="008D5B79"/>
    <w:rsid w:val="008D6381"/>
    <w:rsid w:val="008E0C77"/>
    <w:rsid w:val="008E4FD2"/>
    <w:rsid w:val="008E625F"/>
    <w:rsid w:val="008F264D"/>
    <w:rsid w:val="008F4175"/>
    <w:rsid w:val="009074E1"/>
    <w:rsid w:val="009112F7"/>
    <w:rsid w:val="009122AF"/>
    <w:rsid w:val="009127BC"/>
    <w:rsid w:val="00912D54"/>
    <w:rsid w:val="0091389F"/>
    <w:rsid w:val="009208F7"/>
    <w:rsid w:val="00922517"/>
    <w:rsid w:val="00922722"/>
    <w:rsid w:val="009261E6"/>
    <w:rsid w:val="009268E1"/>
    <w:rsid w:val="00945E7F"/>
    <w:rsid w:val="00953E43"/>
    <w:rsid w:val="0095405D"/>
    <w:rsid w:val="0095464E"/>
    <w:rsid w:val="009557C1"/>
    <w:rsid w:val="00960D6E"/>
    <w:rsid w:val="00972BC1"/>
    <w:rsid w:val="00974B59"/>
    <w:rsid w:val="0098340B"/>
    <w:rsid w:val="00986830"/>
    <w:rsid w:val="009918F9"/>
    <w:rsid w:val="009924C3"/>
    <w:rsid w:val="00993102"/>
    <w:rsid w:val="009C4A39"/>
    <w:rsid w:val="009C6F10"/>
    <w:rsid w:val="009D148F"/>
    <w:rsid w:val="009D3D70"/>
    <w:rsid w:val="009E6F7E"/>
    <w:rsid w:val="009E7A57"/>
    <w:rsid w:val="009F4F6A"/>
    <w:rsid w:val="00A04084"/>
    <w:rsid w:val="00A16E36"/>
    <w:rsid w:val="00A24961"/>
    <w:rsid w:val="00A24B10"/>
    <w:rsid w:val="00A30E9B"/>
    <w:rsid w:val="00A4512D"/>
    <w:rsid w:val="00A50244"/>
    <w:rsid w:val="00A56F17"/>
    <w:rsid w:val="00A627D7"/>
    <w:rsid w:val="00A656C7"/>
    <w:rsid w:val="00A705AF"/>
    <w:rsid w:val="00A72454"/>
    <w:rsid w:val="00A77696"/>
    <w:rsid w:val="00A80557"/>
    <w:rsid w:val="00A81D33"/>
    <w:rsid w:val="00A930AE"/>
    <w:rsid w:val="00AA1A95"/>
    <w:rsid w:val="00AA260F"/>
    <w:rsid w:val="00AB1EE7"/>
    <w:rsid w:val="00AB4B37"/>
    <w:rsid w:val="00AB5762"/>
    <w:rsid w:val="00AC0C70"/>
    <w:rsid w:val="00AC2679"/>
    <w:rsid w:val="00AC4BE4"/>
    <w:rsid w:val="00AC6BF9"/>
    <w:rsid w:val="00AD05E6"/>
    <w:rsid w:val="00AD0D3F"/>
    <w:rsid w:val="00AE1D7D"/>
    <w:rsid w:val="00AE2A8B"/>
    <w:rsid w:val="00AE3F64"/>
    <w:rsid w:val="00AE5A2F"/>
    <w:rsid w:val="00AF7386"/>
    <w:rsid w:val="00AF7934"/>
    <w:rsid w:val="00B00B81"/>
    <w:rsid w:val="00B04580"/>
    <w:rsid w:val="00B04B09"/>
    <w:rsid w:val="00B16A51"/>
    <w:rsid w:val="00B25440"/>
    <w:rsid w:val="00B32222"/>
    <w:rsid w:val="00B3618D"/>
    <w:rsid w:val="00B36233"/>
    <w:rsid w:val="00B42851"/>
    <w:rsid w:val="00B45AC7"/>
    <w:rsid w:val="00B5372F"/>
    <w:rsid w:val="00B54851"/>
    <w:rsid w:val="00B61129"/>
    <w:rsid w:val="00B67E7F"/>
    <w:rsid w:val="00B75A04"/>
    <w:rsid w:val="00B77682"/>
    <w:rsid w:val="00B839B2"/>
    <w:rsid w:val="00B83F71"/>
    <w:rsid w:val="00B94252"/>
    <w:rsid w:val="00B94828"/>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F5D11"/>
    <w:rsid w:val="00C00930"/>
    <w:rsid w:val="00C060AD"/>
    <w:rsid w:val="00C0670D"/>
    <w:rsid w:val="00C113BF"/>
    <w:rsid w:val="00C2176E"/>
    <w:rsid w:val="00C23430"/>
    <w:rsid w:val="00C27D67"/>
    <w:rsid w:val="00C4631F"/>
    <w:rsid w:val="00C50E16"/>
    <w:rsid w:val="00C55258"/>
    <w:rsid w:val="00C56592"/>
    <w:rsid w:val="00C82EEB"/>
    <w:rsid w:val="00C971DC"/>
    <w:rsid w:val="00CA16B7"/>
    <w:rsid w:val="00CA4BE3"/>
    <w:rsid w:val="00CA62AE"/>
    <w:rsid w:val="00CA79CF"/>
    <w:rsid w:val="00CB5B1A"/>
    <w:rsid w:val="00CC220B"/>
    <w:rsid w:val="00CC5C43"/>
    <w:rsid w:val="00CD02AE"/>
    <w:rsid w:val="00CD05CA"/>
    <w:rsid w:val="00CD2A4F"/>
    <w:rsid w:val="00CE03CA"/>
    <w:rsid w:val="00CE22F1"/>
    <w:rsid w:val="00CE50F2"/>
    <w:rsid w:val="00CE6502"/>
    <w:rsid w:val="00CF14A6"/>
    <w:rsid w:val="00CF7D3C"/>
    <w:rsid w:val="00D147EB"/>
    <w:rsid w:val="00D34667"/>
    <w:rsid w:val="00D401E1"/>
    <w:rsid w:val="00D408B4"/>
    <w:rsid w:val="00D43506"/>
    <w:rsid w:val="00D45D94"/>
    <w:rsid w:val="00D524C8"/>
    <w:rsid w:val="00D60E25"/>
    <w:rsid w:val="00D70E24"/>
    <w:rsid w:val="00D716B3"/>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1901"/>
    <w:rsid w:val="00E52260"/>
    <w:rsid w:val="00E560A5"/>
    <w:rsid w:val="00E639B6"/>
    <w:rsid w:val="00E6434B"/>
    <w:rsid w:val="00E6463D"/>
    <w:rsid w:val="00E72E9B"/>
    <w:rsid w:val="00E81019"/>
    <w:rsid w:val="00E842CE"/>
    <w:rsid w:val="00E849DA"/>
    <w:rsid w:val="00E911F2"/>
    <w:rsid w:val="00E9462E"/>
    <w:rsid w:val="00EA470E"/>
    <w:rsid w:val="00EA47A7"/>
    <w:rsid w:val="00EA57EB"/>
    <w:rsid w:val="00EB3226"/>
    <w:rsid w:val="00EC213A"/>
    <w:rsid w:val="00EC6603"/>
    <w:rsid w:val="00EC7744"/>
    <w:rsid w:val="00ED0DAD"/>
    <w:rsid w:val="00ED0F46"/>
    <w:rsid w:val="00ED2373"/>
    <w:rsid w:val="00EE3E8A"/>
    <w:rsid w:val="00EE4C33"/>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D4731"/>
    <w:rsid w:val="00FF0AB0"/>
    <w:rsid w:val="00FF28AC"/>
    <w:rsid w:val="00FF575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BEAB15"/>
  <w15:docId w15:val="{73A2A0A3-86FA-41BB-B91C-A3CC2F61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405D"/>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E842CE"/>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E842CE"/>
    <w:pPr>
      <w:keepNext/>
      <w:spacing w:before="240" w:after="60"/>
      <w:outlineLvl w:val="1"/>
    </w:pPr>
    <w:rPr>
      <w:rFonts w:ascii="Arial" w:hAnsi="Arial" w:cs="Arial"/>
      <w:b/>
      <w:bCs/>
      <w:iCs/>
      <w:color w:val="358189"/>
      <w:sz w:val="36"/>
      <w:szCs w:val="28"/>
      <w:lang w:eastAsia="en-US"/>
    </w:rPr>
  </w:style>
  <w:style w:type="paragraph" w:styleId="Heading3">
    <w:name w:val="heading 3"/>
    <w:basedOn w:val="Heading2"/>
    <w:next w:val="Normal"/>
    <w:qFormat/>
    <w:rsid w:val="008E4FD2"/>
    <w:pPr>
      <w:spacing w:before="120" w:after="120"/>
      <w:outlineLvl w:val="2"/>
    </w:pPr>
    <w:rPr>
      <w:b w:val="0"/>
      <w:bCs w:val="0"/>
      <w:sz w:val="32"/>
      <w:szCs w:val="26"/>
    </w:rPr>
  </w:style>
  <w:style w:type="paragraph" w:styleId="Heading4">
    <w:name w:val="heading 4"/>
    <w:basedOn w:val="Heading3"/>
    <w:next w:val="Normal"/>
    <w:qFormat/>
    <w:rsid w:val="008E4FD2"/>
    <w:pPr>
      <w:outlineLvl w:val="3"/>
    </w:pPr>
    <w:rPr>
      <w:b/>
      <w:bCs/>
      <w:color w:val="auto"/>
      <w:sz w:val="24"/>
      <w:szCs w:val="28"/>
    </w:rPr>
  </w:style>
  <w:style w:type="paragraph" w:styleId="Heading5">
    <w:name w:val="heading 5"/>
    <w:next w:val="Normal"/>
    <w:rsid w:val="00E842CE"/>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E842CE"/>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E842CE"/>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E842CE"/>
    <w:rPr>
      <w:i/>
      <w:iCs/>
    </w:rPr>
  </w:style>
  <w:style w:type="character" w:styleId="Strong">
    <w:name w:val="Strong"/>
    <w:basedOn w:val="DefaultParagraphFont"/>
    <w:rsid w:val="00E842CE"/>
    <w:rPr>
      <w:b/>
      <w:bCs/>
    </w:rPr>
  </w:style>
  <w:style w:type="paragraph" w:styleId="Subtitle">
    <w:name w:val="Subtitle"/>
    <w:next w:val="Normal"/>
    <w:link w:val="SubtitleChar"/>
    <w:qFormat/>
    <w:rsid w:val="00E842CE"/>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E842CE"/>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E842CE"/>
    <w:rPr>
      <w:sz w:val="24"/>
      <w:szCs w:val="24"/>
      <w:lang w:eastAsia="en-US"/>
    </w:rPr>
  </w:style>
  <w:style w:type="character" w:styleId="SubtleEmphasis">
    <w:name w:val="Subtle Emphasis"/>
    <w:basedOn w:val="DefaultParagraphFont"/>
    <w:uiPriority w:val="19"/>
    <w:rsid w:val="00E842CE"/>
    <w:rPr>
      <w:i/>
      <w:iCs/>
      <w:color w:val="808080" w:themeColor="text1" w:themeTint="7F"/>
    </w:rPr>
  </w:style>
  <w:style w:type="character" w:styleId="IntenseEmphasis">
    <w:name w:val="Intense Emphasis"/>
    <w:basedOn w:val="DefaultParagraphFont"/>
    <w:uiPriority w:val="21"/>
    <w:rsid w:val="00E842CE"/>
    <w:rPr>
      <w:b/>
      <w:bCs/>
      <w:i/>
      <w:iCs/>
      <w:color w:val="3F4A75" w:themeColor="accent1"/>
    </w:rPr>
  </w:style>
  <w:style w:type="paragraph" w:styleId="Quote">
    <w:name w:val="Quote"/>
    <w:next w:val="Normal"/>
    <w:link w:val="QuoteChar"/>
    <w:uiPriority w:val="29"/>
    <w:qFormat/>
    <w:rsid w:val="00E842CE"/>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E842CE"/>
    <w:rPr>
      <w:rFonts w:ascii="Arial" w:hAnsi="Arial"/>
      <w:i/>
      <w:iCs/>
      <w:color w:val="000000" w:themeColor="text1"/>
      <w:sz w:val="22"/>
      <w:szCs w:val="24"/>
      <w:lang w:eastAsia="en-US"/>
    </w:rPr>
  </w:style>
  <w:style w:type="paragraph" w:styleId="IntenseQuote">
    <w:name w:val="Intense Quote"/>
    <w:next w:val="Normal"/>
    <w:link w:val="IntenseQuoteChar"/>
    <w:uiPriority w:val="30"/>
    <w:rsid w:val="00E842CE"/>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E842CE"/>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E842CE"/>
    <w:rPr>
      <w:smallCaps/>
      <w:color w:val="358189" w:themeColor="accent2"/>
      <w:u w:val="single"/>
    </w:rPr>
  </w:style>
  <w:style w:type="character" w:styleId="IntenseReference">
    <w:name w:val="Intense Reference"/>
    <w:basedOn w:val="DefaultParagraphFont"/>
    <w:uiPriority w:val="32"/>
    <w:rsid w:val="00E842CE"/>
    <w:rPr>
      <w:b/>
      <w:bCs/>
      <w:i/>
      <w:smallCaps/>
      <w:color w:val="358189" w:themeColor="accent2"/>
      <w:spacing w:val="5"/>
      <w:u w:val="none"/>
    </w:rPr>
  </w:style>
  <w:style w:type="paragraph" w:styleId="ListBullet2">
    <w:name w:val="List Bullet 2"/>
    <w:basedOn w:val="ListNumber2"/>
    <w:rsid w:val="00E842CE"/>
    <w:pPr>
      <w:numPr>
        <w:numId w:val="22"/>
      </w:numPr>
    </w:pPr>
  </w:style>
  <w:style w:type="paragraph" w:styleId="ListNumber2">
    <w:name w:val="List Number 2"/>
    <w:basedOn w:val="ListBullet"/>
    <w:qFormat/>
    <w:rsid w:val="00E842CE"/>
    <w:pPr>
      <w:numPr>
        <w:numId w:val="21"/>
      </w:numPr>
    </w:pPr>
  </w:style>
  <w:style w:type="paragraph" w:styleId="ListBullet">
    <w:name w:val="List Bullet"/>
    <w:basedOn w:val="Normal"/>
    <w:qFormat/>
    <w:rsid w:val="00C56592"/>
    <w:pPr>
      <w:numPr>
        <w:numId w:val="20"/>
      </w:numPr>
      <w:spacing w:before="60" w:after="60"/>
      <w:ind w:left="527" w:hanging="357"/>
    </w:pPr>
  </w:style>
  <w:style w:type="paragraph" w:customStyle="1" w:styleId="ImageTitle">
    <w:name w:val="Image Title"/>
    <w:locked/>
    <w:rsid w:val="00E842CE"/>
    <w:pPr>
      <w:tabs>
        <w:tab w:val="num" w:pos="1080"/>
      </w:tabs>
      <w:spacing w:before="120" w:line="240" w:lineRule="exact"/>
    </w:pPr>
    <w:rPr>
      <w:rFonts w:ascii="Arial" w:hAnsi="Arial"/>
      <w:color w:val="000000" w:themeColor="text1"/>
      <w:sz w:val="22"/>
      <w:szCs w:val="24"/>
      <w:lang w:eastAsia="en-US"/>
    </w:rPr>
  </w:style>
  <w:style w:type="table" w:styleId="TableGrid">
    <w:name w:val="Table Grid"/>
    <w:basedOn w:val="TableNormal"/>
    <w:locked/>
    <w:rsid w:val="00E8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E842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E842CE"/>
    <w:pPr>
      <w:spacing w:before="60" w:after="60"/>
    </w:pPr>
    <w:rPr>
      <w:rFonts w:ascii="Arial" w:hAnsi="Arial"/>
      <w:color w:val="000000" w:themeColor="text1"/>
      <w:sz w:val="21"/>
      <w:szCs w:val="24"/>
      <w:lang w:eastAsia="en-US"/>
    </w:rPr>
  </w:style>
  <w:style w:type="table" w:styleId="TableColumns2">
    <w:name w:val="Table Columns 2"/>
    <w:basedOn w:val="TableNormal"/>
    <w:locked/>
    <w:rsid w:val="00E842CE"/>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E842CE"/>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E842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E842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E842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E842CE"/>
    <w:pPr>
      <w:spacing w:before="120" w:after="120"/>
    </w:pPr>
    <w:rPr>
      <w:rFonts w:ascii="Arial" w:hAnsi="Arial"/>
      <w:b/>
      <w:color w:val="000000" w:themeColor="text1"/>
      <w:sz w:val="22"/>
      <w:szCs w:val="24"/>
      <w:lang w:val="en-US" w:eastAsia="en-US"/>
    </w:rPr>
  </w:style>
  <w:style w:type="paragraph" w:styleId="Header">
    <w:name w:val="header"/>
    <w:link w:val="HeaderChar"/>
    <w:qFormat/>
    <w:rsid w:val="00E842C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E842CE"/>
    <w:rPr>
      <w:rFonts w:ascii="Arial" w:hAnsi="Arial"/>
      <w:sz w:val="22"/>
      <w:szCs w:val="24"/>
      <w:lang w:eastAsia="en-US"/>
    </w:rPr>
  </w:style>
  <w:style w:type="paragraph" w:styleId="Footer">
    <w:name w:val="footer"/>
    <w:link w:val="FooterChar"/>
    <w:uiPriority w:val="99"/>
    <w:qFormat/>
    <w:rsid w:val="00E842C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E842CE"/>
    <w:rPr>
      <w:rFonts w:ascii="Arial" w:hAnsi="Arial"/>
      <w:szCs w:val="24"/>
      <w:lang w:eastAsia="en-US"/>
    </w:rPr>
  </w:style>
  <w:style w:type="paragraph" w:customStyle="1" w:styleId="TableHeaderWhite">
    <w:name w:val="Table Header White"/>
    <w:basedOn w:val="Normal"/>
    <w:next w:val="Tabletextleft"/>
    <w:qFormat/>
    <w:rsid w:val="00E842CE"/>
    <w:pPr>
      <w:spacing w:before="80" w:after="80"/>
    </w:pPr>
    <w:rPr>
      <w:rFonts w:eastAsia="Cambria"/>
      <w:b/>
      <w:color w:val="FFFFFF" w:themeColor="background1"/>
      <w:szCs w:val="22"/>
      <w:lang w:val="en-US"/>
    </w:rPr>
  </w:style>
  <w:style w:type="table" w:styleId="TableGrid7">
    <w:name w:val="Table Grid 7"/>
    <w:basedOn w:val="TableNormal"/>
    <w:locked/>
    <w:rsid w:val="00E842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E842CE"/>
    <w:pPr>
      <w:spacing w:before="60"/>
    </w:pPr>
    <w:rPr>
      <w:rFonts w:cs="Arial"/>
      <w:b/>
      <w:sz w:val="20"/>
    </w:rPr>
  </w:style>
  <w:style w:type="paragraph" w:customStyle="1" w:styleId="FigureTitle">
    <w:name w:val="Figure Title"/>
    <w:next w:val="Normal"/>
    <w:qFormat/>
    <w:rsid w:val="00E842C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E842CE"/>
    <w:pPr>
      <w:spacing w:before="100" w:beforeAutospacing="1" w:after="100" w:afterAutospacing="1"/>
    </w:pPr>
    <w:rPr>
      <w:rFonts w:ascii="Times New Roman" w:hAnsi="Times New Roman"/>
      <w:sz w:val="24"/>
      <w:lang w:eastAsia="en-AU"/>
    </w:rPr>
  </w:style>
  <w:style w:type="paragraph" w:customStyle="1" w:styleId="Headertext">
    <w:name w:val="Header text"/>
    <w:rsid w:val="00E842CE"/>
    <w:pPr>
      <w:jc w:val="right"/>
    </w:pPr>
    <w:rPr>
      <w:rFonts w:ascii="Arial" w:hAnsi="Arial"/>
      <w:szCs w:val="24"/>
      <w:lang w:eastAsia="en-US"/>
    </w:rPr>
  </w:style>
  <w:style w:type="character" w:styleId="Hyperlink">
    <w:name w:val="Hyperlink"/>
    <w:basedOn w:val="DefaultParagraphFont"/>
    <w:uiPriority w:val="99"/>
    <w:qFormat/>
    <w:rsid w:val="00E842CE"/>
    <w:rPr>
      <w:color w:val="0000FF" w:themeColor="hyperlink"/>
      <w:u w:val="single"/>
    </w:rPr>
  </w:style>
  <w:style w:type="table" w:customStyle="1" w:styleId="PHNGreyTable">
    <w:name w:val="PHN Grey Table"/>
    <w:basedOn w:val="TableNormal"/>
    <w:uiPriority w:val="99"/>
    <w:rsid w:val="00E842CE"/>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E842CE"/>
    <w:pPr>
      <w:numPr>
        <w:numId w:val="24"/>
      </w:numPr>
    </w:pPr>
    <w:rPr>
      <w:szCs w:val="20"/>
    </w:rPr>
  </w:style>
  <w:style w:type="paragraph" w:customStyle="1" w:styleId="Tablelistnumber">
    <w:name w:val="Table list number"/>
    <w:basedOn w:val="Tabletextleft"/>
    <w:qFormat/>
    <w:rsid w:val="00E842CE"/>
    <w:pPr>
      <w:numPr>
        <w:numId w:val="25"/>
      </w:numPr>
    </w:pPr>
    <w:rPr>
      <w:bCs/>
      <w14:numSpacing w14:val="proportional"/>
    </w:rPr>
  </w:style>
  <w:style w:type="paragraph" w:customStyle="1" w:styleId="TableHeader">
    <w:name w:val="Table Header"/>
    <w:basedOn w:val="Normal"/>
    <w:next w:val="Tabletextleft"/>
    <w:qFormat/>
    <w:rsid w:val="00E842CE"/>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E842CE"/>
    <w:rPr>
      <w:szCs w:val="32"/>
    </w:rPr>
  </w:style>
  <w:style w:type="paragraph" w:styleId="FootnoteText">
    <w:name w:val="footnote text"/>
    <w:link w:val="FootnoteTextChar"/>
    <w:rsid w:val="00E842CE"/>
    <w:rPr>
      <w:rFonts w:ascii="Arial" w:hAnsi="Arial"/>
      <w:lang w:eastAsia="en-US"/>
    </w:rPr>
  </w:style>
  <w:style w:type="character" w:customStyle="1" w:styleId="FootnoteTextChar">
    <w:name w:val="Footnote Text Char"/>
    <w:basedOn w:val="DefaultParagraphFont"/>
    <w:link w:val="FootnoteText"/>
    <w:rsid w:val="00E842CE"/>
    <w:rPr>
      <w:rFonts w:ascii="Arial" w:hAnsi="Arial"/>
      <w:lang w:eastAsia="en-US"/>
    </w:rPr>
  </w:style>
  <w:style w:type="paragraph" w:styleId="Caption">
    <w:name w:val="caption"/>
    <w:basedOn w:val="Normal"/>
    <w:next w:val="Normal"/>
    <w:unhideWhenUsed/>
    <w:rsid w:val="00E842CE"/>
    <w:pPr>
      <w:spacing w:after="200"/>
    </w:pPr>
    <w:rPr>
      <w:b/>
      <w:bCs/>
      <w:color w:val="3F4A75" w:themeColor="accent1"/>
      <w:sz w:val="18"/>
      <w:szCs w:val="18"/>
    </w:rPr>
  </w:style>
  <w:style w:type="paragraph" w:customStyle="1" w:styleId="VisionBox">
    <w:name w:val="VisionBox"/>
    <w:basedOn w:val="Normal"/>
    <w:qFormat/>
    <w:rsid w:val="00E842CE"/>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E842C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E842C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E842CE"/>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E842CE"/>
    <w:rPr>
      <w:rFonts w:ascii="Arial" w:hAnsi="Arial"/>
      <w:b/>
      <w:color w:val="000000" w:themeColor="text1"/>
      <w:sz w:val="22"/>
      <w:szCs w:val="24"/>
      <w:lang w:val="en-US" w:eastAsia="en-US"/>
    </w:rPr>
  </w:style>
  <w:style w:type="paragraph" w:customStyle="1" w:styleId="IntroPara">
    <w:name w:val="Intro Para"/>
    <w:basedOn w:val="Normal"/>
    <w:next w:val="Normal"/>
    <w:qFormat/>
    <w:rsid w:val="00E842CE"/>
    <w:pPr>
      <w:spacing w:before="480" w:line="400" w:lineRule="exact"/>
    </w:pPr>
    <w:rPr>
      <w:color w:val="358189"/>
      <w:sz w:val="28"/>
    </w:rPr>
  </w:style>
  <w:style w:type="paragraph" w:customStyle="1" w:styleId="TableTextright">
    <w:name w:val="Table Text right"/>
    <w:basedOn w:val="Tabletextleft"/>
    <w:rsid w:val="00E842CE"/>
    <w:pPr>
      <w:jc w:val="right"/>
    </w:pPr>
  </w:style>
  <w:style w:type="paragraph" w:customStyle="1" w:styleId="Tabletextright0">
    <w:name w:val="Table text right"/>
    <w:basedOn w:val="Tabletextleft"/>
    <w:rsid w:val="00E842CE"/>
    <w:pPr>
      <w:jc w:val="right"/>
    </w:pPr>
  </w:style>
  <w:style w:type="paragraph" w:customStyle="1" w:styleId="Tabletextcentre">
    <w:name w:val="Table text centre"/>
    <w:basedOn w:val="Tabletextleft"/>
    <w:rsid w:val="00E842CE"/>
    <w:pPr>
      <w:jc w:val="center"/>
    </w:pPr>
  </w:style>
  <w:style w:type="paragraph" w:customStyle="1" w:styleId="Boxheading">
    <w:name w:val="Box heading"/>
    <w:basedOn w:val="Boxtype"/>
    <w:qFormat/>
    <w:rsid w:val="00E842CE"/>
    <w:pPr>
      <w:spacing w:before="240"/>
    </w:pPr>
    <w:rPr>
      <w:rFonts w:cs="Times New Roman"/>
      <w:b/>
      <w:bCs/>
      <w:caps/>
      <w:color w:val="358189"/>
      <w:szCs w:val="20"/>
    </w:rPr>
  </w:style>
  <w:style w:type="paragraph" w:customStyle="1" w:styleId="Boxtype">
    <w:name w:val="Box type"/>
    <w:next w:val="Normal"/>
    <w:qFormat/>
    <w:rsid w:val="00E842CE"/>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E842CE"/>
  </w:style>
  <w:style w:type="paragraph" w:customStyle="1" w:styleId="URL">
    <w:name w:val="URL"/>
    <w:basedOn w:val="Normal"/>
    <w:rsid w:val="00E842CE"/>
    <w:pPr>
      <w:spacing w:before="3120"/>
      <w:jc w:val="center"/>
    </w:pPr>
    <w:rPr>
      <w:b/>
      <w:bCs/>
      <w:sz w:val="24"/>
      <w:szCs w:val="20"/>
    </w:rPr>
  </w:style>
  <w:style w:type="paragraph" w:styleId="BodyText">
    <w:name w:val="Body Text"/>
    <w:basedOn w:val="Normal"/>
    <w:link w:val="BodyTextChar"/>
    <w:semiHidden/>
    <w:unhideWhenUsed/>
    <w:rsid w:val="00E842CE"/>
  </w:style>
  <w:style w:type="character" w:customStyle="1" w:styleId="BodyTextChar">
    <w:name w:val="Body Text Char"/>
    <w:basedOn w:val="DefaultParagraphFont"/>
    <w:link w:val="BodyText"/>
    <w:semiHidden/>
    <w:rsid w:val="00E842CE"/>
    <w:rPr>
      <w:rFonts w:ascii="Arial" w:hAnsi="Arial"/>
      <w:color w:val="000000" w:themeColor="text1"/>
      <w:sz w:val="22"/>
      <w:szCs w:val="24"/>
      <w:lang w:eastAsia="en-US"/>
    </w:rPr>
  </w:style>
  <w:style w:type="character" w:customStyle="1" w:styleId="Heading7Char">
    <w:name w:val="Heading 7 Char"/>
    <w:basedOn w:val="DefaultParagraphFont"/>
    <w:link w:val="Heading7"/>
    <w:semiHidden/>
    <w:rsid w:val="00E842CE"/>
    <w:rPr>
      <w:rFonts w:ascii="Arial" w:eastAsiaTheme="majorEastAsia" w:hAnsi="Arial" w:cstheme="majorBidi"/>
      <w:b/>
      <w:i/>
      <w:iCs/>
      <w:color w:val="1F243A" w:themeColor="accent1" w:themeShade="7F"/>
      <w:sz w:val="22"/>
      <w:szCs w:val="24"/>
      <w:lang w:eastAsia="en-US"/>
    </w:rPr>
  </w:style>
  <w:style w:type="character" w:styleId="FollowedHyperlink">
    <w:name w:val="FollowedHyperlink"/>
    <w:basedOn w:val="DefaultParagraphFont"/>
    <w:semiHidden/>
    <w:unhideWhenUsed/>
    <w:rsid w:val="003A149F"/>
    <w:rPr>
      <w:color w:val="800080" w:themeColor="followedHyperlink"/>
      <w:u w:val="single"/>
    </w:rPr>
  </w:style>
  <w:style w:type="paragraph" w:styleId="TOC2">
    <w:name w:val="toc 2"/>
    <w:basedOn w:val="Normal"/>
    <w:next w:val="Normal"/>
    <w:autoRedefine/>
    <w:uiPriority w:val="39"/>
    <w:unhideWhenUsed/>
    <w:rsid w:val="00B77682"/>
    <w:pPr>
      <w:tabs>
        <w:tab w:val="right" w:leader="dot" w:pos="9060"/>
      </w:tabs>
      <w:spacing w:after="100"/>
      <w:ind w:left="220"/>
    </w:pPr>
  </w:style>
  <w:style w:type="paragraph" w:styleId="TOC1">
    <w:name w:val="toc 1"/>
    <w:basedOn w:val="Normal"/>
    <w:next w:val="Normal"/>
    <w:autoRedefine/>
    <w:uiPriority w:val="39"/>
    <w:unhideWhenUsed/>
    <w:rsid w:val="003A149F"/>
    <w:pPr>
      <w:spacing w:after="100"/>
    </w:pPr>
  </w:style>
  <w:style w:type="paragraph" w:styleId="TOC3">
    <w:name w:val="toc 3"/>
    <w:basedOn w:val="Normal"/>
    <w:next w:val="Normal"/>
    <w:autoRedefine/>
    <w:uiPriority w:val="39"/>
    <w:unhideWhenUsed/>
    <w:rsid w:val="003A149F"/>
    <w:pPr>
      <w:spacing w:after="100"/>
      <w:ind w:left="440"/>
    </w:pPr>
  </w:style>
  <w:style w:type="character" w:styleId="UnresolvedMention">
    <w:name w:val="Unresolved Mention"/>
    <w:basedOn w:val="DefaultParagraphFont"/>
    <w:uiPriority w:val="99"/>
    <w:semiHidden/>
    <w:unhideWhenUsed/>
    <w:rsid w:val="00FF575C"/>
    <w:rPr>
      <w:color w:val="605E5C"/>
      <w:shd w:val="clear" w:color="auto" w:fill="E1DFDD"/>
    </w:rPr>
  </w:style>
  <w:style w:type="paragraph" w:styleId="TOCHeading">
    <w:name w:val="TOC Heading"/>
    <w:basedOn w:val="Heading1"/>
    <w:next w:val="Normal"/>
    <w:uiPriority w:val="39"/>
    <w:unhideWhenUsed/>
    <w:qFormat/>
    <w:rsid w:val="00B77682"/>
    <w:pPr>
      <w:keepLines/>
      <w:spacing w:before="120" w:after="120" w:line="259" w:lineRule="auto"/>
      <w:outlineLvl w:val="9"/>
    </w:pPr>
    <w:rPr>
      <w:rFonts w:asciiTheme="minorHAnsi" w:eastAsiaTheme="majorEastAsia" w:hAnsiTheme="minorHAnsi" w:cstheme="majorBidi"/>
      <w:bCs w:val="0"/>
      <w:color w:val="358189" w:themeColor="accent2"/>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proda@servicesaustralia.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transition@racgp.org.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medicareaust.com/MISC/MISCP02/provider-digital-access.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ervicesaustralia.gov.au/proda-provider-digital-access" TargetMode="External"/><Relationship Id="rId20" Type="http://schemas.openxmlformats.org/officeDocument/2006/relationships/hyperlink" Target="https://www.acrrm.org.au/college-led-trainin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training@acrrm.org.au" TargetMode="External"/><Relationship Id="rId23" Type="http://schemas.openxmlformats.org/officeDocument/2006/relationships/hyperlink" Target="mailto:AGPTTransition@health.gov.au" TargetMode="External"/><Relationship Id="rId10" Type="http://schemas.openxmlformats.org/officeDocument/2006/relationships/footnotes" Target="footnotes.xml"/><Relationship Id="rId19" Type="http://schemas.openxmlformats.org/officeDocument/2006/relationships/hyperlink" Target="https://www.racgp.org.au/education/college-led-general-practice-training/the-transition-to-college-led-training/college-led-trai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nsition@racgp.org.au" TargetMode="External"/><Relationship Id="rId22" Type="http://schemas.openxmlformats.org/officeDocument/2006/relationships/hyperlink" Target="mailto:training@acrrm.org.au"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https://healthgov.sharepoint.com/sites/support-comms/_layouts/15/DocIdRedir.aspx?ID=INTCOMMS-1466148216-14</Url>
      <Description>INTCOMMS-1466148216-14</Description>
    </_dlc_DocIdUrl>
    <Last_x0020_reviewed xmlns="d29d5f7a-be03-4e9c-abe5-c85ece0a2186">2022-04-04T06:47:31+00:00</Last_x0020_reviewed>
    <_dlc_DocId xmlns="d29d5f7a-be03-4e9c-abe5-c85ece0a2186">INTCOMMS-1466148216-14</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3" ma:contentTypeDescription="Create a new document." ma:contentTypeScope="" ma:versionID="35059a3a4fcfe8beb878820c3df25546">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b9162752e22c34cc51a01c6892a3219e"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d29d5f7a-be03-4e9c-abe5-c85ece0a2186"/>
    <ds:schemaRef ds:uri="7b0f5f5d-7db3-4d3b-b63b-ce18a6ecc538"/>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A807CC2-78E1-401F-9009-5E59C66B0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A92FFEA0-8303-41E1-9A15-D50A63A7AE3E}">
  <ds:schemaRefs>
    <ds:schemaRef ds:uri="http://schemas.microsoft.com/sharepoint/events"/>
  </ds:schemaRefs>
</ds:datastoreItem>
</file>

<file path=customXml/itemProps5.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3176</Words>
  <Characters>19946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National Consistent Payments Guidelines for supervisores, practices and registrars</vt:lpstr>
    </vt:vector>
  </TitlesOfParts>
  <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Consistent Payments Guidelines for supervisors, practices and registrars</dc:title>
  <dc:subject>AGPT</dc:subject>
  <dc:creator>Australian Government Department of Health and Aged Care</dc:creator>
  <cp:keywords>AGPT</cp:keywords>
  <cp:lastModifiedBy>Department of Health and Aged Care</cp:lastModifiedBy>
  <cp:revision>5</cp:revision>
  <cp:lastPrinted>2022-09-30T04:43:00Z</cp:lastPrinted>
  <dcterms:created xsi:type="dcterms:W3CDTF">2022-10-25T04:49:00Z</dcterms:created>
  <dcterms:modified xsi:type="dcterms:W3CDTF">2022-10-25T04:54:00Z</dcterms:modified>
</cp:coreProperties>
</file>